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A678" w14:textId="7A3F583E" w:rsidR="004C5377" w:rsidRPr="00C3707B" w:rsidRDefault="00C21E5E" w:rsidP="00C21E5E">
      <w:pPr>
        <w:pStyle w:val="Pagedecouverture"/>
        <w:rPr>
          <w:noProof/>
        </w:rPr>
      </w:pPr>
      <w:r>
        <w:rPr>
          <w:noProof/>
        </w:rPr>
        <w:pict w14:anchorId="1CF0E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1EC32D4-97DD-424E-98E5-BC76DDF1AB73" style="width:455.25pt;height:426pt">
            <v:imagedata r:id="rId11" o:title=""/>
          </v:shape>
        </w:pict>
      </w:r>
    </w:p>
    <w:p w14:paraId="16D450D8" w14:textId="77777777" w:rsidR="004C5377" w:rsidRPr="00C3707B" w:rsidRDefault="004C5377" w:rsidP="004C5377">
      <w:pPr>
        <w:rPr>
          <w:noProof/>
        </w:rPr>
        <w:sectPr w:rsidR="004C5377" w:rsidRPr="00C3707B" w:rsidSect="00C21E5E">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14:paraId="6A2E1CB2" w14:textId="77777777" w:rsidR="004C5377" w:rsidRPr="00C3707B" w:rsidRDefault="004C5377">
      <w:pPr>
        <w:pStyle w:val="Exposdesmotifstitre"/>
        <w:rPr>
          <w:noProof/>
        </w:rPr>
      </w:pPr>
      <w:bookmarkStart w:id="0" w:name="_GoBack"/>
      <w:bookmarkEnd w:id="0"/>
      <w:r w:rsidRPr="00C3707B">
        <w:rPr>
          <w:noProof/>
        </w:rPr>
        <w:lastRenderedPageBreak/>
        <w:t>TOELICHTING</w:t>
      </w:r>
    </w:p>
    <w:p w14:paraId="060FDBA4" w14:textId="77777777" w:rsidR="004C5377" w:rsidRPr="00C3707B" w:rsidRDefault="004C5377" w:rsidP="004C5377">
      <w:pPr>
        <w:pStyle w:val="ManualHeading1"/>
        <w:rPr>
          <w:noProof/>
        </w:rPr>
      </w:pPr>
      <w:r w:rsidRPr="00160A33">
        <w:rPr>
          <w:noProof/>
        </w:rPr>
        <w:t>1</w:t>
      </w:r>
      <w:r w:rsidRPr="00C3707B">
        <w:rPr>
          <w:noProof/>
        </w:rPr>
        <w:t>.</w:t>
      </w:r>
      <w:r w:rsidRPr="00C3707B">
        <w:rPr>
          <w:noProof/>
        </w:rPr>
        <w:tab/>
        <w:t>ACHTERGROND VAN HET VOORSTEL</w:t>
      </w:r>
    </w:p>
    <w:p w14:paraId="2969E989" w14:textId="77777777" w:rsidR="004C5377" w:rsidRPr="00C3707B" w:rsidRDefault="004C5377" w:rsidP="004C5377">
      <w:pPr>
        <w:pStyle w:val="ManualHeading2"/>
        <w:rPr>
          <w:rFonts w:eastAsia="Arial Unicode MS"/>
          <w:noProof/>
        </w:rPr>
      </w:pPr>
      <w:r w:rsidRPr="00C3707B">
        <w:rPr>
          <w:noProof/>
          <w:color w:val="000000"/>
          <w:u w:color="000000"/>
          <w:bdr w:val="nil"/>
        </w:rPr>
        <w:t>•</w:t>
      </w:r>
      <w:r w:rsidRPr="00C3707B">
        <w:rPr>
          <w:noProof/>
        </w:rPr>
        <w:tab/>
        <w:t>Motivering en doel van het voorstel</w:t>
      </w:r>
    </w:p>
    <w:p w14:paraId="5F310722" w14:textId="77777777" w:rsidR="004C5377" w:rsidRPr="00C3707B" w:rsidRDefault="004C5377" w:rsidP="004C5377">
      <w:pPr>
        <w:rPr>
          <w:noProof/>
        </w:rPr>
      </w:pPr>
      <w:r w:rsidRPr="00C3707B">
        <w:rPr>
          <w:noProof/>
        </w:rPr>
        <w:t xml:space="preserve">De EU heeft een sterke en concurrerende farmaceutische sector, die wereldleider is op het gebied van de productie van geneesmiddelen, een belangrijke rol speelt in de economie van de EU en rechtstreeks werk biedt aan ongeveer </w:t>
      </w:r>
      <w:r w:rsidRPr="00160A33">
        <w:rPr>
          <w:noProof/>
        </w:rPr>
        <w:t>800</w:t>
      </w:r>
      <w:r w:rsidRPr="00C3707B">
        <w:rPr>
          <w:noProof/>
        </w:rPr>
        <w:t> </w:t>
      </w:r>
      <w:r w:rsidRPr="00160A33">
        <w:rPr>
          <w:noProof/>
        </w:rPr>
        <w:t>000</w:t>
      </w:r>
      <w:r w:rsidRPr="00C3707B">
        <w:rPr>
          <w:noProof/>
        </w:rPr>
        <w:t> mensen</w:t>
      </w:r>
      <w:r w:rsidRPr="00C3707B">
        <w:rPr>
          <w:rStyle w:val="FootnoteReference"/>
          <w:noProof/>
        </w:rPr>
        <w:footnoteReference w:id="2"/>
      </w:r>
      <w:r w:rsidRPr="00C3707B">
        <w:rPr>
          <w:noProof/>
        </w:rPr>
        <w:t xml:space="preserve">. De sector blinkt met name uit in het onderzoek naar en de ontwikkeling van innovatieve geneesmiddelen. In de afgelopen decennia heeft de geneesmiddelenproductie op veel vlakken een ontwikkeling doorgemaakt. De productie van geneesmiddelen in de EU is zich gaan richten op complexere producten, waarvoor hoogtechnologische infrastructuur, geschoolde arbeidskrachten en geavanceerde productieprocessen nodig zijn. De productie van inputs voor generieke geneesmiddelen vindt in toenemende mate buiten Europa plaats. Tegelijkertijd zijn bijna </w:t>
      </w:r>
      <w:r w:rsidRPr="00160A33">
        <w:rPr>
          <w:noProof/>
        </w:rPr>
        <w:t>70</w:t>
      </w:r>
      <w:r w:rsidRPr="00C3707B">
        <w:rPr>
          <w:noProof/>
        </w:rPr>
        <w:t> % van de geneesmiddelen die in Europa worden verstrekt generieke geneesmiddelen</w:t>
      </w:r>
      <w:r w:rsidRPr="00C3707B">
        <w:rPr>
          <w:rStyle w:val="FootnoteReference"/>
          <w:noProof/>
        </w:rPr>
        <w:footnoteReference w:id="3"/>
      </w:r>
      <w:r w:rsidRPr="00C3707B">
        <w:rPr>
          <w:noProof/>
        </w:rPr>
        <w:t>.</w:t>
      </w:r>
    </w:p>
    <w:p w14:paraId="7C2E5FE7" w14:textId="77777777" w:rsidR="00D62518" w:rsidRDefault="004C5377" w:rsidP="004C5377">
      <w:pPr>
        <w:rPr>
          <w:noProof/>
        </w:rPr>
      </w:pPr>
      <w:r w:rsidRPr="00C3707B">
        <w:rPr>
          <w:noProof/>
        </w:rPr>
        <w:t>De EU staat voor steeds grotere uitdagingen bij het veiligstellen van een stabiele en veerkrachtige voorziening van geneesmiddelen die van cruciaal belang zijn om de gezondheid van patiënten in de EU te waarborgen. Als gevolg van recente gebeurtenissen in de wereld, waaronder de COVID-</w:t>
      </w:r>
      <w:r w:rsidRPr="00160A33">
        <w:rPr>
          <w:noProof/>
        </w:rPr>
        <w:t>19</w:t>
      </w:r>
      <w:r w:rsidRPr="00C3707B">
        <w:rPr>
          <w:noProof/>
        </w:rPr>
        <w:t>-pandemie en de oorlog van Rusland tegen Oekraïne, zijn kwetsbaarheden in de toeleveringsketens van geneesmiddelen van de EU aan het licht gekomen. Tekorten aan kritieke geneesmiddelen brengen aanzienlijke risico’s met zich mee voor patiënten en de volksgezondheid en ondermijnen het functioneren van gezondheidszorgstelsels.</w:t>
      </w:r>
    </w:p>
    <w:p w14:paraId="4384CE98" w14:textId="2F615F51" w:rsidR="004C5377" w:rsidRPr="00C3707B" w:rsidRDefault="004C5377" w:rsidP="004C5377">
      <w:pPr>
        <w:rPr>
          <w:noProof/>
        </w:rPr>
      </w:pPr>
      <w:r w:rsidRPr="00C3707B">
        <w:rPr>
          <w:noProof/>
        </w:rPr>
        <w:t>Er is gebleken dat tekorten meerdere en complexe onderliggende oorzaken hebben, waarbij in de gehele farmaceutische waardeketen problemen zijn vastgesteld, variërend van kwaliteits- en productieproblemen, commerciële beslissingen en complexe toeleveringsketens tot problemen in verband met het concurrentievermogen van de industrie. Geneesmiddelentekorten zijn met name het gevolg van verstoringen van de toeleveringsketens door een gebrek aan diversificatie van belangrijke leveranciers en door kwetsbaarheden in deze ketens, wat ten koste gaat van de voorziening van belangrijke ingrediënten en bestanddelen.</w:t>
      </w:r>
    </w:p>
    <w:p w14:paraId="7D469F07" w14:textId="77777777" w:rsidR="003A0F6F" w:rsidRDefault="004C5377" w:rsidP="004C5377">
      <w:pPr>
        <w:rPr>
          <w:noProof/>
        </w:rPr>
      </w:pPr>
      <w:r w:rsidRPr="00C3707B">
        <w:rPr>
          <w:noProof/>
        </w:rPr>
        <w:t>Wanneer wordt gekeken naar de oorzaken van tekorten aan kritieke geneesmiddelen, d.w.z. geneesmiddelen waarvoor geen passende alternatieven bestaan en waarvan ontoereikende levering zou leiden tot ernstige schade bij of risico op schade voor patiënten, is het belangrijk om onderscheid te maken tussen enerzijds geneesmiddelen waarop geen octrooi rust of generieke geneesmiddelen</w:t>
      </w:r>
      <w:r w:rsidRPr="00C3707B">
        <w:rPr>
          <w:rStyle w:val="FootnoteReference"/>
          <w:noProof/>
        </w:rPr>
        <w:footnoteReference w:id="4"/>
      </w:r>
      <w:r w:rsidRPr="00C3707B">
        <w:rPr>
          <w:noProof/>
        </w:rPr>
        <w:t>, en anderzijds innovatieve of met een octrooi beschermde geneesmiddelen</w:t>
      </w:r>
      <w:r w:rsidRPr="00C3707B">
        <w:rPr>
          <w:rStyle w:val="FootnoteReference"/>
          <w:noProof/>
        </w:rPr>
        <w:footnoteReference w:id="5"/>
      </w:r>
      <w:r w:rsidRPr="00C3707B">
        <w:rPr>
          <w:noProof/>
        </w:rPr>
        <w:t xml:space="preserve">. Een deel van de marktdynamiek die bij generieke geneesmiddelen wordt gezien, is niet noodzakelijkerwijs van toepassing op innovatieve geneesmiddelen. In de gezondheidssystemen van de EU wordt in toenemende mate gebruikgemaakt van generieke geneesmiddelen, die vaak op basis van de </w:t>
      </w:r>
      <w:r w:rsidRPr="00C3707B">
        <w:rPr>
          <w:i/>
          <w:iCs/>
          <w:noProof/>
        </w:rPr>
        <w:t>laagste</w:t>
      </w:r>
      <w:r w:rsidRPr="00C3707B">
        <w:rPr>
          <w:noProof/>
        </w:rPr>
        <w:t xml:space="preserve"> kosten worden aangekocht om nationale zorgbegrotingen minder te belasten.</w:t>
      </w:r>
    </w:p>
    <w:p w14:paraId="27A7CFB4" w14:textId="77777777" w:rsidR="003A0F6F" w:rsidRDefault="00476B11" w:rsidP="004C5377">
      <w:pPr>
        <w:rPr>
          <w:noProof/>
        </w:rPr>
      </w:pPr>
      <w:r w:rsidRPr="00C3707B">
        <w:rPr>
          <w:noProof/>
        </w:rPr>
        <w:t>Er is op gewezen dat problemen van de industrie gevolgen hebben voor de beschikbaarheid van kritieke geneesmiddelen in de EU, zoals het gebrek aan investeringen in de productiecapaciteit van de EU waardoor de afhankelijkheid van voorziening van geneesmiddelen van buiten de EU is toegenomen. Gefragmenteerde aanbestedingspraktijken in de lidstaten vormen een probleem en dragen niet bij tot het scheppen van optimale omstandigheden voor investeringen. Het vermogen van de industrie om een stabiele voorziening van kritieke geneesmiddelen te waarborgen wordt daarnaast nog verder onder druk gezet door een tekort aan arbeidskrachten en de behoefte aan gespecialiseerde vaardigheden voor de productie van geneesmiddelen.</w:t>
      </w:r>
    </w:p>
    <w:p w14:paraId="54D66C42" w14:textId="77777777" w:rsidR="003A0F6F" w:rsidRDefault="004C5377" w:rsidP="004C5377">
      <w:pPr>
        <w:rPr>
          <w:noProof/>
        </w:rPr>
      </w:pPr>
      <w:r w:rsidRPr="00C3707B">
        <w:rPr>
          <w:noProof/>
        </w:rPr>
        <w:t>Door de COVID</w:t>
      </w:r>
      <w:r w:rsidRPr="00C3707B">
        <w:rPr>
          <w:noProof/>
        </w:rPr>
        <w:noBreakHyphen/>
      </w:r>
      <w:r w:rsidRPr="00160A33">
        <w:rPr>
          <w:noProof/>
        </w:rPr>
        <w:t>19</w:t>
      </w:r>
      <w:r w:rsidRPr="00C3707B">
        <w:rPr>
          <w:noProof/>
        </w:rPr>
        <w:t>-pandemie zijn belangrijke kwetsbaarheden in de toeleveringsketens van geneesmiddelen van de EU aan het licht gekomen, met name de grote afhankelijkheid van buitenlandse bronnen van werkzame stoffen. Dat het vermogen van Europa om bepaalde geneesmiddelen onafhankelijk te produceren beperkt is en dat daardoor de volksgezondheid in de hele EU in gevaar komt, kwam aan het licht toen een aantal landen tijdens de pandemie uitvoerbeperkingen oplegden. Door deze situatie werd het grote belang van economische veiligheid onderstreept, aangezien verstoringen in de toeleveringsketens wereldwijd, of deze nou het gevolg zijn van pandemieën, geopolitieke spanningen of andere factoren, ernstige gevolgen kunnen hebben voor nationale en regionale veiligheid, economische veerkracht en de volksgezondheid.</w:t>
      </w:r>
    </w:p>
    <w:p w14:paraId="6998AE8F" w14:textId="6BD7E76F" w:rsidR="004C5377" w:rsidRPr="00C3707B" w:rsidRDefault="004C5377" w:rsidP="004C5377">
      <w:pPr>
        <w:rPr>
          <w:noProof/>
        </w:rPr>
      </w:pPr>
      <w:r w:rsidRPr="00C3707B">
        <w:rPr>
          <w:noProof/>
        </w:rPr>
        <w:t>Door de pandemie is duidelijk geworden hoe belangrijk bepaalde sectoren, zoals geneesmiddelen, zijn voor het behoud van de economische veiligheid van de EU. Aangezien Europa geconfronteerd wordt met toenemende geopolitieke spanningen en met wereldwijde verstoringen die vaker kunnen gaan optreden, is het van cruciaal belang om de stabiliteit en betrouwbaarheid van kritieke toeleveringsketens, waaronder die van geneesmiddelen, te waarborgen. Door deze kwetsbaarheden aan te pakken, kan de EU haar paraatheid en veerkracht vergroten, waarbij zij het welzijn van haar burgers en de volksgezondheid beschermt en haar algemene veiligheid versterkt.</w:t>
      </w:r>
    </w:p>
    <w:p w14:paraId="216DA22B" w14:textId="77777777" w:rsidR="004C5377" w:rsidRPr="00C3707B" w:rsidRDefault="004C5377" w:rsidP="004C5377">
      <w:pPr>
        <w:rPr>
          <w:noProof/>
        </w:rPr>
      </w:pPr>
      <w:r w:rsidRPr="00C3707B">
        <w:rPr>
          <w:noProof/>
        </w:rPr>
        <w:t>In het kader van het door het EU</w:t>
      </w:r>
      <w:r w:rsidRPr="00160A33">
        <w:rPr>
          <w:noProof/>
        </w:rPr>
        <w:t>4</w:t>
      </w:r>
      <w:r w:rsidRPr="00C3707B">
        <w:rPr>
          <w:noProof/>
        </w:rPr>
        <w:t>Health-programma gefinancierde gezamenlijk optreden van de lidstaten inzake tekorten (CHESSMEN)</w:t>
      </w:r>
      <w:r w:rsidRPr="00C3707B">
        <w:rPr>
          <w:rStyle w:val="FootnoteReference"/>
          <w:noProof/>
        </w:rPr>
        <w:footnoteReference w:id="6"/>
      </w:r>
      <w:r w:rsidRPr="00C3707B">
        <w:rPr>
          <w:noProof/>
        </w:rPr>
        <w:t xml:space="preserve"> is een onderzoek uitgevoerd waaruit is gebleken dat meer dan </w:t>
      </w:r>
      <w:r w:rsidRPr="00160A33">
        <w:rPr>
          <w:noProof/>
        </w:rPr>
        <w:t>50</w:t>
      </w:r>
      <w:r w:rsidRPr="00C3707B">
        <w:rPr>
          <w:noProof/>
        </w:rPr>
        <w:t> % van de gemelde tekorten worden veroorzaakt door productieproblemen, een categorie waaronder ook tekorten vallen die te maken hebben met de beschikbaarheid van werkzame stoffen.</w:t>
      </w:r>
    </w:p>
    <w:p w14:paraId="05F3114F" w14:textId="77777777" w:rsidR="004C5377" w:rsidRPr="00C3707B" w:rsidRDefault="00622DE4" w:rsidP="004C5377">
      <w:pPr>
        <w:keepNext/>
        <w:jc w:val="center"/>
        <w:rPr>
          <w:noProof/>
        </w:rPr>
      </w:pPr>
      <w:r w:rsidRPr="00C3707B">
        <w:rPr>
          <w:noProof/>
          <w:lang w:val="en-GB" w:eastAsia="en-GB"/>
        </w:rPr>
        <w:drawing>
          <wp:inline distT="0" distB="0" distL="0" distR="0" wp14:anchorId="35D0266D" wp14:editId="0D5EE41D">
            <wp:extent cx="4804410" cy="3174033"/>
            <wp:effectExtent l="0" t="0" r="0" b="7620"/>
            <wp:docPr id="1565434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4719" name=""/>
                    <pic:cNvPicPr/>
                  </pic:nvPicPr>
                  <pic:blipFill rotWithShape="1">
                    <a:blip r:embed="rId14"/>
                    <a:srcRect t="6710" r="1773" b="14070"/>
                    <a:stretch/>
                  </pic:blipFill>
                  <pic:spPr bwMode="auto">
                    <a:xfrm>
                      <a:off x="0" y="0"/>
                      <a:ext cx="4809129" cy="3177150"/>
                    </a:xfrm>
                    <a:prstGeom prst="rect">
                      <a:avLst/>
                    </a:prstGeom>
                    <a:ln>
                      <a:noFill/>
                    </a:ln>
                    <a:extLst>
                      <a:ext uri="{53640926-AAD7-44D8-BBD7-CCE9431645EC}">
                        <a14:shadowObscured xmlns:a14="http://schemas.microsoft.com/office/drawing/2010/main"/>
                      </a:ext>
                    </a:extLst>
                  </pic:spPr>
                </pic:pic>
              </a:graphicData>
            </a:graphic>
          </wp:inline>
        </w:drawing>
      </w:r>
    </w:p>
    <w:p w14:paraId="58EBB454" w14:textId="77777777" w:rsidR="004C5377" w:rsidRPr="00C3707B" w:rsidRDefault="004C5377" w:rsidP="004C5377">
      <w:pPr>
        <w:pStyle w:val="Caption"/>
        <w:jc w:val="center"/>
        <w:rPr>
          <w:i/>
          <w:noProof/>
          <w:sz w:val="18"/>
          <w:szCs w:val="18"/>
          <w:u w:val="single"/>
        </w:rPr>
      </w:pPr>
      <w:r w:rsidRPr="00C3707B">
        <w:rPr>
          <w:noProof/>
          <w:sz w:val="18"/>
        </w:rPr>
        <w:t>Figuur </w:t>
      </w:r>
      <w:r w:rsidRPr="00C3707B">
        <w:rPr>
          <w:noProof/>
          <w:sz w:val="18"/>
        </w:rPr>
        <w:fldChar w:fldCharType="begin"/>
      </w:r>
      <w:r w:rsidRPr="00C3707B">
        <w:rPr>
          <w:noProof/>
          <w:sz w:val="18"/>
        </w:rPr>
        <w:instrText xml:space="preserve"> SEQ Figure \* ARABIC </w:instrText>
      </w:r>
      <w:r w:rsidRPr="00C3707B">
        <w:rPr>
          <w:noProof/>
          <w:sz w:val="18"/>
        </w:rPr>
        <w:fldChar w:fldCharType="separate"/>
      </w:r>
      <w:r w:rsidRPr="00160A33">
        <w:rPr>
          <w:noProof/>
          <w:sz w:val="18"/>
        </w:rPr>
        <w:t>1</w:t>
      </w:r>
      <w:r w:rsidRPr="00C3707B">
        <w:rPr>
          <w:noProof/>
          <w:sz w:val="18"/>
        </w:rPr>
        <w:fldChar w:fldCharType="end"/>
      </w:r>
      <w:r w:rsidRPr="00C3707B">
        <w:rPr>
          <w:noProof/>
          <w:sz w:val="18"/>
        </w:rPr>
        <w:t xml:space="preserve">: Onderliggende oorzaken van geneesmiddelentekorten in </w:t>
      </w:r>
      <w:r w:rsidRPr="00160A33">
        <w:rPr>
          <w:noProof/>
          <w:sz w:val="18"/>
        </w:rPr>
        <w:t>2022</w:t>
      </w:r>
      <w:r w:rsidRPr="00C3707B">
        <w:rPr>
          <w:noProof/>
          <w:sz w:val="18"/>
        </w:rPr>
        <w:t xml:space="preserve"> en </w:t>
      </w:r>
      <w:r w:rsidRPr="00160A33">
        <w:rPr>
          <w:noProof/>
          <w:sz w:val="18"/>
        </w:rPr>
        <w:t>2023</w:t>
      </w:r>
      <w:r w:rsidRPr="00C3707B">
        <w:rPr>
          <w:noProof/>
          <w:sz w:val="18"/>
        </w:rPr>
        <w:t xml:space="preserve"> in EU/EER-landen, gegroepeerd volgens de classificatie van de werkgroep van het centrale contactpunt (SPOC-werkgroep) in het kader van het gezamenlijk optreden CHESSMEN</w:t>
      </w:r>
    </w:p>
    <w:p w14:paraId="51628F49" w14:textId="77777777" w:rsidR="003A0F6F" w:rsidRDefault="004C5377" w:rsidP="004C5377">
      <w:pPr>
        <w:rPr>
          <w:noProof/>
        </w:rPr>
      </w:pPr>
      <w:r w:rsidRPr="00C3707B">
        <w:rPr>
          <w:noProof/>
        </w:rPr>
        <w:t>Bovendien kan de toegankelijkheid van sommige geneesmiddelen, zoals die voor zeldzame ziekten, van lidstaat tot lidstaat erg uiteenlopen. Om diverse redenen, zoals de marktomvang, brengen bedrijven geneesmiddelen in de EU op verschillende manieren in de handel. Daardoor kunnen geneesmiddelen die patiënten nodig hebben, voor hen niet overal in de EU gelijk toegankelijk zijn en kan er sprake blijven van marktfalen, zoals wat betreft de ontwikkeling van prioritaire antimicrobiële stoffen die kunnen helpen bij de bestrijding van resistentie tegen antimicrobiële stoffen.</w:t>
      </w:r>
    </w:p>
    <w:p w14:paraId="5725F348" w14:textId="77777777" w:rsidR="003A0F6F" w:rsidRDefault="004C5377" w:rsidP="004C5377">
      <w:pPr>
        <w:rPr>
          <w:noProof/>
        </w:rPr>
      </w:pPr>
      <w:r w:rsidRPr="00C3707B">
        <w:rPr>
          <w:noProof/>
        </w:rPr>
        <w:t>Geneesmiddelentekorten staan al bijna tien jaar op de politieke agenda van de EU</w:t>
      </w:r>
      <w:r w:rsidRPr="00C3707B">
        <w:rPr>
          <w:rStyle w:val="FootnoteReference"/>
          <w:noProof/>
        </w:rPr>
        <w:footnoteReference w:id="7"/>
      </w:r>
      <w:r w:rsidRPr="00C3707B">
        <w:rPr>
          <w:noProof/>
        </w:rPr>
        <w:t xml:space="preserve">. In </w:t>
      </w:r>
      <w:r w:rsidRPr="00160A33">
        <w:rPr>
          <w:noProof/>
        </w:rPr>
        <w:t>2020</w:t>
      </w:r>
      <w:r w:rsidRPr="00C3707B">
        <w:rPr>
          <w:noProof/>
        </w:rPr>
        <w:t xml:space="preserve"> werd in de </w:t>
      </w:r>
      <w:r w:rsidRPr="00C3707B">
        <w:rPr>
          <w:b/>
          <w:noProof/>
        </w:rPr>
        <w:t>farmaceutische strategie voor Europa</w:t>
      </w:r>
      <w:r w:rsidRPr="00C3707B">
        <w:rPr>
          <w:rStyle w:val="FootnoteReference"/>
          <w:noProof/>
        </w:rPr>
        <w:footnoteReference w:id="8"/>
      </w:r>
      <w:r w:rsidRPr="00C3707B">
        <w:rPr>
          <w:noProof/>
        </w:rPr>
        <w:t xml:space="preserve"> de noodzaak erkend om een toekomstbestendig regelgevingskader voor geneesmiddelen tot stand te brengen en de farmaceutische industrie extra steun te verlenen bij het bevorderen van onderzoek, innovatie en technologieën die in de therapeutische behoeften van patiënten voorzien en die tegelijkertijd betaalbare toegang tot geneesmiddelen voor patiënten waarborgen.</w:t>
      </w:r>
    </w:p>
    <w:p w14:paraId="335088C2" w14:textId="77777777" w:rsidR="003A0F6F" w:rsidRDefault="004C5377" w:rsidP="004C5377">
      <w:pPr>
        <w:rPr>
          <w:noProof/>
        </w:rPr>
      </w:pPr>
      <w:r w:rsidRPr="00C3707B">
        <w:rPr>
          <w:noProof/>
        </w:rPr>
        <w:t xml:space="preserve">De farmaceutische strategie omvatte ook de aanvang van een </w:t>
      </w:r>
      <w:r w:rsidRPr="00C3707B">
        <w:rPr>
          <w:b/>
          <w:noProof/>
        </w:rPr>
        <w:t>gestructureerde dialoog</w:t>
      </w:r>
      <w:r w:rsidRPr="00C3707B">
        <w:rPr>
          <w:rStyle w:val="FootnoteReference"/>
          <w:noProof/>
        </w:rPr>
        <w:footnoteReference w:id="9"/>
      </w:r>
      <w:r w:rsidRPr="00C3707B">
        <w:rPr>
          <w:noProof/>
        </w:rPr>
        <w:t xml:space="preserve"> over de industriële dimensie van de voorzieningszekerheid. Bij dit initiatief uit </w:t>
      </w:r>
      <w:r w:rsidRPr="00160A33">
        <w:rPr>
          <w:noProof/>
        </w:rPr>
        <w:t>2021</w:t>
      </w:r>
      <w:r w:rsidRPr="00C3707B">
        <w:rPr>
          <w:noProof/>
        </w:rPr>
        <w:t xml:space="preserve"> werden belanghebbenden uit de farmaceutische industrie (waaronder fabrikanten van werkzame stoffen), groothandelaars, gezondheidswerkers en patiënten, en autoriteiten van de lidstaten bijeengebracht.</w:t>
      </w:r>
    </w:p>
    <w:p w14:paraId="7881A738" w14:textId="65F2EBE4" w:rsidR="004C5377" w:rsidRPr="00C3707B" w:rsidRDefault="004C5377" w:rsidP="004C5377">
      <w:pPr>
        <w:rPr>
          <w:noProof/>
        </w:rPr>
      </w:pPr>
      <w:r w:rsidRPr="00C3707B">
        <w:rPr>
          <w:noProof/>
        </w:rPr>
        <w:t xml:space="preserve">Vervolgens publiceerde de Commissie in </w:t>
      </w:r>
      <w:r w:rsidRPr="00160A33">
        <w:rPr>
          <w:noProof/>
        </w:rPr>
        <w:t>2022</w:t>
      </w:r>
      <w:r w:rsidRPr="00C3707B">
        <w:rPr>
          <w:noProof/>
        </w:rPr>
        <w:t xml:space="preserve"> een </w:t>
      </w:r>
      <w:r w:rsidRPr="00C3707B">
        <w:rPr>
          <w:b/>
          <w:noProof/>
        </w:rPr>
        <w:t>werkdocument van de diensten van de Commissie over de kwetsbaarheden in de mondiale toeleveringsketens van geneesmiddelen</w:t>
      </w:r>
      <w:r w:rsidRPr="00C3707B">
        <w:rPr>
          <w:rStyle w:val="FootnoteReference"/>
          <w:noProof/>
        </w:rPr>
        <w:footnoteReference w:id="10"/>
      </w:r>
      <w:r w:rsidRPr="00C3707B">
        <w:rPr>
          <w:noProof/>
        </w:rPr>
        <w:t xml:space="preserve"> met daarin de belangrijkste bevindingen van de gestructureerde dialoog die bedoeld zijn als uitgangspunt voor verdere maatregelen om de voorzieningszekerheid en de beschikbaarheid van kritieke geneesmiddelen, werkzame stoffen en grondstoffen en basismaterialen voor geneesmiddelen te verbeteren.</w:t>
      </w:r>
    </w:p>
    <w:p w14:paraId="6743CD03" w14:textId="77777777" w:rsidR="003A0F6F" w:rsidRDefault="004C5377" w:rsidP="004C5377">
      <w:pPr>
        <w:rPr>
          <w:noProof/>
        </w:rPr>
      </w:pPr>
      <w:r w:rsidRPr="00C3707B">
        <w:rPr>
          <w:noProof/>
        </w:rPr>
        <w:t xml:space="preserve">Er zijn sindsdien verdere stappen gezet om de hierboven genoemde problemen aan te pakken, waaronder het probleem van het waarborgen van de veiligheid van toeleveringsketens van kritieke geneesmiddelen. Deze stappen hebben met name betrekking op de </w:t>
      </w:r>
      <w:r w:rsidRPr="00C3707B">
        <w:rPr>
          <w:b/>
          <w:noProof/>
        </w:rPr>
        <w:t>voorgestelde herziening van de algemene geneesmiddelenwetgeving van de EU</w:t>
      </w:r>
      <w:r w:rsidRPr="00C3707B">
        <w:rPr>
          <w:rStyle w:val="FootnoteReference"/>
          <w:noProof/>
        </w:rPr>
        <w:footnoteReference w:id="11"/>
      </w:r>
      <w:r w:rsidRPr="00C3707B">
        <w:rPr>
          <w:noProof/>
        </w:rPr>
        <w:t>, waarover momenteel wordt onderhandeld door de medewetgevers, en op de uitbreiding van het mandaat van het Europees Geneesmiddelenbureau (EMA)</w:t>
      </w:r>
      <w:r w:rsidRPr="00C3707B">
        <w:rPr>
          <w:rStyle w:val="FootnoteReference"/>
          <w:noProof/>
        </w:rPr>
        <w:footnoteReference w:id="12"/>
      </w:r>
      <w:r w:rsidRPr="00C3707B">
        <w:rPr>
          <w:noProof/>
        </w:rPr>
        <w:t>.</w:t>
      </w:r>
    </w:p>
    <w:p w14:paraId="00EFE9F6" w14:textId="77777777" w:rsidR="003A0F6F" w:rsidRDefault="004C5377" w:rsidP="004C5377">
      <w:pPr>
        <w:rPr>
          <w:noProof/>
          <w:color w:val="000000"/>
        </w:rPr>
      </w:pPr>
      <w:r w:rsidRPr="00C3707B">
        <w:rPr>
          <w:rStyle w:val="Strong"/>
          <w:noProof/>
          <w:color w:val="000000"/>
        </w:rPr>
        <w:t xml:space="preserve">De Commissie heeft in </w:t>
      </w:r>
      <w:r w:rsidRPr="00160A33">
        <w:rPr>
          <w:rStyle w:val="Strong"/>
          <w:noProof/>
          <w:color w:val="000000"/>
        </w:rPr>
        <w:t>2023</w:t>
      </w:r>
      <w:r w:rsidRPr="00C3707B">
        <w:rPr>
          <w:rStyle w:val="Strong"/>
          <w:noProof/>
          <w:color w:val="000000"/>
        </w:rPr>
        <w:t xml:space="preserve"> een mededeling gepubliceerd over het aanpakken van geneesmiddelentekorten in de EU</w:t>
      </w:r>
      <w:r w:rsidRPr="00C3707B">
        <w:rPr>
          <w:rStyle w:val="FootnoteReference"/>
          <w:noProof/>
          <w:color w:val="000000"/>
        </w:rPr>
        <w:footnoteReference w:id="13"/>
      </w:r>
      <w:r w:rsidRPr="00C3707B">
        <w:rPr>
          <w:rStyle w:val="Strong"/>
          <w:noProof/>
          <w:color w:val="000000"/>
        </w:rPr>
        <w:t xml:space="preserve"> waarin een aantal maatregelen wordt beschreven om tekorten aan kritieke geneesmiddelen in de EU beter te voorkomen en te beperken.</w:t>
      </w:r>
      <w:r w:rsidRPr="00C3707B">
        <w:rPr>
          <w:noProof/>
          <w:color w:val="000000"/>
        </w:rPr>
        <w:t xml:space="preserve"> Hoewel farmaceutische bedrijven verantwoordelijk zijn voor het waarborgen van een toereikend aanbod aan geneesmiddelen om in de behoeften van patiënten te voorzien, zorgen de lidstaten voor het toezicht op de geneesmiddelenvoorziening op hun grondgebied. Het merendeel van de tekorten wordt op nationaal niveau beheerd en opgelost. Voor de preventie en beperking van tekorten aan kritieke geneesmiddelen wanneer er geen alternatieve geneesmiddelen beschikbaar zijn en die tekorten niet op nationaal niveau kunnen worden opgelost, zijn echter gecoördineerde maatregelen nodig om problemen in de voorziening aan te pakken en de Europese toeleveringsketens van geneesmiddelen veerkrachtiger te maken op de lange termijn.</w:t>
      </w:r>
    </w:p>
    <w:p w14:paraId="40B4B347" w14:textId="40A19B12" w:rsidR="004C5377" w:rsidRPr="00C3707B" w:rsidRDefault="004C5377" w:rsidP="004C5377">
      <w:pPr>
        <w:rPr>
          <w:noProof/>
          <w:color w:val="000000"/>
        </w:rPr>
      </w:pPr>
      <w:r w:rsidRPr="00C3707B">
        <w:rPr>
          <w:noProof/>
          <w:color w:val="000000"/>
        </w:rPr>
        <w:t xml:space="preserve">In de mededeling van </w:t>
      </w:r>
      <w:r w:rsidRPr="00160A33">
        <w:rPr>
          <w:noProof/>
          <w:color w:val="000000"/>
        </w:rPr>
        <w:t>2023</w:t>
      </w:r>
      <w:r w:rsidRPr="00C3707B">
        <w:rPr>
          <w:noProof/>
          <w:color w:val="000000"/>
        </w:rPr>
        <w:t xml:space="preserve"> werd daarom bijzondere aandacht besteed aan de meest </w:t>
      </w:r>
      <w:r w:rsidRPr="00C3707B">
        <w:rPr>
          <w:rStyle w:val="Strong"/>
          <w:noProof/>
          <w:color w:val="000000"/>
        </w:rPr>
        <w:t>kritieke geneesmiddelen</w:t>
      </w:r>
      <w:r w:rsidRPr="00C3707B">
        <w:rPr>
          <w:noProof/>
          <w:color w:val="000000"/>
        </w:rPr>
        <w:t xml:space="preserve">, waarvoor de voorzieningszekerheid in de EU te allen tijde moet worden gewaarborgd. Daarin werd benadrukt dat een </w:t>
      </w:r>
      <w:r w:rsidRPr="00C3707B">
        <w:rPr>
          <w:rStyle w:val="Strong"/>
          <w:noProof/>
          <w:color w:val="000000"/>
        </w:rPr>
        <w:t>lijst van de Unie van kritieke geneesmiddelen moet worden gepubliceerd voordat de herziene geneesmiddelenwetgeving van de EU wordt vastgesteld</w:t>
      </w:r>
      <w:r w:rsidRPr="00C3707B">
        <w:rPr>
          <w:noProof/>
          <w:color w:val="000000"/>
        </w:rPr>
        <w:t>.</w:t>
      </w:r>
      <w:r w:rsidRPr="00C3707B">
        <w:rPr>
          <w:rStyle w:val="Strong"/>
          <w:noProof/>
          <w:color w:val="000000"/>
        </w:rPr>
        <w:t xml:space="preserve"> </w:t>
      </w:r>
      <w:r w:rsidRPr="00C3707B">
        <w:rPr>
          <w:noProof/>
        </w:rPr>
        <w:t>De eerste lijst van de Unie van kritieke geneesmiddelen, die zijn aangewezen door criteria in verband met de ernst van de ziekte en de beschikbaarheid van alternatieve geneesmiddelen te combineren, is in december</w:t>
      </w:r>
      <w:r w:rsidR="00F21818">
        <w:rPr>
          <w:noProof/>
        </w:rPr>
        <w:t> </w:t>
      </w:r>
      <w:r w:rsidRPr="00160A33">
        <w:rPr>
          <w:noProof/>
        </w:rPr>
        <w:t>2023</w:t>
      </w:r>
      <w:r w:rsidRPr="00C3707B">
        <w:rPr>
          <w:noProof/>
        </w:rPr>
        <w:t xml:space="preserve"> door de Europese Commissie, het EMA en de hoofden van de geneesmiddelenautoriteiten van de lidstaten gepubliceerd en in december</w:t>
      </w:r>
      <w:r w:rsidR="00F21818">
        <w:rPr>
          <w:noProof/>
        </w:rPr>
        <w:t> </w:t>
      </w:r>
      <w:r w:rsidRPr="00160A33">
        <w:rPr>
          <w:noProof/>
        </w:rPr>
        <w:t>2024</w:t>
      </w:r>
      <w:r w:rsidRPr="00C3707B">
        <w:rPr>
          <w:noProof/>
        </w:rPr>
        <w:t xml:space="preserve"> herzien</w:t>
      </w:r>
      <w:r w:rsidRPr="005D0E22">
        <w:rPr>
          <w:rStyle w:val="FootnoteReference"/>
          <w:noProof/>
        </w:rPr>
        <w:footnoteReference w:id="14"/>
      </w:r>
      <w:r w:rsidRPr="00C3707B">
        <w:rPr>
          <w:noProof/>
        </w:rPr>
        <w:t>.</w:t>
      </w:r>
      <w:r w:rsidRPr="00C3707B">
        <w:rPr>
          <w:noProof/>
          <w:color w:val="000000"/>
        </w:rPr>
        <w:t xml:space="preserve"> Hiermee wordt voorzien in een eerste lijst die als uitgangspunt kan dienen om de kwetsbaarheden in de toeleveringsketens van deze geneesmiddelen te analyseren en om te bepalen welke maatregelen nodig zijn om deze toeleveringsketens te versterken. De lijst bevat meer dan </w:t>
      </w:r>
      <w:r w:rsidRPr="00160A33">
        <w:rPr>
          <w:noProof/>
          <w:color w:val="000000"/>
        </w:rPr>
        <w:t>270</w:t>
      </w:r>
      <w:r w:rsidRPr="00C3707B">
        <w:rPr>
          <w:noProof/>
          <w:color w:val="000000"/>
        </w:rPr>
        <w:t> werkzame stoffen die worden gebruikt bij de behandeling van verschillende ziekten zoals infecties, hart- en vaatziekten, geestelijke gezondheidsstoornissen en kanker.</w:t>
      </w:r>
    </w:p>
    <w:p w14:paraId="6F4E8D79" w14:textId="6F03AAA1" w:rsidR="004C5377" w:rsidRPr="00C3707B" w:rsidRDefault="004C5377" w:rsidP="004C5377">
      <w:pPr>
        <w:rPr>
          <w:noProof/>
        </w:rPr>
      </w:pPr>
      <w:r w:rsidRPr="00C3707B">
        <w:rPr>
          <w:noProof/>
        </w:rPr>
        <w:t>De Commissie heeft in haar mededeling ook een belangrijke maatregel aangekondigd om de voorzieningszekerheid van kritieke geneesmiddelen te vergroten, namelijk de oprichting van een “</w:t>
      </w:r>
      <w:r w:rsidRPr="00C3707B">
        <w:rPr>
          <w:b/>
          <w:noProof/>
        </w:rPr>
        <w:t>alliantie voor kritieke geneesmiddelen</w:t>
      </w:r>
      <w:r w:rsidRPr="00C3707B">
        <w:rPr>
          <w:noProof/>
        </w:rPr>
        <w:t>”</w:t>
      </w:r>
      <w:r w:rsidRPr="00C3707B">
        <w:rPr>
          <w:rStyle w:val="FootnoteReference"/>
          <w:noProof/>
        </w:rPr>
        <w:footnoteReference w:id="15"/>
      </w:r>
      <w:r w:rsidRPr="00C3707B">
        <w:rPr>
          <w:noProof/>
        </w:rPr>
        <w:t>. Voor deze alliantie</w:t>
      </w:r>
      <w:r w:rsidRPr="00C3707B">
        <w:rPr>
          <w:rStyle w:val="FootnoteReference"/>
          <w:noProof/>
        </w:rPr>
        <w:footnoteReference w:id="16"/>
      </w:r>
      <w:r w:rsidRPr="00C3707B">
        <w:rPr>
          <w:noProof/>
        </w:rPr>
        <w:t>, die formeel in april</w:t>
      </w:r>
      <w:r w:rsidR="00F21818">
        <w:rPr>
          <w:noProof/>
        </w:rPr>
        <w:t> </w:t>
      </w:r>
      <w:r w:rsidRPr="00160A33">
        <w:rPr>
          <w:noProof/>
        </w:rPr>
        <w:t>2024</w:t>
      </w:r>
      <w:r w:rsidRPr="00C3707B">
        <w:rPr>
          <w:noProof/>
        </w:rPr>
        <w:t xml:space="preserve"> werd opgericht, wordt een aanpak gehanteerd die de Commissie met succes heeft toegepast op andere terreinen (batterijen, halfgeleiders kritieke grondstoffen). De belangrijkste doelstelling van de alliantie was het in kaart brengen van problemen die voortvloeien uit kwetsbaarheden en van de meest geschikte maatregelen en instrumenten om de kwetsbaarheden in de toeleveringsketens van kritieke geneesmiddelen aan te pakken. Er werden meer dan </w:t>
      </w:r>
      <w:r w:rsidRPr="00160A33">
        <w:rPr>
          <w:noProof/>
        </w:rPr>
        <w:t>300</w:t>
      </w:r>
      <w:r w:rsidRPr="00C3707B">
        <w:rPr>
          <w:noProof/>
        </w:rPr>
        <w:t xml:space="preserve"> organisaties bijeengebracht (variërend van patiëntengroepen en wetenschappelijke gemeenschappen tot zorgaanbieders, de industrie en overheidsinstanties). Nadat de alliantie in </w:t>
      </w:r>
      <w:r w:rsidRPr="00160A33">
        <w:rPr>
          <w:noProof/>
        </w:rPr>
        <w:t>2024</w:t>
      </w:r>
      <w:r w:rsidRPr="00C3707B">
        <w:rPr>
          <w:noProof/>
        </w:rPr>
        <w:t xml:space="preserve"> intensief met haar leden heeft overlegd, heeft zij op </w:t>
      </w:r>
      <w:r w:rsidRPr="00160A33">
        <w:rPr>
          <w:noProof/>
        </w:rPr>
        <w:t>28</w:t>
      </w:r>
      <w:r w:rsidRPr="00C3707B">
        <w:rPr>
          <w:noProof/>
        </w:rPr>
        <w:t xml:space="preserve"> februari </w:t>
      </w:r>
      <w:r w:rsidRPr="00160A33">
        <w:rPr>
          <w:noProof/>
        </w:rPr>
        <w:t>2025</w:t>
      </w:r>
      <w:r w:rsidRPr="00C3707B">
        <w:rPr>
          <w:noProof/>
        </w:rPr>
        <w:t xml:space="preserve"> haar strategische verslag met een reeks aanbevelingen gepubliceerd</w:t>
      </w:r>
      <w:r w:rsidRPr="00C3707B">
        <w:rPr>
          <w:rStyle w:val="FootnoteReference"/>
          <w:noProof/>
        </w:rPr>
        <w:footnoteReference w:id="17"/>
      </w:r>
      <w:r w:rsidRPr="00C3707B">
        <w:rPr>
          <w:noProof/>
        </w:rPr>
        <w:t>.</w:t>
      </w:r>
    </w:p>
    <w:p w14:paraId="089E4068" w14:textId="40D7A38F" w:rsidR="003A0F6F" w:rsidRDefault="004C5377" w:rsidP="004C5377">
      <w:pPr>
        <w:tabs>
          <w:tab w:val="left" w:pos="3261"/>
        </w:tabs>
        <w:rPr>
          <w:noProof/>
        </w:rPr>
      </w:pPr>
      <w:r w:rsidRPr="00C3707B">
        <w:rPr>
          <w:noProof/>
        </w:rPr>
        <w:t xml:space="preserve">Met dit voorstel voor een verordening wordt uitvoering gegeven aan de politieke toezegging van voorzitter Von der Leyen om </w:t>
      </w:r>
      <w:r w:rsidRPr="00C3707B">
        <w:rPr>
          <w:b/>
          <w:noProof/>
        </w:rPr>
        <w:t>wetgeving inzake kritieke geneesmiddelen</w:t>
      </w:r>
      <w:r w:rsidRPr="00C3707B">
        <w:rPr>
          <w:noProof/>
        </w:rPr>
        <w:t xml:space="preserve"> voor te stellen om ernstige geneesmiddelentekorten aan te pakken en de afhankelijkheid in verband met kritieke geneesmiddelen en ingrediënten te verminderen, en om een betaalbare geneesmiddelenvoorziening te waarborgen</w:t>
      </w:r>
      <w:r w:rsidRPr="00C3707B">
        <w:rPr>
          <w:rStyle w:val="FootnoteReference"/>
          <w:noProof/>
        </w:rPr>
        <w:footnoteReference w:id="18"/>
      </w:r>
      <w:r w:rsidRPr="00C3707B">
        <w:rPr>
          <w:noProof/>
        </w:rPr>
        <w:t xml:space="preserve">. De voorgestelde verordening zal een belangrijke stap zijn naar voltooiing van de </w:t>
      </w:r>
      <w:r w:rsidRPr="00C3707B">
        <w:rPr>
          <w:b/>
          <w:noProof/>
        </w:rPr>
        <w:t>Europese gezondheidsunie</w:t>
      </w:r>
      <w:r w:rsidRPr="00C3707B">
        <w:rPr>
          <w:noProof/>
        </w:rPr>
        <w:t xml:space="preserve">. Met de verordening wordt voortgebouwd op: </w:t>
      </w:r>
      <w:r w:rsidRPr="00160A33">
        <w:rPr>
          <w:noProof/>
        </w:rPr>
        <w:t>1</w:t>
      </w:r>
      <w:r w:rsidRPr="00C3707B">
        <w:rPr>
          <w:noProof/>
        </w:rPr>
        <w:t>)</w:t>
      </w:r>
      <w:r w:rsidR="00F21818">
        <w:rPr>
          <w:noProof/>
        </w:rPr>
        <w:t> </w:t>
      </w:r>
      <w:r w:rsidRPr="00C3707B">
        <w:rPr>
          <w:noProof/>
        </w:rPr>
        <w:t xml:space="preserve">maatregelen die zijn voorgesteld als onderdeel van de lopende herziening van de geneesmiddelenwetgeving van de EU; </w:t>
      </w:r>
      <w:r w:rsidRPr="00160A33">
        <w:rPr>
          <w:noProof/>
        </w:rPr>
        <w:t>2</w:t>
      </w:r>
      <w:r w:rsidRPr="00C3707B">
        <w:rPr>
          <w:noProof/>
        </w:rPr>
        <w:t>)</w:t>
      </w:r>
      <w:r w:rsidR="00F21818">
        <w:rPr>
          <w:noProof/>
        </w:rPr>
        <w:t> </w:t>
      </w:r>
      <w:r w:rsidRPr="00C3707B">
        <w:rPr>
          <w:noProof/>
        </w:rPr>
        <w:t xml:space="preserve">uitbreiding van het mandaat van het EMA wat betreft crisisparaatheid en -beheersing op het gebied van geneesmiddelen; </w:t>
      </w:r>
      <w:r w:rsidRPr="00160A33">
        <w:rPr>
          <w:noProof/>
        </w:rPr>
        <w:t>3</w:t>
      </w:r>
      <w:r w:rsidRPr="00C3707B">
        <w:rPr>
          <w:noProof/>
        </w:rPr>
        <w:t>)</w:t>
      </w:r>
      <w:r w:rsidR="00F21818">
        <w:rPr>
          <w:noProof/>
        </w:rPr>
        <w:t> </w:t>
      </w:r>
      <w:r w:rsidRPr="00C3707B">
        <w:rPr>
          <w:noProof/>
        </w:rPr>
        <w:t>kernacties voor de voltooiing van een Europese gezondheidsunie waarin alle EU-lidstaten zich gezamenlijk voorbereiden en gezamenlijk reageren op gezondheidscrises en waarin medische benodigdheden beschikbaar, betaalbaar en innovatief zijn</w:t>
      </w:r>
      <w:r w:rsidRPr="00C3707B">
        <w:rPr>
          <w:rStyle w:val="FootnoteReference"/>
          <w:noProof/>
        </w:rPr>
        <w:footnoteReference w:id="19"/>
      </w:r>
      <w:r w:rsidRPr="00C3707B">
        <w:rPr>
          <w:noProof/>
        </w:rPr>
        <w:t xml:space="preserve">, en </w:t>
      </w:r>
      <w:r w:rsidRPr="00160A33">
        <w:rPr>
          <w:noProof/>
        </w:rPr>
        <w:t>4</w:t>
      </w:r>
      <w:r w:rsidRPr="00C3707B">
        <w:rPr>
          <w:noProof/>
        </w:rPr>
        <w:t>)</w:t>
      </w:r>
      <w:r w:rsidR="00F21818">
        <w:rPr>
          <w:noProof/>
        </w:rPr>
        <w:t> </w:t>
      </w:r>
      <w:r w:rsidRPr="00C3707B">
        <w:rPr>
          <w:noProof/>
        </w:rPr>
        <w:t>nieuwe industriële beleidsmaatregelen die onlangs van kracht zijn geworden op andere kritieke gebieden</w:t>
      </w:r>
      <w:r w:rsidRPr="00C3707B">
        <w:rPr>
          <w:rStyle w:val="FootnoteReference"/>
          <w:noProof/>
        </w:rPr>
        <w:footnoteReference w:id="20"/>
      </w:r>
      <w:r w:rsidRPr="00C3707B">
        <w:rPr>
          <w:noProof/>
        </w:rPr>
        <w:t>.</w:t>
      </w:r>
    </w:p>
    <w:p w14:paraId="25B9192B" w14:textId="0EEF2D01" w:rsidR="004C5377" w:rsidRPr="00C3707B" w:rsidRDefault="004C5377" w:rsidP="004C5377">
      <w:pPr>
        <w:spacing w:before="0" w:after="200" w:line="276" w:lineRule="auto"/>
        <w:jc w:val="left"/>
        <w:rPr>
          <w:i/>
          <w:iCs/>
          <w:noProof/>
        </w:rPr>
      </w:pPr>
      <w:r w:rsidRPr="00C3707B">
        <w:rPr>
          <w:i/>
          <w:noProof/>
        </w:rPr>
        <w:t>Toepassingsgebied en doelstellingen</w:t>
      </w:r>
    </w:p>
    <w:p w14:paraId="007E4D0C" w14:textId="77777777" w:rsidR="003A0F6F" w:rsidRDefault="00E52040" w:rsidP="004C5377">
      <w:pPr>
        <w:tabs>
          <w:tab w:val="left" w:pos="3261"/>
        </w:tabs>
        <w:rPr>
          <w:noProof/>
        </w:rPr>
      </w:pPr>
      <w:r w:rsidRPr="00C3707B">
        <w:rPr>
          <w:noProof/>
        </w:rPr>
        <w:t>Gezien de huidige geopolitieke situatie en het belang van een levensvatbare in Europa gevestigde farmaceutische industrie voor de economische veiligheid van de EU is de voorgestelde verordening bedoeld als aanvulling op de in de herziene geneesmiddelenwetgeving van de EU voorgestelde maatregelen om de kwetsbaarheden in de toeleveringsketens van kritieke geneesmiddelen aan te pakken en de voorzieningszekerheid en beschikbaarheid van deze geneesmiddelen te ondersteunen.</w:t>
      </w:r>
    </w:p>
    <w:p w14:paraId="28493E35" w14:textId="44F77244" w:rsidR="003A0F6F" w:rsidRDefault="004C5377" w:rsidP="004C5377">
      <w:pPr>
        <w:tabs>
          <w:tab w:val="left" w:pos="3261"/>
        </w:tabs>
        <w:rPr>
          <w:noProof/>
        </w:rPr>
      </w:pPr>
      <w:r w:rsidRPr="00C3707B">
        <w:rPr>
          <w:noProof/>
        </w:rPr>
        <w:t xml:space="preserve">Het toepassingsgebied van de voorgestelde verordening is in de eerste plaats gericht op kritieke geneesmiddelen die zijn opgenomen in de lijst van de Unie van kritieke geneesmiddelen, die formeel is vastgesteld in de voorgestelde geneesmiddelenverordening. Naar aanleiding van de mededeling van </w:t>
      </w:r>
      <w:r w:rsidRPr="00160A33">
        <w:rPr>
          <w:noProof/>
        </w:rPr>
        <w:t>2023</w:t>
      </w:r>
      <w:r w:rsidRPr="00C3707B">
        <w:rPr>
          <w:noProof/>
        </w:rPr>
        <w:t xml:space="preserve"> is een eerste lijst van de Unie van kritieke geneesmiddelen opgesteld met de deskundige inbreng van de hoofden van de geneesmiddelenautoriteiten van de lidstaten, de Europese Commissie en het EMA en na raadpleging van de belangrijkste belanghebbenden, waaronder patiëntenorganisaties en brancheorganisaties. Deze lijst werd in december</w:t>
      </w:r>
      <w:r w:rsidR="00F21818">
        <w:rPr>
          <w:noProof/>
        </w:rPr>
        <w:t> </w:t>
      </w:r>
      <w:r w:rsidRPr="00160A33">
        <w:rPr>
          <w:noProof/>
        </w:rPr>
        <w:t>2023</w:t>
      </w:r>
      <w:r w:rsidRPr="00C3707B">
        <w:rPr>
          <w:noProof/>
        </w:rPr>
        <w:t xml:space="preserve"> voor het eerst gepubliceerd en een jaar later bijgewerkt.</w:t>
      </w:r>
    </w:p>
    <w:p w14:paraId="7957BD62" w14:textId="77777777" w:rsidR="003A0F6F" w:rsidRDefault="004C5377" w:rsidP="004C5377">
      <w:pPr>
        <w:tabs>
          <w:tab w:val="left" w:pos="3261"/>
        </w:tabs>
        <w:rPr>
          <w:noProof/>
        </w:rPr>
      </w:pPr>
      <w:r w:rsidRPr="00C3707B">
        <w:rPr>
          <w:noProof/>
        </w:rPr>
        <w:t>Met de voorgestelde verordening worden ook maatregelen ingevoerd om de toegankelijkheid en beschikbaarheid van andere geneesmiddelen van gemeenschappelijk belang te verbeteren, zodat patiënten in de hele EU, over die geneesmiddelen kunnen beschikken waar en wanneer zij die nodig hebben. Tot deze geneesmiddelen kunnen geneesmiddelen voor zeldzame ziekten (weesgeneesmiddelen)</w:t>
      </w:r>
      <w:r w:rsidRPr="00C3707B">
        <w:rPr>
          <w:rStyle w:val="FootnoteReference"/>
          <w:noProof/>
        </w:rPr>
        <w:footnoteReference w:id="21"/>
      </w:r>
      <w:r w:rsidRPr="00C3707B">
        <w:rPr>
          <w:noProof/>
        </w:rPr>
        <w:t xml:space="preserve"> of nieuwe antimicrobiële stoffen behoren.</w:t>
      </w:r>
    </w:p>
    <w:p w14:paraId="11FC2E4C" w14:textId="1CE431D0" w:rsidR="004C5377" w:rsidRPr="00C3707B" w:rsidRDefault="004C5377" w:rsidP="004C5377">
      <w:pPr>
        <w:spacing w:before="0" w:after="200" w:line="276" w:lineRule="auto"/>
        <w:jc w:val="left"/>
        <w:rPr>
          <w:i/>
          <w:iCs/>
          <w:noProof/>
        </w:rPr>
      </w:pPr>
      <w:r w:rsidRPr="00C3707B">
        <w:rPr>
          <w:i/>
          <w:noProof/>
        </w:rPr>
        <w:t>Algemene en specifieke doelstellingen</w:t>
      </w:r>
    </w:p>
    <w:p w14:paraId="1288C1A0" w14:textId="77777777" w:rsidR="004C5377" w:rsidRPr="00C3707B" w:rsidRDefault="004C5377" w:rsidP="004C5377">
      <w:pPr>
        <w:rPr>
          <w:noProof/>
        </w:rPr>
      </w:pPr>
      <w:r w:rsidRPr="00C3707B">
        <w:rPr>
          <w:noProof/>
        </w:rPr>
        <w:t>De algemene doelstelling van deze verordening is om de voorzieningszekerheid en de beschikbaarheid van kritieke geneesmiddelen binnen de EU te vergroten zodat een hoog niveau van bescherming van de volksgezondheid wordt gewaarborgd en de veiligheid van de Unie wordt ondersteund, en om de beschikbaarheid en toegankelijkheid van andere specifieke geneesmiddelen te verbeteren wanneer de marktwerking de beschikbaarheid en toegankelijkheid van die geneesmiddelen voor patiënten anders onvoldoende zou waarborgen, waarbij grondig wordt nagegaan of ingrijpen passend is om de betaalbaarheid van geneesmiddelen te waarborgen.</w:t>
      </w:r>
    </w:p>
    <w:p w14:paraId="2378CA74" w14:textId="77777777" w:rsidR="004C5377" w:rsidRPr="00C3707B" w:rsidRDefault="004C5377" w:rsidP="004C5377">
      <w:pPr>
        <w:rPr>
          <w:noProof/>
        </w:rPr>
      </w:pPr>
      <w:bookmarkStart w:id="1" w:name="_Hlk191981698"/>
      <w:r w:rsidRPr="00C3707B">
        <w:rPr>
          <w:noProof/>
        </w:rPr>
        <w:t>De specifieke doelstellingen van het voorstel zijn:</w:t>
      </w:r>
    </w:p>
    <w:p w14:paraId="6BFB87E0" w14:textId="77777777" w:rsidR="004C5377" w:rsidRPr="00C3707B" w:rsidRDefault="004C5377" w:rsidP="009C2DD0">
      <w:pPr>
        <w:pStyle w:val="Tiret0"/>
        <w:numPr>
          <w:ilvl w:val="0"/>
          <w:numId w:val="18"/>
        </w:numPr>
        <w:rPr>
          <w:noProof/>
        </w:rPr>
      </w:pPr>
      <w:r w:rsidRPr="00C3707B">
        <w:rPr>
          <w:noProof/>
        </w:rPr>
        <w:t>investeringen in de productiecapaciteit voor kritieke geneesmiddelen en de werkzame stoffen en andere belangrijke inputs daarvan in de EU vergemakkelijken;</w:t>
      </w:r>
    </w:p>
    <w:p w14:paraId="2B987E02" w14:textId="77777777" w:rsidR="004C5377" w:rsidRPr="00C3707B" w:rsidRDefault="004C5377" w:rsidP="004C5377">
      <w:pPr>
        <w:pStyle w:val="Tiret0"/>
        <w:rPr>
          <w:noProof/>
        </w:rPr>
      </w:pPr>
      <w:r w:rsidRPr="00C3707B">
        <w:rPr>
          <w:noProof/>
        </w:rPr>
        <w:t>het risico op verstoringen van de voorziening verlagen en de beschikbaarheid vergroten door in de openbare aanbestedingsprocedures voor kritieke geneesmiddelen en andere geneesmiddelen van gemeenschappelijk belang diversificatie en veerkracht van de toeleveringsketens te stimuleren;</w:t>
      </w:r>
    </w:p>
    <w:p w14:paraId="1BD0C474" w14:textId="77777777" w:rsidR="003A0F6F" w:rsidRDefault="004C5377" w:rsidP="004C5377">
      <w:pPr>
        <w:pStyle w:val="Tiret0"/>
        <w:rPr>
          <w:noProof/>
        </w:rPr>
      </w:pPr>
      <w:r w:rsidRPr="00C3707B">
        <w:rPr>
          <w:noProof/>
        </w:rPr>
        <w:t>de geaggregeerde vraag van de deelnemende lidstaten via collectieve aanbestedingsprocedures benutten;</w:t>
      </w:r>
    </w:p>
    <w:p w14:paraId="3276DD8F" w14:textId="36093F5E" w:rsidR="004C5377" w:rsidRPr="00C3707B" w:rsidRDefault="004C5377" w:rsidP="004C5377">
      <w:pPr>
        <w:pStyle w:val="Tiret0"/>
        <w:rPr>
          <w:noProof/>
        </w:rPr>
      </w:pPr>
      <w:r w:rsidRPr="00C3707B">
        <w:rPr>
          <w:noProof/>
        </w:rPr>
        <w:t>de diversificatie van toeleveringsketens ondersteunen, onder meer door het aangaan van strategische partnerschappen.</w:t>
      </w:r>
    </w:p>
    <w:bookmarkEnd w:id="1"/>
    <w:p w14:paraId="151E81A8" w14:textId="77777777" w:rsidR="004C5377" w:rsidRPr="00C3707B" w:rsidRDefault="004C5377" w:rsidP="004C5377">
      <w:pPr>
        <w:pStyle w:val="ManualHeading2"/>
        <w:rPr>
          <w:rFonts w:eastAsia="Arial Unicode MS"/>
          <w:noProof/>
          <w:color w:val="000000"/>
          <w:u w:color="000000"/>
          <w:bdr w:val="nil"/>
        </w:rPr>
      </w:pPr>
      <w:r w:rsidRPr="00C3707B">
        <w:rPr>
          <w:noProof/>
          <w:color w:val="000000"/>
          <w:u w:color="000000"/>
          <w:bdr w:val="nil"/>
        </w:rPr>
        <w:t>•</w:t>
      </w:r>
      <w:r w:rsidRPr="00C3707B">
        <w:rPr>
          <w:noProof/>
        </w:rPr>
        <w:tab/>
        <w:t>Verenigbaarheid met bestaande bepalingen op het beleidsterrein</w:t>
      </w:r>
    </w:p>
    <w:p w14:paraId="4E60C12E" w14:textId="77777777" w:rsidR="004C5377" w:rsidRPr="00C3707B" w:rsidRDefault="004C5377" w:rsidP="004C5377">
      <w:pPr>
        <w:rPr>
          <w:noProof/>
        </w:rPr>
      </w:pPr>
      <w:r w:rsidRPr="00C3707B">
        <w:rPr>
          <w:noProof/>
        </w:rPr>
        <w:t>Het voorstel is bedoeld om voor samenhang te zorgen met verschillende bestaande bepalingen en initiatieven van het gezondheids- en geneesmiddelenbeleid van de EU en zo een hoog niveau van bescherming van de menselijke gezondheid te waarborgen bij de bepaling en uitvoering van EU-beleid</w:t>
      </w:r>
      <w:r w:rsidRPr="00C3707B">
        <w:rPr>
          <w:rStyle w:val="FootnoteReference"/>
          <w:noProof/>
        </w:rPr>
        <w:footnoteReference w:id="22"/>
      </w:r>
      <w:r w:rsidRPr="00C3707B">
        <w:rPr>
          <w:noProof/>
        </w:rPr>
        <w:t>.</w:t>
      </w:r>
    </w:p>
    <w:p w14:paraId="22F5BFBB" w14:textId="77777777" w:rsidR="003A0F6F" w:rsidRDefault="004C5377" w:rsidP="004C5377">
      <w:pPr>
        <w:rPr>
          <w:noProof/>
        </w:rPr>
      </w:pPr>
      <w:r w:rsidRPr="00C3707B">
        <w:rPr>
          <w:noProof/>
        </w:rPr>
        <w:t xml:space="preserve">De voorgestelde verordening vormt een aanvulling op de lopende </w:t>
      </w:r>
      <w:r w:rsidRPr="00C3707B">
        <w:rPr>
          <w:b/>
          <w:noProof/>
        </w:rPr>
        <w:t>herziening</w:t>
      </w:r>
      <w:r w:rsidRPr="00C3707B">
        <w:rPr>
          <w:noProof/>
        </w:rPr>
        <w:t xml:space="preserve"> </w:t>
      </w:r>
      <w:r w:rsidRPr="00C3707B">
        <w:rPr>
          <w:b/>
          <w:noProof/>
        </w:rPr>
        <w:t>van de geneesmiddelenwetgeving van de EU</w:t>
      </w:r>
      <w:r w:rsidRPr="00C3707B">
        <w:rPr>
          <w:rStyle w:val="FootnoteReference"/>
          <w:b/>
          <w:bCs/>
          <w:noProof/>
        </w:rPr>
        <w:footnoteReference w:id="23"/>
      </w:r>
      <w:r w:rsidRPr="00C3707B">
        <w:rPr>
          <w:noProof/>
        </w:rPr>
        <w:t xml:space="preserve"> en de belangrijkste acties uit de </w:t>
      </w:r>
      <w:r w:rsidRPr="00C3707B">
        <w:rPr>
          <w:b/>
          <w:noProof/>
        </w:rPr>
        <w:t>farmaceutische strategie voor Europa</w:t>
      </w:r>
      <w:r w:rsidRPr="00C3707B">
        <w:rPr>
          <w:rStyle w:val="FootnoteReference"/>
          <w:noProof/>
        </w:rPr>
        <w:footnoteReference w:id="24"/>
      </w:r>
      <w:r w:rsidRPr="00C3707B">
        <w:rPr>
          <w:noProof/>
        </w:rPr>
        <w:t>. De verordening sluit aan bij de doelstellingen ervan om de toegankelijkheid en voorzieningszekerheid van geneesmiddelen te verbeteren en tekorten tegen te gaan, waarbij terdege rekening wordt gehouden met de betaalbaarheid van geneesmiddelen. De verordening vormt ook een aanvulling op de voornaamste bepalingen betreffende beschikbaarheid en voorzieningszekerheid, zoals voorgesteld in de nieuwe geneesmiddelenwetgeving</w:t>
      </w:r>
      <w:r w:rsidRPr="00C3707B">
        <w:rPr>
          <w:rStyle w:val="FootnoteReference"/>
          <w:noProof/>
        </w:rPr>
        <w:footnoteReference w:id="25"/>
      </w:r>
      <w:r w:rsidRPr="00C3707B">
        <w:rPr>
          <w:noProof/>
        </w:rPr>
        <w:t>. Hoewel door het herziene EU-geneesmiddelenkader verplichtingen voor houders van een vergunning voor het in de handel brengen worden aangescherpt om tekorten te voorkomen en er op EU-niveau gecoördineerde maatregelen worden ingevoerd om kritieke tekorten te beperken, worden met deze voorgestelde verordening de noodzakelijke voorwaarden, zoals investeringen, coördinatie van aanbestedingen, geschapen om op proactieve wijze de afhankelijkheden te verminderen en de productiecapaciteit van de EU versterken.</w:t>
      </w:r>
    </w:p>
    <w:p w14:paraId="552A9696" w14:textId="330D5EAC" w:rsidR="004C5377" w:rsidRPr="00C3707B" w:rsidRDefault="004C5377" w:rsidP="004C5377">
      <w:pPr>
        <w:rPr>
          <w:noProof/>
        </w:rPr>
      </w:pPr>
      <w:r w:rsidRPr="00C3707B">
        <w:rPr>
          <w:noProof/>
        </w:rPr>
        <w:t>Met de voorgestelde verordening wordt het “eenmaligheidsbeginsel” gehandhaafd doordat wordt voorkomen dat bepalingen en vereisten met betrekking tot gegevensverzameling voor het aanwijzen van kritieke geneesmiddelen en het beoordelen van kwetsbaarheden in de toeleveringsketens elkaar overlappen. Deze voorgestelde verordening bouwt voort op de lijst van de Unie van kritieke geneesmiddelen die is vastgesteld in artikel </w:t>
      </w:r>
      <w:r w:rsidRPr="00160A33">
        <w:rPr>
          <w:noProof/>
        </w:rPr>
        <w:t>131</w:t>
      </w:r>
      <w:r w:rsidRPr="00C3707B">
        <w:rPr>
          <w:noProof/>
        </w:rPr>
        <w:t xml:space="preserve"> van de voorgestelde geneesmiddelenverordening. Daarnaast bouwt de voorgestelde verordening voort op het kader voor gegevensverzameling en op de methodologie voor het vaststellen van kwetsbaarheden in de toeleveringsketens van kritieke geneesmiddelen waarvan in het kader van de geneesmiddelenwetgeving van de EU wordt voorgesteld deze op te stellen. Hierdoor wordt gegarandeerd dat de beoordeling van kwetsbaarheden in toeleveringsketens wordt gebaseerd op een geharmoniseerde en robuuste wetenschappelijke methodologie die op EU-niveau is ontwikkeld.</w:t>
      </w:r>
    </w:p>
    <w:p w14:paraId="5DDFD939" w14:textId="77777777" w:rsidR="004C5377" w:rsidRPr="00C3707B" w:rsidRDefault="004C5377" w:rsidP="004C5377">
      <w:pPr>
        <w:rPr>
          <w:noProof/>
        </w:rPr>
      </w:pPr>
      <w:r w:rsidRPr="00C3707B">
        <w:rPr>
          <w:noProof/>
        </w:rPr>
        <w:t xml:space="preserve">De voorgestelde verordening bouwt daarnaast voort op de resultaten van de </w:t>
      </w:r>
      <w:r w:rsidRPr="00C3707B">
        <w:rPr>
          <w:b/>
          <w:noProof/>
        </w:rPr>
        <w:t>gestructureerde dialoog over geneesmiddelen</w:t>
      </w:r>
      <w:r w:rsidRPr="00C3707B">
        <w:rPr>
          <w:rStyle w:val="FootnoteReference"/>
          <w:noProof/>
        </w:rPr>
        <w:footnoteReference w:id="26"/>
      </w:r>
      <w:r w:rsidRPr="00C3707B">
        <w:rPr>
          <w:noProof/>
        </w:rPr>
        <w:t xml:space="preserve"> en op het werkdocument van de diensten van de Commissie betreffende de kwetsbaarheden in de mondiale toeleveringsketens van geneesmiddelen</w:t>
      </w:r>
      <w:r w:rsidRPr="00C3707B">
        <w:rPr>
          <w:rStyle w:val="FootnoteReference"/>
          <w:noProof/>
        </w:rPr>
        <w:footnoteReference w:id="27"/>
      </w:r>
      <w:r w:rsidRPr="00C3707B">
        <w:rPr>
          <w:noProof/>
        </w:rPr>
        <w:t>, en bevat met het oog daarop maatregelen voor het aanpakken van de kwetsbaarheden in de toeleveringsketens van geneesmiddelen.</w:t>
      </w:r>
    </w:p>
    <w:p w14:paraId="6F9D4CA6" w14:textId="77777777" w:rsidR="004C5377" w:rsidRPr="00C3707B" w:rsidRDefault="004C5377" w:rsidP="004C5377">
      <w:pPr>
        <w:rPr>
          <w:noProof/>
        </w:rPr>
      </w:pPr>
      <w:r w:rsidRPr="00C3707B">
        <w:rPr>
          <w:noProof/>
        </w:rPr>
        <w:t xml:space="preserve">De voorgestelde verordening bouwt ook voort op de </w:t>
      </w:r>
      <w:r w:rsidRPr="00C3707B">
        <w:rPr>
          <w:b/>
          <w:noProof/>
        </w:rPr>
        <w:t>uitbreiding van het mandaat van het EMA</w:t>
      </w:r>
      <w:r w:rsidRPr="00C3707B">
        <w:rPr>
          <w:rStyle w:val="FootnoteReference"/>
          <w:noProof/>
        </w:rPr>
        <w:footnoteReference w:id="28"/>
      </w:r>
      <w:r w:rsidRPr="00C3707B">
        <w:rPr>
          <w:noProof/>
        </w:rPr>
        <w:t xml:space="preserve">. In dit verband was de oprichting van het </w:t>
      </w:r>
      <w:r w:rsidRPr="00C3707B">
        <w:rPr>
          <w:b/>
          <w:noProof/>
        </w:rPr>
        <w:t>Europees platform voor de monitoring van tekorten</w:t>
      </w:r>
      <w:r w:rsidRPr="00C3707B">
        <w:rPr>
          <w:rStyle w:val="FootnoteReference"/>
          <w:noProof/>
        </w:rPr>
        <w:footnoteReference w:id="29"/>
      </w:r>
      <w:r w:rsidRPr="00C3707B">
        <w:rPr>
          <w:noProof/>
        </w:rPr>
        <w:t xml:space="preserve"> een belangrijke vereiste van deze uitbreiding van het mandaat om de monitoring van tekorten in de hele EU te verbeteren. Dankzij dit platform wordt het zowel voor houders van een vergunning voor het in de handel brengen als voor nationale bevoegde autoriteiten mogelijk om tijdens crisis- of paraatheidssituaties gegevens in te dienen over het aanbod, de vraag en de beschikbaarheid van geneesmiddelen waarvoor via een centrale of een nationale procedure een vergunning is verleend. In het kader van de herziening van de geneesmiddelenwetgeving van de EU zal het platform verder worden uitgebreid.</w:t>
      </w:r>
    </w:p>
    <w:p w14:paraId="0092808F" w14:textId="5EB2B430" w:rsidR="004C5377" w:rsidRPr="00C3707B" w:rsidRDefault="004C5377" w:rsidP="004C5377">
      <w:pPr>
        <w:rPr>
          <w:b/>
          <w:noProof/>
        </w:rPr>
      </w:pPr>
      <w:r w:rsidRPr="00C3707B">
        <w:rPr>
          <w:noProof/>
        </w:rPr>
        <w:t xml:space="preserve">De maatregelen betreffende collectieve aanbestedingen in de voorgestelde verordening vormen een aanvulling op de </w:t>
      </w:r>
      <w:r w:rsidRPr="00C3707B">
        <w:rPr>
          <w:b/>
          <w:noProof/>
        </w:rPr>
        <w:t>bestaande instrumenten voor collectieve aanbestedingen</w:t>
      </w:r>
      <w:r w:rsidRPr="00C3707B">
        <w:rPr>
          <w:noProof/>
        </w:rPr>
        <w:t xml:space="preserve"> uit hoofde van Verordening (EU) </w:t>
      </w:r>
      <w:r w:rsidRPr="00160A33">
        <w:rPr>
          <w:noProof/>
        </w:rPr>
        <w:t>2022</w:t>
      </w:r>
      <w:r w:rsidRPr="00C3707B">
        <w:rPr>
          <w:noProof/>
        </w:rPr>
        <w:t>/</w:t>
      </w:r>
      <w:r w:rsidRPr="00160A33">
        <w:rPr>
          <w:noProof/>
        </w:rPr>
        <w:t>2371</w:t>
      </w:r>
      <w:r w:rsidRPr="00C3707B">
        <w:rPr>
          <w:noProof/>
        </w:rPr>
        <w:t xml:space="preserve"> inzake ernstige grensoverschrijdende gezondheidsbedreigingen</w:t>
      </w:r>
      <w:r w:rsidRPr="00C3707B">
        <w:rPr>
          <w:rStyle w:val="FootnoteReference"/>
          <w:noProof/>
        </w:rPr>
        <w:footnoteReference w:id="30"/>
      </w:r>
      <w:r w:rsidRPr="00C3707B">
        <w:rPr>
          <w:noProof/>
        </w:rPr>
        <w:t xml:space="preserve"> en Verordening (EU) </w:t>
      </w:r>
      <w:r w:rsidRPr="00160A33">
        <w:rPr>
          <w:noProof/>
        </w:rPr>
        <w:t>2022</w:t>
      </w:r>
      <w:r w:rsidRPr="00C3707B">
        <w:rPr>
          <w:noProof/>
        </w:rPr>
        <w:t>/</w:t>
      </w:r>
      <w:r w:rsidRPr="00160A33">
        <w:rPr>
          <w:noProof/>
        </w:rPr>
        <w:t>2371</w:t>
      </w:r>
      <w:r w:rsidRPr="00C3707B">
        <w:rPr>
          <w:noProof/>
        </w:rPr>
        <w:t xml:space="preserve"> betreffende een kader van maatregelen ter waarborging van de levering van in een crisissituatie relevante medische tegenmaatregelen in geval van een noodsituatie op het gebied van de volksgezondheid op Unieniveau</w:t>
      </w:r>
      <w:r w:rsidRPr="00C3707B">
        <w:rPr>
          <w:rStyle w:val="FootnoteReference"/>
          <w:noProof/>
        </w:rPr>
        <w:footnoteReference w:id="31"/>
      </w:r>
      <w:r w:rsidRPr="00C3707B">
        <w:rPr>
          <w:noProof/>
        </w:rPr>
        <w:t xml:space="preserve">. De maatregelen voor collectieve aanbesteding van geneesmiddelen van gemeenschappelijk belang bouwen ook voort op de gezamenlijke klinische evaluaties en vrijwillige samenwerking tussen lidstaten uit hoofde van Verordening (EU) </w:t>
      </w:r>
      <w:r w:rsidRPr="00160A33">
        <w:rPr>
          <w:noProof/>
        </w:rPr>
        <w:t>2021</w:t>
      </w:r>
      <w:r w:rsidRPr="00C3707B">
        <w:rPr>
          <w:noProof/>
        </w:rPr>
        <w:t>/</w:t>
      </w:r>
      <w:r w:rsidRPr="00160A33">
        <w:rPr>
          <w:noProof/>
        </w:rPr>
        <w:t>2282</w:t>
      </w:r>
      <w:r w:rsidRPr="00C3707B">
        <w:rPr>
          <w:noProof/>
        </w:rPr>
        <w:t xml:space="preserve"> betreffende de </w:t>
      </w:r>
      <w:r w:rsidRPr="00C3707B">
        <w:rPr>
          <w:b/>
          <w:noProof/>
        </w:rPr>
        <w:t>evaluatie van gezondheidstechnologie</w:t>
      </w:r>
      <w:r w:rsidRPr="00C3707B">
        <w:rPr>
          <w:rStyle w:val="FootnoteReference"/>
          <w:b/>
          <w:bCs/>
          <w:noProof/>
        </w:rPr>
        <w:footnoteReference w:id="32"/>
      </w:r>
      <w:r w:rsidRPr="00C3707B">
        <w:rPr>
          <w:noProof/>
        </w:rPr>
        <w:t>.</w:t>
      </w:r>
    </w:p>
    <w:p w14:paraId="0F5A91FE" w14:textId="77777777" w:rsidR="004C5377" w:rsidRPr="00C3707B" w:rsidRDefault="004C5377" w:rsidP="004C5377">
      <w:pPr>
        <w:rPr>
          <w:noProof/>
        </w:rPr>
      </w:pPr>
      <w:r w:rsidRPr="00C3707B">
        <w:rPr>
          <w:noProof/>
        </w:rPr>
        <w:t xml:space="preserve">In de voorgestelde verordening wordt rekening gehouden met de werkzaamheden van de </w:t>
      </w:r>
      <w:r w:rsidRPr="00C3707B">
        <w:rPr>
          <w:b/>
          <w:noProof/>
        </w:rPr>
        <w:t>alliantie voor kritieke geneesmiddelen</w:t>
      </w:r>
      <w:r w:rsidRPr="00C3707B">
        <w:rPr>
          <w:rStyle w:val="FootnoteReference"/>
          <w:noProof/>
        </w:rPr>
        <w:footnoteReference w:id="33"/>
      </w:r>
      <w:r w:rsidRPr="00C3707B">
        <w:rPr>
          <w:noProof/>
        </w:rPr>
        <w:t xml:space="preserve"> en wordt de nadruk gelegd op de aanpak van kwetsbaarheden in de toeleveringsketens van kritieke geneesmiddelen.</w:t>
      </w:r>
    </w:p>
    <w:p w14:paraId="209F7EEA" w14:textId="77777777" w:rsidR="004C5377" w:rsidRPr="00C3707B" w:rsidRDefault="004C5377" w:rsidP="004C5377">
      <w:pPr>
        <w:rPr>
          <w:rFonts w:eastAsia="Times New Roman"/>
          <w:noProof/>
        </w:rPr>
      </w:pPr>
      <w:r w:rsidRPr="00C3707B">
        <w:rPr>
          <w:noProof/>
        </w:rPr>
        <w:t>Tot slot wordt in dit voorstel rekening gehouden met alle financieringsmogelijkheden die in het kader van het huidige meerjarig financieel kader (MFK) beschikbaar zijn en waarmee de doelstellingen van de voorgestelde verordening kunnen worden ondersteund.</w:t>
      </w:r>
    </w:p>
    <w:p w14:paraId="21D49A7C" w14:textId="77777777" w:rsidR="004C5377" w:rsidRPr="00C3707B" w:rsidRDefault="004C5377" w:rsidP="004C5377">
      <w:pPr>
        <w:pStyle w:val="ManualHeading2"/>
        <w:rPr>
          <w:rFonts w:eastAsia="Arial Unicode MS"/>
          <w:noProof/>
        </w:rPr>
      </w:pPr>
      <w:r w:rsidRPr="00C3707B">
        <w:rPr>
          <w:noProof/>
          <w:color w:val="000000"/>
          <w:u w:color="000000"/>
          <w:bdr w:val="nil"/>
        </w:rPr>
        <w:t>•</w:t>
      </w:r>
      <w:r w:rsidRPr="00C3707B">
        <w:rPr>
          <w:noProof/>
        </w:rPr>
        <w:tab/>
        <w:t>Samenhang met andere beleidsgebieden van de EU</w:t>
      </w:r>
    </w:p>
    <w:p w14:paraId="6AF124A9" w14:textId="77777777" w:rsidR="003A0F6F" w:rsidRDefault="004C5377" w:rsidP="004C5377">
      <w:pPr>
        <w:rPr>
          <w:noProof/>
        </w:rPr>
      </w:pPr>
      <w:r w:rsidRPr="00C3707B">
        <w:rPr>
          <w:noProof/>
        </w:rPr>
        <w:t xml:space="preserve">Dit voorstel is in overeenstemming met het </w:t>
      </w:r>
      <w:r w:rsidRPr="00C3707B">
        <w:rPr>
          <w:b/>
          <w:noProof/>
        </w:rPr>
        <w:t>innovatie- en concurrentiebeleid van de EU, met name met het kompas voor concurrentievermogen</w:t>
      </w:r>
      <w:r w:rsidRPr="00C3707B">
        <w:rPr>
          <w:rStyle w:val="FootnoteReference"/>
          <w:noProof/>
        </w:rPr>
        <w:footnoteReference w:id="34"/>
      </w:r>
      <w:r w:rsidRPr="00C3707B">
        <w:rPr>
          <w:noProof/>
        </w:rPr>
        <w:t>. In deze mededeling wordt de voorgestelde verordening gepresenteerd als een van de vlaggenschipacties in het kader van pijler </w:t>
      </w:r>
      <w:r w:rsidRPr="00160A33">
        <w:rPr>
          <w:noProof/>
        </w:rPr>
        <w:t>3</w:t>
      </w:r>
      <w:r w:rsidRPr="00C3707B">
        <w:rPr>
          <w:noProof/>
        </w:rPr>
        <w:t xml:space="preserve"> (buitensporige afhankelijkheden verminderen en de veiligheid vergroten). Daarnaast worden in deze mededeling kritieke geneesmiddelen genoemd als een van de mogelijke geselecteerde gebieden voor proefprojecten waarvoor de Commissie zal voorstellen om beleid van de EU en de lidstaten te coördineren. De voorgestelde verordening zal een indirect positief effect hebben op het concurrentievermogen van de EU door een stabielere en voorspelbaardere marktomgeving te bevorderen, investeringen aan te moedigen en innovatie in de farmaceutische sector, die van oudsher een fundamentele rol speelt in het concurrentievermogen van de EU</w:t>
      </w:r>
      <w:r w:rsidRPr="00C3707B">
        <w:rPr>
          <w:rStyle w:val="FootnoteReference"/>
          <w:noProof/>
        </w:rPr>
        <w:footnoteReference w:id="35"/>
      </w:r>
      <w:r w:rsidRPr="00C3707B">
        <w:rPr>
          <w:noProof/>
        </w:rPr>
        <w:t xml:space="preserve">, te ondersteunen. De bepalingen van de voorgestelde verordening kunnen worden ondersteund door </w:t>
      </w:r>
      <w:r w:rsidRPr="00C3707B">
        <w:rPr>
          <w:b/>
          <w:noProof/>
        </w:rPr>
        <w:t>partnerschappen in het kader van Horizon Europa</w:t>
      </w:r>
      <w:r w:rsidRPr="00C3707B">
        <w:rPr>
          <w:rStyle w:val="FootnoteReference"/>
          <w:noProof/>
        </w:rPr>
        <w:footnoteReference w:id="36"/>
      </w:r>
      <w:r w:rsidRPr="00C3707B">
        <w:rPr>
          <w:noProof/>
        </w:rPr>
        <w:t>, die voorzien in financiering voor bijvoorbeeld onderzoek en innovatie op het gebied van technologieën die van essentieel belang kunnen worden bij het productieproces.</w:t>
      </w:r>
    </w:p>
    <w:p w14:paraId="025C94FE" w14:textId="77777777" w:rsidR="003A0F6F" w:rsidRDefault="004C5377" w:rsidP="004C5377">
      <w:pPr>
        <w:rPr>
          <w:noProof/>
        </w:rPr>
      </w:pPr>
      <w:r w:rsidRPr="00C3707B">
        <w:rPr>
          <w:noProof/>
        </w:rPr>
        <w:t xml:space="preserve">Voorts wordt met de </w:t>
      </w:r>
      <w:r w:rsidRPr="00C3707B">
        <w:rPr>
          <w:b/>
          <w:noProof/>
        </w:rPr>
        <w:t>Europese industriestrategie</w:t>
      </w:r>
      <w:r w:rsidRPr="00C3707B">
        <w:rPr>
          <w:rStyle w:val="FootnoteReference"/>
          <w:noProof/>
        </w:rPr>
        <w:footnoteReference w:id="37"/>
      </w:r>
      <w:r w:rsidRPr="00C3707B">
        <w:rPr>
          <w:noProof/>
        </w:rPr>
        <w:t xml:space="preserve"> beoogd de veerkracht van de eengemaakte markt te versterken en worden met deze strategie de strategische afhankelijkheden aangepakt. Met de voorgestelde verordening worden die doelstellingen ondersteund doordat de toeleveringsketens van geneesmiddelen worden versterkt en de afhankelijkheid van bronnen buiten de EU voor kritieke geneesmiddelen en werkzame bestanddelen van geneesmiddelen wordt verminderd. De voorgestelde verordening is ook in overeenstemming met de mededeling van de Commissie over een </w:t>
      </w:r>
      <w:r w:rsidRPr="00C3707B">
        <w:rPr>
          <w:b/>
          <w:noProof/>
        </w:rPr>
        <w:t>Clean Industrial Deal</w:t>
      </w:r>
      <w:r w:rsidRPr="00C3707B">
        <w:rPr>
          <w:rStyle w:val="FootnoteReference"/>
          <w:b/>
          <w:bCs/>
          <w:noProof/>
        </w:rPr>
        <w:footnoteReference w:id="38"/>
      </w:r>
      <w:r w:rsidRPr="00C3707B">
        <w:rPr>
          <w:noProof/>
        </w:rPr>
        <w:t>, die concrete maatregelen bevat om van decarbonisatie een aanjager van groei te maken, met name voor energie-intensieve industrieën. Hieronder vallen ook maatregelen aan de vraagzijde, vergelijkbaar met voorgestelde maatregelen in deze verordening, om de juiste voorwaarden te scheppen voor ondernemingen om te gedijen.</w:t>
      </w:r>
    </w:p>
    <w:p w14:paraId="24F3C8C3" w14:textId="77777777" w:rsidR="003A0F6F" w:rsidRDefault="004C5377" w:rsidP="004C5377">
      <w:pPr>
        <w:spacing w:before="100" w:beforeAutospacing="1" w:after="100" w:afterAutospacing="1"/>
        <w:rPr>
          <w:noProof/>
        </w:rPr>
      </w:pPr>
      <w:r w:rsidRPr="00C3707B">
        <w:rPr>
          <w:noProof/>
        </w:rPr>
        <w:t xml:space="preserve">Het </w:t>
      </w:r>
      <w:r w:rsidRPr="00C3707B">
        <w:rPr>
          <w:b/>
          <w:noProof/>
        </w:rPr>
        <w:t>Financieel Reglement van de EU</w:t>
      </w:r>
      <w:r w:rsidRPr="00C3707B">
        <w:rPr>
          <w:noProof/>
        </w:rPr>
        <w:t xml:space="preserve"> is het belangrijkste referentiepunt voor de beginselen en procedures die van toepassing zijn op de EU-begroting, onder meer met betrekking tot gezamenlijke aanbestedingen en aanbestedingen namens of voor rekening van de lidstaten. Het herschikte Financieel Reglement</w:t>
      </w:r>
      <w:r w:rsidRPr="00C3707B">
        <w:rPr>
          <w:rStyle w:val="FootnoteReference"/>
          <w:noProof/>
        </w:rPr>
        <w:footnoteReference w:id="39"/>
      </w:r>
      <w:r w:rsidRPr="00C3707B">
        <w:rPr>
          <w:noProof/>
        </w:rPr>
        <w:t xml:space="preserve"> is vorig jaar in werking getreden. De voorgestelde verordening biedt een grondslag per sector om dit soort aanbestedingen voor kritieke geneesmiddelen en andere geneesmiddelen van gemeenschappelijk belang uit te voeren, is in overeenstemming met het procedurele kader van het Financieel Reglement, maar bevat specifieke voorwaarden voor het starten van gezamenlijke aanbestedingen en aanbestedingen namens of voor rekening van de lidstaten. Die specifieke voorwaarden in verband met een bepaald minimumaantal lidstaten die deelnemen aan de procedure en met criteria voor geneesmiddelen om in aanmerking te komen, zijn een afspiegeling van de vraag waar optreden van de Commissie, gezien de doelstellingen van de handeling, het meest passend zou zijn.</w:t>
      </w:r>
    </w:p>
    <w:p w14:paraId="77392F04" w14:textId="34CC8414" w:rsidR="004C5377" w:rsidRPr="00C3707B" w:rsidRDefault="004C5377" w:rsidP="004C5377">
      <w:pPr>
        <w:spacing w:before="100" w:beforeAutospacing="1" w:after="100" w:afterAutospacing="1"/>
        <w:rPr>
          <w:noProof/>
        </w:rPr>
      </w:pPr>
      <w:r w:rsidRPr="00C3707B">
        <w:rPr>
          <w:noProof/>
        </w:rPr>
        <w:t xml:space="preserve">De </w:t>
      </w:r>
      <w:r w:rsidRPr="00C3707B">
        <w:rPr>
          <w:b/>
          <w:noProof/>
        </w:rPr>
        <w:t>EU-richtlijnen inzake overheidsopdrachten</w:t>
      </w:r>
      <w:r w:rsidRPr="00C3707B">
        <w:rPr>
          <w:noProof/>
        </w:rPr>
        <w:t xml:space="preserve"> worden momenteel geëvalueerd</w:t>
      </w:r>
      <w:r w:rsidRPr="00C3707B">
        <w:rPr>
          <w:rStyle w:val="FootnoteReference"/>
          <w:rFonts w:eastAsia="Times New Roman"/>
          <w:noProof/>
          <w:lang w:eastAsia="en-GB"/>
        </w:rPr>
        <w:footnoteReference w:id="40"/>
      </w:r>
      <w:r w:rsidRPr="00C3707B">
        <w:rPr>
          <w:noProof/>
        </w:rPr>
        <w:t xml:space="preserve"> en de Commissie zal in </w:t>
      </w:r>
      <w:r w:rsidRPr="00160A33">
        <w:rPr>
          <w:noProof/>
        </w:rPr>
        <w:t>2026</w:t>
      </w:r>
      <w:r w:rsidRPr="00C3707B">
        <w:rPr>
          <w:noProof/>
        </w:rPr>
        <w:t xml:space="preserve"> een voorstel doen om het kader te herzien. Hierdoor zullen duurzaamheid, veerkracht en Europese oorsprong als voorkeurscriteria kunnen worden opgenomen in EU-overheidsopdrachten voor strategische sectoren. Met de voorgestelde verordening zouden maatregelen worden ingevoerd in verband met nationale overheidsopdrachten voor bepaalde geneesmiddelen in overeenstemming met de doelstellingen van deze komende herziening, zodat de voorzieningszekerheid beter wordt gewaarborgd en bij overheidsopdrachten voor kritieke geneesmiddelen en andere geneesmiddelen van gemeenschappelijk belang, in de mate waarin dit nodig is en in overeenstemming is met internationale verbintenissen van de Unie, de voorkeur kan worden gegeven aan Europese producten.</w:t>
      </w:r>
    </w:p>
    <w:p w14:paraId="67CDA529" w14:textId="77777777" w:rsidR="004C5377" w:rsidRPr="00C3707B" w:rsidRDefault="004C5377" w:rsidP="004C5377">
      <w:pPr>
        <w:spacing w:before="100" w:beforeAutospacing="1" w:after="100" w:afterAutospacing="1"/>
        <w:rPr>
          <w:noProof/>
        </w:rPr>
      </w:pPr>
      <w:r w:rsidRPr="00C3707B">
        <w:rPr>
          <w:noProof/>
        </w:rPr>
        <w:t xml:space="preserve">De voorgestelde verordening is in overeenstemming met bredere inspanningen om de EU-wetgeving te moderniseren en aan de huidige problemen aan te passen, aangezien de verordening is bedoeld om de administratieve lasten te verminderen en vergunningsprocedures voor strategische projecten te vergemakkelijken. De voorgestelde verordening is in overeenstemming met het </w:t>
      </w:r>
      <w:r w:rsidRPr="00C3707B">
        <w:rPr>
          <w:b/>
          <w:noProof/>
        </w:rPr>
        <w:t>omnibusvoorstel</w:t>
      </w:r>
      <w:r w:rsidRPr="00C3707B">
        <w:rPr>
          <w:rStyle w:val="FootnoteReference"/>
          <w:noProof/>
        </w:rPr>
        <w:footnoteReference w:id="41"/>
      </w:r>
      <w:r w:rsidRPr="00C3707B">
        <w:rPr>
          <w:noProof/>
        </w:rPr>
        <w:t xml:space="preserve"> en is bedoeld om de kwetsbaarheden in de toeleveringsketens van geneesmiddelen aan te pakken zonder de totale last voor de industrie te vergroten.</w:t>
      </w:r>
    </w:p>
    <w:p w14:paraId="574607B6" w14:textId="77777777" w:rsidR="004C5377" w:rsidRPr="00C3707B" w:rsidRDefault="004C5377" w:rsidP="004C5377">
      <w:pPr>
        <w:spacing w:before="100" w:beforeAutospacing="1" w:after="100" w:afterAutospacing="1"/>
        <w:rPr>
          <w:rFonts w:eastAsia="Times New Roman"/>
          <w:i/>
          <w:iCs/>
          <w:noProof/>
          <w:szCs w:val="24"/>
        </w:rPr>
      </w:pPr>
      <w:r w:rsidRPr="00C3707B">
        <w:rPr>
          <w:i/>
          <w:noProof/>
        </w:rPr>
        <w:t>Digitale aspecten</w:t>
      </w:r>
    </w:p>
    <w:p w14:paraId="6D5100B6" w14:textId="77777777" w:rsidR="003A0F6F" w:rsidRDefault="004C5377" w:rsidP="004C5377">
      <w:pPr>
        <w:spacing w:before="100" w:beforeAutospacing="1" w:after="100" w:afterAutospacing="1"/>
        <w:rPr>
          <w:noProof/>
        </w:rPr>
      </w:pPr>
      <w:r w:rsidRPr="00C3707B">
        <w:rPr>
          <w:noProof/>
        </w:rPr>
        <w:t>De voorgestelde verordening is in overeenstemming met recente belangrijke Europese digitale initiatieven (</w:t>
      </w:r>
      <w:r w:rsidRPr="00C3707B">
        <w:rPr>
          <w:b/>
          <w:noProof/>
        </w:rPr>
        <w:t>artificiële intelligentie (AI)</w:t>
      </w:r>
      <w:r w:rsidRPr="00C3707B">
        <w:rPr>
          <w:noProof/>
        </w:rPr>
        <w:t xml:space="preserve"> en de </w:t>
      </w:r>
      <w:r w:rsidRPr="00C3707B">
        <w:rPr>
          <w:b/>
          <w:noProof/>
        </w:rPr>
        <w:t>NIS </w:t>
      </w:r>
      <w:r w:rsidRPr="00160A33">
        <w:rPr>
          <w:b/>
          <w:noProof/>
        </w:rPr>
        <w:t>2</w:t>
      </w:r>
      <w:r w:rsidRPr="00C3707B">
        <w:rPr>
          <w:b/>
          <w:noProof/>
        </w:rPr>
        <w:t>-richtlijn</w:t>
      </w:r>
      <w:r w:rsidRPr="00C3707B">
        <w:rPr>
          <w:noProof/>
        </w:rPr>
        <w:t>) die erop zijn gericht om veilige en onderling afgestemde gegevensuitwisseling, het gebruik van geavanceerde technologieën en een hoog gezamenlijk niveau van cyberbeveiliging in de hele Unie te bevorderen. De AI-verordening</w:t>
      </w:r>
      <w:r w:rsidRPr="00C3707B">
        <w:rPr>
          <w:rStyle w:val="FootnoteReference"/>
          <w:rFonts w:eastAsia="Times New Roman"/>
          <w:noProof/>
          <w:szCs w:val="24"/>
          <w:lang w:eastAsia="en-GB"/>
        </w:rPr>
        <w:footnoteReference w:id="42"/>
      </w:r>
      <w:r w:rsidRPr="00C3707B">
        <w:rPr>
          <w:noProof/>
        </w:rPr>
        <w:t xml:space="preserve"> en de NIS </w:t>
      </w:r>
      <w:r w:rsidRPr="00160A33">
        <w:rPr>
          <w:noProof/>
        </w:rPr>
        <w:t>2</w:t>
      </w:r>
      <w:r w:rsidRPr="00C3707B">
        <w:rPr>
          <w:noProof/>
        </w:rPr>
        <w:t>-richtlijn</w:t>
      </w:r>
      <w:r w:rsidRPr="00C3707B">
        <w:rPr>
          <w:rStyle w:val="FootnoteReference"/>
          <w:rFonts w:eastAsia="Times New Roman"/>
          <w:noProof/>
          <w:lang w:eastAsia="en-GB"/>
        </w:rPr>
        <w:footnoteReference w:id="43"/>
      </w:r>
      <w:r w:rsidRPr="00C3707B">
        <w:rPr>
          <w:noProof/>
        </w:rPr>
        <w:t xml:space="preserve"> (de richtlijn betreffende maatregelen voor een hoog niveau van cyberbeveiliging in de Unie) voorzien in kaders voor verstandig gebruik van artificiële intelligentie en een hoog gezamenlijk niveau van cyberbeveiliging.</w:t>
      </w:r>
    </w:p>
    <w:p w14:paraId="0FD801AB" w14:textId="77777777" w:rsidR="003A0F6F" w:rsidRDefault="004C5377" w:rsidP="004C5377">
      <w:pPr>
        <w:spacing w:before="100" w:beforeAutospacing="1" w:after="100" w:afterAutospacing="1"/>
        <w:rPr>
          <w:noProof/>
        </w:rPr>
      </w:pPr>
      <w:r w:rsidRPr="00C3707B">
        <w:rPr>
          <w:noProof/>
        </w:rPr>
        <w:t xml:space="preserve">Gestandaardiseerde gegevensuitwisseling tussen de lidstaten wordt daarnaast ondersteund door de </w:t>
      </w:r>
      <w:r w:rsidRPr="00C3707B">
        <w:rPr>
          <w:b/>
          <w:noProof/>
        </w:rPr>
        <w:t>verordening Interoperabel Europa</w:t>
      </w:r>
      <w:r w:rsidRPr="00C3707B">
        <w:rPr>
          <w:rStyle w:val="FootnoteReference"/>
          <w:rFonts w:eastAsia="Times New Roman"/>
          <w:noProof/>
          <w:szCs w:val="24"/>
          <w:lang w:eastAsia="en-GB"/>
        </w:rPr>
        <w:footnoteReference w:id="44"/>
      </w:r>
      <w:r w:rsidRPr="00C3707B">
        <w:rPr>
          <w:noProof/>
        </w:rPr>
        <w:t xml:space="preserve"> in combinatie met gerichte instrumenten zoals de </w:t>
      </w:r>
      <w:r w:rsidRPr="00C3707B">
        <w:rPr>
          <w:b/>
          <w:noProof/>
        </w:rPr>
        <w:t>toolbox</w:t>
      </w:r>
      <w:r w:rsidRPr="00C3707B">
        <w:rPr>
          <w:noProof/>
        </w:rPr>
        <w:t xml:space="preserve"> van het </w:t>
      </w:r>
      <w:r w:rsidRPr="00C3707B">
        <w:rPr>
          <w:b/>
          <w:noProof/>
        </w:rPr>
        <w:t>Europees interoperabiliteitskader</w:t>
      </w:r>
      <w:r w:rsidRPr="00C3707B">
        <w:rPr>
          <w:noProof/>
        </w:rPr>
        <w:t xml:space="preserve"> en herbruikbare onderdelen daarvan. Het onlangs opnieuw ontworpen portaal “Tenders Electronic Daily” (TED)</w:t>
      </w:r>
      <w:r w:rsidRPr="00C3707B">
        <w:rPr>
          <w:rStyle w:val="FootnoteReference"/>
          <w:rFonts w:eastAsia="Times New Roman"/>
          <w:noProof/>
          <w:szCs w:val="24"/>
          <w:lang w:eastAsia="en-GB"/>
        </w:rPr>
        <w:footnoteReference w:id="45"/>
      </w:r>
      <w:r w:rsidRPr="00C3707B">
        <w:rPr>
          <w:noProof/>
        </w:rPr>
        <w:t xml:space="preserve"> dient als een efficiënt instrument voor het delen en monitoren van aanbestedingsprocedures.</w:t>
      </w:r>
    </w:p>
    <w:p w14:paraId="352E0B29" w14:textId="579525CD" w:rsidR="004C5377" w:rsidRPr="00C3707B" w:rsidRDefault="004C5377" w:rsidP="004C5377">
      <w:pPr>
        <w:pStyle w:val="ManualHeading1"/>
        <w:rPr>
          <w:noProof/>
        </w:rPr>
      </w:pPr>
      <w:r w:rsidRPr="00160A33">
        <w:rPr>
          <w:noProof/>
        </w:rPr>
        <w:t>2</w:t>
      </w:r>
      <w:r w:rsidRPr="00C3707B">
        <w:rPr>
          <w:noProof/>
        </w:rPr>
        <w:t>.</w:t>
      </w:r>
      <w:r w:rsidRPr="00C3707B">
        <w:rPr>
          <w:noProof/>
        </w:rPr>
        <w:tab/>
        <w:t>RECHTSGRONDSLAG, SUBSIDIARITEIT EN EVENREDIGHEID</w:t>
      </w:r>
    </w:p>
    <w:p w14:paraId="426EE143"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Rechtsgrondslag</w:t>
      </w:r>
    </w:p>
    <w:p w14:paraId="32C4981D" w14:textId="77777777" w:rsidR="004C5377" w:rsidRPr="00C3707B" w:rsidRDefault="004C5377" w:rsidP="004C5377">
      <w:pPr>
        <w:rPr>
          <w:noProof/>
        </w:rPr>
      </w:pPr>
      <w:r w:rsidRPr="00C3707B">
        <w:rPr>
          <w:noProof/>
        </w:rPr>
        <w:t>Het voorstel is gebaseerd op artikel </w:t>
      </w:r>
      <w:r w:rsidRPr="00160A33">
        <w:rPr>
          <w:noProof/>
        </w:rPr>
        <w:t>114</w:t>
      </w:r>
      <w:r w:rsidRPr="00C3707B">
        <w:rPr>
          <w:noProof/>
        </w:rPr>
        <w:t xml:space="preserve"> van het Verdrag betreffende de werking van de Europese Unie (VWEU). Dit is in overeenstemming met de rechtsgrondslag van de bestaande geneesmiddelenwetgeving van de EU. Artikel </w:t>
      </w:r>
      <w:r w:rsidRPr="00160A33">
        <w:rPr>
          <w:noProof/>
        </w:rPr>
        <w:t>114</w:t>
      </w:r>
      <w:r w:rsidRPr="00C3707B">
        <w:rPr>
          <w:noProof/>
        </w:rPr>
        <w:t>, lid </w:t>
      </w:r>
      <w:r w:rsidRPr="00160A33">
        <w:rPr>
          <w:noProof/>
        </w:rPr>
        <w:t>1</w:t>
      </w:r>
      <w:r w:rsidRPr="00C3707B">
        <w:rPr>
          <w:noProof/>
        </w:rPr>
        <w:t>, heeft betrekking op de instelling en de werking van de interne markt. Overeenkomstig artikel </w:t>
      </w:r>
      <w:r w:rsidRPr="00160A33">
        <w:rPr>
          <w:noProof/>
        </w:rPr>
        <w:t>114</w:t>
      </w:r>
      <w:r w:rsidRPr="00C3707B">
        <w:rPr>
          <w:noProof/>
        </w:rPr>
        <w:t>, lid </w:t>
      </w:r>
      <w:r w:rsidRPr="00160A33">
        <w:rPr>
          <w:noProof/>
        </w:rPr>
        <w:t>3</w:t>
      </w:r>
      <w:r w:rsidRPr="00C3707B">
        <w:rPr>
          <w:noProof/>
        </w:rPr>
        <w:t>, VWEU wordt in het voorstel uitgegaan van een hoog niveau van bescherming van de gezondheid.</w:t>
      </w:r>
    </w:p>
    <w:p w14:paraId="4F841D17" w14:textId="77777777" w:rsidR="003A0F6F" w:rsidRDefault="004C5377" w:rsidP="004C5377">
      <w:pPr>
        <w:pStyle w:val="ManualHeading2"/>
        <w:rPr>
          <w:noProof/>
          <w:u w:color="000000"/>
          <w:bdr w:val="nil"/>
        </w:rPr>
      </w:pPr>
      <w:r w:rsidRPr="00C3707B">
        <w:rPr>
          <w:noProof/>
          <w:u w:color="000000"/>
          <w:bdr w:val="nil"/>
        </w:rPr>
        <w:t>•</w:t>
      </w:r>
      <w:r w:rsidRPr="00C3707B">
        <w:rPr>
          <w:noProof/>
        </w:rPr>
        <w:tab/>
      </w:r>
      <w:r w:rsidRPr="00C3707B">
        <w:rPr>
          <w:noProof/>
          <w:u w:color="000000"/>
          <w:bdr w:val="nil"/>
        </w:rPr>
        <w:t>Subsidiariteit (bij niet-exclusieve bevoegdheid)</w:t>
      </w:r>
    </w:p>
    <w:p w14:paraId="65400338" w14:textId="6CC4A894" w:rsidR="004C5377" w:rsidRPr="00C3707B" w:rsidRDefault="004C5377" w:rsidP="004C5377">
      <w:pPr>
        <w:rPr>
          <w:noProof/>
        </w:rPr>
      </w:pPr>
      <w:r w:rsidRPr="00C3707B">
        <w:rPr>
          <w:noProof/>
        </w:rPr>
        <w:t>Wanneer de lidstaten afzonderlijk optreden, kunnen de doelstellingen van dit voorstel niet voldoende worden verwezenlijkt, aangezien de problemen van geneesmiddelentekorten en kwetsbaarheden in de toeleveringsketens zich over de nationale grenzen heen uitstrekken. Er zijn maatregelen op EU-niveau nodig om een gecoördineerde en doeltreffende respons op deze grensoverschrijdende kwesties te waarborgen. In dit voorstel is bij de opzet van afzonderlijke maatregelen rekening gehouden met dit beginsel, met name voor de aankoop van kritieke geneesmiddelen en andere geneesmiddelen van gemeenschappelijk belang.</w:t>
      </w:r>
    </w:p>
    <w:p w14:paraId="63C868F6"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Evenredigheid</w:t>
      </w:r>
    </w:p>
    <w:p w14:paraId="793490C3" w14:textId="77777777" w:rsidR="003A0F6F" w:rsidRDefault="004C5377" w:rsidP="004C5377">
      <w:pPr>
        <w:rPr>
          <w:noProof/>
        </w:rPr>
      </w:pPr>
      <w:r w:rsidRPr="00C3707B">
        <w:rPr>
          <w:noProof/>
        </w:rPr>
        <w:t>Het voorstel is gericht op kritieke geneesmiddelen waarvoor de noodzaak van interventie aantoonbaar is en de gekozen interventie kan leiden tot een doeltreffende vermindering van het risico op tekorten. Er zijn ook specifieke maatregelen van toepassing op andere geneesmiddelen van gemeenschappelijk belang waarvoor problemen met de markttoegang in de lidstaten gevolgen hebben gehad.</w:t>
      </w:r>
    </w:p>
    <w:p w14:paraId="46B154E9" w14:textId="1A5CE7C8"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Keuze van het instrument</w:t>
      </w:r>
    </w:p>
    <w:p w14:paraId="22B027F1" w14:textId="77777777" w:rsidR="003A0F6F" w:rsidRDefault="004C5377" w:rsidP="004C5377">
      <w:pPr>
        <w:rPr>
          <w:noProof/>
        </w:rPr>
      </w:pPr>
      <w:r w:rsidRPr="00C3707B">
        <w:rPr>
          <w:noProof/>
        </w:rPr>
        <w:t>Het voorstel heeft de vorm van een verordening van het Europees Parlement en de Raad. De keuze van een verordening in plaats van een richtlijn is ingegeven door de noodzaak van onmiddellijke en uniforme toepassing in de hele EU. Deze keuze zorgt voor rechtszekerheid door het risico op uiteenlopende interpretaties en een uiteenlopende toepassing door de lidstaten tot een minimum te beperken. Daarnaast is vanwege de grensoverschrijdende gevolgen van de wetgeving een samenhangende en consistente aanpak vereist die met een verordening kan worden verwezenlijkt.</w:t>
      </w:r>
    </w:p>
    <w:p w14:paraId="2C65DC7C" w14:textId="70A27003" w:rsidR="004C5377" w:rsidRPr="00C3707B" w:rsidRDefault="004C5377" w:rsidP="004C5377">
      <w:pPr>
        <w:pStyle w:val="ManualHeading1"/>
        <w:rPr>
          <w:noProof/>
        </w:rPr>
      </w:pPr>
      <w:r w:rsidRPr="00160A33">
        <w:rPr>
          <w:noProof/>
        </w:rPr>
        <w:t>3</w:t>
      </w:r>
      <w:r w:rsidRPr="00C3707B">
        <w:rPr>
          <w:noProof/>
        </w:rPr>
        <w:t>.</w:t>
      </w:r>
      <w:r w:rsidRPr="00C3707B">
        <w:rPr>
          <w:noProof/>
        </w:rPr>
        <w:tab/>
        <w:t>EVALUATIE, RAADPLEGING VAN BELANGHEBBENDEN EN EFFECTBEOORDELING</w:t>
      </w:r>
    </w:p>
    <w:p w14:paraId="1D3426DB" w14:textId="77777777" w:rsidR="003A0F6F" w:rsidRDefault="004C5377" w:rsidP="004C5377">
      <w:pPr>
        <w:rPr>
          <w:noProof/>
        </w:rPr>
      </w:pPr>
      <w:r w:rsidRPr="00C3707B">
        <w:rPr>
          <w:noProof/>
        </w:rPr>
        <w:t>Het groeiende probleem van de geneesmiddelentekorten vormt een verontrustende bedreiging voor de volksgezondheid. Als er niet snel actie wordt ondernomen om de kwetsbaarheden in de voorziening van kritieke geneesmiddelen aan te pakken, kunnen verstoringen ernstige gevolgen hebben voor de patiëntenzorg, zoals vertragingen in de behandeling van levensbedreigende aandoeningen. Als gevolg van onze grote afhankelijkheid van leveranciers van buiten de EU, kwetsbare mondiale toeleveringsketens en geopolitieke spanningen neemt het risico op tekorten toe, waardoor dit een dringend probleem wordt.</w:t>
      </w:r>
    </w:p>
    <w:p w14:paraId="0574C503" w14:textId="77777777" w:rsidR="003A0F6F" w:rsidRDefault="004C5377" w:rsidP="004C5377">
      <w:pPr>
        <w:rPr>
          <w:noProof/>
        </w:rPr>
      </w:pPr>
      <w:r w:rsidRPr="00C3707B">
        <w:rPr>
          <w:noProof/>
        </w:rPr>
        <w:t>Als voorbereiding op de herziening van de hervorming van de geneesmiddelenwetgeving</w:t>
      </w:r>
      <w:r w:rsidRPr="00C3707B">
        <w:rPr>
          <w:rStyle w:val="FootnoteReference"/>
          <w:noProof/>
        </w:rPr>
        <w:footnoteReference w:id="46"/>
      </w:r>
      <w:r w:rsidRPr="00C3707B">
        <w:rPr>
          <w:noProof/>
        </w:rPr>
        <w:t xml:space="preserve"> zijn een rijke empirische basis en uitgebreide input van belanghebbenden betreffende geneesmiddelentekorten en kritieke geneesmiddelen bijeengebracht en geanalyseerd. Daarnaast is er voorafgaand aan het voorstel voor deze verordening uitgebreid overlegd met belanghebbenden via de gestructureerde dialoog over de voorzieningszekerheid van geneesmiddelen</w:t>
      </w:r>
      <w:r w:rsidRPr="00C3707B">
        <w:rPr>
          <w:rStyle w:val="FootnoteReference"/>
          <w:noProof/>
        </w:rPr>
        <w:footnoteReference w:id="47"/>
      </w:r>
      <w:r w:rsidRPr="00C3707B">
        <w:rPr>
          <w:noProof/>
        </w:rPr>
        <w:t xml:space="preserve"> en de alliantie voor kritieke geneesmiddelen</w:t>
      </w:r>
      <w:r w:rsidRPr="00C3707B">
        <w:rPr>
          <w:rStyle w:val="FootnoteReference"/>
          <w:noProof/>
        </w:rPr>
        <w:footnoteReference w:id="48"/>
      </w:r>
      <w:r w:rsidRPr="00C3707B">
        <w:rPr>
          <w:noProof/>
        </w:rPr>
        <w:t>.</w:t>
      </w:r>
    </w:p>
    <w:p w14:paraId="5D1CF6CB" w14:textId="77777777" w:rsidR="003A0F6F" w:rsidRDefault="004C5377" w:rsidP="004C5377">
      <w:pPr>
        <w:rPr>
          <w:noProof/>
        </w:rPr>
      </w:pPr>
      <w:r w:rsidRPr="00C3707B">
        <w:rPr>
          <w:noProof/>
        </w:rPr>
        <w:t>Aangezien de voorzieningszekerheid van geneesmiddelen en de aanpak van geneesmiddelentekorten centraal stonden tijdens het verzamelen van bewijsmateriaal voor de hierboven genoemde initiatieven en omdat het dringend noodzakelijk is om op zeer korte termijn maatregelen te treffen, was het niet mogelijk om voor deze voorgestelde verordening vooraf een specifieke effectbeoordeling of een online openbare raadpleging uit te voeren.</w:t>
      </w:r>
    </w:p>
    <w:p w14:paraId="6ED8F320" w14:textId="77777777" w:rsidR="003A0F6F" w:rsidRDefault="004C5377" w:rsidP="004C5377">
      <w:pPr>
        <w:rPr>
          <w:noProof/>
        </w:rPr>
      </w:pPr>
      <w:r w:rsidRPr="00C3707B">
        <w:rPr>
          <w:noProof/>
        </w:rPr>
        <w:t xml:space="preserve">Uit de </w:t>
      </w:r>
      <w:r w:rsidRPr="00C3707B">
        <w:rPr>
          <w:i/>
          <w:noProof/>
        </w:rPr>
        <w:t>evaluatie</w:t>
      </w:r>
      <w:r w:rsidRPr="00C3707B">
        <w:rPr>
          <w:noProof/>
        </w:rPr>
        <w:t xml:space="preserve"> van de EU-geneesmiddelenwetgeving</w:t>
      </w:r>
      <w:r w:rsidRPr="00C3707B">
        <w:rPr>
          <w:rStyle w:val="FootnoteReference"/>
          <w:noProof/>
        </w:rPr>
        <w:footnoteReference w:id="49"/>
      </w:r>
      <w:r w:rsidRPr="00C3707B">
        <w:rPr>
          <w:noProof/>
        </w:rPr>
        <w:t xml:space="preserve"> is duidelijk geworden dat geneesmiddelentekorten een groeiend probleem zijn in de EU en dat deze tekorten sinds de COVID-</w:t>
      </w:r>
      <w:r w:rsidRPr="00160A33">
        <w:rPr>
          <w:noProof/>
        </w:rPr>
        <w:t>19</w:t>
      </w:r>
      <w:r w:rsidRPr="00C3707B">
        <w:rPr>
          <w:noProof/>
        </w:rPr>
        <w:t>-pandemie zijn verergerd. Alles bij elkaar genomen is het aantal gemelde tekorten in de EU duidelijk gegroeid. Deze tekorten vormen een aanzienlijke belasting voor gezondheidssystemen en gezondheidswerkers waarbij het risico ontstaat dat patiënten suboptimale zorg ontvangen en gezondheidssystemen meer kosten voor de gezondheidszorg met zich meebrengen</w:t>
      </w:r>
      <w:r w:rsidRPr="00C3707B">
        <w:rPr>
          <w:rStyle w:val="FootnoteReference"/>
          <w:noProof/>
        </w:rPr>
        <w:footnoteReference w:id="50"/>
      </w:r>
      <w:r w:rsidRPr="00C3707B">
        <w:rPr>
          <w:noProof/>
        </w:rPr>
        <w:t>.</w:t>
      </w:r>
    </w:p>
    <w:p w14:paraId="5773B222" w14:textId="3B34ACE0" w:rsidR="004C5377" w:rsidRPr="00C3707B" w:rsidRDefault="004C5377" w:rsidP="004C5377">
      <w:pPr>
        <w:rPr>
          <w:i/>
          <w:iCs/>
          <w:noProof/>
        </w:rPr>
      </w:pPr>
      <w:r w:rsidRPr="00C3707B">
        <w:rPr>
          <w:i/>
          <w:noProof/>
        </w:rPr>
        <w:t>Bewijsstukken</w:t>
      </w:r>
    </w:p>
    <w:p w14:paraId="0C85A1BD" w14:textId="77777777" w:rsidR="004C5377" w:rsidRPr="00C3707B" w:rsidRDefault="004C5377" w:rsidP="004C5377">
      <w:pPr>
        <w:rPr>
          <w:noProof/>
        </w:rPr>
      </w:pPr>
      <w:r w:rsidRPr="00C3707B">
        <w:rPr>
          <w:noProof/>
        </w:rPr>
        <w:t>De analyse en de bewijsstukken, met inbegrip van onderzoeken in opdracht van de Commissie, zullen worden samengevat in een werkdocument van de diensten van de Commissie en zullen binnen drie maanden na bekendmaking van het voorstel worden gepubliceerd.</w:t>
      </w:r>
    </w:p>
    <w:p w14:paraId="7D9A8BE6"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Evaluatie van bestaande wetgeving en controle van de resultaatgerichtheid ervan</w:t>
      </w:r>
    </w:p>
    <w:p w14:paraId="2CF5F842" w14:textId="77777777" w:rsidR="004C5377" w:rsidRPr="00C3707B" w:rsidRDefault="004C5377" w:rsidP="004C5377">
      <w:pPr>
        <w:rPr>
          <w:noProof/>
        </w:rPr>
      </w:pPr>
      <w:r w:rsidRPr="00C3707B">
        <w:rPr>
          <w:noProof/>
        </w:rPr>
        <w:t>Niet van toepassing</w:t>
      </w:r>
    </w:p>
    <w:p w14:paraId="7341BFA2"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t>Raadpleging van belanghebbenden</w:t>
      </w:r>
    </w:p>
    <w:p w14:paraId="139A76C0" w14:textId="326764A8" w:rsidR="003A0F6F" w:rsidRDefault="004C5377" w:rsidP="004C5377">
      <w:pPr>
        <w:rPr>
          <w:noProof/>
        </w:rPr>
      </w:pPr>
      <w:r w:rsidRPr="00C3707B">
        <w:rPr>
          <w:noProof/>
        </w:rPr>
        <w:t>De Commissie heeft in februari</w:t>
      </w:r>
      <w:r w:rsidR="008D2355">
        <w:rPr>
          <w:noProof/>
        </w:rPr>
        <w:t> </w:t>
      </w:r>
      <w:r w:rsidRPr="00160A33">
        <w:rPr>
          <w:noProof/>
        </w:rPr>
        <w:t>2021</w:t>
      </w:r>
      <w:r w:rsidRPr="00C3707B">
        <w:rPr>
          <w:noProof/>
        </w:rPr>
        <w:t xml:space="preserve"> belanghebbenden samengebracht in een gestructureerde dialoog over de voorzieningszekerheid van geneesmiddelen</w:t>
      </w:r>
      <w:r w:rsidRPr="00C3707B">
        <w:rPr>
          <w:rStyle w:val="FootnoteReference"/>
          <w:noProof/>
        </w:rPr>
        <w:footnoteReference w:id="51"/>
      </w:r>
      <w:r w:rsidRPr="00C3707B">
        <w:rPr>
          <w:noProof/>
        </w:rPr>
        <w:t>. Aan deze dialoog hebben onder meer deelgenomen: i) actoren in de toeleveringsketens van kritieke geneesmiddelen; ii) overheidsinstanties; iii) niet-gouvernementele patiënten- en gezondheidsorganisaties, en iv) de onderzoeksgemeenschap. Dankzij deze dialoog is het inzicht in mondiale toeleveringsketens van geneesmiddelen verder verdiept.</w:t>
      </w:r>
    </w:p>
    <w:p w14:paraId="1AFC612A" w14:textId="1D7FD5BE" w:rsidR="003A0F6F" w:rsidRDefault="004C5377" w:rsidP="004C5377">
      <w:pPr>
        <w:rPr>
          <w:noProof/>
        </w:rPr>
      </w:pPr>
      <w:r w:rsidRPr="00C3707B">
        <w:rPr>
          <w:noProof/>
        </w:rPr>
        <w:t xml:space="preserve">Tijdens de raadplegingen voor de </w:t>
      </w:r>
      <w:r w:rsidRPr="00C3707B">
        <w:rPr>
          <w:b/>
          <w:noProof/>
        </w:rPr>
        <w:t>hervorming van de geneesmiddelenwetgeving van de EU</w:t>
      </w:r>
      <w:r w:rsidRPr="00C3707B">
        <w:rPr>
          <w:noProof/>
        </w:rPr>
        <w:t xml:space="preserve"> op het gebied van tekorten werden ook de standpunten van de belanghebbenden over dit onderwerp onderzocht</w:t>
      </w:r>
      <w:r w:rsidRPr="00C3707B">
        <w:rPr>
          <w:rStyle w:val="FootnoteReference"/>
          <w:noProof/>
        </w:rPr>
        <w:footnoteReference w:id="52"/>
      </w:r>
      <w:r w:rsidRPr="00C3707B">
        <w:rPr>
          <w:noProof/>
        </w:rPr>
        <w:t>. Door deze raadplegingen werd bevestigd dat belanghebbenden (met name maatschappelijke organisaties en gezondheidswerkers) geneesmiddelentekorten als een belangrijk probleem beschouwen. Het maatschappelijk middenveld, overheidsinstanties en belanghebbenden in de gezondheidszorg meldden in de gerichte enquêtes dat naar hun mening wetgeving het minst doeltreffend was bij de aanpak van problemen in verband met de voorzieningszekerheid van geneesmiddelen en geneesmiddelentekorten. Zij gaven ook hun mening over beleidsmaatregelen, zoals plannen voor de preventie van tekorten, een systeem voor de monitoring van tekorten op EU-niveau of de kennisgeving van tekorten. Bovendien is in april</w:t>
      </w:r>
      <w:r w:rsidR="008D2355">
        <w:rPr>
          <w:noProof/>
        </w:rPr>
        <w:t> </w:t>
      </w:r>
      <w:r w:rsidRPr="00160A33">
        <w:rPr>
          <w:noProof/>
        </w:rPr>
        <w:t>2022</w:t>
      </w:r>
      <w:r w:rsidRPr="00C3707B">
        <w:rPr>
          <w:noProof/>
        </w:rPr>
        <w:t xml:space="preserve"> een speciale validatieworkshop over toeleveringsketens gehouden. Tijdens deze workshop hebben verschillende belanghebbenden uitgelegd dat diversificatie van toeleveringsketens lastig en ook niet altijd haalbaar is omdat het moeilijk is om hogerop in toeleveringsketens alternatieve leveranciers te vinden</w:t>
      </w:r>
      <w:r w:rsidRPr="00C3707B">
        <w:rPr>
          <w:rStyle w:val="FootnoteReference"/>
          <w:noProof/>
        </w:rPr>
        <w:footnoteReference w:id="53"/>
      </w:r>
      <w:r w:rsidRPr="00C3707B">
        <w:rPr>
          <w:noProof/>
        </w:rPr>
        <w:t>.</w:t>
      </w:r>
    </w:p>
    <w:p w14:paraId="3C8DB468" w14:textId="27CA67C9" w:rsidR="004C5377" w:rsidRPr="00C3707B" w:rsidRDefault="004C5377" w:rsidP="004C5377">
      <w:pPr>
        <w:rPr>
          <w:noProof/>
        </w:rPr>
      </w:pPr>
      <w:r w:rsidRPr="00C3707B">
        <w:rPr>
          <w:noProof/>
        </w:rPr>
        <w:t xml:space="preserve">Over onderwerpen die van belang zijn voor het versterken van de toeleveringsketens van kritieke geneesmiddelen, zijn er van de belanghebbenden die bij de toeleveringsketens van kritieke geneesmiddelen zijn betrokken, meer dan </w:t>
      </w:r>
      <w:r w:rsidRPr="00160A33">
        <w:rPr>
          <w:noProof/>
        </w:rPr>
        <w:t>300</w:t>
      </w:r>
      <w:r w:rsidRPr="00C3707B">
        <w:rPr>
          <w:noProof/>
        </w:rPr>
        <w:t xml:space="preserve"> geraadpleegd in hun hoedanigheid als lid van de </w:t>
      </w:r>
      <w:r w:rsidRPr="00C3707B">
        <w:rPr>
          <w:b/>
          <w:noProof/>
        </w:rPr>
        <w:t>alliantie voor kritieke geneesmiddelen</w:t>
      </w:r>
      <w:r w:rsidRPr="00C3707B">
        <w:rPr>
          <w:noProof/>
        </w:rPr>
        <w:t xml:space="preserve">, waarvan vertegenwoordigers van de geneesmiddelenindustrie, bedrijfsverenigingen, patiëntenorganisaties, organisatie van gezondheidswerkers en de lidstaten deel uitmaken. In </w:t>
      </w:r>
      <w:r w:rsidRPr="00160A33">
        <w:rPr>
          <w:noProof/>
        </w:rPr>
        <w:t>2024</w:t>
      </w:r>
      <w:r w:rsidRPr="00C3707B">
        <w:rPr>
          <w:noProof/>
        </w:rPr>
        <w:t xml:space="preserve"> is de alliantie opgericht en vonden de rest van het jaar technische gesprekken plaats in werkgroepen die waren bedoeld om aanbevelingen voor te bereiden voor acties om de productiecapaciteit te versterken en de toeleveringsketens te diversifiëren door middel van partnerschappen met gelijkgestemde landen buiten de EU. De door het bestuur van de alliantie in zijn strategisch verslag verzamelde resultaten van deze aanbevelingen</w:t>
      </w:r>
      <w:r w:rsidRPr="00C3707B">
        <w:rPr>
          <w:rStyle w:val="FootnoteReference"/>
          <w:noProof/>
        </w:rPr>
        <w:footnoteReference w:id="54"/>
      </w:r>
      <w:r w:rsidRPr="00C3707B">
        <w:rPr>
          <w:noProof/>
        </w:rPr>
        <w:t xml:space="preserve"> voorzien in acties betreffende de beoordeling van kwetsbaarheden, stimulansen voor investeringen in productiecapaciteit, noodvoorraden en benaderingen voor overheidsopdrachten, alsook het benutten van partnerschappen met landen buiten de EU. De alliantie beveelt met name aan om: i) een Europese lijst van kwetsbare kritieke geneesmiddelen op te stellen; ii) een Europees investeringsplan in te voeren waarmee de productiecapaciteit voor kritieke geneesmiddelen in Europa wordt versterkt door financieringsprogramma’s van de EU te combineren met staatssteun; iii) een alomvattend geharmoniseerd en evenwichtig kader in te voeren voor noodvoorraden; iv) deugdelijke praktijken voor overheidsopdrachten te bevorderen door de toepassing van specifieke “MEAT”-criteria</w:t>
      </w:r>
      <w:r w:rsidRPr="00C3707B">
        <w:rPr>
          <w:rStyle w:val="FootnoteReference"/>
          <w:noProof/>
        </w:rPr>
        <w:footnoteReference w:id="55"/>
      </w:r>
      <w:r w:rsidRPr="00C3707B">
        <w:rPr>
          <w:noProof/>
        </w:rPr>
        <w:t xml:space="preserve"> en meer gebruik te maken van gezamenlijke aanbestedingen; en v) een gelijk speelveld voor milieu- en sociale normen te bevorderen, alsook een eerlijke concurrentie tussen in de EU vervaardigde kritieke geneesmiddelen en kritieke geneesmiddelen die elders in de wereld zijn vervaardigd. Wat partnerschappen met niet-EU-landen betreft, beveelt de alliantie specifiek aan om gebruik te maken van de methodologie die is ontwikkeld om de vooruitzichten van landen voor verschillende soorten partnerschappen te onderzoeken. Tot slot beveelt de alliantie aan dat de uitvoerende stuurgroep inzake tekorten aan geneesmiddelen en de veiligheid ervan (MSSG) de mogelijkheid formaliseert om contact te leggen met rechtsgebieden buiten de EU als onderdeel van het vrijwillige solidariteitsmechanisme.</w:t>
      </w:r>
    </w:p>
    <w:p w14:paraId="26F57C8C" w14:textId="77777777" w:rsidR="003A0F6F" w:rsidRDefault="004C5377" w:rsidP="004C5377">
      <w:pPr>
        <w:rPr>
          <w:noProof/>
        </w:rPr>
      </w:pPr>
      <w:r w:rsidRPr="00C3707B">
        <w:rPr>
          <w:noProof/>
        </w:rPr>
        <w:t xml:space="preserve">Op </w:t>
      </w:r>
      <w:r w:rsidRPr="00160A33">
        <w:rPr>
          <w:noProof/>
        </w:rPr>
        <w:t>30</w:t>
      </w:r>
      <w:r w:rsidRPr="00C3707B">
        <w:rPr>
          <w:noProof/>
        </w:rPr>
        <w:t xml:space="preserve"> januari </w:t>
      </w:r>
      <w:r w:rsidRPr="00160A33">
        <w:rPr>
          <w:noProof/>
        </w:rPr>
        <w:t>2025</w:t>
      </w:r>
      <w:r w:rsidRPr="00C3707B">
        <w:rPr>
          <w:noProof/>
        </w:rPr>
        <w:t xml:space="preserve"> is een </w:t>
      </w:r>
      <w:r w:rsidRPr="00C3707B">
        <w:rPr>
          <w:b/>
          <w:noProof/>
        </w:rPr>
        <w:t>verzoek om input</w:t>
      </w:r>
      <w:r w:rsidRPr="00C3707B">
        <w:rPr>
          <w:noProof/>
        </w:rPr>
        <w:t xml:space="preserve"> gepubliceerd</w:t>
      </w:r>
      <w:r w:rsidRPr="00C3707B">
        <w:rPr>
          <w:rStyle w:val="FootnoteReference"/>
          <w:noProof/>
        </w:rPr>
        <w:footnoteReference w:id="56"/>
      </w:r>
      <w:r w:rsidRPr="00C3707B">
        <w:rPr>
          <w:noProof/>
        </w:rPr>
        <w:t xml:space="preserve"> voor een algemene raadpleging over de voorgestelde verordening.</w:t>
      </w:r>
    </w:p>
    <w:p w14:paraId="4F711006" w14:textId="77777777" w:rsidR="003A0F6F" w:rsidRDefault="004C5377" w:rsidP="004C5377">
      <w:pPr>
        <w:rPr>
          <w:noProof/>
        </w:rPr>
      </w:pPr>
      <w:r w:rsidRPr="00C3707B">
        <w:rPr>
          <w:noProof/>
        </w:rPr>
        <w:t xml:space="preserve">De Commissie heeft </w:t>
      </w:r>
      <w:r w:rsidRPr="00160A33">
        <w:rPr>
          <w:noProof/>
        </w:rPr>
        <w:t>121</w:t>
      </w:r>
      <w:r w:rsidRPr="00C3707B">
        <w:rPr>
          <w:noProof/>
        </w:rPr>
        <w:t> geldige bijdragen ontvangen van ondernemersverenigingen (</w:t>
      </w:r>
      <w:r w:rsidRPr="00160A33">
        <w:rPr>
          <w:noProof/>
        </w:rPr>
        <w:t>26</w:t>
      </w:r>
      <w:r w:rsidRPr="00C3707B">
        <w:rPr>
          <w:noProof/>
        </w:rPr>
        <w:t> %), bedrijven/ondernemingen (</w:t>
      </w:r>
      <w:r w:rsidRPr="00160A33">
        <w:rPr>
          <w:noProof/>
        </w:rPr>
        <w:t>25</w:t>
      </w:r>
      <w:r w:rsidRPr="00C3707B">
        <w:rPr>
          <w:noProof/>
        </w:rPr>
        <w:t> %), niet-gouvernementele organisaties (ngo’s) (</w:t>
      </w:r>
      <w:r w:rsidRPr="00160A33">
        <w:rPr>
          <w:noProof/>
        </w:rPr>
        <w:t>22</w:t>
      </w:r>
      <w:r w:rsidRPr="00C3707B">
        <w:rPr>
          <w:noProof/>
        </w:rPr>
        <w:t> %), EU-burgers (</w:t>
      </w:r>
      <w:r w:rsidRPr="00160A33">
        <w:rPr>
          <w:noProof/>
        </w:rPr>
        <w:t>5</w:t>
      </w:r>
      <w:r w:rsidRPr="00C3707B">
        <w:rPr>
          <w:noProof/>
        </w:rPr>
        <w:t> %), overheidsinstanties (</w:t>
      </w:r>
      <w:r w:rsidRPr="00160A33">
        <w:rPr>
          <w:noProof/>
        </w:rPr>
        <w:t>5</w:t>
      </w:r>
      <w:r w:rsidRPr="00C3707B">
        <w:rPr>
          <w:noProof/>
        </w:rPr>
        <w:t> %), vakbonden (</w:t>
      </w:r>
      <w:r w:rsidRPr="00160A33">
        <w:rPr>
          <w:noProof/>
        </w:rPr>
        <w:t>4</w:t>
      </w:r>
      <w:r w:rsidRPr="00C3707B">
        <w:rPr>
          <w:noProof/>
        </w:rPr>
        <w:t> %), consumentenorganisaties (</w:t>
      </w:r>
      <w:r w:rsidRPr="00160A33">
        <w:rPr>
          <w:noProof/>
        </w:rPr>
        <w:t>2</w:t>
      </w:r>
      <w:r w:rsidRPr="00C3707B">
        <w:rPr>
          <w:noProof/>
        </w:rPr>
        <w:t> %), academische/onderzoeksinstellingen (</w:t>
      </w:r>
      <w:r w:rsidRPr="00160A33">
        <w:rPr>
          <w:noProof/>
        </w:rPr>
        <w:t>1</w:t>
      </w:r>
      <w:r w:rsidRPr="00C3707B">
        <w:rPr>
          <w:noProof/>
        </w:rPr>
        <w:t> %) en anderen (</w:t>
      </w:r>
      <w:r w:rsidRPr="00160A33">
        <w:rPr>
          <w:noProof/>
        </w:rPr>
        <w:t>9</w:t>
      </w:r>
      <w:r w:rsidRPr="00C3707B">
        <w:rPr>
          <w:noProof/>
        </w:rPr>
        <w:t> %).</w:t>
      </w:r>
    </w:p>
    <w:p w14:paraId="49D33AAD" w14:textId="32B7C799" w:rsidR="004C5377" w:rsidRPr="00C3707B" w:rsidRDefault="004C5377" w:rsidP="004C5377">
      <w:pPr>
        <w:rPr>
          <w:noProof/>
        </w:rPr>
      </w:pPr>
      <w:r w:rsidRPr="00C3707B">
        <w:rPr>
          <w:noProof/>
        </w:rPr>
        <w:t xml:space="preserve">De reacties kwamen uit </w:t>
      </w:r>
      <w:r w:rsidRPr="00160A33">
        <w:rPr>
          <w:noProof/>
        </w:rPr>
        <w:t>22</w:t>
      </w:r>
      <w:r w:rsidRPr="00C3707B">
        <w:rPr>
          <w:noProof/>
        </w:rPr>
        <w:t xml:space="preserve"> landen (waaronder </w:t>
      </w:r>
      <w:r w:rsidRPr="00160A33">
        <w:rPr>
          <w:noProof/>
        </w:rPr>
        <w:t>5</w:t>
      </w:r>
      <w:r w:rsidRPr="00C3707B">
        <w:rPr>
          <w:noProof/>
        </w:rPr>
        <w:t> landen buiten de EU). De meeste reacties kwamen uit België (</w:t>
      </w:r>
      <w:r w:rsidRPr="00160A33">
        <w:rPr>
          <w:noProof/>
        </w:rPr>
        <w:t>32</w:t>
      </w:r>
      <w:r w:rsidRPr="00C3707B">
        <w:rPr>
          <w:noProof/>
        </w:rPr>
        <w:t> %), aangezien de meeste Europese ondernemersverenigingen en maatschappelijke organisaties hun hoofdkantoor in dat land hebben, gevolgd door Duitsland (</w:t>
      </w:r>
      <w:r w:rsidRPr="00160A33">
        <w:rPr>
          <w:noProof/>
        </w:rPr>
        <w:t>15</w:t>
      </w:r>
      <w:r w:rsidRPr="00C3707B">
        <w:rPr>
          <w:noProof/>
        </w:rPr>
        <w:t> %), Frankrijk (</w:t>
      </w:r>
      <w:r w:rsidRPr="00160A33">
        <w:rPr>
          <w:noProof/>
        </w:rPr>
        <w:t>7</w:t>
      </w:r>
      <w:r w:rsidRPr="00C3707B">
        <w:rPr>
          <w:noProof/>
        </w:rPr>
        <w:t> %), Italië (</w:t>
      </w:r>
      <w:r w:rsidRPr="00160A33">
        <w:rPr>
          <w:noProof/>
        </w:rPr>
        <w:t>6</w:t>
      </w:r>
      <w:r w:rsidRPr="00C3707B">
        <w:rPr>
          <w:noProof/>
        </w:rPr>
        <w:t> %) en Spanje (</w:t>
      </w:r>
      <w:r w:rsidRPr="00160A33">
        <w:rPr>
          <w:noProof/>
        </w:rPr>
        <w:t>5</w:t>
      </w:r>
      <w:r w:rsidRPr="00C3707B">
        <w:rPr>
          <w:noProof/>
        </w:rPr>
        <w:t> %).</w:t>
      </w:r>
    </w:p>
    <w:p w14:paraId="477ECB20" w14:textId="77777777" w:rsidR="004C5377" w:rsidRPr="00C3707B" w:rsidRDefault="004C5377" w:rsidP="004C5377">
      <w:pPr>
        <w:rPr>
          <w:noProof/>
        </w:rPr>
      </w:pPr>
      <w:r w:rsidRPr="00C3707B">
        <w:rPr>
          <w:noProof/>
        </w:rPr>
        <w:t xml:space="preserve">In een ruime meerderheid van de reacties werd de Commissie gesteund bij het indienen van wetgeving inzake kritieke geneesmiddelen, aangezien dit werd gezien als cruciaal instrument om de tekorten aan kritieke geneesmiddelen aan te pakken. De verschillende groepen belanghebbenden, ondernemingen en ondernemersvereniging brachten een aantal belangrijke overwegingen onder de aandacht en merkten daarbij op dat er sprake is van een aanhoudende afhankelijkheid van leveranciers van buiten de EU, met name voor werkzame bestanddelen voor geneesmiddelen, en dat daardoor een verhoogd risico op geneesmiddelentekorten ontstaat. Zij waren ingenomen met de toezegging van de Europese Commissie om de toeleveringsketens veilig te stellen en riepen op tot een overkoepelend rechtskader ter bevordering van de productie van werkzame bestanddelen voor geneesmiddelen in de EU in combinatie met een verbeterde toegang tot financieringsmechanismen. Om transparantie, verantwoordingsplicht en efficiëntie te waarborgen, stelden veel ngo’s voor om regelmatig risicobeoordelingen en kwetsbaarheidsbeoordelingen van de toeleveringsketens van geneesmiddelen uit te voeren en een gecoördineerd monitoringsysteem op te zetten waarin rekening wordt gehouden met bestaande nationale systemen en zo dubbel werk wordt voorkomen. Overheidsinstanties steunden met name de vrijwillige gezamenlijke aanbesteding van kritieke geneesmiddelen. In de reacties van verschillende groepen belanghebbenden werd opgemerkt dat de versnippering als gevolg van nationale vereisten voor het aanleggen van voorraden moet worden tegengegaan. Het belang van mondiale partnerschappen gericht op het handhaven van robuuste toeleveringsketens werd algemeen benadrukt. Het werkdocument van de diensten van de Commissie dat in het tweede kwartaal van </w:t>
      </w:r>
      <w:r w:rsidRPr="00160A33">
        <w:rPr>
          <w:noProof/>
        </w:rPr>
        <w:t>2025</w:t>
      </w:r>
      <w:r w:rsidRPr="00C3707B">
        <w:rPr>
          <w:noProof/>
        </w:rPr>
        <w:t xml:space="preserve"> zal worden gepubliceerd, zal een meer gedetailleerde analyse van de antwoorden bevatten. De Commissie heeft ook opdracht gegeven tot een onderzoek door een externe contractant van de voorgestelde verordening met gerichte raadplegingen van verschillende belanghebbenden.</w:t>
      </w:r>
    </w:p>
    <w:p w14:paraId="66436104" w14:textId="77777777" w:rsidR="004C5377" w:rsidRPr="00C3707B" w:rsidRDefault="004C5377" w:rsidP="004C5377">
      <w:pPr>
        <w:pStyle w:val="ManualHeading2"/>
        <w:rPr>
          <w:noProof/>
        </w:rPr>
      </w:pPr>
      <w:r w:rsidRPr="00C3707B">
        <w:rPr>
          <w:noProof/>
          <w:u w:color="000000"/>
          <w:bdr w:val="nil"/>
        </w:rPr>
        <w:t>•</w:t>
      </w:r>
      <w:r w:rsidRPr="00C3707B">
        <w:rPr>
          <w:noProof/>
        </w:rPr>
        <w:tab/>
      </w:r>
      <w:r w:rsidRPr="00C3707B">
        <w:rPr>
          <w:noProof/>
          <w:u w:color="000000"/>
          <w:bdr w:val="nil"/>
        </w:rPr>
        <w:t>Bijeenbrengen en gebruik</w:t>
      </w:r>
      <w:r w:rsidRPr="00C3707B">
        <w:rPr>
          <w:noProof/>
        </w:rPr>
        <w:t xml:space="preserve"> van expertise</w:t>
      </w:r>
    </w:p>
    <w:p w14:paraId="41EDC0DA" w14:textId="77777777" w:rsidR="004C5377" w:rsidRPr="00C3707B" w:rsidRDefault="004C5377" w:rsidP="004C5377">
      <w:pPr>
        <w:rPr>
          <w:noProof/>
        </w:rPr>
      </w:pPr>
      <w:r w:rsidRPr="00C3707B">
        <w:rPr>
          <w:b/>
          <w:noProof/>
        </w:rPr>
        <w:t>De lijst van de Unie van kritieke geneesmiddelen</w:t>
      </w:r>
      <w:r w:rsidRPr="00C3707B">
        <w:rPr>
          <w:rStyle w:val="FootnoteReference"/>
          <w:b/>
          <w:bCs/>
          <w:noProof/>
        </w:rPr>
        <w:footnoteReference w:id="57"/>
      </w:r>
      <w:r w:rsidRPr="00C3707B">
        <w:rPr>
          <w:noProof/>
        </w:rPr>
        <w:t xml:space="preserve"> is opgesteld met de deskundige inbreng van de hoofden van de geneesmiddelenautoriteiten van de lidstaten, de Europese Commissie en het EMA en na raadpleging van de belangrijkste belanghebbenden, waaronder patiëntenorganisaties en brancheorganisaties. De lijst werd voor het eerst in december </w:t>
      </w:r>
      <w:r w:rsidRPr="00160A33">
        <w:rPr>
          <w:noProof/>
        </w:rPr>
        <w:t>2023</w:t>
      </w:r>
      <w:r w:rsidRPr="00C3707B">
        <w:rPr>
          <w:noProof/>
        </w:rPr>
        <w:t xml:space="preserve"> gepubliceerd en een jaar later bijgewerkt, en bevat </w:t>
      </w:r>
      <w:r w:rsidRPr="00160A33">
        <w:rPr>
          <w:noProof/>
        </w:rPr>
        <w:t>276</w:t>
      </w:r>
      <w:r w:rsidRPr="00C3707B">
        <w:rPr>
          <w:noProof/>
        </w:rPr>
        <w:t> werkzame stoffen die worden gebruikt in geneesmiddelen voor menselijk gebruik en die kritiek worden geacht aan de hand van een overeengekomen methode op basis van twee belangrijke criteria:</w:t>
      </w:r>
    </w:p>
    <w:p w14:paraId="590C4256" w14:textId="77777777" w:rsidR="004C5377" w:rsidRPr="00C3707B" w:rsidRDefault="004C5377" w:rsidP="004C5377">
      <w:pPr>
        <w:pStyle w:val="Point0"/>
        <w:rPr>
          <w:noProof/>
        </w:rPr>
      </w:pPr>
      <w:r w:rsidRPr="00C3707B">
        <w:rPr>
          <w:noProof/>
        </w:rPr>
        <w:t>•</w:t>
      </w:r>
      <w:r w:rsidRPr="00C3707B">
        <w:rPr>
          <w:noProof/>
        </w:rPr>
        <w:tab/>
        <w:t>de therapeutische indicatie van het geneesmiddel voor de behandeling van een ernstige aandoening;</w:t>
      </w:r>
    </w:p>
    <w:p w14:paraId="4659C099" w14:textId="77777777" w:rsidR="004C5377" w:rsidRPr="00C3707B" w:rsidRDefault="004C5377" w:rsidP="004C5377">
      <w:pPr>
        <w:pStyle w:val="Point0"/>
        <w:rPr>
          <w:noProof/>
        </w:rPr>
      </w:pPr>
      <w:r w:rsidRPr="00C3707B">
        <w:rPr>
          <w:noProof/>
        </w:rPr>
        <w:t>•</w:t>
      </w:r>
      <w:r w:rsidRPr="00C3707B">
        <w:rPr>
          <w:noProof/>
        </w:rPr>
        <w:tab/>
        <w:t>de beperkte beschikbaarheid van passende alternatieve geneesmiddelen.</w:t>
      </w:r>
    </w:p>
    <w:p w14:paraId="7C3E81DF" w14:textId="77777777" w:rsidR="004C5377" w:rsidRPr="00C3707B" w:rsidRDefault="004C5377" w:rsidP="004C5377">
      <w:pPr>
        <w:rPr>
          <w:noProof/>
        </w:rPr>
      </w:pPr>
      <w:r w:rsidRPr="00C3707B">
        <w:rPr>
          <w:noProof/>
        </w:rPr>
        <w:t>Indien geneesmiddelen aan de bovenstaande criteria inzake de kritieke status ervan voldoen en indien zij aan aanvullende criteria voldoen, zoals het aantal lidstaten dat het geneesmiddel kritiek acht of de status van het in de het in de handel brengen van het geneesmiddel, worden zij in de lijst van de Unie opgenomen. Het is belangrijk om op te merken dat opname in de lijst niet noodzakelijkerwijs een teken is van een dreigend tekort, maar dat preventie-inspanningen voor deze kritieke geneesmiddelen daardoor wel voorrang krijgen.</w:t>
      </w:r>
    </w:p>
    <w:p w14:paraId="0509557B" w14:textId="77777777" w:rsidR="004C5377" w:rsidRPr="00C3707B" w:rsidRDefault="004C5377" w:rsidP="004C5377">
      <w:pPr>
        <w:rPr>
          <w:noProof/>
        </w:rPr>
      </w:pPr>
      <w:r w:rsidRPr="00C3707B">
        <w:rPr>
          <w:noProof/>
        </w:rPr>
        <w:t>De Commissie heeft een technische beoordeling uitgevoerd van kwetsbaarheden in de toeleveringsketens van kritieke geneesmiddelen</w:t>
      </w:r>
      <w:r w:rsidRPr="00C3707B">
        <w:rPr>
          <w:rStyle w:val="FootnoteReference"/>
          <w:noProof/>
        </w:rPr>
        <w:footnoteReference w:id="58"/>
      </w:r>
      <w:r w:rsidRPr="00C3707B">
        <w:rPr>
          <w:noProof/>
        </w:rPr>
        <w:t>. Bij de beoordeling werd gekeken naar een selectie van elf kritieke geneesmiddelen die in de lijst van de Unie zijn opgenomen. Bij het proefproject werd onder andere geconstateerd dat er sprake is van een aanzienlijke afhankelijkheid van leveranciers van werkzame stoffen van buiten de EU voor vier van de elf moleculen en van risico’s als gevolg van marktconcentratie. In het proefproject werd gewezen op de noodzaak om de veerkracht te versterken door bijvoorbeeld de voorzieningsbronnen te diversifiëren, de flexibiliteit van de productiecapaciteit te vergroten en robuuste kaders voor risicobeheer te ontwikkelen om schommelingen in de economie en de markt doeltreffend te ondervangen. Uit de resultaten van dit proefproject bleek ook dat er een aantal beperkingen waren, zoals het ontbreken van een rechtsgrondslag voor het verzamelen van gegevens en delen van informatie, het ontbreken van een geharmoniseerd formaat en geharmoniseerde normen, wat tot interoperabiliteitsproblemen leidt, en de terughoudendheid van farmaceutische bedrijven om zeer gevoelige commerciële gegevens te delen.</w:t>
      </w:r>
    </w:p>
    <w:p w14:paraId="41FC832B" w14:textId="77777777" w:rsidR="003A0F6F" w:rsidRDefault="004C5377" w:rsidP="004C5377">
      <w:pPr>
        <w:rPr>
          <w:noProof/>
        </w:rPr>
      </w:pPr>
      <w:r w:rsidRPr="00C3707B">
        <w:rPr>
          <w:b/>
          <w:noProof/>
        </w:rPr>
        <w:t>Onderzoeken</w:t>
      </w:r>
      <w:r w:rsidRPr="00C3707B">
        <w:rPr>
          <w:noProof/>
        </w:rPr>
        <w:t xml:space="preserve">: een externe contractant voert een onderzoek uit waarin vooral wordt gekeken naar de beoordeling van beleidsopties op het gebied van drie belangrijke beleidslijnen: horizontale beleidslijnen (toepassingsgebied, governance, gegevens); randvoorwaarden voor investeringen in kritieke geneesmiddelen; maatregelen aan de vraagzijde. Bij de voorbereidingen van deze voorgestelde verordening is rekening gehouden met het tussentijdse verslag van dit onderzoek; verdere resultaten van het onderzoek zullen worden verwerkt in het werkdocument van de diensten van de Commissie, dat in het tweede kwartaal van </w:t>
      </w:r>
      <w:r w:rsidRPr="00160A33">
        <w:rPr>
          <w:noProof/>
        </w:rPr>
        <w:t>2025</w:t>
      </w:r>
      <w:r w:rsidRPr="00C3707B">
        <w:rPr>
          <w:noProof/>
        </w:rPr>
        <w:t xml:space="preserve"> zal worden gepubliceerd zodat daarin de analyse en alle ondersteunende gegevens waarop dit voorstel is gebaseerd, worden verstrekt.</w:t>
      </w:r>
    </w:p>
    <w:p w14:paraId="4972E110" w14:textId="0CB49CB9" w:rsidR="003A0F6F" w:rsidRDefault="004C5377" w:rsidP="004C5377">
      <w:pPr>
        <w:rPr>
          <w:noProof/>
        </w:rPr>
      </w:pPr>
      <w:r w:rsidRPr="00C3707B">
        <w:rPr>
          <w:noProof/>
        </w:rPr>
        <w:t xml:space="preserve">Het in </w:t>
      </w:r>
      <w:r w:rsidRPr="00160A33">
        <w:rPr>
          <w:noProof/>
        </w:rPr>
        <w:t>2022</w:t>
      </w:r>
      <w:r w:rsidRPr="00C3707B">
        <w:rPr>
          <w:noProof/>
        </w:rPr>
        <w:t xml:space="preserve"> gepubliceerde onderzoek naar beste praktijken bij overheidsopdrachten voor geneesmiddelen</w:t>
      </w:r>
      <w:r w:rsidRPr="00C3707B">
        <w:rPr>
          <w:rStyle w:val="FootnoteReference"/>
          <w:rFonts w:eastAsia="Times New Roman"/>
          <w:noProof/>
          <w:lang w:eastAsia="en-GB"/>
        </w:rPr>
        <w:footnoteReference w:id="59"/>
      </w:r>
      <w:r w:rsidRPr="00C3707B">
        <w:rPr>
          <w:noProof/>
        </w:rPr>
        <w:t xml:space="preserve"> bevat een overzicht en een analyse van de praktijken bij overheidsopdrachten voor geneesmiddelen van </w:t>
      </w:r>
      <w:r w:rsidRPr="00160A33">
        <w:rPr>
          <w:noProof/>
        </w:rPr>
        <w:t>32</w:t>
      </w:r>
      <w:r w:rsidR="008D2355">
        <w:rPr>
          <w:noProof/>
        </w:rPr>
        <w:t> </w:t>
      </w:r>
      <w:r w:rsidRPr="00C3707B">
        <w:rPr>
          <w:noProof/>
        </w:rPr>
        <w:t>landen in Europa. Het verslag van dit onderzoek bevat bevindingen betreffende organisatievormen bij aanbestedingen en het gebruik van verschillende procedures en technieken (met inbegrip van verschillende aanbestedingsvereisten zoals de economisch meest voordelige inschrijving). Er werd beoordeeld wat de mogelijke gevolgen van overheidsopdrachten voor geneesmiddelen zijn voor de toegankelijkheid en voorzieningszekerheid van geneesmiddelen.</w:t>
      </w:r>
    </w:p>
    <w:p w14:paraId="10DF1091" w14:textId="0F40F139" w:rsidR="004C5377" w:rsidRPr="00C3707B" w:rsidRDefault="004C5377" w:rsidP="004C5377">
      <w:pPr>
        <w:rPr>
          <w:rFonts w:eastAsia="Times New Roman"/>
          <w:noProof/>
        </w:rPr>
      </w:pPr>
      <w:r w:rsidRPr="00C3707B">
        <w:rPr>
          <w:noProof/>
        </w:rPr>
        <w:t>Voor de voorbereiding van de aanbevelingen zijn via het werk van de alliantie verschillende onderzoeken gebruikt als bewijsmateriaal, zoals het onderzoek van Advancy “Strengthening API production industry in France and Europe”</w:t>
      </w:r>
      <w:r w:rsidRPr="00C3707B">
        <w:rPr>
          <w:rStyle w:val="FootnoteReference"/>
          <w:noProof/>
        </w:rPr>
        <w:footnoteReference w:id="60"/>
      </w:r>
      <w:r w:rsidRPr="00C3707B">
        <w:rPr>
          <w:noProof/>
        </w:rPr>
        <w:t>. In dit onderzoek wordt de nadruk gelegd op het tekort aan concurrentievermogen waarmee de Europese geneesmiddelensector te kampen heeft, met name wat de productie van essentiële geneesmiddelen en werkzame stoffen betreft. De alliantie heeft verder als bewijsmateriaal het OESO-rapport “Shortages of medicines in OECD countries”</w:t>
      </w:r>
      <w:r w:rsidRPr="00C3707B">
        <w:rPr>
          <w:rStyle w:val="FootnoteReference"/>
          <w:noProof/>
        </w:rPr>
        <w:footnoteReference w:id="61"/>
      </w:r>
      <w:r w:rsidRPr="00C3707B">
        <w:rPr>
          <w:noProof/>
        </w:rPr>
        <w:t xml:space="preserve"> gebruikt. Bij dat onderzoek zijn de aard en de omvang onderzocht van geneesmiddelentekorten vóór de COVID-</w:t>
      </w:r>
      <w:r w:rsidRPr="00160A33">
        <w:rPr>
          <w:noProof/>
        </w:rPr>
        <w:t>19</w:t>
      </w:r>
      <w:r w:rsidRPr="00C3707B">
        <w:rPr>
          <w:noProof/>
        </w:rPr>
        <w:t>-pandemie en zijn de redenen van dit wereldwijde probleem bestudeerd. De conclusie van dat onderzoek is dat er een wereldwijde multistakeholder benadering nodig is, waarbij alle relevante spelers worden betrokken, met inbegrip van spelers buiten de gezondheidszorg.</w:t>
      </w:r>
    </w:p>
    <w:p w14:paraId="588B4CE9"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Effectbeoordeling</w:t>
      </w:r>
    </w:p>
    <w:p w14:paraId="7312765C" w14:textId="77777777" w:rsidR="004C5377" w:rsidRPr="00C3707B" w:rsidRDefault="004C5377" w:rsidP="004C5377">
      <w:pPr>
        <w:spacing w:before="0" w:after="0"/>
        <w:rPr>
          <w:rFonts w:eastAsia="Times New Roman"/>
          <w:noProof/>
        </w:rPr>
      </w:pPr>
      <w:r w:rsidRPr="00C3707B">
        <w:rPr>
          <w:noProof/>
        </w:rPr>
        <w:t>Gezien de dringende noodzaak om de vastgestelde beleidsuitdagingen aan te pakken, zal de deze verordening zonder effectbeoordeling worden voorgesteld. De bepalingen van de voorgestelde verordening zijn echter gebaseerd op bestaande analyses, raadplegingen van belanghebbenden en de lessen die zijn getrokken uit eerdere initiatieven om een evenredige en empirisch onderbouwde aanpak te waarborgen. Om de verwachte effecten verder te beoordelen zal er binnen drie maanden na goedkeuring van het voorstel een werkdocument van de diensten van de Commissie worden gepubliceerd, dat een samenvatting zal bevatten van het beschikbare bewijsmateriaal betreffende de verwachte effecten van de voorgestelde verordening en de analyse waarop dit voorstel is gebaseerd.</w:t>
      </w:r>
    </w:p>
    <w:p w14:paraId="2653A0F5"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Resultaatgerichtheid en vereenvoudiging</w:t>
      </w:r>
    </w:p>
    <w:p w14:paraId="0C598FDA" w14:textId="77777777" w:rsidR="003A0F6F" w:rsidRDefault="004C5377" w:rsidP="004C5377">
      <w:pPr>
        <w:rPr>
          <w:noProof/>
        </w:rPr>
      </w:pPr>
      <w:r w:rsidRPr="00C3707B">
        <w:rPr>
          <w:noProof/>
        </w:rPr>
        <w:t>Er wordt niet verwacht dat dit voorstel voor extra regeldruk zal zorgen. Voor ondernemingen die strategische projecten ontwikkelen, wordt met het voorstel het in de EU opzetten of uitbreiden van productiecapaciteit voor kritieke geneesmiddelen en de werkzame stoffen en belangrijke inputs daarvan bevorderd door vergunningsprocedures te versnellen, milieubeoordelingen te stroomlijnen en gerichte steun te verlenen wanneer dit nodig is. Er worden bepaalde verslagleggingsverplichtingen voor nationale overhedenvoorzien in verband met de verlening van financiële steun aan strategische projecten, nationale programma’s die zorgen voor duurzaamheid en veerkracht bij openbare aanbestedingen en aan initiatieven voor collectieve aanbestedingen. De voorgestelde verordening zal ook verdere synergieën tot stand brengen en zorgen voor een efficiënte coördinatie en samenwerking tussen de lidstaten ter verwezenlijking van de strategische doelstelling van de Unie om de voorzieningszekerheid en beschikbaarheid van geneesmiddelen te vergroten.</w:t>
      </w:r>
    </w:p>
    <w:p w14:paraId="0A2F38FA" w14:textId="5730F5FB"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Grondrechten</w:t>
      </w:r>
    </w:p>
    <w:p w14:paraId="50A9739C" w14:textId="77777777" w:rsidR="004C5377" w:rsidRPr="00C3707B" w:rsidRDefault="004C5377" w:rsidP="004C5377">
      <w:pPr>
        <w:rPr>
          <w:noProof/>
        </w:rPr>
      </w:pPr>
      <w:r w:rsidRPr="00C3707B">
        <w:rPr>
          <w:noProof/>
        </w:rPr>
        <w:t>Het voorstel draagt bij tot de verwezenlijking van een hoog niveau van bescherming van de menselijke gezondheid en is derhalve in overeenstemming met artikel </w:t>
      </w:r>
      <w:r w:rsidRPr="00160A33">
        <w:rPr>
          <w:noProof/>
        </w:rPr>
        <w:t>35</w:t>
      </w:r>
      <w:r w:rsidRPr="00C3707B">
        <w:rPr>
          <w:noProof/>
        </w:rPr>
        <w:t xml:space="preserve"> van het Handvest van de grondrechten van de Europese Unie (“het Handvest”).</w:t>
      </w:r>
      <w:r w:rsidRPr="00C3707B">
        <w:rPr>
          <w:noProof/>
          <w:color w:val="000000"/>
          <w:shd w:val="clear" w:color="auto" w:fill="FFFFFF"/>
        </w:rPr>
        <w:t xml:space="preserve"> </w:t>
      </w:r>
      <w:r w:rsidRPr="00C3707B">
        <w:rPr>
          <w:noProof/>
        </w:rPr>
        <w:t>Artikel </w:t>
      </w:r>
      <w:r w:rsidRPr="00160A33">
        <w:rPr>
          <w:noProof/>
        </w:rPr>
        <w:t>16</w:t>
      </w:r>
      <w:r w:rsidRPr="00C3707B">
        <w:rPr>
          <w:noProof/>
        </w:rPr>
        <w:t xml:space="preserve"> van het Handvest voorziet in de vrijheid van ondernemerschap. De maatregelen in het kader van dit voorstel steunen het opzetten of uitbreiden van productiecapaciteit en bevorderen de vraag naar kritieke geneesmiddelen en andere geneesmiddelen van gemeenschappelijk belang met veerkrachtige toeleveringsketens, waardoor de vrijheid van ondernemerschap overeenkomstig het recht van de Unie en nationale wetgeving en nationale praktijken kan worden versterkt.</w:t>
      </w:r>
    </w:p>
    <w:p w14:paraId="0FC508A2" w14:textId="77777777" w:rsidR="004C5377" w:rsidRPr="00C3707B" w:rsidRDefault="004C5377" w:rsidP="004C5377">
      <w:pPr>
        <w:pStyle w:val="ManualHeading1"/>
        <w:rPr>
          <w:noProof/>
        </w:rPr>
      </w:pPr>
      <w:r w:rsidRPr="00160A33">
        <w:rPr>
          <w:noProof/>
        </w:rPr>
        <w:t>4</w:t>
      </w:r>
      <w:r w:rsidRPr="00C3707B">
        <w:rPr>
          <w:noProof/>
        </w:rPr>
        <w:t>.</w:t>
      </w:r>
      <w:r w:rsidRPr="00C3707B">
        <w:rPr>
          <w:noProof/>
        </w:rPr>
        <w:tab/>
        <w:t>GEVOLGEN VOOR DE BEGROTING</w:t>
      </w:r>
    </w:p>
    <w:p w14:paraId="14E8E3FB" w14:textId="77777777" w:rsidR="004C5377" w:rsidRPr="00C3707B" w:rsidRDefault="004C5377" w:rsidP="004C5377">
      <w:pPr>
        <w:rPr>
          <w:noProof/>
        </w:rPr>
      </w:pPr>
      <w:r w:rsidRPr="00C3707B">
        <w:rPr>
          <w:noProof/>
        </w:rPr>
        <w:t xml:space="preserve">De gevolgen voor de begroting, en voor de personele en administratieve middelen worden beschreven in het financieel memorandum bij dit voorstel. Kredieten zullen binnen de financiële middelen worden herschikt. De kosten van dit voorstel zullen volledig door herschikkingen binnen de bestaande financiële middelen van het huidige meerjarig financieel kader worden gedekt. Voor de duur van het MFK van </w:t>
      </w:r>
      <w:r w:rsidRPr="00160A33">
        <w:rPr>
          <w:noProof/>
        </w:rPr>
        <w:t>2021</w:t>
      </w:r>
      <w:r w:rsidRPr="00C3707B">
        <w:rPr>
          <w:noProof/>
        </w:rPr>
        <w:t>-</w:t>
      </w:r>
      <w:r w:rsidRPr="00160A33">
        <w:rPr>
          <w:noProof/>
        </w:rPr>
        <w:t>2027</w:t>
      </w:r>
      <w:r w:rsidRPr="00C3707B">
        <w:rPr>
          <w:rStyle w:val="FootnoteReference"/>
          <w:noProof/>
        </w:rPr>
        <w:footnoteReference w:id="62"/>
      </w:r>
      <w:r w:rsidRPr="00C3707B">
        <w:rPr>
          <w:noProof/>
        </w:rPr>
        <w:t xml:space="preserve"> kunnen strategische projecten met EU-financiering worden ondersteund, onder andere via het EU</w:t>
      </w:r>
      <w:r w:rsidRPr="00160A33">
        <w:rPr>
          <w:noProof/>
        </w:rPr>
        <w:t>4</w:t>
      </w:r>
      <w:r w:rsidRPr="00C3707B">
        <w:rPr>
          <w:noProof/>
        </w:rPr>
        <w:t>Health-programma</w:t>
      </w:r>
      <w:r w:rsidRPr="00C3707B">
        <w:rPr>
          <w:rStyle w:val="FootnoteReference"/>
          <w:noProof/>
        </w:rPr>
        <w:footnoteReference w:id="63"/>
      </w:r>
      <w:r w:rsidRPr="00C3707B">
        <w:rPr>
          <w:noProof/>
        </w:rPr>
        <w:t>, Horizon Europa</w:t>
      </w:r>
      <w:r w:rsidRPr="00C3707B">
        <w:rPr>
          <w:rStyle w:val="FootnoteReference"/>
          <w:noProof/>
        </w:rPr>
        <w:footnoteReference w:id="64"/>
      </w:r>
      <w:r w:rsidRPr="00C3707B">
        <w:rPr>
          <w:noProof/>
        </w:rPr>
        <w:t xml:space="preserve"> en het programma Digitaal Europa</w:t>
      </w:r>
      <w:r w:rsidRPr="00C3707B">
        <w:rPr>
          <w:rStyle w:val="FootnoteReference"/>
          <w:noProof/>
        </w:rPr>
        <w:footnoteReference w:id="65"/>
      </w:r>
      <w:r w:rsidRPr="00C3707B">
        <w:rPr>
          <w:noProof/>
        </w:rPr>
        <w:t>, mits zij aan de eisen van die instrumenten voldoen.</w:t>
      </w:r>
    </w:p>
    <w:p w14:paraId="3BA1C0D1" w14:textId="2FE3EBB6" w:rsidR="003A0F6F" w:rsidRDefault="004C5377" w:rsidP="004C5377">
      <w:pPr>
        <w:rPr>
          <w:noProof/>
        </w:rPr>
      </w:pPr>
      <w:r w:rsidRPr="00C3707B">
        <w:rPr>
          <w:noProof/>
        </w:rPr>
        <w:t xml:space="preserve">Het indicatieve totale effect op de begroting bedraagt </w:t>
      </w:r>
      <w:r w:rsidRPr="00160A33">
        <w:rPr>
          <w:noProof/>
        </w:rPr>
        <w:t>83</w:t>
      </w:r>
      <w:r w:rsidRPr="00C3707B">
        <w:rPr>
          <w:noProof/>
        </w:rPr>
        <w:t>,</w:t>
      </w:r>
      <w:r w:rsidRPr="00160A33">
        <w:rPr>
          <w:noProof/>
        </w:rPr>
        <w:t>02</w:t>
      </w:r>
      <w:r w:rsidR="008D2355">
        <w:rPr>
          <w:noProof/>
        </w:rPr>
        <w:t> </w:t>
      </w:r>
      <w:r w:rsidRPr="00C3707B">
        <w:rPr>
          <w:noProof/>
        </w:rPr>
        <w:t xml:space="preserve">miljoen EUR voor de periode </w:t>
      </w:r>
      <w:r w:rsidRPr="00160A33">
        <w:rPr>
          <w:noProof/>
        </w:rPr>
        <w:t>2026</w:t>
      </w:r>
      <w:r w:rsidRPr="00C3707B">
        <w:rPr>
          <w:noProof/>
        </w:rPr>
        <w:t>-</w:t>
      </w:r>
      <w:r w:rsidRPr="00160A33">
        <w:rPr>
          <w:noProof/>
        </w:rPr>
        <w:t>2027</w:t>
      </w:r>
      <w:r w:rsidRPr="00C3707B">
        <w:rPr>
          <w:noProof/>
        </w:rPr>
        <w:t xml:space="preserve"> onder rubriek </w:t>
      </w:r>
      <w:r w:rsidRPr="00160A33">
        <w:rPr>
          <w:noProof/>
        </w:rPr>
        <w:t>2</w:t>
      </w:r>
      <w:r w:rsidRPr="00C3707B">
        <w:rPr>
          <w:noProof/>
        </w:rPr>
        <w:t>b. Met dit bedrag zullen investeringen in de productie en productiecapaciteit worden gefinancierd en zullen de kosten voor vergaderingen worden gedekt. Deze kredieten zullen binnen de bestaande financiële middelen van het EU</w:t>
      </w:r>
      <w:r w:rsidRPr="00160A33">
        <w:rPr>
          <w:noProof/>
        </w:rPr>
        <w:t>4</w:t>
      </w:r>
      <w:r w:rsidRPr="00C3707B">
        <w:rPr>
          <w:noProof/>
        </w:rPr>
        <w:t>Health-programma worden herschikt. Met dit bedrag zal ook de verhoging van de EU-bijdrage aan het EMA (</w:t>
      </w:r>
      <w:r w:rsidRPr="00160A33">
        <w:rPr>
          <w:noProof/>
        </w:rPr>
        <w:t>1</w:t>
      </w:r>
      <w:r w:rsidRPr="00C3707B">
        <w:rPr>
          <w:noProof/>
        </w:rPr>
        <w:t>,</w:t>
      </w:r>
      <w:r w:rsidRPr="00160A33">
        <w:rPr>
          <w:noProof/>
        </w:rPr>
        <w:t>4</w:t>
      </w:r>
      <w:r w:rsidRPr="00C3707B">
        <w:rPr>
          <w:noProof/>
        </w:rPr>
        <w:t> miljoen EUR) worden gedekt die het gevolg is van de toegenomen kosten van het EMA voor personeel, investeringen in IT en vergaderingen. De verhoogde EU-bijdrage aan het EMA zal uit de begrotingsmiddelen van het EU</w:t>
      </w:r>
      <w:r w:rsidRPr="00160A33">
        <w:rPr>
          <w:noProof/>
        </w:rPr>
        <w:t>4</w:t>
      </w:r>
      <w:r w:rsidRPr="00C3707B">
        <w:rPr>
          <w:noProof/>
        </w:rPr>
        <w:t xml:space="preserve">Health-programma voor </w:t>
      </w:r>
      <w:r w:rsidRPr="00160A33">
        <w:rPr>
          <w:noProof/>
        </w:rPr>
        <w:t>2026</w:t>
      </w:r>
      <w:r w:rsidRPr="00C3707B">
        <w:rPr>
          <w:noProof/>
        </w:rPr>
        <w:t xml:space="preserve"> en </w:t>
      </w:r>
      <w:r w:rsidRPr="00160A33">
        <w:rPr>
          <w:noProof/>
        </w:rPr>
        <w:t>2027</w:t>
      </w:r>
      <w:r w:rsidRPr="00C3707B">
        <w:rPr>
          <w:noProof/>
        </w:rPr>
        <w:t xml:space="preserve"> worden bekostigd.</w:t>
      </w:r>
    </w:p>
    <w:p w14:paraId="2A7F5E6C" w14:textId="62F066B9" w:rsidR="004C5377" w:rsidRPr="00C3707B" w:rsidRDefault="004C5377" w:rsidP="004C5377">
      <w:pPr>
        <w:rPr>
          <w:noProof/>
        </w:rPr>
      </w:pPr>
      <w:r w:rsidRPr="00C3707B">
        <w:rPr>
          <w:noProof/>
        </w:rPr>
        <w:t>Het effect op de begroting onder rubriek </w:t>
      </w:r>
      <w:r w:rsidRPr="00160A33">
        <w:rPr>
          <w:noProof/>
        </w:rPr>
        <w:t>7</w:t>
      </w:r>
      <w:r w:rsidRPr="00C3707B">
        <w:rPr>
          <w:noProof/>
        </w:rPr>
        <w:t xml:space="preserve"> bedraagt </w:t>
      </w:r>
      <w:r w:rsidRPr="00160A33">
        <w:rPr>
          <w:noProof/>
        </w:rPr>
        <w:t>5</w:t>
      </w:r>
      <w:r w:rsidRPr="00C3707B">
        <w:rPr>
          <w:noProof/>
        </w:rPr>
        <w:t>,</w:t>
      </w:r>
      <w:r w:rsidRPr="00160A33">
        <w:rPr>
          <w:noProof/>
        </w:rPr>
        <w:t>5</w:t>
      </w:r>
      <w:r w:rsidRPr="00C3707B">
        <w:rPr>
          <w:noProof/>
        </w:rPr>
        <w:t> miljoen EUR. Dit bedrag zal personeelskosten en de kosten van dienstreizen dekken en zal via interne herschikking worden bekostigd.</w:t>
      </w:r>
    </w:p>
    <w:p w14:paraId="73562BB3" w14:textId="77777777" w:rsidR="004C5377" w:rsidRPr="00C3707B" w:rsidRDefault="004C5377" w:rsidP="004C5377">
      <w:pPr>
        <w:pStyle w:val="ManualHeading1"/>
        <w:rPr>
          <w:noProof/>
        </w:rPr>
      </w:pPr>
      <w:r w:rsidRPr="00160A33">
        <w:rPr>
          <w:noProof/>
        </w:rPr>
        <w:t>5</w:t>
      </w:r>
      <w:r w:rsidRPr="00C3707B">
        <w:rPr>
          <w:noProof/>
        </w:rPr>
        <w:t>.</w:t>
      </w:r>
      <w:r w:rsidRPr="00C3707B">
        <w:rPr>
          <w:noProof/>
        </w:rPr>
        <w:tab/>
        <w:t>OVERIGE ELEMENTEN</w:t>
      </w:r>
    </w:p>
    <w:p w14:paraId="4BD76365"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Uitvoeringsplanning en regelingen betreffende controle, evaluatie en rapportage</w:t>
      </w:r>
    </w:p>
    <w:p w14:paraId="04353CF1" w14:textId="77777777" w:rsidR="003A0F6F" w:rsidRDefault="004C5377" w:rsidP="004C5377">
      <w:pPr>
        <w:pBdr>
          <w:top w:val="nil"/>
          <w:left w:val="nil"/>
          <w:bottom w:val="nil"/>
          <w:right w:val="nil"/>
          <w:between w:val="nil"/>
          <w:bar w:val="nil"/>
        </w:pBdr>
        <w:spacing w:before="0" w:after="240"/>
        <w:rPr>
          <w:noProof/>
        </w:rPr>
      </w:pPr>
      <w:r w:rsidRPr="00C3707B">
        <w:rPr>
          <w:noProof/>
        </w:rPr>
        <w:t>De Commissie zal vijf jaar na de datum van toepassing en vervolgens om de vijf jaar evalueren wat het effect van de voorgestelde verordening is en in welke mate de doelstellingen ervan zijn verwezenlijkt. De belangrijkste bevindingen van de evaluatie worden gepresenteerd in een verslag aan het Europees Parlement en de Raad, dat openbaar wordt gemaakt.</w:t>
      </w:r>
    </w:p>
    <w:p w14:paraId="07E4C5B9" w14:textId="476EE432" w:rsidR="004C5377" w:rsidRPr="00C3707B" w:rsidRDefault="004C5377" w:rsidP="004C5377">
      <w:pPr>
        <w:pBdr>
          <w:top w:val="nil"/>
          <w:left w:val="nil"/>
          <w:bottom w:val="nil"/>
          <w:right w:val="nil"/>
          <w:between w:val="nil"/>
          <w:bar w:val="nil"/>
        </w:pBdr>
        <w:spacing w:before="0" w:after="240"/>
        <w:rPr>
          <w:rFonts w:eastAsia="Arial Unicode MS"/>
          <w:noProof/>
        </w:rPr>
      </w:pPr>
      <w:r w:rsidRPr="00C3707B">
        <w:rPr>
          <w:noProof/>
        </w:rPr>
        <w:t>In dit voorstel wordt voor de lidstaten een vereiste ingevoerd om de coördinatiegroep kritieke geneesmiddelen op de hoogte te brengen van hun voornemen om nationale financiële steun te verlenen aan strategische projecten, en voor de Commissie om de groep kritieke geneesmiddelen periodiek op de hoogte te brengen van strategische projecten die financiële steun van de Unie hebben ontvangen en van het opzetten van nieuwe financieringsmogelijkheden. De verzamelde gegevens zijn nodig om het succes van deze verordening in de loop van de tijd de monitoren en te evalueren.</w:t>
      </w:r>
    </w:p>
    <w:p w14:paraId="6E81F07E" w14:textId="77777777" w:rsidR="004C5377" w:rsidRPr="00C3707B" w:rsidRDefault="004C5377" w:rsidP="004C5377">
      <w:pPr>
        <w:pStyle w:val="ManualHeading2"/>
        <w:rPr>
          <w:rFonts w:eastAsia="Arial Unicode MS"/>
          <w:noProof/>
          <w:u w:color="000000"/>
          <w:bdr w:val="nil"/>
        </w:rPr>
      </w:pPr>
      <w:r w:rsidRPr="00C3707B">
        <w:rPr>
          <w:noProof/>
          <w:u w:color="000000"/>
          <w:bdr w:val="nil"/>
        </w:rPr>
        <w:t>•</w:t>
      </w:r>
      <w:r w:rsidRPr="00C3707B">
        <w:rPr>
          <w:noProof/>
        </w:rPr>
        <w:tab/>
      </w:r>
      <w:r w:rsidRPr="00C3707B">
        <w:rPr>
          <w:noProof/>
          <w:u w:color="000000"/>
          <w:bdr w:val="nil"/>
        </w:rPr>
        <w:t>Artikelsgewijze toelichting</w:t>
      </w:r>
    </w:p>
    <w:p w14:paraId="09F40B03" w14:textId="77777777" w:rsidR="004C5377" w:rsidRPr="00C3707B" w:rsidRDefault="004C5377" w:rsidP="004C5377">
      <w:pPr>
        <w:rPr>
          <w:noProof/>
        </w:rPr>
      </w:pPr>
      <w:r w:rsidRPr="00C3707B">
        <w:rPr>
          <w:noProof/>
        </w:rPr>
        <w:t>Dit voorstel betreft een nieuwe verordening. De belangrijkste elementen van de voorgestelde verordening worden hieronder uiteengezet.</w:t>
      </w:r>
    </w:p>
    <w:p w14:paraId="725721AB" w14:textId="77777777" w:rsidR="004C5377" w:rsidRPr="00C3707B" w:rsidRDefault="004C5377" w:rsidP="004C5377">
      <w:pPr>
        <w:rPr>
          <w:b/>
          <w:bCs/>
          <w:noProof/>
        </w:rPr>
      </w:pPr>
      <w:r w:rsidRPr="00C3707B">
        <w:rPr>
          <w:b/>
          <w:noProof/>
        </w:rPr>
        <w:t>Algemene bepalingen</w:t>
      </w:r>
    </w:p>
    <w:p w14:paraId="18F951F4" w14:textId="77777777" w:rsidR="003A0F6F" w:rsidRDefault="004C5377" w:rsidP="004C5377">
      <w:pPr>
        <w:rPr>
          <w:noProof/>
        </w:rPr>
      </w:pPr>
      <w:r w:rsidRPr="00C3707B">
        <w:rPr>
          <w:noProof/>
        </w:rPr>
        <w:t>In hoofdstuk I worden de doelstellingen en het onderwerp van de voorgestelde verordening uiteengezet. Met dit voorstel wordt een kader vastgesteld om de voorzieningszekerheid en de beschikbaarheid van kritieke geneesmiddelen en de beschikbaarheid en toegankelijkheid van bepaalde andere geneesmiddelen te vergroten. Daarnaast wordt het toepassingsgebied van de voorgestelde verordening toegelicht. Hoewel het voorstel hoofdzakelijk van toepassing is op kritieke geneesmiddelen op de lijst van de Unie van kritieke geneesmiddelen die in de voorgestelde geneesmiddelenverordening is vastgesteld, zijn een aantal bepalingen van de voorgestelde verordening, met name maatregelen aan de vraagzijde, ook van toepassing op geneesmiddelen van gemeenschappelijk belang, waarbij in een aantal lidstaten sprake is van problemen met de markttoegang. Tot slot worden belangrijke definities geïntroduceerd die in de hele voorgestelde verordening worden gebruikt.</w:t>
      </w:r>
    </w:p>
    <w:p w14:paraId="670FC3E8" w14:textId="77777777" w:rsidR="003A0F6F" w:rsidRDefault="004C5377" w:rsidP="004C5377">
      <w:pPr>
        <w:rPr>
          <w:b/>
          <w:noProof/>
        </w:rPr>
      </w:pPr>
      <w:r w:rsidRPr="00C3707B">
        <w:rPr>
          <w:b/>
          <w:noProof/>
        </w:rPr>
        <w:t>Vergroting van de voorzieningszekerheid van de EU</w:t>
      </w:r>
    </w:p>
    <w:p w14:paraId="199BC741" w14:textId="77777777" w:rsidR="003A0F6F" w:rsidRDefault="004C5377" w:rsidP="004C5377">
      <w:pPr>
        <w:rPr>
          <w:noProof/>
        </w:rPr>
      </w:pPr>
      <w:r w:rsidRPr="00C3707B">
        <w:rPr>
          <w:noProof/>
        </w:rPr>
        <w:t>In hoofdstuk II wordt verduidelijkt dat de voorzieningszekerheid en beschikbaarheid van kritieke geneesmiddelen voor alle patiënten een van de strategische doelstellingen van de EU is. Voor deze doelstelling is een gecoördineerde aanpak van de lidstaten en de Commissie vereist.</w:t>
      </w:r>
    </w:p>
    <w:p w14:paraId="5DF8275C" w14:textId="77777777" w:rsidR="003A0F6F" w:rsidRDefault="004C5377" w:rsidP="004C5377">
      <w:pPr>
        <w:rPr>
          <w:b/>
          <w:noProof/>
        </w:rPr>
      </w:pPr>
      <w:r w:rsidRPr="00C3707B">
        <w:rPr>
          <w:b/>
          <w:noProof/>
        </w:rPr>
        <w:t>Randvoorwaarden voor investeringen</w:t>
      </w:r>
    </w:p>
    <w:p w14:paraId="0223DDA4" w14:textId="77777777" w:rsidR="003A0F6F" w:rsidRDefault="004C5377" w:rsidP="004C5377">
      <w:pPr>
        <w:rPr>
          <w:i/>
          <w:noProof/>
        </w:rPr>
      </w:pPr>
      <w:r w:rsidRPr="00C3707B">
        <w:rPr>
          <w:i/>
          <w:noProof/>
        </w:rPr>
        <w:t>Criteria en procedure voor de erkenning van strategische projecten</w:t>
      </w:r>
    </w:p>
    <w:p w14:paraId="087B7D09" w14:textId="77777777" w:rsidR="003A0F6F" w:rsidRDefault="004C5377" w:rsidP="004C5377">
      <w:pPr>
        <w:rPr>
          <w:noProof/>
        </w:rPr>
      </w:pPr>
      <w:r w:rsidRPr="00C3707B">
        <w:rPr>
          <w:noProof/>
        </w:rPr>
        <w:t>In afdeling I van hoofdstuk III worden criteria vastgesteld voor de erkenning van sommige projecten als strategische projecten en worden de stappen beschreven om dergelijke projecten op het niveau van de lidstaten te erkennen. Er wordt een autoriteit van een lidstaat aangewezen die op verzoek beoordeelt en bevestigt of een specifiek project aan de vastgestelde criteria voldoet.</w:t>
      </w:r>
    </w:p>
    <w:p w14:paraId="1C9A6E71" w14:textId="77777777" w:rsidR="003A0F6F" w:rsidRDefault="004C5377" w:rsidP="004C5377">
      <w:pPr>
        <w:rPr>
          <w:i/>
          <w:noProof/>
        </w:rPr>
      </w:pPr>
      <w:r w:rsidRPr="00C3707B">
        <w:rPr>
          <w:i/>
          <w:noProof/>
        </w:rPr>
        <w:t>Vergemakkelijking van administratieve en vergunningsprocedures</w:t>
      </w:r>
    </w:p>
    <w:p w14:paraId="654A8602" w14:textId="77777777" w:rsidR="003A0F6F" w:rsidRDefault="004C5377" w:rsidP="004C5377">
      <w:pPr>
        <w:rPr>
          <w:noProof/>
        </w:rPr>
      </w:pPr>
      <w:r w:rsidRPr="00C3707B">
        <w:rPr>
          <w:noProof/>
        </w:rPr>
        <w:t>Afdeling II van hoofdstuk III voorziet in een prioritaire status voor strategische projecten die in het kader van vergunningsprocedures worden geacht in het algemeen belang te zijn. Om vergunningsprocedures sneller te laten verlopen, kan ook worden verzocht om strategische projecten de hoogste status van nationaal belang toe te kennen in de lidstaten waar een dergelijke status bestaat, en worden verzocht om een gecoördineerde of gezamenlijke procedure wanneer een milieubeoordeling uit hoofde van andere EU-wetgeving vereist is. Tot slot voorziet het voorstel ook in de mogelijkheid voor ontwikkelaars van strategische projecten om de desbetreffende autoriteiten om administratieve, wetenschappelijke en regelgevingssteun te verzoeken.</w:t>
      </w:r>
    </w:p>
    <w:p w14:paraId="216E95AE" w14:textId="6B8B97C6" w:rsidR="004C5377" w:rsidRPr="00C3707B" w:rsidRDefault="004C5377" w:rsidP="004C5377">
      <w:pPr>
        <w:rPr>
          <w:noProof/>
        </w:rPr>
      </w:pPr>
      <w:r w:rsidRPr="00C3707B">
        <w:rPr>
          <w:i/>
          <w:noProof/>
        </w:rPr>
        <w:t>Financiële stimulansen</w:t>
      </w:r>
    </w:p>
    <w:p w14:paraId="695A8C35" w14:textId="77777777" w:rsidR="003A0F6F" w:rsidRDefault="004C5377" w:rsidP="004C5377">
      <w:pPr>
        <w:rPr>
          <w:noProof/>
        </w:rPr>
      </w:pPr>
      <w:r w:rsidRPr="00C3707B">
        <w:rPr>
          <w:noProof/>
        </w:rPr>
        <w:t>In afdeling III van hoofdstuk III wordt voorzien in de mogelijkheid voor de lidstaten om voorrang te geven aan financiële steun voor strategische projecten om kwetsbaarheden in de toeleveringsketens aan te pakken, en wordt vereist dat terdege rekening wordt gehouden met de resultaten van kwetsbaarheidsbeoordelingen en met de strategische richtsnoeren van de groep kritieke geneesmiddelen. Indien strategische projecten aan de voorwaarden en vereisten van de oproepen in het kader van de beschikbare programma’s voldoen, kunnen zij onder het huidige MFK met EU-financiering worden ondersteund. Tot slot wordt informatie over strategische projecten die financiële steun van een lidstaat of de EU (zullen) ontvangen, via de groep kritieke geneesmiddelen uitgewisseld.</w:t>
      </w:r>
    </w:p>
    <w:p w14:paraId="106470AA" w14:textId="77777777" w:rsidR="003A0F6F" w:rsidRDefault="004C5377" w:rsidP="004C5377">
      <w:pPr>
        <w:rPr>
          <w:b/>
          <w:noProof/>
        </w:rPr>
      </w:pPr>
      <w:r w:rsidRPr="00C3707B">
        <w:rPr>
          <w:b/>
          <w:noProof/>
        </w:rPr>
        <w:t>Maatregelen aan de vraagzijde</w:t>
      </w:r>
    </w:p>
    <w:p w14:paraId="3AF138A8" w14:textId="77777777" w:rsidR="003A0F6F" w:rsidRDefault="004C5377" w:rsidP="004C5377">
      <w:pPr>
        <w:rPr>
          <w:i/>
          <w:noProof/>
        </w:rPr>
      </w:pPr>
      <w:r w:rsidRPr="00C3707B">
        <w:rPr>
          <w:i/>
          <w:noProof/>
        </w:rPr>
        <w:t>Gunningscriteria en andere aanbestedingsvereisten, en daarmee verband houdende maatregelen</w:t>
      </w:r>
    </w:p>
    <w:p w14:paraId="4836CCA8" w14:textId="7842EFAA" w:rsidR="004C5377" w:rsidRPr="00C3707B" w:rsidRDefault="004C5377" w:rsidP="004C5377">
      <w:pPr>
        <w:rPr>
          <w:noProof/>
        </w:rPr>
      </w:pPr>
      <w:r w:rsidRPr="00C3707B">
        <w:rPr>
          <w:noProof/>
        </w:rPr>
        <w:t>In afdeling I van hoofdstuk IV wordt de toepassing van andere aanbestedingsvereisten dan de prijs opgelegd in het kader van openbare aanbestedingsprocedures door aanbestedende diensten in de lidstaten, tenzij dat gerechtvaardigd is op grond van marktanalyse en overwegingen in verband met de financiering van gezondheidsdiensten. In dit voorstel wordt in specifieke gevallen waarin dit op grond van een kwetsbaarheidsbeoordeling gerechtvaardigd is, vereist dat de aanbestedende diensten aanbestedingsvereisten toepassen waarmee leveranciers worden bevoordeeld die een aanzienlijk deel van deze kritieke geneesmiddelen in de EU vervaardigen. Er moet worden gewaarborgd dat de internationale verbintenissen van de Unie worden nageleefd. Tot slot zal van de lidstaten worden vereist dat zij nationale programma’s ontwikkelen om de voorzieningszekerheid van geneesmiddelen te waarborgen door middel van aanbestedingen en mogelijkerwijs door middel van prijsstellings- en vergoedingspraktijken. Wanneer actoren in de toeleveringsketens worden verplicht noodvoorraden aan te houden, moeten de lidstaten ervoor zorgen dat deze vereisten evenredig en in overeenstemming met de beginselen van transparantie en solidariteit zijn.</w:t>
      </w:r>
    </w:p>
    <w:p w14:paraId="401B7FA7" w14:textId="77777777" w:rsidR="003A0F6F" w:rsidRDefault="004C5377" w:rsidP="004C5377">
      <w:pPr>
        <w:rPr>
          <w:i/>
          <w:noProof/>
        </w:rPr>
      </w:pPr>
      <w:r w:rsidRPr="00C3707B">
        <w:rPr>
          <w:i/>
          <w:noProof/>
        </w:rPr>
        <w:t>Collectieve aanbestedingen</w:t>
      </w:r>
    </w:p>
    <w:p w14:paraId="7AC72088" w14:textId="77777777" w:rsidR="003A0F6F" w:rsidRDefault="004C5377" w:rsidP="004C5377">
      <w:pPr>
        <w:rPr>
          <w:noProof/>
        </w:rPr>
      </w:pPr>
      <w:r w:rsidRPr="00C3707B">
        <w:rPr>
          <w:noProof/>
        </w:rPr>
        <w:t>Afdeling II van hoofdstuk IV bevat een kader voor de lidstaten om de Commissie om steun te verzoeken voor het gebruik van verschillende instrumenten voor collectieve aanbesteding van kritieke geneesmiddelen en andere geneesmiddelen van gemeenschappelijk belang, afhankelijk van de context en met inachtneming van de beginselen van subsidiariteit en evenredigheid. Hieronder vallen ook het door de Commissie faciliteren van grensoverschrijdende aanbestedingen tussen lidstaten, aanbestedingen door de Commissie namens of voor rekening van lidstaten, alsook betrokkenheid van de Commissie en de lidstaten bij gezamenlijke aanbestedingen.</w:t>
      </w:r>
    </w:p>
    <w:p w14:paraId="34C2027D" w14:textId="77777777" w:rsidR="003A0F6F" w:rsidRDefault="004C5377" w:rsidP="004C5377">
      <w:pPr>
        <w:rPr>
          <w:b/>
          <w:noProof/>
        </w:rPr>
      </w:pPr>
      <w:r w:rsidRPr="00C3707B">
        <w:rPr>
          <w:b/>
          <w:noProof/>
        </w:rPr>
        <w:t>Coördinatiegroep kritieke geneesmiddelen</w:t>
      </w:r>
    </w:p>
    <w:p w14:paraId="4830E1D0" w14:textId="77777777" w:rsidR="003A0F6F" w:rsidRDefault="004C5377" w:rsidP="004C5377">
      <w:pPr>
        <w:rPr>
          <w:noProof/>
        </w:rPr>
      </w:pPr>
      <w:r w:rsidRPr="00C3707B">
        <w:rPr>
          <w:noProof/>
        </w:rPr>
        <w:t>In hoofdstuk V wordt voorzien in de oprichting van de coördinatiegroep kritieke geneesmiddelen, die bestaat uit de Commissie en vertegenwoordigers van de lidstaten. De belangrijkste taak van deze groep kritieke geneesmiddelen is om de toepassing van deze verordening te vergemakkelijken, onder meer door: a) besprekingen van de strategische oriëntatie voor financiële steun aan strategische projecten; b) uitwisseling van, en in voorkomend geval, samenwerking op het gebied van nationaal aanbestedingsbeleid; c) besprekingen over de noodzaak van initiatieven voor collectieve aanbestedingen; d) advies over de volgorde van prioriteit voor de kwetsbaarheidsbeoordeling van kritieke geneesmiddelen. De groep kritieke geneesmiddelen zal ook een bespreking van de strategische partnerschappen mogelijk maken.</w:t>
      </w:r>
    </w:p>
    <w:p w14:paraId="28FEFC71" w14:textId="77777777" w:rsidR="003A0F6F" w:rsidRDefault="004C5377" w:rsidP="004C5377">
      <w:pPr>
        <w:rPr>
          <w:b/>
          <w:noProof/>
        </w:rPr>
      </w:pPr>
      <w:r w:rsidRPr="00C3707B">
        <w:rPr>
          <w:b/>
          <w:noProof/>
        </w:rPr>
        <w:t>Internationale samenwerking</w:t>
      </w:r>
    </w:p>
    <w:p w14:paraId="523BBFAB" w14:textId="77777777" w:rsidR="003A0F6F" w:rsidRDefault="004C5377" w:rsidP="004C5377">
      <w:pPr>
        <w:rPr>
          <w:noProof/>
        </w:rPr>
      </w:pPr>
      <w:r w:rsidRPr="00C3707B">
        <w:rPr>
          <w:noProof/>
        </w:rPr>
        <w:t>Krachtens hoofdstuk VI moet de Commissie de mogelijkheid onderzoeken om strategische partnerschappen op te zetten.</w:t>
      </w:r>
    </w:p>
    <w:p w14:paraId="6D50FD05" w14:textId="592742D5" w:rsidR="004C5377" w:rsidRPr="00C3707B" w:rsidRDefault="004C5377" w:rsidP="004C5377">
      <w:pPr>
        <w:rPr>
          <w:b/>
          <w:bCs/>
          <w:noProof/>
        </w:rPr>
      </w:pPr>
      <w:r w:rsidRPr="00C3707B">
        <w:rPr>
          <w:b/>
          <w:noProof/>
        </w:rPr>
        <w:t>Slotbepalingen</w:t>
      </w:r>
    </w:p>
    <w:p w14:paraId="5B58832F" w14:textId="77777777" w:rsidR="003A0F6F" w:rsidRDefault="004C5377" w:rsidP="004C5377">
      <w:pPr>
        <w:rPr>
          <w:noProof/>
        </w:rPr>
      </w:pPr>
      <w:r w:rsidRPr="00C3707B">
        <w:rPr>
          <w:noProof/>
        </w:rPr>
        <w:t xml:space="preserve">Hoofdstuk VII bevat bepalingen tot wijziging van Verordening (EU) </w:t>
      </w:r>
      <w:r w:rsidRPr="00160A33">
        <w:rPr>
          <w:noProof/>
        </w:rPr>
        <w:t>2024</w:t>
      </w:r>
      <w:r w:rsidRPr="00C3707B">
        <w:rPr>
          <w:noProof/>
        </w:rPr>
        <w:t>/</w:t>
      </w:r>
      <w:r w:rsidRPr="00160A33">
        <w:rPr>
          <w:noProof/>
        </w:rPr>
        <w:t>795</w:t>
      </w:r>
      <w:r w:rsidRPr="00C3707B">
        <w:rPr>
          <w:noProof/>
        </w:rPr>
        <w:t>. Krachten hoofdstuk VIII moeten de marktdeelnemers informatie verstrekken die nodig is voor de toepassing van de voorgestelde verordening. In dit hoofdstuk wordt ook het tijdschema vastgesteld voor de evaluatie van de voorgestelde verordening en worden de data voor de inwerkingtreding en toepassing van de verschillende bepalingen vastgesteld.</w:t>
      </w:r>
    </w:p>
    <w:p w14:paraId="5C33D341" w14:textId="5934D83D" w:rsidR="004C5377" w:rsidRPr="00C3707B" w:rsidRDefault="004C5377">
      <w:pPr>
        <w:rPr>
          <w:noProof/>
        </w:rPr>
        <w:sectPr w:rsidR="004C5377" w:rsidRPr="00C3707B" w:rsidSect="00C21E5E">
          <w:headerReference w:type="even" r:id="rId15"/>
          <w:footerReference w:type="even" r:id="rId16"/>
          <w:footerReference w:type="default" r:id="rId17"/>
          <w:headerReference w:type="first" r:id="rId18"/>
          <w:footerReference w:type="first" r:id="rId19"/>
          <w:footnotePr>
            <w:numRestart w:val="eachSect"/>
          </w:footnotePr>
          <w:pgSz w:w="11907" w:h="16839"/>
          <w:pgMar w:top="1134" w:right="1417" w:bottom="1134" w:left="1417" w:header="709" w:footer="709" w:gutter="0"/>
          <w:cols w:space="708"/>
          <w:docGrid w:linePitch="360"/>
        </w:sectPr>
      </w:pPr>
    </w:p>
    <w:p w14:paraId="4B3C4A11" w14:textId="2FD201F6" w:rsidR="0047134C" w:rsidRPr="00C3707B" w:rsidRDefault="00C94C3F" w:rsidP="00C94C3F">
      <w:pPr>
        <w:pStyle w:val="Rfrenceinterinstitutionnelle"/>
        <w:rPr>
          <w:noProof/>
        </w:rPr>
      </w:pPr>
      <w:r>
        <w:rPr>
          <w:noProof/>
        </w:rPr>
        <w:t>2025/0102 (COD)</w:t>
      </w:r>
    </w:p>
    <w:p w14:paraId="62F245C4" w14:textId="32360F34" w:rsidR="004C5377" w:rsidRPr="00C3707B" w:rsidRDefault="00C94C3F" w:rsidP="00C94C3F">
      <w:pPr>
        <w:pStyle w:val="Statut"/>
        <w:rPr>
          <w:noProof/>
        </w:rPr>
      </w:pPr>
      <w:r w:rsidRPr="00C94C3F">
        <w:rPr>
          <w:noProof/>
        </w:rPr>
        <w:t>Voorstel voor een</w:t>
      </w:r>
    </w:p>
    <w:p w14:paraId="036B5702" w14:textId="07BBFBA9" w:rsidR="004C5377" w:rsidRPr="00C3707B" w:rsidRDefault="00C94C3F" w:rsidP="00C94C3F">
      <w:pPr>
        <w:pStyle w:val="Typedudocument"/>
        <w:rPr>
          <w:noProof/>
        </w:rPr>
      </w:pPr>
      <w:r w:rsidRPr="00C94C3F">
        <w:rPr>
          <w:noProof/>
        </w:rPr>
        <w:t>VERORDENING VAN HET EUROPEES PARLEMENT EN DE RAAD</w:t>
      </w:r>
    </w:p>
    <w:p w14:paraId="47F5A34B" w14:textId="186B078A" w:rsidR="004C5377" w:rsidRPr="00C3707B" w:rsidRDefault="00C94C3F" w:rsidP="00C94C3F">
      <w:pPr>
        <w:pStyle w:val="Titreobjet"/>
        <w:rPr>
          <w:noProof/>
        </w:rPr>
      </w:pPr>
      <w:r w:rsidRPr="00C94C3F">
        <w:rPr>
          <w:noProof/>
        </w:rPr>
        <w:t>tot vaststelling van een kader voor de vergroting van de beschikbaarheid en voorzieningszekerheid van kritieke geneesmiddelen, en van de beschikbaarheid en toegankelijkheid van geneesmiddelen van gemeenschappelijk belang, en tot wijziging van Verordening (EU) 2024/795</w:t>
      </w:r>
    </w:p>
    <w:p w14:paraId="35865D99" w14:textId="5539BEB2" w:rsidR="004C5377" w:rsidRPr="00C3707B" w:rsidRDefault="00C94C3F" w:rsidP="00C94C3F">
      <w:pPr>
        <w:pStyle w:val="IntrtEEE"/>
        <w:rPr>
          <w:noProof/>
        </w:rPr>
      </w:pPr>
      <w:r w:rsidRPr="00C94C3F">
        <w:rPr>
          <w:noProof/>
        </w:rPr>
        <w:t>(Voor de EER relevante tekst)</w:t>
      </w:r>
    </w:p>
    <w:p w14:paraId="7EC178E4" w14:textId="77777777" w:rsidR="00EE2AB0" w:rsidRPr="00C3707B" w:rsidRDefault="00EE2AB0" w:rsidP="00EE2AB0">
      <w:pPr>
        <w:pStyle w:val="Institutionquiagit"/>
        <w:rPr>
          <w:noProof/>
        </w:rPr>
      </w:pPr>
      <w:r w:rsidRPr="00C3707B">
        <w:rPr>
          <w:noProof/>
        </w:rPr>
        <w:t>HET EUROPEES PARLEMENT EN DE RAAD VAN DE EUROPESE UNIE,</w:t>
      </w:r>
    </w:p>
    <w:p w14:paraId="5F47B983" w14:textId="77777777" w:rsidR="00EE2AB0" w:rsidRPr="00C3707B" w:rsidRDefault="00EE2AB0" w:rsidP="00EE2AB0">
      <w:pPr>
        <w:rPr>
          <w:noProof/>
        </w:rPr>
      </w:pPr>
      <w:r w:rsidRPr="00C3707B">
        <w:rPr>
          <w:noProof/>
        </w:rPr>
        <w:t>Gezien het Verdrag betreffende de werking van de Europese Unie, en met name artikel </w:t>
      </w:r>
      <w:r w:rsidRPr="00160A33">
        <w:rPr>
          <w:noProof/>
        </w:rPr>
        <w:t>114</w:t>
      </w:r>
      <w:r w:rsidRPr="00C3707B">
        <w:rPr>
          <w:noProof/>
        </w:rPr>
        <w:t>,</w:t>
      </w:r>
    </w:p>
    <w:p w14:paraId="5DA4CC00" w14:textId="77777777" w:rsidR="00EE2AB0" w:rsidRPr="00C3707B" w:rsidRDefault="00EE2AB0" w:rsidP="00EE2AB0">
      <w:pPr>
        <w:rPr>
          <w:noProof/>
        </w:rPr>
      </w:pPr>
      <w:r w:rsidRPr="00C3707B">
        <w:rPr>
          <w:noProof/>
        </w:rPr>
        <w:t>Gezien het voorstel van de Europese Commissie,</w:t>
      </w:r>
    </w:p>
    <w:p w14:paraId="16330E0B" w14:textId="77777777" w:rsidR="00EE2AB0" w:rsidRPr="00C3707B" w:rsidRDefault="00EE2AB0" w:rsidP="00EE2AB0">
      <w:pPr>
        <w:rPr>
          <w:noProof/>
        </w:rPr>
      </w:pPr>
      <w:r w:rsidRPr="00C3707B">
        <w:rPr>
          <w:noProof/>
        </w:rPr>
        <w:t>Na toezending van het ontwerp van wetgevingshandeling aan de nationale parlementen,</w:t>
      </w:r>
    </w:p>
    <w:p w14:paraId="37CFFFA2" w14:textId="77777777" w:rsidR="003A0F6F" w:rsidRDefault="00EE2AB0" w:rsidP="00EE2AB0">
      <w:pPr>
        <w:rPr>
          <w:noProof/>
        </w:rPr>
      </w:pPr>
      <w:r w:rsidRPr="00C3707B">
        <w:rPr>
          <w:noProof/>
        </w:rPr>
        <w:t>Gezien het advies van het Europees Economisch en Sociaal Comité</w:t>
      </w:r>
      <w:r w:rsidRPr="00C3707B">
        <w:rPr>
          <w:rStyle w:val="FootnoteReference"/>
          <w:noProof/>
        </w:rPr>
        <w:footnoteReference w:id="66"/>
      </w:r>
      <w:r w:rsidRPr="00C3707B">
        <w:rPr>
          <w:noProof/>
        </w:rPr>
        <w:t>,</w:t>
      </w:r>
    </w:p>
    <w:p w14:paraId="2497E85E" w14:textId="6DAD98E8" w:rsidR="00EE2AB0" w:rsidRPr="00C3707B" w:rsidRDefault="00EE2AB0" w:rsidP="00EE2AB0">
      <w:pPr>
        <w:rPr>
          <w:noProof/>
        </w:rPr>
      </w:pPr>
      <w:r w:rsidRPr="00C3707B">
        <w:rPr>
          <w:noProof/>
        </w:rPr>
        <w:t>Handelend volgens de gewone wetgevingsprocedure,</w:t>
      </w:r>
    </w:p>
    <w:p w14:paraId="72BA324A" w14:textId="77777777" w:rsidR="004C5377" w:rsidRPr="00C3707B" w:rsidRDefault="00EE2AB0" w:rsidP="00EE2AB0">
      <w:pPr>
        <w:rPr>
          <w:noProof/>
        </w:rPr>
      </w:pPr>
      <w:r w:rsidRPr="00C3707B">
        <w:rPr>
          <w:noProof/>
        </w:rPr>
        <w:t>Overwegende hetgeen volgt:</w:t>
      </w:r>
    </w:p>
    <w:p w14:paraId="6C284069" w14:textId="77777777" w:rsidR="00917777" w:rsidRPr="00C3707B" w:rsidRDefault="001D7C2D" w:rsidP="001D7C2D">
      <w:pPr>
        <w:pStyle w:val="ManualConsidrant"/>
        <w:rPr>
          <w:noProof/>
        </w:rPr>
      </w:pPr>
      <w:r w:rsidRPr="00C3707B">
        <w:rPr>
          <w:noProof/>
        </w:rPr>
        <w:t>(</w:t>
      </w:r>
      <w:r w:rsidRPr="00160A33">
        <w:rPr>
          <w:noProof/>
        </w:rPr>
        <w:t>1</w:t>
      </w:r>
      <w:r w:rsidRPr="00C3707B">
        <w:rPr>
          <w:noProof/>
        </w:rPr>
        <w:t>)</w:t>
      </w:r>
      <w:r w:rsidRPr="00C3707B">
        <w:rPr>
          <w:noProof/>
        </w:rPr>
        <w:tab/>
        <w:t>Krachtens artikel </w:t>
      </w:r>
      <w:r w:rsidRPr="00160A33">
        <w:rPr>
          <w:noProof/>
        </w:rPr>
        <w:t>9</w:t>
      </w:r>
      <w:r w:rsidRPr="00C3707B">
        <w:rPr>
          <w:noProof/>
        </w:rPr>
        <w:t xml:space="preserve"> van het Verdrag betreffende de werking van de Europese Unie (“VWEU”) en artikel </w:t>
      </w:r>
      <w:r w:rsidRPr="00160A33">
        <w:rPr>
          <w:noProof/>
        </w:rPr>
        <w:t>35</w:t>
      </w:r>
      <w:r w:rsidRPr="00C3707B">
        <w:rPr>
          <w:noProof/>
        </w:rPr>
        <w:t xml:space="preserve"> van het Handvest van de grondrechten van de Europese Unie (“het Handvest”) moet de Unie bij elk beleid en elk optreden van de Unie een hoog niveau van bescherming van de menselijke gezondheid waarborgen. Om deze doelstelling te verwezenlijken en de volksgezondheid in de hele Unie te beschermen, is de beschikbaarheid van veilige, werkzame en hoogwaardige geneesmiddelen van vitaal belang.</w:t>
      </w:r>
    </w:p>
    <w:p w14:paraId="199D9584" w14:textId="77777777" w:rsidR="003A0F6F" w:rsidRDefault="001D7C2D" w:rsidP="001D7C2D">
      <w:pPr>
        <w:pStyle w:val="ManualConsidrant"/>
        <w:rPr>
          <w:noProof/>
        </w:rPr>
      </w:pPr>
      <w:r w:rsidRPr="00C3707B">
        <w:rPr>
          <w:noProof/>
        </w:rPr>
        <w:t>(</w:t>
      </w:r>
      <w:r w:rsidRPr="00160A33">
        <w:rPr>
          <w:noProof/>
        </w:rPr>
        <w:t>2</w:t>
      </w:r>
      <w:r w:rsidRPr="00C3707B">
        <w:rPr>
          <w:noProof/>
        </w:rPr>
        <w:t>)</w:t>
      </w:r>
      <w:r w:rsidRPr="00C3707B">
        <w:rPr>
          <w:noProof/>
        </w:rPr>
        <w:tab/>
        <w:t>De Unie heeft de afgelopen jaren te kampen gehad met een toename van geneesmiddelentekorten, waaronder tekorten aan geneesmiddelen waarvan ontoereikende levering tot ernstige schade bij of een risico op ernstige schade voor patiënten leidt.</w:t>
      </w:r>
    </w:p>
    <w:p w14:paraId="1672EBF3" w14:textId="418EAD5D" w:rsidR="00917777" w:rsidRPr="00C3707B" w:rsidRDefault="001D7C2D" w:rsidP="001D7C2D">
      <w:pPr>
        <w:pStyle w:val="ManualConsidrant"/>
        <w:rPr>
          <w:rFonts w:eastAsia="Times New Roman"/>
          <w:noProof/>
        </w:rPr>
      </w:pPr>
      <w:r w:rsidRPr="00C3707B">
        <w:rPr>
          <w:noProof/>
        </w:rPr>
        <w:t>(</w:t>
      </w:r>
      <w:r w:rsidRPr="00160A33">
        <w:rPr>
          <w:noProof/>
        </w:rPr>
        <w:t>3</w:t>
      </w:r>
      <w:r w:rsidRPr="00C3707B">
        <w:rPr>
          <w:noProof/>
        </w:rPr>
        <w:t>)</w:t>
      </w:r>
      <w:r w:rsidRPr="00C3707B">
        <w:rPr>
          <w:noProof/>
        </w:rPr>
        <w:tab/>
        <w:t>Geneesmiddelentekorten kunnen verschillende en complexe onderliggende oorzaken hebben waarbij in de gehele farmaceutische waardeketen problemen zijn vastgesteld.</w:t>
      </w:r>
      <w:r w:rsidRPr="00C3707B">
        <w:rPr>
          <w:noProof/>
          <w:shd w:val="clear" w:color="auto" w:fill="FFFFFF"/>
        </w:rPr>
        <w:t xml:space="preserve"> Geneesmiddelentekorten kunnen met name het gevolg zijn van verstoringen van en kwetsbaarheden in de toeleveringsketens die van invloed zijn op de levering van belangrijke ingrediënten en bestanddelen.</w:t>
      </w:r>
      <w:r w:rsidRPr="00C3707B">
        <w:rPr>
          <w:noProof/>
        </w:rPr>
        <w:t xml:space="preserve"> Hierbij gaat het onder meer om de bestaande afhankelijkheid van een beperkt aantal leveranciers wereldwijd en een gebrek aan capaciteit in de Unie om bepaalde geneesmiddelen en de werkzame stoffen of belangrijke grondstoffen daarvan te produceren. Door de voorzieningsbronnen te diversifiëren en in lokale productie te investeren, kan de Unie het risico dat zij te maken krijgt met geneesmiddelentekorten verkleinen.</w:t>
      </w:r>
    </w:p>
    <w:p w14:paraId="51D292DB" w14:textId="77777777" w:rsidR="007A5A04" w:rsidRPr="00C3707B" w:rsidRDefault="001D7C2D" w:rsidP="001D7C2D">
      <w:pPr>
        <w:pStyle w:val="ManualConsidrant"/>
        <w:rPr>
          <w:rFonts w:eastAsia="Times New Roman"/>
          <w:noProof/>
        </w:rPr>
      </w:pPr>
      <w:r w:rsidRPr="00C3707B">
        <w:rPr>
          <w:noProof/>
        </w:rPr>
        <w:t>(</w:t>
      </w:r>
      <w:r w:rsidRPr="00160A33">
        <w:rPr>
          <w:noProof/>
        </w:rPr>
        <w:t>4</w:t>
      </w:r>
      <w:r w:rsidRPr="00C3707B">
        <w:rPr>
          <w:noProof/>
        </w:rPr>
        <w:t>)</w:t>
      </w:r>
      <w:r w:rsidRPr="00C3707B">
        <w:rPr>
          <w:noProof/>
        </w:rPr>
        <w:tab/>
        <w:t>Problemen van de industrie en een gebrek aan investeringen in productiecapaciteit in de Unie hebben bijgedragen tot een toename van de afhankelijkheid van leveranciers uit derde landen, met name voor belangrijke grondstoffen voor geneesmiddelen en belangrijke werkzame stoffen. Het opzetten van nieuwe of het moderniseren van bestaande productiecapaciteit in de Unie voor kritieke geneesmiddelen en de belangrijke inputs en werkzame stoffen daarvan, die vaak al geruime tijd op de markt zijn en als betrekkelijk goedkoop worden beschouwd, wordt op dit moment niet als een aantrekkelijke optie voor particuliere investeringen beschouwd, mede gezien het feit dat de energiekosten elders in de wereld lager zijn en er minder milieu- en andere wettelijke vereisten zijn. De problemen van de industrie bij vervaardiging in de Unie worden verergerd door een tekort aan arbeidskrachten en de behoefte aan gespecialiseerde vaardigheden voor de productie van geneesmiddelen. Gerichte financiële prikkels, vereenvoudigde administratieve processen en een betere coördinatie op Unieniveau kunnen bijdragen tot de ondersteuning van inspanningen om de productiecapaciteit in de Unie te vergroten en de toeleveringsketens van kritieke geneesmiddelen te versterken.</w:t>
      </w:r>
    </w:p>
    <w:p w14:paraId="66E6F9A1" w14:textId="77777777" w:rsidR="003A0F6F" w:rsidRDefault="001D7C2D" w:rsidP="001D7C2D">
      <w:pPr>
        <w:pStyle w:val="ManualConsidrant"/>
        <w:rPr>
          <w:noProof/>
        </w:rPr>
      </w:pPr>
      <w:r w:rsidRPr="00C3707B">
        <w:rPr>
          <w:noProof/>
        </w:rPr>
        <w:t>(</w:t>
      </w:r>
      <w:r w:rsidRPr="00160A33">
        <w:rPr>
          <w:noProof/>
        </w:rPr>
        <w:t>5</w:t>
      </w:r>
      <w:r w:rsidRPr="00C3707B">
        <w:rPr>
          <w:noProof/>
        </w:rPr>
        <w:t>)</w:t>
      </w:r>
      <w:r w:rsidRPr="00C3707B">
        <w:rPr>
          <w:noProof/>
        </w:rPr>
        <w:tab/>
        <w:t xml:space="preserve">Om de voorzieningszekerheid van geneesmiddelen te verbeteren en aldus bij te dragen tot een hoog niveau van bescherming van de volksgezondheid, heeft de Unie een reeks maatregelen getroffen waarmee wordt bijgedragen tot de opbouw van een Europese gezondheidsunie. Een belangrijke maatregel is de uitbreiding van het mandaat van het Europees Geneesmiddelenbureau (het Bureau) bij Verordening (EU) </w:t>
      </w:r>
      <w:r w:rsidRPr="00160A33">
        <w:rPr>
          <w:noProof/>
        </w:rPr>
        <w:t>2022</w:t>
      </w:r>
      <w:r w:rsidRPr="00C3707B">
        <w:rPr>
          <w:noProof/>
        </w:rPr>
        <w:t>/</w:t>
      </w:r>
      <w:r w:rsidRPr="00160A33">
        <w:rPr>
          <w:noProof/>
        </w:rPr>
        <w:t>123</w:t>
      </w:r>
      <w:r w:rsidRPr="00C3707B">
        <w:rPr>
          <w:noProof/>
        </w:rPr>
        <w:t xml:space="preserve"> van het Europees Parlement en de Raad</w:t>
      </w:r>
      <w:r w:rsidRPr="00C3707B">
        <w:rPr>
          <w:rStyle w:val="FootnoteReference"/>
          <w:noProof/>
        </w:rPr>
        <w:footnoteReference w:id="67"/>
      </w:r>
      <w:r w:rsidRPr="00C3707B">
        <w:rPr>
          <w:noProof/>
        </w:rPr>
        <w:t xml:space="preserve"> door monitoring-, coördinatie- en verslagleggingsmechanismen te verbeteren om verstoringen van de voorziening van kritieke geneesmiddelen in de lidstaten te voorkomen en te beperken. Ook is bij die verordening de uitvoerende stuurgroep inzake tekorten aan geneesmiddelen en de veiligheid ervan van het Bureau (“de stuurgroep tekorten aan geneesmiddelen”) opgericht, die bestaat uit vertegenwoordigers van het Bureau en de lidstaten, met als doel dringende maatregelen binnen de Unie te coördineren om bestaande tekorten en problemen in verband met de kwaliteit, veiligheid en werkzaamheid van geneesmiddelen te beheren.</w:t>
      </w:r>
    </w:p>
    <w:p w14:paraId="128139C0" w14:textId="77777777" w:rsidR="003A0F6F" w:rsidRDefault="001D7C2D" w:rsidP="001D7C2D">
      <w:pPr>
        <w:pStyle w:val="ManualConsidrant"/>
        <w:rPr>
          <w:noProof/>
          <w:color w:val="0000FF"/>
        </w:rPr>
      </w:pPr>
      <w:r w:rsidRPr="00C3707B">
        <w:rPr>
          <w:noProof/>
        </w:rPr>
        <w:t>(</w:t>
      </w:r>
      <w:r w:rsidRPr="00160A33">
        <w:rPr>
          <w:noProof/>
        </w:rPr>
        <w:t>6</w:t>
      </w:r>
      <w:r w:rsidRPr="00C3707B">
        <w:rPr>
          <w:noProof/>
        </w:rPr>
        <w:t>)</w:t>
      </w:r>
      <w:r w:rsidRPr="00C3707B">
        <w:rPr>
          <w:noProof/>
        </w:rPr>
        <w:tab/>
        <w:t>Daarnaast wordt bij Verordening (EU) …/… van het Europees Parlement en de Raad</w:t>
      </w:r>
      <w:r w:rsidRPr="00C3707B">
        <w:rPr>
          <w:rStyle w:val="FootnoteReference"/>
          <w:noProof/>
        </w:rPr>
        <w:footnoteReference w:id="68"/>
      </w:r>
      <w:r w:rsidRPr="00C3707B">
        <w:rPr>
          <w:noProof/>
        </w:rPr>
        <w:t xml:space="preserve"> [</w:t>
      </w:r>
      <w:r w:rsidRPr="00C3707B">
        <w:rPr>
          <w:i/>
          <w:noProof/>
        </w:rPr>
        <w:t>reference to be added after adoption cf.</w:t>
      </w:r>
      <w:r w:rsidRPr="00C3707B">
        <w:rPr>
          <w:noProof/>
        </w:rPr>
        <w:t xml:space="preserve"> </w:t>
      </w:r>
      <w:r w:rsidRPr="00C3707B">
        <w:rPr>
          <w:i/>
          <w:noProof/>
        </w:rPr>
        <w:t>COM(</w:t>
      </w:r>
      <w:r w:rsidRPr="00160A33">
        <w:rPr>
          <w:i/>
          <w:noProof/>
        </w:rPr>
        <w:t>2023</w:t>
      </w:r>
      <w:r w:rsidRPr="00C3707B">
        <w:rPr>
          <w:i/>
          <w:noProof/>
        </w:rPr>
        <w:t>) </w:t>
      </w:r>
      <w:r w:rsidRPr="00160A33">
        <w:rPr>
          <w:i/>
          <w:noProof/>
        </w:rPr>
        <w:t>193</w:t>
      </w:r>
      <w:r w:rsidRPr="00C3707B">
        <w:rPr>
          <w:i/>
          <w:noProof/>
        </w:rPr>
        <w:t xml:space="preserve"> final</w:t>
      </w:r>
      <w:r w:rsidRPr="00C3707B">
        <w:rPr>
          <w:noProof/>
        </w:rPr>
        <w:t xml:space="preserve">] de continuïteit van de levering en beschikbaarheid van geneesmiddelen verder verbeterd door de kerntaken die bij Verordening (EU) </w:t>
      </w:r>
      <w:r w:rsidRPr="00160A33">
        <w:rPr>
          <w:noProof/>
        </w:rPr>
        <w:t>2022</w:t>
      </w:r>
      <w:r w:rsidRPr="00C3707B">
        <w:rPr>
          <w:noProof/>
        </w:rPr>
        <w:t>/</w:t>
      </w:r>
      <w:r w:rsidRPr="00160A33">
        <w:rPr>
          <w:noProof/>
        </w:rPr>
        <w:t>123</w:t>
      </w:r>
      <w:r w:rsidRPr="00C3707B">
        <w:rPr>
          <w:noProof/>
        </w:rPr>
        <w:t xml:space="preserve"> reeds aan het Bureau waren toegewezen verder te ontwikkelen en door een kader te scheppen voor de werkzaamheden die de lidstaten en het Bureau moeten uitvoeren ter verbetering van het vermogen van de Unie om efficiënt en gecoördineerd te reageren zodat het beheer van tekorten en de voorzieningszekerheid van geneesmiddelen wordt ondersteund, onder andere door de verplichtingen voor houders van een vergunning voor het in de handel brengen aan te scherpen wat de preventie van en de verslaglegging over tekorten betreft.</w:t>
      </w:r>
    </w:p>
    <w:p w14:paraId="1A4A8ED8" w14:textId="77777777" w:rsidR="003A0F6F" w:rsidRDefault="001D7C2D" w:rsidP="001D7C2D">
      <w:pPr>
        <w:pStyle w:val="ManualConsidrant"/>
        <w:rPr>
          <w:noProof/>
        </w:rPr>
      </w:pPr>
      <w:r w:rsidRPr="00C3707B">
        <w:rPr>
          <w:noProof/>
        </w:rPr>
        <w:t>(</w:t>
      </w:r>
      <w:r w:rsidRPr="00160A33">
        <w:rPr>
          <w:noProof/>
        </w:rPr>
        <w:t>7</w:t>
      </w:r>
      <w:r w:rsidRPr="00C3707B">
        <w:rPr>
          <w:noProof/>
        </w:rPr>
        <w:t>)</w:t>
      </w:r>
      <w:r w:rsidRPr="00C3707B">
        <w:rPr>
          <w:noProof/>
        </w:rPr>
        <w:tab/>
        <w:t xml:space="preserve">Ondanks wettelijke verplichtingen voor houders van een vergunning voor het in de handel brengen om een continue levering van geneesmiddelen te waarborgen om in de behoeften van patiënten te voorzien, en het bij Verordening (EU) </w:t>
      </w:r>
      <w:r w:rsidRPr="00160A33">
        <w:rPr>
          <w:noProof/>
        </w:rPr>
        <w:t>2022</w:t>
      </w:r>
      <w:r w:rsidRPr="00C3707B">
        <w:rPr>
          <w:noProof/>
        </w:rPr>
        <w:t>/</w:t>
      </w:r>
      <w:r w:rsidRPr="00160A33">
        <w:rPr>
          <w:noProof/>
        </w:rPr>
        <w:t>123</w:t>
      </w:r>
      <w:r w:rsidRPr="00C3707B">
        <w:rPr>
          <w:noProof/>
        </w:rPr>
        <w:t xml:space="preserve"> van het Europees Parlement en de Raad en Verordening (EU) …/… [</w:t>
      </w:r>
      <w:r w:rsidRPr="00C3707B">
        <w:rPr>
          <w:i/>
          <w:noProof/>
        </w:rPr>
        <w:t>reference to be added after adoption cf. COM(</w:t>
      </w:r>
      <w:r w:rsidRPr="00160A33">
        <w:rPr>
          <w:i/>
          <w:noProof/>
        </w:rPr>
        <w:t>2023</w:t>
      </w:r>
      <w:r w:rsidRPr="00C3707B">
        <w:rPr>
          <w:i/>
          <w:noProof/>
        </w:rPr>
        <w:t>)</w:t>
      </w:r>
      <w:r w:rsidRPr="00160A33">
        <w:rPr>
          <w:i/>
          <w:noProof/>
        </w:rPr>
        <w:t>193</w:t>
      </w:r>
      <w:r w:rsidRPr="00C3707B">
        <w:rPr>
          <w:i/>
          <w:noProof/>
        </w:rPr>
        <w:t xml:space="preserve"> final</w:t>
      </w:r>
      <w:r w:rsidRPr="00C3707B">
        <w:rPr>
          <w:noProof/>
        </w:rPr>
        <w:t>] ingevoerde regelgevingsmechanisme om tekorten te beperken en erop te reageren, vormt het functioneren van de markten alleen niet altijd een garantie voor de beschikbaarheid van geneesmiddelen. Dit risico treedt met name op bij verstoringen van de toeleveringsketens, vooral wanneer de voorziening van een bepaald geneesmiddel afhankelijk is van een beperkt aantal leveranciers en productiefaciliteiten wereldwijd of wanneer er sprake is van sterke afhankelijkheid van één derde land of een beperkt aantal derde landen.</w:t>
      </w:r>
    </w:p>
    <w:p w14:paraId="5155FD1E" w14:textId="02914682" w:rsidR="00917777" w:rsidRPr="00C3707B" w:rsidRDefault="001D7C2D" w:rsidP="001D7C2D">
      <w:pPr>
        <w:pStyle w:val="ManualConsidrant"/>
        <w:rPr>
          <w:noProof/>
        </w:rPr>
      </w:pPr>
      <w:r w:rsidRPr="00C3707B">
        <w:rPr>
          <w:noProof/>
        </w:rPr>
        <w:t>(</w:t>
      </w:r>
      <w:r w:rsidRPr="00160A33">
        <w:rPr>
          <w:noProof/>
        </w:rPr>
        <w:t>8</w:t>
      </w:r>
      <w:r w:rsidRPr="00C3707B">
        <w:rPr>
          <w:noProof/>
        </w:rPr>
        <w:t>)</w:t>
      </w:r>
      <w:r w:rsidRPr="00C3707B">
        <w:rPr>
          <w:noProof/>
        </w:rPr>
        <w:tab/>
        <w:t>Aangezien de markt van de Unie voor geneesmiddelen nog steeds versnipperd is, is er behoefte aan een betere coördinatie tussen de lidstaten zodat het vermogen van de Unie tot vergroting van de voorzieningszekerheid van geneesmiddelen ten volle wordt benut zonder afbreuk te doen aan de verantwoordelijkheden van de lidstaten voor de organisatie en verstrekking van gezondheidsdiensten en medische zorg. Ongecoördineerde nationale maatregelen dreigen de interne markt te verstoren, bieden geen oplossingen voor bredere problemen in de toeleveringsketens en zijn niet toereikend voor het oplossen van grensoverschrijdende kwesties, waaronder de afhankelijkheid van de Unie van derde landen. Daarom moet het regelgevende kader voor geneesmiddelen worden aangevuld met gerichte maatregelen die voor verdere harmonisatie zorgen.</w:t>
      </w:r>
    </w:p>
    <w:p w14:paraId="6ADC4914" w14:textId="77777777" w:rsidR="00917777" w:rsidRPr="00C3707B" w:rsidRDefault="001D7C2D" w:rsidP="001D7C2D">
      <w:pPr>
        <w:pStyle w:val="ManualConsidrant"/>
        <w:rPr>
          <w:noProof/>
        </w:rPr>
      </w:pPr>
      <w:r w:rsidRPr="00C3707B">
        <w:rPr>
          <w:noProof/>
        </w:rPr>
        <w:t>(</w:t>
      </w:r>
      <w:r w:rsidRPr="00160A33">
        <w:rPr>
          <w:noProof/>
        </w:rPr>
        <w:t>9</w:t>
      </w:r>
      <w:r w:rsidRPr="00C3707B">
        <w:rPr>
          <w:noProof/>
        </w:rPr>
        <w:t>)</w:t>
      </w:r>
      <w:r w:rsidRPr="00C3707B">
        <w:rPr>
          <w:noProof/>
        </w:rPr>
        <w:tab/>
        <w:t>Ondanks het feit dat bij sommige geneesmiddelen van gemeenschappelijk belang die cruciaal zijn voor het bieden van aangepaste zorg aan patiënten, geen sprake is van problemen in de voorzieningszekerheid, kunnen zij in sommige lidstaten niet beschikbaar zijn voor patiënten. Dit kan worden veroorzaakt door verschillende factoren die gevolgen kunnen hebben voor de tijdige beschikbaarheid van geneesmiddelen in bepaalde lidstaten, zoals de omvang van de vraag naar een product op de product- of de geografische markt.</w:t>
      </w:r>
    </w:p>
    <w:p w14:paraId="4D840B6F" w14:textId="77777777" w:rsidR="003A0F6F" w:rsidRDefault="001D7C2D" w:rsidP="001D7C2D">
      <w:pPr>
        <w:pStyle w:val="ManualConsidrant"/>
        <w:rPr>
          <w:noProof/>
        </w:rPr>
      </w:pPr>
      <w:r w:rsidRPr="00C3707B">
        <w:rPr>
          <w:noProof/>
        </w:rPr>
        <w:t>(</w:t>
      </w:r>
      <w:r w:rsidRPr="00160A33">
        <w:rPr>
          <w:noProof/>
        </w:rPr>
        <w:t>10</w:t>
      </w:r>
      <w:r w:rsidRPr="00C3707B">
        <w:rPr>
          <w:noProof/>
        </w:rPr>
        <w:t>)</w:t>
      </w:r>
      <w:r w:rsidRPr="00C3707B">
        <w:rPr>
          <w:noProof/>
        </w:rPr>
        <w:tab/>
        <w:t>Wat geneesmiddelen betreft, moet een soepele werking van de interne markt en een hoog niveau van bescherming van de menselijke gezondheid worden gewaarborgd, en er moet voor worden gezorgd dat andere geneesmiddelenwetgeving van de Unie wordt aangevuld door te voorzien in een geharmoniseerd kader om de gecoördineerde inspanningen van de lidstaten voor het stimuleren van investeringen in nieuwe en bestaande productiecapaciteit voor kritieke geneesmiddelen te ondersteunen, waarbij het strategisch gebruik door de lidstaten van instrumenten voor openbare aanbestedingen en het coördineren van de aanpak van de lidstaten wordt aangemoedigd, onder andere door de geaggregeerde vraag te benutten via de door de Commissie gefaciliteerde collectieve aanbestedingsprocedures voor kritieke geneesmiddelen en geneesmiddelen van gemeenschappelijk belang. Vanwege de internationale dimensie van de voorzieningszekerheid, met name gezien het feit dat diversificatie van toeleveringsketens en een algehele toename van het aanbod onderdeel zijn van een oplossing voor het waarborgen van de voorzieningszekerheid, moet internationale samenwerking worden aangemoedigd.</w:t>
      </w:r>
    </w:p>
    <w:p w14:paraId="4D443C8E" w14:textId="3956AEFE" w:rsidR="00917777" w:rsidRPr="00C3707B" w:rsidRDefault="001D7C2D" w:rsidP="001D7C2D">
      <w:pPr>
        <w:pStyle w:val="ManualConsidrant"/>
        <w:rPr>
          <w:noProof/>
        </w:rPr>
      </w:pPr>
      <w:r w:rsidRPr="00C3707B">
        <w:rPr>
          <w:noProof/>
        </w:rPr>
        <w:t>(</w:t>
      </w:r>
      <w:r w:rsidRPr="00160A33">
        <w:rPr>
          <w:noProof/>
        </w:rPr>
        <w:t>11</w:t>
      </w:r>
      <w:r w:rsidRPr="00C3707B">
        <w:rPr>
          <w:noProof/>
        </w:rPr>
        <w:t>)</w:t>
      </w:r>
      <w:r w:rsidRPr="00C3707B">
        <w:rPr>
          <w:noProof/>
        </w:rPr>
        <w:tab/>
        <w:t xml:space="preserve">De bij deze verordening ingevoerde maatregelen doen geen afbreuk aan de verplichtingen van houders van een vergunning voor het in de handel brengen, met name de verplichtingen uit hoofde van Richtlijn (EU).../... </w:t>
      </w:r>
      <w:r w:rsidRPr="005D0E22">
        <w:rPr>
          <w:noProof/>
          <w:lang w:val="en-IE"/>
        </w:rPr>
        <w:t>van het Europees Parlement en de Raad [</w:t>
      </w:r>
      <w:r w:rsidRPr="005D0E22">
        <w:rPr>
          <w:i/>
          <w:noProof/>
          <w:lang w:val="en-IE"/>
        </w:rPr>
        <w:t>reference to be added to corresponding Article after adoption of cf. COM(</w:t>
      </w:r>
      <w:r w:rsidRPr="00160A33">
        <w:rPr>
          <w:i/>
          <w:noProof/>
          <w:lang w:val="en-IE"/>
        </w:rPr>
        <w:t>2023</w:t>
      </w:r>
      <w:r w:rsidRPr="005D0E22">
        <w:rPr>
          <w:i/>
          <w:noProof/>
          <w:lang w:val="en-IE"/>
        </w:rPr>
        <w:t>) </w:t>
      </w:r>
      <w:r w:rsidRPr="00160A33">
        <w:rPr>
          <w:i/>
          <w:noProof/>
          <w:lang w:val="en-IE"/>
        </w:rPr>
        <w:t>192</w:t>
      </w:r>
      <w:r w:rsidRPr="005D0E22">
        <w:rPr>
          <w:i/>
          <w:noProof/>
          <w:lang w:val="en-IE"/>
        </w:rPr>
        <w:t> final</w:t>
      </w:r>
      <w:r w:rsidRPr="005D0E22">
        <w:rPr>
          <w:noProof/>
          <w:lang w:val="en-IE"/>
        </w:rPr>
        <w:t xml:space="preserve">], Verordening (EU).../... </w:t>
      </w:r>
      <w:r w:rsidRPr="00C3707B">
        <w:rPr>
          <w:noProof/>
        </w:rPr>
        <w:t>[</w:t>
      </w:r>
      <w:r w:rsidRPr="00C3707B">
        <w:rPr>
          <w:i/>
          <w:noProof/>
        </w:rPr>
        <w:t>reference to be added after adoption cf. COM(</w:t>
      </w:r>
      <w:r w:rsidRPr="00160A33">
        <w:rPr>
          <w:i/>
          <w:noProof/>
        </w:rPr>
        <w:t>2023</w:t>
      </w:r>
      <w:r w:rsidRPr="00C3707B">
        <w:rPr>
          <w:i/>
          <w:noProof/>
        </w:rPr>
        <w:t xml:space="preserve">) </w:t>
      </w:r>
      <w:r w:rsidRPr="00160A33">
        <w:rPr>
          <w:i/>
          <w:noProof/>
        </w:rPr>
        <w:t>193</w:t>
      </w:r>
      <w:r w:rsidRPr="00C3707B">
        <w:rPr>
          <w:i/>
          <w:noProof/>
        </w:rPr>
        <w:t xml:space="preserve"> final</w:t>
      </w:r>
      <w:r w:rsidRPr="00C3707B">
        <w:rPr>
          <w:noProof/>
        </w:rPr>
        <w:t xml:space="preserve">] en Verordening (EU) </w:t>
      </w:r>
      <w:r w:rsidRPr="00160A33">
        <w:rPr>
          <w:noProof/>
        </w:rPr>
        <w:t>2022</w:t>
      </w:r>
      <w:r w:rsidRPr="00C3707B">
        <w:rPr>
          <w:noProof/>
        </w:rPr>
        <w:t>/</w:t>
      </w:r>
      <w:r w:rsidRPr="00160A33">
        <w:rPr>
          <w:noProof/>
        </w:rPr>
        <w:t>123</w:t>
      </w:r>
      <w:r w:rsidRPr="00C3707B">
        <w:rPr>
          <w:noProof/>
        </w:rPr>
        <w:t>, met inbegrip van de verplichting om binnen de grenzen van hun verantwoordelijkheid ervoor te zorgen dat het geneesmiddelenaanbod toereikend is. Deze maatregelen zijn in overeenstemming met de beginselen van de interne markt. Deze verordening laat het mededingingsrecht van de Unie, met inbegrip van de regels inzake antitrust, fusies en staatssteun, onverlet.</w:t>
      </w:r>
    </w:p>
    <w:p w14:paraId="610002D2" w14:textId="77777777" w:rsidR="003A0F6F" w:rsidRDefault="001D7C2D" w:rsidP="001D7C2D">
      <w:pPr>
        <w:pStyle w:val="ManualConsidrant"/>
        <w:rPr>
          <w:noProof/>
        </w:rPr>
      </w:pPr>
      <w:r w:rsidRPr="00C3707B">
        <w:rPr>
          <w:noProof/>
        </w:rPr>
        <w:t>(</w:t>
      </w:r>
      <w:r w:rsidRPr="00160A33">
        <w:rPr>
          <w:noProof/>
        </w:rPr>
        <w:t>12</w:t>
      </w:r>
      <w:r w:rsidRPr="00C3707B">
        <w:rPr>
          <w:noProof/>
        </w:rPr>
        <w:t>)</w:t>
      </w:r>
      <w:r w:rsidRPr="00C3707B">
        <w:rPr>
          <w:noProof/>
        </w:rPr>
        <w:tab/>
        <w:t>Hoewel deze verordening primair bedoeld moet zijn om de voorzieningszekerheid te vergroten en de beschikbaarheid van kritieke geneesmiddelen en geneesmiddelen van gemeenschappelijk belang te waarborgen, moet met deze verordening ook het concurrentievermogen van de Unie worden ondersteund door een stabieler en voorspelbaarder marktklimaat te bevorderen, investeringen in de geneesmiddelensector te stimuleren en innovatie in die sector te ondersteunen, aangezien een gebrek aan kritieke geneesmiddelen gevolgen kan hebben voor het functioneren van de economie als geheel. Door de voorzieningszekerheid en de beschikbaarheid van kritieke geneesmiddelen en de beschikbaarheid en toegankelijkheid van andere geneesmiddelen van gemeenschappelijk belang te waarborgen, moet bovendien worden bijgedragen tot de paraatheid, veerkracht en economische en algemene veiligheid van de Unie, ook als er sprake is van een risico op verstoring van grensoverschrijdende toeleveringsketens.</w:t>
      </w:r>
    </w:p>
    <w:p w14:paraId="544B7729" w14:textId="5DB76DE6" w:rsidR="00917777" w:rsidRPr="00C3707B" w:rsidRDefault="001D7C2D" w:rsidP="001D7C2D">
      <w:pPr>
        <w:pStyle w:val="ManualConsidrant"/>
        <w:rPr>
          <w:noProof/>
        </w:rPr>
      </w:pPr>
      <w:r w:rsidRPr="00C3707B">
        <w:rPr>
          <w:noProof/>
        </w:rPr>
        <w:t>(</w:t>
      </w:r>
      <w:r w:rsidRPr="00160A33">
        <w:rPr>
          <w:noProof/>
        </w:rPr>
        <w:t>13</w:t>
      </w:r>
      <w:r w:rsidRPr="00C3707B">
        <w:rPr>
          <w:noProof/>
        </w:rPr>
        <w:t>)</w:t>
      </w:r>
      <w:r w:rsidRPr="00C3707B">
        <w:rPr>
          <w:noProof/>
        </w:rPr>
        <w:tab/>
        <w:t>Rekening houdend met de verschillende onderliggende oorzaken van problemen met de beschikbaarheid van kritieke geneesmiddelen en geneesmiddelen van gemeenschappelijk belang, moeten sommige maatregelen alleen van toepassing zijn op kritieke geneesmiddelen.</w:t>
      </w:r>
    </w:p>
    <w:p w14:paraId="6E2739CE" w14:textId="77777777" w:rsidR="00917777" w:rsidRPr="00C3707B" w:rsidRDefault="001D7C2D" w:rsidP="001D7C2D">
      <w:pPr>
        <w:pStyle w:val="ManualConsidrant"/>
        <w:rPr>
          <w:noProof/>
        </w:rPr>
      </w:pPr>
      <w:r w:rsidRPr="00C3707B">
        <w:rPr>
          <w:noProof/>
        </w:rPr>
        <w:t>(</w:t>
      </w:r>
      <w:r w:rsidRPr="00160A33">
        <w:rPr>
          <w:noProof/>
        </w:rPr>
        <w:t>14</w:t>
      </w:r>
      <w:r w:rsidRPr="00C3707B">
        <w:rPr>
          <w:noProof/>
        </w:rPr>
        <w:t>)</w:t>
      </w:r>
      <w:r w:rsidRPr="00C3707B">
        <w:rPr>
          <w:noProof/>
        </w:rPr>
        <w:tab/>
        <w:t>De beschikbaarheid en de voorzieningszekerheid van kritieke geneesmiddelen moeten als strategische doelstellingen van de Unie worden beschouwd, aangezien zij essentieel zijn voor het waarborgen van de volksgezondheid en de economische en algemene veiligheid van de Unie.</w:t>
      </w:r>
    </w:p>
    <w:p w14:paraId="36D5FF88" w14:textId="77777777" w:rsidR="003A0F6F" w:rsidRDefault="001D7C2D" w:rsidP="001D7C2D">
      <w:pPr>
        <w:pStyle w:val="ManualConsidrant"/>
        <w:rPr>
          <w:noProof/>
        </w:rPr>
      </w:pPr>
      <w:r w:rsidRPr="00C3707B">
        <w:rPr>
          <w:noProof/>
        </w:rPr>
        <w:t>(</w:t>
      </w:r>
      <w:r w:rsidRPr="00160A33">
        <w:rPr>
          <w:noProof/>
        </w:rPr>
        <w:t>15</w:t>
      </w:r>
      <w:r w:rsidRPr="00C3707B">
        <w:rPr>
          <w:noProof/>
        </w:rPr>
        <w:t>)</w:t>
      </w:r>
      <w:r w:rsidRPr="00C3707B">
        <w:rPr>
          <w:noProof/>
        </w:rPr>
        <w:tab/>
        <w:t>Om ervoor te zorgen dat de maatregelen gericht, doeltreffend en evenredig zijn, is een duidelijk omschreven lijst met kritieke geneesmiddelen essentieel. De kritieke geneesmiddelen die onder deze verordening vallen, moeten geneesmiddelen zijn waarvan ontoereikende levering tot ernstige schade bij of risico op ernstige schade voor patiënten leidt. Om die reden moet onderhavige verordening van toepassing zijn op de kritieke geneesmiddelen die zijn opgenomen in de lijst van de Unie van kritieke geneesmiddelen zoals vastgesteld bij Verordening (EU) .../... [</w:t>
      </w:r>
      <w:r w:rsidRPr="00C3707B">
        <w:rPr>
          <w:i/>
          <w:noProof/>
        </w:rPr>
        <w:t>reference to be added after adoption cf. COM(</w:t>
      </w:r>
      <w:r w:rsidRPr="00160A33">
        <w:rPr>
          <w:i/>
          <w:noProof/>
        </w:rPr>
        <w:t>2023</w:t>
      </w:r>
      <w:r w:rsidRPr="00C3707B">
        <w:rPr>
          <w:i/>
          <w:noProof/>
        </w:rPr>
        <w:t>) </w:t>
      </w:r>
      <w:r w:rsidRPr="00160A33">
        <w:rPr>
          <w:i/>
          <w:noProof/>
        </w:rPr>
        <w:t>193</w:t>
      </w:r>
      <w:r w:rsidRPr="00C3707B">
        <w:rPr>
          <w:i/>
          <w:noProof/>
        </w:rPr>
        <w:t xml:space="preserve"> final</w:t>
      </w:r>
      <w:r w:rsidRPr="00C3707B">
        <w:rPr>
          <w:noProof/>
        </w:rPr>
        <w:t xml:space="preserve">]. Met die lijst wordt voortgebouwd op de ervaringen van het Europees Geneesmiddelenbureau en de agentschappen van de lidstaten die in </w:t>
      </w:r>
      <w:r w:rsidRPr="00160A33">
        <w:rPr>
          <w:noProof/>
        </w:rPr>
        <w:t>2024</w:t>
      </w:r>
      <w:r w:rsidRPr="00C3707B">
        <w:rPr>
          <w:noProof/>
        </w:rPr>
        <w:t xml:space="preserve">, vooruitlopend op de hervorming van de geneesmiddelenwetgeving, een lijst hebben opgesteld van </w:t>
      </w:r>
      <w:r w:rsidRPr="00160A33">
        <w:rPr>
          <w:noProof/>
        </w:rPr>
        <w:t>276</w:t>
      </w:r>
      <w:r w:rsidRPr="00C3707B">
        <w:rPr>
          <w:noProof/>
        </w:rPr>
        <w:t> kritieke geneesmiddelen.</w:t>
      </w:r>
    </w:p>
    <w:p w14:paraId="75CB1772" w14:textId="58790C34" w:rsidR="00917777" w:rsidRPr="00C3707B" w:rsidRDefault="001D7C2D" w:rsidP="001D7C2D">
      <w:pPr>
        <w:pStyle w:val="ManualConsidrant"/>
        <w:rPr>
          <w:noProof/>
        </w:rPr>
      </w:pPr>
      <w:r w:rsidRPr="00C3707B">
        <w:rPr>
          <w:noProof/>
        </w:rPr>
        <w:t>(</w:t>
      </w:r>
      <w:r w:rsidRPr="00160A33">
        <w:rPr>
          <w:noProof/>
        </w:rPr>
        <w:t>16</w:t>
      </w:r>
      <w:r w:rsidRPr="00C3707B">
        <w:rPr>
          <w:noProof/>
        </w:rPr>
        <w:t>)</w:t>
      </w:r>
      <w:r w:rsidRPr="00C3707B">
        <w:rPr>
          <w:noProof/>
        </w:rPr>
        <w:tab/>
        <w:t>Om ervoor te zorgen dat de maatregelen worden toegepast wanneer zij gerechtvaardigd en evenredig zijn, is het nodig om aan te tonen dat met bepaalde maatregelen een kwetsbaarheid in de toeleveringsketens van bepaalde kritieke geneesmiddelen wordt aangepakt. Deze verordening moet gebaseerd zijn op de kwetsbaarheidsbeoordeling die wordt uitgevoerd met het oog op de toepassing van de algemene geneesmiddelenwetgeving overeenkomstig Verordening (EU) …/… [</w:t>
      </w:r>
      <w:r w:rsidRPr="00C3707B">
        <w:rPr>
          <w:i/>
          <w:noProof/>
        </w:rPr>
        <w:t>reference to be added after adoption cf. COM(</w:t>
      </w:r>
      <w:r w:rsidRPr="00160A33">
        <w:rPr>
          <w:i/>
          <w:noProof/>
        </w:rPr>
        <w:t>2023</w:t>
      </w:r>
      <w:r w:rsidRPr="00C3707B">
        <w:rPr>
          <w:i/>
          <w:noProof/>
        </w:rPr>
        <w:t xml:space="preserve">) </w:t>
      </w:r>
      <w:r w:rsidRPr="00160A33">
        <w:rPr>
          <w:i/>
          <w:noProof/>
        </w:rPr>
        <w:t>193</w:t>
      </w:r>
      <w:r w:rsidRPr="00C3707B">
        <w:rPr>
          <w:i/>
          <w:noProof/>
        </w:rPr>
        <w:t xml:space="preserve"> final</w:t>
      </w:r>
      <w:r w:rsidRPr="00C3707B">
        <w:rPr>
          <w:noProof/>
        </w:rPr>
        <w:t>]. Om een kwetsbaarheid in de toeleveringsketens op te sporen, is het nodig om de geaggregeerde gegevens te bekijken van alle geneesmiddelen waarvoor in de Unie een vergunning is verleend en die dezelfde werkzame stof bevatten, en dezelfde toedieningsweg en formulering hebben. Op die manier kan voor een kritiek geneesmiddel met een bepaalde werkzame stof worden bepaald of de Unie voor werkzame stoffen, belangrijke inputs of afgewerkte doseringsvormen sterk afhankelijk is van één derde land of van een beperkt aantal derde landen of een beperkt aantal locaties.</w:t>
      </w:r>
    </w:p>
    <w:p w14:paraId="0B4F6C6D" w14:textId="77777777" w:rsidR="00917777" w:rsidRPr="00C3707B" w:rsidRDefault="001D7C2D" w:rsidP="001D7C2D">
      <w:pPr>
        <w:pStyle w:val="ManualConsidrant"/>
        <w:rPr>
          <w:noProof/>
        </w:rPr>
      </w:pPr>
      <w:bookmarkStart w:id="2" w:name="_Hlk192166739"/>
      <w:r w:rsidRPr="00C3707B">
        <w:rPr>
          <w:noProof/>
        </w:rPr>
        <w:t>(</w:t>
      </w:r>
      <w:r w:rsidRPr="00160A33">
        <w:rPr>
          <w:noProof/>
        </w:rPr>
        <w:t>17</w:t>
      </w:r>
      <w:r w:rsidRPr="00C3707B">
        <w:rPr>
          <w:noProof/>
        </w:rPr>
        <w:t>)</w:t>
      </w:r>
      <w:r w:rsidRPr="00C3707B">
        <w:rPr>
          <w:noProof/>
        </w:rPr>
        <w:tab/>
        <w:t>Bepaalde projecten kunnen een positief effect hebben op de voorzieningszekerheid, aangezien de productiecapaciteit voor kritieke geneesmiddelen van de Unie door die projecten wordt vergroot en de veerkracht van de toeleveringsketens van de Unie wordt versterkt. Om particuliere investeringen in die projecten te stimuleren, moet het begrip “strategische projecten” worden ingevoerd. Aangezien strategische projecten een rol spelen bij het waarborgen van de voorzieningszekerheid van de Unie voor kritieke geneesmiddelen, moet de desbetreffende vergunningverlenende autoriteit van oordeel zijn dat strategische projecten in het algemeen belang zijn. Om een doelmatige uitvoering van de relevante vergunningsprocedures te waarborgen, moeten de nationale autoriteiten ervoor zorgen dat die procedures zo snel mogelijk worden uitgevoerd, waarbij zij met name alle vormen van versnelde procedures beschikbaar stellen waarin het Unierecht en hun nationale recht voorzien. Waar mogelijk moeten de nationale autoriteiten overwegen deze procedures te stroomlijnen en het digitaal indienen van vereiste informatie mogelijk te maken.</w:t>
      </w:r>
    </w:p>
    <w:bookmarkEnd w:id="2"/>
    <w:p w14:paraId="00FF3664" w14:textId="77777777" w:rsidR="00917777" w:rsidRPr="00C3707B" w:rsidRDefault="001D7C2D" w:rsidP="001D7C2D">
      <w:pPr>
        <w:pStyle w:val="ManualConsidrant"/>
        <w:rPr>
          <w:rFonts w:eastAsia="Times New Roman"/>
          <w:noProof/>
        </w:rPr>
      </w:pPr>
      <w:r w:rsidRPr="00C3707B">
        <w:rPr>
          <w:noProof/>
        </w:rPr>
        <w:t>(</w:t>
      </w:r>
      <w:r w:rsidRPr="00160A33">
        <w:rPr>
          <w:noProof/>
        </w:rPr>
        <w:t>18</w:t>
      </w:r>
      <w:r w:rsidRPr="00C3707B">
        <w:rPr>
          <w:noProof/>
        </w:rPr>
        <w:t>)</w:t>
      </w:r>
      <w:r w:rsidRPr="00C3707B">
        <w:rPr>
          <w:noProof/>
        </w:rPr>
        <w:tab/>
        <w:t>Om onnodige vertraging en het creëren van extra administratieve lagen te voorkomen, moet een autoriteit van de lidstaat die is verzocht om de in deze verordening geboden voordelen te verlenen, verifiëren of een project aan de criteria voldoet om als strategisch project te worden aangemerkt. Een aangewezen autoriteit moet desgevraagd nagaan of een bepaald project een strategisch project is. Om het uitrollen van strategische projecten te versnellen en te vergemakkelijken, moeten voor strategische projecten gestroomlijnde administratieve processen en een prioritaire status in de context van vergunningsprocedures en daarmee verband houdende geschillenbeslechtingsprocedures voor gelden, en moet bij deze projecten gerichte regelgevingsondersteuning worden geboden. De lidstaten moeten in dit kader bijzondere aandacht besteden aan kleine en middelgrote ondernemingen (kmo’s), die een eerlijke kans moeten krijgen om strategische projecten te beginnen.</w:t>
      </w:r>
    </w:p>
    <w:p w14:paraId="30839073" w14:textId="77777777" w:rsidR="003A0F6F" w:rsidRDefault="001D7C2D" w:rsidP="001D7C2D">
      <w:pPr>
        <w:pStyle w:val="ManualConsidrant"/>
        <w:rPr>
          <w:noProof/>
        </w:rPr>
      </w:pPr>
      <w:r w:rsidRPr="00C3707B">
        <w:rPr>
          <w:noProof/>
        </w:rPr>
        <w:t>(</w:t>
      </w:r>
      <w:r w:rsidRPr="00160A33">
        <w:rPr>
          <w:noProof/>
        </w:rPr>
        <w:t>19</w:t>
      </w:r>
      <w:r w:rsidRPr="00C3707B">
        <w:rPr>
          <w:noProof/>
        </w:rPr>
        <w:t>)</w:t>
      </w:r>
      <w:r w:rsidRPr="00C3707B">
        <w:rPr>
          <w:noProof/>
        </w:rPr>
        <w:tab/>
        <w:t xml:space="preserve">De productie van geneesmiddelen heeft effecten op het milieu en kan behalve negatieve gevolgen voor het milieu ook negatieve gevolgen voor de menselijke gezondheid hebben. De krachtens het Unierecht vereiste milieubeoordelingen en </w:t>
      </w:r>
      <w:r w:rsidRPr="00C3707B">
        <w:rPr>
          <w:noProof/>
        </w:rPr>
        <w:noBreakHyphen/>
        <w:t>vergunningen maken integraal deel uit van de vergunningsprocedure voor strategische projecten en zijn van essentieel belang om ervoor te zorgen dat negatieve gevolgen voor het milieu worden voorkomen of beperkt. Om een tijdige en voorspelbare afwikkeling van vergunningsprocedures voor strategische projecten te waarborgen, moet het echter mogelijk zijn om de vereiste beoordelingen en vergunningen door de desbetreffende autoriteit te stroomlijnen zonder af te doen aan de mate van milieubescherming.</w:t>
      </w:r>
    </w:p>
    <w:p w14:paraId="1228AE77" w14:textId="77777777" w:rsidR="003A0F6F" w:rsidRDefault="001D7C2D" w:rsidP="001D7C2D">
      <w:pPr>
        <w:pStyle w:val="ManualConsidrant"/>
        <w:rPr>
          <w:noProof/>
        </w:rPr>
      </w:pPr>
      <w:r w:rsidRPr="00C3707B">
        <w:rPr>
          <w:noProof/>
        </w:rPr>
        <w:t>(</w:t>
      </w:r>
      <w:r w:rsidRPr="00160A33">
        <w:rPr>
          <w:noProof/>
        </w:rPr>
        <w:t>20</w:t>
      </w:r>
      <w:r w:rsidRPr="00C3707B">
        <w:rPr>
          <w:noProof/>
        </w:rPr>
        <w:t>)</w:t>
      </w:r>
      <w:r w:rsidRPr="00C3707B">
        <w:rPr>
          <w:noProof/>
        </w:rPr>
        <w:tab/>
        <w:t>Conflicten over grondgebruik kunnen belemmeringen vormen bij de uitrol van strategische projecten. De desbetreffende nationale, regionale of lokale autoriteiten die verantwoordelijk zijn voor het opstellen van bestemmingsplannen en plannen voor ruimtelijke ordening en landgebruik, moeten overwegen om in deze plannen bepaalde bepalingen in verband met strategische projecten op te nemen. Dergelijke plannen kunnen bijdragen tot het in evenwicht brengen van het algemeen belang en het algemeen welzijn, de kans op conflicten verkleinen en de duurzame uitrol van strategische projecten in de Unie versnellen.</w:t>
      </w:r>
    </w:p>
    <w:p w14:paraId="1B2C080A" w14:textId="77777777" w:rsidR="003A0F6F" w:rsidRDefault="001D7C2D" w:rsidP="001D7C2D">
      <w:pPr>
        <w:pStyle w:val="ManualConsidrant"/>
        <w:rPr>
          <w:noProof/>
        </w:rPr>
      </w:pPr>
      <w:r w:rsidRPr="00C3707B">
        <w:rPr>
          <w:noProof/>
        </w:rPr>
        <w:t>(</w:t>
      </w:r>
      <w:r w:rsidRPr="00160A33">
        <w:rPr>
          <w:noProof/>
        </w:rPr>
        <w:t>21</w:t>
      </w:r>
      <w:r w:rsidRPr="00C3707B">
        <w:rPr>
          <w:noProof/>
        </w:rPr>
        <w:t>)</w:t>
      </w:r>
      <w:r w:rsidRPr="00C3707B">
        <w:rPr>
          <w:noProof/>
        </w:rPr>
        <w:tab/>
        <w:t>Omdat de productie van geneesmiddelen, met inbegrip van het opzetten of uitbreiden van productielocaties voor kritieke geneesmiddelen, werkzame stoffen en belangrijke inputs, zo kapitaalintensief is, kan gerichte financiële steun een cruciale rol spelen bij het stimuleren van de productie binnen de Unie. Om de voorzieningszekerheid van kritieke geneesmiddelen te vergroten en wanneer particuliere investeringen alleen niet volstaan, kan financiële steun voor investeringen in de productiecapaciteit binnen de Unie gerechtvaardigd zijn. De lidstaten moeten voorrang kunnen geven aan financiële steun voor strategische projecten waarmee specifieke kwetsbaarheden in de toeleveringsketens worden aangepakt en er tegelijkertijd voor zorgen dat die steun in overeenstemming is met de regels van de Unie voor staatssteun. Specifieke richtsnoeren die indien nodig zullen worden bijgewerkt en waarin de toepassing van EU-regels voor staatssteun wordt verduidelijkt, zijn daartoe door de diensten van de Commissie verstrekt om de lidstaten bij te staan.</w:t>
      </w:r>
    </w:p>
    <w:p w14:paraId="07F9401A" w14:textId="3DB9C7A0" w:rsidR="00917777" w:rsidRPr="00C3707B" w:rsidRDefault="001D7C2D" w:rsidP="001D7C2D">
      <w:pPr>
        <w:pStyle w:val="ManualConsidrant"/>
        <w:rPr>
          <w:noProof/>
        </w:rPr>
      </w:pPr>
      <w:r w:rsidRPr="00C3707B">
        <w:rPr>
          <w:noProof/>
        </w:rPr>
        <w:t>(</w:t>
      </w:r>
      <w:r w:rsidRPr="00160A33">
        <w:rPr>
          <w:noProof/>
        </w:rPr>
        <w:t>22</w:t>
      </w:r>
      <w:r w:rsidRPr="00C3707B">
        <w:rPr>
          <w:noProof/>
        </w:rPr>
        <w:t>)</w:t>
      </w:r>
      <w:r w:rsidRPr="00C3707B">
        <w:rPr>
          <w:noProof/>
        </w:rPr>
        <w:tab/>
        <w:t>Om investeringen in strategische projecten te vergemakkelijken, kan financiering op het niveau van de Unie worden aangetrokken. Strategische projecten kunnen steun krijgen van bestaande EU-financieringsinstrumenten zoals het EU</w:t>
      </w:r>
      <w:r w:rsidRPr="00160A33">
        <w:rPr>
          <w:noProof/>
        </w:rPr>
        <w:t>4</w:t>
      </w:r>
      <w:r w:rsidRPr="00C3707B">
        <w:rPr>
          <w:noProof/>
        </w:rPr>
        <w:t>Health-programma</w:t>
      </w:r>
      <w:r w:rsidRPr="00C3707B">
        <w:rPr>
          <w:rStyle w:val="FootnoteReference"/>
          <w:noProof/>
        </w:rPr>
        <w:footnoteReference w:id="69"/>
      </w:r>
      <w:r w:rsidRPr="00C3707B">
        <w:rPr>
          <w:noProof/>
        </w:rPr>
        <w:t>, het programma Digitaal Europa</w:t>
      </w:r>
      <w:r w:rsidRPr="00C3707B">
        <w:rPr>
          <w:rStyle w:val="FootnoteReference"/>
          <w:noProof/>
        </w:rPr>
        <w:footnoteReference w:id="70"/>
      </w:r>
      <w:r w:rsidRPr="00C3707B">
        <w:rPr>
          <w:noProof/>
        </w:rPr>
        <w:t xml:space="preserve"> en Horizon Europa</w:t>
      </w:r>
      <w:r w:rsidRPr="00C3707B">
        <w:rPr>
          <w:rStyle w:val="FootnoteReference"/>
          <w:noProof/>
        </w:rPr>
        <w:footnoteReference w:id="71"/>
      </w:r>
      <w:r w:rsidRPr="00C3707B">
        <w:rPr>
          <w:noProof/>
        </w:rPr>
        <w:t xml:space="preserve"> (relevant voor bijvoorbeeld werkzame stoffen als bedoeld in artikel </w:t>
      </w:r>
      <w:r w:rsidRPr="00160A33">
        <w:rPr>
          <w:noProof/>
        </w:rPr>
        <w:t>5</w:t>
      </w:r>
      <w:r w:rsidRPr="00C3707B">
        <w:rPr>
          <w:noProof/>
        </w:rPr>
        <w:t xml:space="preserve">, punt d), van Verordening (EU) </w:t>
      </w:r>
      <w:r w:rsidRPr="00160A33">
        <w:rPr>
          <w:noProof/>
        </w:rPr>
        <w:t>2021</w:t>
      </w:r>
      <w:r w:rsidRPr="00C3707B">
        <w:rPr>
          <w:noProof/>
        </w:rPr>
        <w:t>/</w:t>
      </w:r>
      <w:r w:rsidRPr="00160A33">
        <w:rPr>
          <w:noProof/>
        </w:rPr>
        <w:t>695</w:t>
      </w:r>
      <w:r w:rsidRPr="00C3707B">
        <w:rPr>
          <w:noProof/>
        </w:rPr>
        <w:t xml:space="preserve">), en van het platform voor strategische technologieën voor Europa (STEP), wanneer zij aan de criteria van deze instrumenten voldoen. De autoriteiten die belast zijn met de programma’s van de Unie die onder Verordening (EU) </w:t>
      </w:r>
      <w:r w:rsidRPr="00160A33">
        <w:rPr>
          <w:noProof/>
        </w:rPr>
        <w:t>2024</w:t>
      </w:r>
      <w:r w:rsidRPr="00C3707B">
        <w:rPr>
          <w:noProof/>
        </w:rPr>
        <w:t>/</w:t>
      </w:r>
      <w:r w:rsidRPr="00160A33">
        <w:rPr>
          <w:noProof/>
        </w:rPr>
        <w:t>795</w:t>
      </w:r>
      <w:r w:rsidRPr="00C3707B">
        <w:rPr>
          <w:noProof/>
        </w:rPr>
        <w:t xml:space="preserve"> van het Europees Parlement en de Raad</w:t>
      </w:r>
      <w:r w:rsidRPr="00C3707B">
        <w:rPr>
          <w:rStyle w:val="FootnoteReference"/>
          <w:noProof/>
        </w:rPr>
        <w:footnoteReference w:id="72"/>
      </w:r>
      <w:r w:rsidRPr="00C3707B">
        <w:rPr>
          <w:noProof/>
        </w:rPr>
        <w:t xml:space="preserve"> (de STEP-verordening) vallen, moeten met name overwegen om strategische projecten voor de aanpak van kwetsbaarheden in de toeleveringsketens van kritieke geneesmiddelen te ondersteunen en daarom moet Verordening (EU) </w:t>
      </w:r>
      <w:r w:rsidRPr="00160A33">
        <w:rPr>
          <w:noProof/>
        </w:rPr>
        <w:t>2024</w:t>
      </w:r>
      <w:r w:rsidRPr="00C3707B">
        <w:rPr>
          <w:noProof/>
        </w:rPr>
        <w:t>/</w:t>
      </w:r>
      <w:r w:rsidRPr="00160A33">
        <w:rPr>
          <w:noProof/>
        </w:rPr>
        <w:t>795</w:t>
      </w:r>
      <w:r w:rsidRPr="00C3707B">
        <w:rPr>
          <w:noProof/>
        </w:rPr>
        <w:t xml:space="preserve"> worden gewijzigd.</w:t>
      </w:r>
    </w:p>
    <w:p w14:paraId="001CEB35" w14:textId="77777777" w:rsidR="00917777" w:rsidRPr="00C3707B" w:rsidRDefault="001D7C2D" w:rsidP="001D7C2D">
      <w:pPr>
        <w:pStyle w:val="ManualConsidrant"/>
        <w:rPr>
          <w:noProof/>
        </w:rPr>
      </w:pPr>
      <w:r w:rsidRPr="00C3707B">
        <w:rPr>
          <w:noProof/>
        </w:rPr>
        <w:t>(</w:t>
      </w:r>
      <w:r w:rsidRPr="00160A33">
        <w:rPr>
          <w:noProof/>
        </w:rPr>
        <w:t>23</w:t>
      </w:r>
      <w:r w:rsidRPr="00C3707B">
        <w:rPr>
          <w:noProof/>
        </w:rPr>
        <w:t>)</w:t>
      </w:r>
      <w:r w:rsidRPr="00C3707B">
        <w:rPr>
          <w:noProof/>
        </w:rPr>
        <w:tab/>
        <w:t>Om een meer gecoördineerde aanpak voor financiële steun mogelijk te maken, is het passend dat de lidstaten en de Commissie informatie over financiële steun aan strategische projecten uitwisselen.</w:t>
      </w:r>
      <w:r w:rsidRPr="005D0E22">
        <w:rPr>
          <w:b/>
          <w:i/>
          <w:noProof/>
          <w:sz w:val="18"/>
        </w:rPr>
        <w:t xml:space="preserve"> </w:t>
      </w:r>
      <w:r w:rsidRPr="00C3707B">
        <w:rPr>
          <w:noProof/>
        </w:rPr>
        <w:t>Wat betreft de strategische projecten die financiering van de EU hebben ontvangen, moeten de ontvangers de desbetreffende regels voor communicatie en zichtbaarheid volgen</w:t>
      </w:r>
      <w:r w:rsidRPr="00C3707B">
        <w:rPr>
          <w:rStyle w:val="FootnoteReference"/>
          <w:noProof/>
          <w:szCs w:val="20"/>
        </w:rPr>
        <w:footnoteReference w:id="73"/>
      </w:r>
      <w:r w:rsidRPr="00C3707B">
        <w:rPr>
          <w:noProof/>
        </w:rPr>
        <w:t>.</w:t>
      </w:r>
    </w:p>
    <w:p w14:paraId="5B73A543" w14:textId="77777777" w:rsidR="003A0F6F" w:rsidRDefault="001D7C2D" w:rsidP="001D7C2D">
      <w:pPr>
        <w:pStyle w:val="ManualConsidrant"/>
        <w:rPr>
          <w:noProof/>
        </w:rPr>
      </w:pPr>
      <w:r w:rsidRPr="00C3707B">
        <w:rPr>
          <w:noProof/>
        </w:rPr>
        <w:t>(</w:t>
      </w:r>
      <w:r w:rsidRPr="00160A33">
        <w:rPr>
          <w:noProof/>
        </w:rPr>
        <w:t>24</w:t>
      </w:r>
      <w:r w:rsidRPr="00C3707B">
        <w:rPr>
          <w:noProof/>
        </w:rPr>
        <w:t>)</w:t>
      </w:r>
      <w:r w:rsidRPr="00C3707B">
        <w:rPr>
          <w:noProof/>
        </w:rPr>
        <w:tab/>
        <w:t>Aangezien overheidsinstanties of -entiteiten de voornaamste kopers van geneesmiddelen zijn voor de intramurale zorg en openbare aanbestedingen een krachtig instrument zijn om de voorzieningszekerheid, beschikbaarheid en toegankelijkheid van andere geneesmiddelen van gemeenschappelijk belang te verbeteren, is het nodig om regels vast te stellen waarmee het gebruik van aanbestedingsvereisten waarin wordt verwezen naar economisch voordeligste inschrijving verplicht wordt gesteld en waarin rekening wordt gehouden met overwegingen betreffende voorzieningszekerheid en beschikbaarheid. Aanbestedingsvereisten op basis van dergelijke overwegingen moeten verplichtingen tot het aanhouden van een voorraad, een aantal verschillende leveranciers, geavanceerde monitoring van toeleveringsketens, transparantie van die ketens voor de aanbestedende dienst, en contractvoorwaarden inzake tijdige levering en maatregelen bij niet-tijdige levering bevatten.</w:t>
      </w:r>
    </w:p>
    <w:p w14:paraId="25ED9F71" w14:textId="77777777" w:rsidR="003A0F6F" w:rsidRDefault="001D7C2D" w:rsidP="001D7C2D">
      <w:pPr>
        <w:pStyle w:val="ManualConsidrant"/>
        <w:rPr>
          <w:noProof/>
        </w:rPr>
      </w:pPr>
      <w:r w:rsidRPr="00C3707B">
        <w:rPr>
          <w:noProof/>
        </w:rPr>
        <w:t>(</w:t>
      </w:r>
      <w:r w:rsidRPr="00160A33">
        <w:rPr>
          <w:noProof/>
        </w:rPr>
        <w:t>25</w:t>
      </w:r>
      <w:r w:rsidRPr="00C3707B">
        <w:rPr>
          <w:noProof/>
        </w:rPr>
        <w:t>)</w:t>
      </w:r>
      <w:r w:rsidRPr="00C3707B">
        <w:rPr>
          <w:noProof/>
        </w:rPr>
        <w:tab/>
        <w:t>Een inconsistente toepassing van aanbestedingsvereisten bij openbare aanbestedingen kan negatieve gevolgen hebben voor de interne markt, aangezien hierdoor belemmeringen voor grensoverschrijdende deelname en een gebrek aan voorspelbaarheid kunnen ontstaan. Om dergelijke ongunstige gevolgen te vermijden, moet het gebruik van criteria voor de economisch voordeligste inschrijving verplicht worden gesteld.</w:t>
      </w:r>
    </w:p>
    <w:p w14:paraId="5F765825" w14:textId="7E97F060" w:rsidR="00917777" w:rsidRPr="00C3707B" w:rsidRDefault="001D7C2D" w:rsidP="001D7C2D">
      <w:pPr>
        <w:pStyle w:val="ManualConsidrant"/>
        <w:rPr>
          <w:noProof/>
        </w:rPr>
      </w:pPr>
      <w:r w:rsidRPr="00C3707B">
        <w:rPr>
          <w:noProof/>
        </w:rPr>
        <w:t>(</w:t>
      </w:r>
      <w:r w:rsidRPr="00160A33">
        <w:rPr>
          <w:noProof/>
        </w:rPr>
        <w:t>26</w:t>
      </w:r>
      <w:r w:rsidRPr="00C3707B">
        <w:rPr>
          <w:noProof/>
        </w:rPr>
        <w:t>)</w:t>
      </w:r>
      <w:r w:rsidRPr="00C3707B">
        <w:rPr>
          <w:noProof/>
        </w:rPr>
        <w:tab/>
        <w:t>Om een hoog niveau van bescherming van de gezondheid en de voorzieningszekerheid te waarborgen, is het noodzakelijk om aanbestedingen uit te voeren op een wijze waarmee diversificatie van leveranciers wordt bevorderd in gevallen waarin door middel van een kwetsbaarheidsbeoordeling is vastgesteld dat er sprake is van afhankelijkheid van één derde land of een beperkt aantal derde landen waardoor de voorzieningszekerheid wordt bedreigd. In dergelijke gevallen moeten de aanbestedende diensten in de lidstaten aanbestedingsvereisten invoeren die leveranciers van kritieke geneesmiddelen begunstigen die een aanzienlijk deel van dergelijke geneesmiddelen in de EU vervaardigen. Wanneer dat op basis van marktanalyse en overwegingen op volksgezondheidsgebied gerechtvaardigd is, kunnen aanbestedende diensten bovendien aanbestedingsvereisten toepassen die leveranciers van geneesmiddelen van gemeenschappelijk belang begunstigen die een aanzienlijk deel van dergelijke geneesmiddelen in de EU vervaardigen. Deze maatregelen moeten worden ontworpen en toegepast in overeenstemming met de internationale verplichtingen van de Unie, waaronder de beginselen van niet-discriminatie en evenredigheid.</w:t>
      </w:r>
    </w:p>
    <w:p w14:paraId="5A206872" w14:textId="77777777" w:rsidR="00917777" w:rsidRPr="00C3707B" w:rsidRDefault="001D7C2D" w:rsidP="001D7C2D">
      <w:pPr>
        <w:pStyle w:val="ManualConsidrant"/>
        <w:rPr>
          <w:noProof/>
        </w:rPr>
      </w:pPr>
      <w:r w:rsidRPr="00C3707B">
        <w:rPr>
          <w:noProof/>
        </w:rPr>
        <w:t>(</w:t>
      </w:r>
      <w:r w:rsidRPr="00160A33">
        <w:rPr>
          <w:noProof/>
        </w:rPr>
        <w:t>27</w:t>
      </w:r>
      <w:r w:rsidRPr="00C3707B">
        <w:rPr>
          <w:noProof/>
        </w:rPr>
        <w:t>)</w:t>
      </w:r>
      <w:r w:rsidRPr="00C3707B">
        <w:rPr>
          <w:noProof/>
        </w:rPr>
        <w:tab/>
        <w:t>Bij de toepassing van aanbestedingsvereisten moet bij elke aanbestedingsprocedure rekening worden gehouden met de specifieke marktomstandigheden en volksgezondheidsbehoeften, waarbij de betaalbaarheid van geneesmiddelen in aanmerking wordt genomen. Als door bepaalde aanbestedingsvereisten onevenredige kosten voor aanbesteders ontstaan of deelname wordt ontmoedigd en er vervolgens niet op de aanbesteding wordt ingeschreven, kunnen die vereisten niet worden gerechtvaardigd.</w:t>
      </w:r>
    </w:p>
    <w:p w14:paraId="36410B8A" w14:textId="77777777" w:rsidR="003A0F6F" w:rsidRDefault="001D7C2D" w:rsidP="001D7C2D">
      <w:pPr>
        <w:pStyle w:val="ManualConsidrant"/>
        <w:rPr>
          <w:noProof/>
        </w:rPr>
      </w:pPr>
      <w:r w:rsidRPr="00C3707B">
        <w:rPr>
          <w:noProof/>
        </w:rPr>
        <w:t>(</w:t>
      </w:r>
      <w:r w:rsidRPr="00160A33">
        <w:rPr>
          <w:noProof/>
        </w:rPr>
        <w:t>28</w:t>
      </w:r>
      <w:r w:rsidRPr="00C3707B">
        <w:rPr>
          <w:noProof/>
        </w:rPr>
        <w:t>)</w:t>
      </w:r>
      <w:r w:rsidRPr="00C3707B">
        <w:rPr>
          <w:noProof/>
        </w:rPr>
        <w:tab/>
        <w:t>Overeenkomstig artikel </w:t>
      </w:r>
      <w:r w:rsidRPr="00160A33">
        <w:rPr>
          <w:noProof/>
        </w:rPr>
        <w:t>168</w:t>
      </w:r>
      <w:r w:rsidRPr="00C3707B">
        <w:rPr>
          <w:noProof/>
        </w:rPr>
        <w:t>, lid </w:t>
      </w:r>
      <w:r w:rsidRPr="00160A33">
        <w:rPr>
          <w:noProof/>
        </w:rPr>
        <w:t>7</w:t>
      </w:r>
      <w:r w:rsidRPr="00C3707B">
        <w:rPr>
          <w:noProof/>
        </w:rPr>
        <w:t>, VWEU moeten de verantwoordelijkheden van de lidstaten met betrekking tot de bepaling van hun gezondheidsbeleid, alsmede de organisatie en de verstrekking van gezondheidsdiensten en geneeskundige verzorging, met inbegrip van de allocatie van middelen, worden geëerbiedigd. Wanneer dit op grond van overwegingen in verband met marktanalyse of met de financiering van gezondheidsdiensten gerechtvaardigd is, moeten de aanbestedende diensten daarom de mogelijkheid behouden om aanbestedingen uit te voeren aan de hand van benaderingen die afwijken van de benaderingen van deze verordening, mits die benaderingen in overeenstemming zijn met de internationale verplichtingen van de Unie.</w:t>
      </w:r>
    </w:p>
    <w:p w14:paraId="3FA13DE9" w14:textId="77777777" w:rsidR="003A0F6F" w:rsidRDefault="001D7C2D" w:rsidP="001D7C2D">
      <w:pPr>
        <w:pStyle w:val="ManualConsidrant"/>
        <w:rPr>
          <w:noProof/>
        </w:rPr>
      </w:pPr>
      <w:r w:rsidRPr="00C3707B">
        <w:rPr>
          <w:noProof/>
        </w:rPr>
        <w:t>(</w:t>
      </w:r>
      <w:r w:rsidRPr="00160A33">
        <w:rPr>
          <w:noProof/>
        </w:rPr>
        <w:t>29</w:t>
      </w:r>
      <w:r w:rsidRPr="00C3707B">
        <w:rPr>
          <w:noProof/>
        </w:rPr>
        <w:t>)</w:t>
      </w:r>
      <w:r w:rsidRPr="00C3707B">
        <w:rPr>
          <w:noProof/>
        </w:rPr>
        <w:tab/>
        <w:t>Om de lidstaten te ondersteunen bij het nakomen van hun verplichtingen om aanbestedingsvereisten, met inbegrip van gunningscriteria anders dan prijsoverwegingen, te gebruiken om de voorzieningszekerheid te vergroten, is de Commissie voornemens hiertoe ontwikkelde richtsnoeren uit te vaardigen waarin wordt voortgebouwd op beste praktijken die zijn vastgesteld in het kader van de samenwerking van nationale bevoegde autoriteiten op het gebied van prijsstelling en vergoeding met betalers van openbare gezondheidszorg, en waarin aanbestedingspraktijken worden beschreven waarmee in voorkomend geval beschikbaarheid en voorzieningszekerheid worden ondersteund.</w:t>
      </w:r>
    </w:p>
    <w:p w14:paraId="154A7EB0" w14:textId="77777777" w:rsidR="003A0F6F" w:rsidRDefault="001D7C2D" w:rsidP="001D7C2D">
      <w:pPr>
        <w:pStyle w:val="ManualConsidrant"/>
        <w:rPr>
          <w:noProof/>
        </w:rPr>
      </w:pPr>
      <w:r w:rsidRPr="00C3707B">
        <w:rPr>
          <w:noProof/>
        </w:rPr>
        <w:t>(</w:t>
      </w:r>
      <w:r w:rsidRPr="00160A33">
        <w:rPr>
          <w:noProof/>
        </w:rPr>
        <w:t>30</w:t>
      </w:r>
      <w:r w:rsidRPr="00C3707B">
        <w:rPr>
          <w:noProof/>
        </w:rPr>
        <w:t>)</w:t>
      </w:r>
      <w:r w:rsidRPr="00C3707B">
        <w:rPr>
          <w:noProof/>
        </w:rPr>
        <w:tab/>
        <w:t>Aanbestedingen voor geneesmiddelen zijn in de lidstaten op verschillende manieren georganiseerd en er zijn verschillende actoren bij betrokken. Om de toeleveringsketens van kritieke geneesmiddelen te versterken, moeten de lidstaten nationale programma’s opzetten ter bevordering van het consistente gebruik van aanbestedingscriteria door aanbestedende diensten op hun grondgebied, en indien dat op basis van grondige marktanalyse nuttig is, van het toepassen van benaderingen met meerdere begunstigden. Om een alomvattende aanpak te waarborgen en rekening houdend met het feit dat kritieke geneesmiddelen ook van belang zijn voor de extramurale zorg, waarvoor zij meestal niet via openbare aanbestedingen worden aangekocht, kunnen deze programma’s in voorkomend geval ook maatregelen bevatten om de veerkracht en duurzaamheid van toeleveringsketens te versterken via maatregelen met betrekking tot prijsstelling en vergoeding. Die programma’s moeten worden gedeeld met de Commissie en de bij deze verordening ingestelde coördinatiegroep kritieke geneesmiddelen om de uitwisseling van beste praktijken en coördinatie tussen de lidstaten te vergemakkelijken. Met deze samenwerking moet de algemene doeltreffendheid worden vergroot van de verschillende maatregelen die worden voorgesteld om de voorziening van kritieke geneesmiddelen veilig te stellen, en worden tegelijkertijd de beginselen van subsidiariteit en evenredigheid in acht genomen.</w:t>
      </w:r>
    </w:p>
    <w:p w14:paraId="22E5C876" w14:textId="27D0EE16" w:rsidR="00F153AA" w:rsidRPr="00C3707B" w:rsidRDefault="001D7C2D" w:rsidP="001D7C2D">
      <w:pPr>
        <w:pStyle w:val="ManualConsidrant"/>
        <w:rPr>
          <w:noProof/>
        </w:rPr>
      </w:pPr>
      <w:r w:rsidRPr="00C3707B">
        <w:rPr>
          <w:noProof/>
        </w:rPr>
        <w:t>(</w:t>
      </w:r>
      <w:r w:rsidRPr="00160A33">
        <w:rPr>
          <w:noProof/>
        </w:rPr>
        <w:t>31</w:t>
      </w:r>
      <w:r w:rsidRPr="00C3707B">
        <w:rPr>
          <w:noProof/>
        </w:rPr>
        <w:t>)</w:t>
      </w:r>
      <w:r w:rsidRPr="00C3707B">
        <w:rPr>
          <w:noProof/>
        </w:rPr>
        <w:tab/>
        <w:t>De verplichtingen die de lidstaten opleggen aan bedrijven in de toeleveringsketens van geneesmiddelen om noodvoorraden aan te houden, kunnen ernstige negatieve gevolgen hebben voor de interne markt en andere lidstaten. Om dergelijke gevolgen te voorkomen, moet bij het opstellen van deze verplichtingen rekening worden gehouden met de beginselen van evenredigheid, transparantie en solidariteit. De lidstaten moeten bij het voorstellen en vaststellen van de reikwijdte en het tijdschema van alle vereisten voor ondernemingen om noodvoorraden aan te houden, terdege rekening houden met toekomstige richtsnoeren van de Commissie om de lidstaten te helpen bij het naleven van hun verplichtingen om negatieve gevolgen voor de interne markt te voorkomen.</w:t>
      </w:r>
    </w:p>
    <w:p w14:paraId="644821B8" w14:textId="77777777" w:rsidR="00917777" w:rsidRPr="00C3707B" w:rsidRDefault="001D7C2D" w:rsidP="001D7C2D">
      <w:pPr>
        <w:pStyle w:val="ManualConsidrant"/>
        <w:rPr>
          <w:noProof/>
        </w:rPr>
      </w:pPr>
      <w:r w:rsidRPr="00C3707B">
        <w:rPr>
          <w:noProof/>
        </w:rPr>
        <w:t>(</w:t>
      </w:r>
      <w:r w:rsidRPr="00160A33">
        <w:rPr>
          <w:noProof/>
        </w:rPr>
        <w:t>32</w:t>
      </w:r>
      <w:r w:rsidRPr="00C3707B">
        <w:rPr>
          <w:noProof/>
        </w:rPr>
        <w:t>)</w:t>
      </w:r>
      <w:r w:rsidRPr="00C3707B">
        <w:rPr>
          <w:noProof/>
        </w:rPr>
        <w:tab/>
        <w:t>In de hele Unie bestaan verschillen wat de beschikbaarheid en toegankelijkheid van kritieke geneesmiddelen en geneesmiddelen van gemeenschappelijk belang betreft, waar sommige lidstaten onevenredig veel last van hebben. Collectieve aanbestedingen voor kritieke geneesmiddelen en geneesmiddelen van gemeenschappelijk belang kunnen een krachtig instrument zijn om de voorzieningszekerheid en toegankelijkheid van die geneesmiddelen te verbeteren.</w:t>
      </w:r>
    </w:p>
    <w:p w14:paraId="3E427B4B" w14:textId="77777777" w:rsidR="00917777" w:rsidRPr="00C3707B" w:rsidRDefault="001D7C2D" w:rsidP="001D7C2D">
      <w:pPr>
        <w:pStyle w:val="ManualConsidrant"/>
        <w:rPr>
          <w:noProof/>
        </w:rPr>
      </w:pPr>
      <w:r w:rsidRPr="00C3707B">
        <w:rPr>
          <w:noProof/>
        </w:rPr>
        <w:t>(</w:t>
      </w:r>
      <w:r w:rsidRPr="00160A33">
        <w:rPr>
          <w:noProof/>
        </w:rPr>
        <w:t>33</w:t>
      </w:r>
      <w:r w:rsidRPr="00C3707B">
        <w:rPr>
          <w:noProof/>
        </w:rPr>
        <w:t>)</w:t>
      </w:r>
      <w:r w:rsidRPr="00C3707B">
        <w:rPr>
          <w:noProof/>
        </w:rPr>
        <w:tab/>
        <w:t xml:space="preserve">Richtlijn </w:t>
      </w:r>
      <w:r w:rsidRPr="00160A33">
        <w:rPr>
          <w:noProof/>
        </w:rPr>
        <w:t>2014</w:t>
      </w:r>
      <w:r w:rsidRPr="00C3707B">
        <w:rPr>
          <w:noProof/>
        </w:rPr>
        <w:t>/</w:t>
      </w:r>
      <w:r w:rsidRPr="00160A33">
        <w:rPr>
          <w:noProof/>
        </w:rPr>
        <w:t>24</w:t>
      </w:r>
      <w:r w:rsidRPr="00C3707B">
        <w:rPr>
          <w:noProof/>
        </w:rPr>
        <w:t>/EU van het Europees Parlement en de Raad</w:t>
      </w:r>
      <w:r w:rsidRPr="00C3707B">
        <w:rPr>
          <w:rStyle w:val="FootnoteReference"/>
          <w:noProof/>
        </w:rPr>
        <w:footnoteReference w:id="74"/>
      </w:r>
      <w:r w:rsidRPr="00C3707B">
        <w:rPr>
          <w:noProof/>
        </w:rPr>
        <w:t xml:space="preserve"> voorziet in de mogelijkheid van aanbestedingen waarbij aanbestedende diensten uit verschillende lidstaten betrokken zijn. Hoewel dit nuttig is gebleken om kleine markten aantrekkelijk te maken voor leveranciers en zo de beschikbaarheid van geneesmiddelen te verbeteren, kost de uitvoering ervan met name in de beginfase veel tijd en middelen, hetgeen als een beperkende factor wordt beschouwd. Om het uitrollen van aanbestedingsinitiatieven waarbij aanbestedende diensten uit verschillende lidstaten betrokken zijn, te vergemakkelijken, moet de Commissie op verzoek steun verlenen bij de voorbereidende fase van het opzetten van een dergelijk aanbestedingsinitiatief.</w:t>
      </w:r>
    </w:p>
    <w:p w14:paraId="7E6140A4" w14:textId="77777777" w:rsidR="003A0F6F" w:rsidRDefault="001D7C2D" w:rsidP="001D7C2D">
      <w:pPr>
        <w:pStyle w:val="ManualConsidrant"/>
        <w:rPr>
          <w:noProof/>
        </w:rPr>
      </w:pPr>
      <w:r w:rsidRPr="00C3707B">
        <w:rPr>
          <w:noProof/>
        </w:rPr>
        <w:t>(</w:t>
      </w:r>
      <w:r w:rsidRPr="00160A33">
        <w:rPr>
          <w:noProof/>
        </w:rPr>
        <w:t>34</w:t>
      </w:r>
      <w:r w:rsidRPr="00C3707B">
        <w:rPr>
          <w:noProof/>
        </w:rPr>
        <w:t>)</w:t>
      </w:r>
      <w:r w:rsidRPr="00C3707B">
        <w:rPr>
          <w:noProof/>
        </w:rPr>
        <w:tab/>
        <w:t xml:space="preserve">Gezien de ervaring die is opgedaan met de uitvoering van gezamenlijke aanbestedingen voor medische tegenmaatregelen uit hoofde van Verordening (EU) </w:t>
      </w:r>
      <w:r w:rsidRPr="00160A33">
        <w:rPr>
          <w:noProof/>
        </w:rPr>
        <w:t>2022</w:t>
      </w:r>
      <w:r w:rsidRPr="00C3707B">
        <w:rPr>
          <w:noProof/>
        </w:rPr>
        <w:t>/</w:t>
      </w:r>
      <w:r w:rsidRPr="00160A33">
        <w:rPr>
          <w:noProof/>
        </w:rPr>
        <w:t>2371</w:t>
      </w:r>
      <w:r w:rsidRPr="00C3707B">
        <w:rPr>
          <w:noProof/>
        </w:rPr>
        <w:t xml:space="preserve"> van het Europees Parlement en de Raad</w:t>
      </w:r>
      <w:r w:rsidRPr="00C3707B">
        <w:rPr>
          <w:rStyle w:val="FootnoteReference"/>
          <w:noProof/>
        </w:rPr>
        <w:footnoteReference w:id="75"/>
      </w:r>
      <w:r w:rsidRPr="00C3707B">
        <w:rPr>
          <w:noProof/>
        </w:rPr>
        <w:t xml:space="preserve"> en voor COVID-</w:t>
      </w:r>
      <w:r w:rsidRPr="00160A33">
        <w:rPr>
          <w:noProof/>
        </w:rPr>
        <w:t>19</w:t>
      </w:r>
      <w:r w:rsidRPr="00C3707B">
        <w:rPr>
          <w:noProof/>
        </w:rPr>
        <w:t xml:space="preserve">-vaccins uit hoofde van Verordening (EU) </w:t>
      </w:r>
      <w:r w:rsidRPr="00160A33">
        <w:rPr>
          <w:noProof/>
        </w:rPr>
        <w:t>2016</w:t>
      </w:r>
      <w:r w:rsidRPr="00C3707B">
        <w:rPr>
          <w:noProof/>
        </w:rPr>
        <w:t>/</w:t>
      </w:r>
      <w:r w:rsidRPr="00160A33">
        <w:rPr>
          <w:noProof/>
        </w:rPr>
        <w:t>369</w:t>
      </w:r>
      <w:r w:rsidRPr="00C3707B">
        <w:rPr>
          <w:noProof/>
        </w:rPr>
        <w:t xml:space="preserve"> van de Raad</w:t>
      </w:r>
      <w:r w:rsidRPr="00C3707B">
        <w:rPr>
          <w:rStyle w:val="FootnoteReference"/>
          <w:noProof/>
        </w:rPr>
        <w:footnoteReference w:id="76"/>
      </w:r>
      <w:r w:rsidRPr="00C3707B">
        <w:rPr>
          <w:noProof/>
        </w:rPr>
        <w:t xml:space="preserve"> in het kader van de vaccinstrategie van de EU, en in de wetenschap dat het voordeel kan opleveren om de vraag uit verschillende lidstaten in één aanbestedingsprocedure te bundelen, moeten de lidstaten de mogelijkheid hebben om het gebruik van een gezamenlijke aanbesteding te overwegen, of te overwegen de Commissie te verzoeken om namens hen of voor hun rekening een aanbesteding te doen, indien een dergelijke aanbesteding kan bijdragen tot de verwezenlijking van de doelstellingen van onderhavige verordening.</w:t>
      </w:r>
    </w:p>
    <w:p w14:paraId="51A8F821" w14:textId="098CFBBB" w:rsidR="003A0F6F" w:rsidRDefault="001D7C2D" w:rsidP="001D7C2D">
      <w:pPr>
        <w:pStyle w:val="ManualConsidrant"/>
        <w:rPr>
          <w:noProof/>
        </w:rPr>
      </w:pPr>
      <w:r w:rsidRPr="00C3707B">
        <w:rPr>
          <w:noProof/>
        </w:rPr>
        <w:t>(</w:t>
      </w:r>
      <w:r w:rsidRPr="00160A33">
        <w:rPr>
          <w:noProof/>
        </w:rPr>
        <w:t>35</w:t>
      </w:r>
      <w:r w:rsidRPr="00C3707B">
        <w:rPr>
          <w:noProof/>
        </w:rPr>
        <w:t>)</w:t>
      </w:r>
      <w:r w:rsidRPr="00C3707B">
        <w:rPr>
          <w:noProof/>
        </w:rPr>
        <w:tab/>
        <w:t>Om te waarborgen dat initiatieven voor collectieve aanbestedingen bijdragen tot het verwezenlijken van de doelstellingen van deze verordening en dat daarbij het subsidiariteitsbeginsel volledig in acht wordt genomen, moet de betrokkenheid van de Commissie bij gezamenlijke aanbestedingen en aanbestedingen namens of voor rekening van de lidstaten worden beperkt tot nader omschreven gevallen. Daarom moet worden voorzien in afwijkingen van artikel </w:t>
      </w:r>
      <w:r w:rsidRPr="00160A33">
        <w:rPr>
          <w:noProof/>
        </w:rPr>
        <w:t>168</w:t>
      </w:r>
      <w:r w:rsidRPr="00C3707B">
        <w:rPr>
          <w:noProof/>
        </w:rPr>
        <w:t>, leden </w:t>
      </w:r>
      <w:r w:rsidRPr="00160A33">
        <w:rPr>
          <w:noProof/>
        </w:rPr>
        <w:t>2</w:t>
      </w:r>
      <w:r w:rsidRPr="00C3707B">
        <w:rPr>
          <w:noProof/>
        </w:rPr>
        <w:t xml:space="preserve"> en</w:t>
      </w:r>
      <w:r w:rsidR="008D2355">
        <w:rPr>
          <w:noProof/>
        </w:rPr>
        <w:t> </w:t>
      </w:r>
      <w:r w:rsidRPr="00160A33">
        <w:rPr>
          <w:noProof/>
        </w:rPr>
        <w:t>3</w:t>
      </w:r>
      <w:r w:rsidRPr="00C3707B">
        <w:rPr>
          <w:noProof/>
        </w:rPr>
        <w:t xml:space="preserve">, van Verordening (EU, Euratom) </w:t>
      </w:r>
      <w:r w:rsidRPr="00160A33">
        <w:rPr>
          <w:noProof/>
        </w:rPr>
        <w:t>2024</w:t>
      </w:r>
      <w:r w:rsidRPr="00C3707B">
        <w:rPr>
          <w:noProof/>
        </w:rPr>
        <w:t>/</w:t>
      </w:r>
      <w:r w:rsidRPr="00160A33">
        <w:rPr>
          <w:noProof/>
        </w:rPr>
        <w:t>2509</w:t>
      </w:r>
      <w:r w:rsidRPr="00C3707B">
        <w:rPr>
          <w:noProof/>
        </w:rPr>
        <w:t xml:space="preserve"> van het Europees Parlement en de Raad</w:t>
      </w:r>
      <w:r w:rsidRPr="00C3707B">
        <w:rPr>
          <w:rStyle w:val="FootnoteReference"/>
          <w:noProof/>
        </w:rPr>
        <w:footnoteReference w:id="77"/>
      </w:r>
      <w:r w:rsidRPr="00C3707B">
        <w:rPr>
          <w:noProof/>
        </w:rPr>
        <w:t>.</w:t>
      </w:r>
    </w:p>
    <w:p w14:paraId="78239DB9" w14:textId="77777777" w:rsidR="003A0F6F" w:rsidRDefault="001D7C2D" w:rsidP="001D7C2D">
      <w:pPr>
        <w:pStyle w:val="ManualConsidrant"/>
        <w:rPr>
          <w:noProof/>
        </w:rPr>
      </w:pPr>
      <w:r w:rsidRPr="00C3707B">
        <w:rPr>
          <w:noProof/>
        </w:rPr>
        <w:t>(</w:t>
      </w:r>
      <w:r w:rsidRPr="00160A33">
        <w:rPr>
          <w:noProof/>
        </w:rPr>
        <w:t>36</w:t>
      </w:r>
      <w:r w:rsidRPr="00C3707B">
        <w:rPr>
          <w:noProof/>
        </w:rPr>
        <w:t>)</w:t>
      </w:r>
      <w:r w:rsidRPr="00C3707B">
        <w:rPr>
          <w:noProof/>
        </w:rPr>
        <w:tab/>
        <w:t xml:space="preserve">Om voor transparantie, juridische duidelijkheid en doeltreffende coördinatie te zorgen, moeten de aanbestedingsprocedures in het kader van deze verordening die afhankelijk zijn van actieve betrokkenheid van de Commissie, door een gestructureerde overeenkomst tussen de lidstaten en de Commissie worden geregeld. Om een eerlijk en doeltreffend kader voor de deelnemende lidstaten te waarborgen en verstoringen van de markt en de voorziening te voorkomen, moeten in een dergelijke overeenkomst de verdeling van verantwoordelijkheden, de besluitvormingsprocessen, de te delen informatie voor zover relevant voor de aanbestedingsprocedure, met inbegrip van informatie over deelname van lidstaten aan parallelle onderhandelingen via verschillende kanalen met betrekking tot dezelfde geneesmiddelen of dezelfde werkzame stoffen, naar gelang het geval, en aansprakelijkheidsbepalingen worden vastgesteld. Deze verordening doet geen afbreuk aan en vormt geen beletsel voor de toepassing van de gezamenlijke aanbestedingsprocedures die bij Verordening (EU) </w:t>
      </w:r>
      <w:r w:rsidRPr="00160A33">
        <w:rPr>
          <w:noProof/>
        </w:rPr>
        <w:t>2022</w:t>
      </w:r>
      <w:r w:rsidRPr="00C3707B">
        <w:rPr>
          <w:noProof/>
        </w:rPr>
        <w:t>/</w:t>
      </w:r>
      <w:r w:rsidRPr="00160A33">
        <w:rPr>
          <w:noProof/>
        </w:rPr>
        <w:t>2371</w:t>
      </w:r>
      <w:r w:rsidRPr="00C3707B">
        <w:rPr>
          <w:noProof/>
        </w:rPr>
        <w:t xml:space="preserve"> van het Europees Parlement en de Raad zijn vastgesteld voor kritieke geneesmiddelen en andere geneesmiddelen die ook onder de definitie van medische tegenmaatregelen van die verordening vallen. Voor die geneesmiddelen moet het toepasselijke kader worden bepaald op basis van de doelstelling van het initiatief voor de gezamenlijke aanbesteding. Wanneer een gezamenlijke aanbestedingsprocedure wordt ingeleid om die geneesmiddelen vooraf als medische tegenmaatregelen aan te kopen in voorbereiding of reactie op ernstige grensoverschrijdende gezondheidsbedreigingen, moet een dergelijke aanbestedingsprocedure worden uitgevoerd in overeenstemming met Verordening (EU) </w:t>
      </w:r>
      <w:r w:rsidRPr="00160A33">
        <w:rPr>
          <w:noProof/>
        </w:rPr>
        <w:t>2022</w:t>
      </w:r>
      <w:r w:rsidRPr="00C3707B">
        <w:rPr>
          <w:noProof/>
        </w:rPr>
        <w:t>/</w:t>
      </w:r>
      <w:r w:rsidRPr="00160A33">
        <w:rPr>
          <w:noProof/>
        </w:rPr>
        <w:t>2371</w:t>
      </w:r>
      <w:r w:rsidRPr="00C3707B">
        <w:rPr>
          <w:noProof/>
        </w:rPr>
        <w:t xml:space="preserve">. Deze verordening doet geen afbreuk aan Verordening (EU) </w:t>
      </w:r>
      <w:r w:rsidRPr="00160A33">
        <w:rPr>
          <w:noProof/>
        </w:rPr>
        <w:t>2022</w:t>
      </w:r>
      <w:r w:rsidRPr="00C3707B">
        <w:rPr>
          <w:noProof/>
        </w:rPr>
        <w:t>/</w:t>
      </w:r>
      <w:r w:rsidRPr="00160A33">
        <w:rPr>
          <w:noProof/>
        </w:rPr>
        <w:t>2372</w:t>
      </w:r>
      <w:r w:rsidRPr="00C3707B">
        <w:rPr>
          <w:noProof/>
        </w:rPr>
        <w:t xml:space="preserve"> van de Raad</w:t>
      </w:r>
      <w:r w:rsidRPr="00C3707B">
        <w:rPr>
          <w:rStyle w:val="FootnoteReference"/>
          <w:noProof/>
        </w:rPr>
        <w:footnoteReference w:id="78"/>
      </w:r>
      <w:r w:rsidRPr="00C3707B">
        <w:rPr>
          <w:noProof/>
        </w:rPr>
        <w:t xml:space="preserve"> tot vaststelling van een kader van maatregelen ter waarborging van de levering van in een crisissituatie relevante medische tegenmaatregelen in geval van een noodsituatie op het gebied van de volksgezondheid op Unieniveau.</w:t>
      </w:r>
    </w:p>
    <w:p w14:paraId="424375AC" w14:textId="77777777" w:rsidR="003A0F6F" w:rsidRDefault="001D7C2D" w:rsidP="001D7C2D">
      <w:pPr>
        <w:pStyle w:val="ManualConsidrant"/>
        <w:rPr>
          <w:noProof/>
        </w:rPr>
      </w:pPr>
      <w:r w:rsidRPr="00C3707B">
        <w:rPr>
          <w:noProof/>
        </w:rPr>
        <w:t>(</w:t>
      </w:r>
      <w:r w:rsidRPr="00160A33">
        <w:rPr>
          <w:noProof/>
        </w:rPr>
        <w:t>37</w:t>
      </w:r>
      <w:r w:rsidRPr="00C3707B">
        <w:rPr>
          <w:noProof/>
        </w:rPr>
        <w:t>)</w:t>
      </w:r>
      <w:r w:rsidRPr="00C3707B">
        <w:rPr>
          <w:noProof/>
        </w:rPr>
        <w:tab/>
        <w:t>Om voor een gestructureerde en gecoördineerde aanpak voor het vergroten van de voorzieningszekerheid van kritieke geneesmiddelen te zorgen, moeten de lidstaten en de Commissie samenwerken. Hiertoe moet de coördinatiegroep kritieke geneesmiddelen (“de groep kritieke geneesmiddelen”) worden opgericht om een doeltreffende coördinatie tussen de relevante beleidsterreinen te vergemakkelijken. De groep kritieke geneesmiddelen moet bestaan uit vertegenwoordigers op hoog niveau van de lidstaten die deskundig zijn op het gebied van aanbestedingsbeleid voor geneesmiddelen, industrieel beleid in verband met geneesmiddelen en de volksgezondheid. De Commissie moet lid zijn van de groep. Om gestructureerde besprekingen te waarborgen, moet de Commissie de groep kritieke geneesmiddelen voorzitten en de secretariaatstaken ervan vervullen.</w:t>
      </w:r>
    </w:p>
    <w:p w14:paraId="545B91C3" w14:textId="77777777" w:rsidR="003A0F6F" w:rsidRDefault="001D7C2D" w:rsidP="001D7C2D">
      <w:pPr>
        <w:pStyle w:val="ManualConsidrant"/>
        <w:rPr>
          <w:noProof/>
        </w:rPr>
      </w:pPr>
      <w:r w:rsidRPr="00C3707B">
        <w:rPr>
          <w:noProof/>
        </w:rPr>
        <w:t>(</w:t>
      </w:r>
      <w:r w:rsidRPr="00160A33">
        <w:rPr>
          <w:noProof/>
        </w:rPr>
        <w:t>38</w:t>
      </w:r>
      <w:r w:rsidRPr="00C3707B">
        <w:rPr>
          <w:noProof/>
        </w:rPr>
        <w:t>)</w:t>
      </w:r>
      <w:r w:rsidRPr="00C3707B">
        <w:rPr>
          <w:noProof/>
        </w:rPr>
        <w:tab/>
        <w:t>Om een gecoördineerde uitvoering van deze verordening te waarborgen, moet de groep kritieke geneesmiddelen uitwisseling van informatie over de financiering van strategische projecten mogelijk maken en de strategische oriëntatie van financiële steun voor strategische projecten vergemakkelijken. De groep kritieke geneesmiddelen moet ook de uitwisseling van informatie over nationale programma’s vergemakkelijken, met inbegrip van informatie over de benadering van vereisten voor noodvoorraden in aanbestedingsovereenkomsten voor overheidsopdrachten. In voorkomend geval moet de groep kritieke geneesmiddelen de coördinatie van nationale programma’s vergemakkelijken. De groep kritieke geneesmiddelen moet bovendien besprekingen vergemakkelijken over de noodzaak om een initiatief voor een collectieve aanbesteding te starten en de noodzaak om voorrang te verlenen aan de kwetsbaarheidsbeoordeling van bepaalde kritieke geneesmiddelen.</w:t>
      </w:r>
    </w:p>
    <w:p w14:paraId="3DD95EB3" w14:textId="77777777" w:rsidR="003A0F6F" w:rsidRDefault="001D7C2D" w:rsidP="001D7C2D">
      <w:pPr>
        <w:pStyle w:val="ManualConsidrant"/>
        <w:rPr>
          <w:rStyle w:val="normaltextrun"/>
          <w:noProof/>
          <w:shd w:val="clear" w:color="auto" w:fill="FFFFFF"/>
        </w:rPr>
      </w:pPr>
      <w:r w:rsidRPr="00C3707B">
        <w:rPr>
          <w:rStyle w:val="eop"/>
          <w:noProof/>
        </w:rPr>
        <w:t>(</w:t>
      </w:r>
      <w:r w:rsidRPr="00160A33">
        <w:rPr>
          <w:rStyle w:val="eop"/>
          <w:noProof/>
        </w:rPr>
        <w:t>39</w:t>
      </w:r>
      <w:r w:rsidRPr="00C3707B">
        <w:rPr>
          <w:rStyle w:val="eop"/>
          <w:noProof/>
        </w:rPr>
        <w:t>)</w:t>
      </w:r>
      <w:r w:rsidRPr="00C3707B">
        <w:rPr>
          <w:noProof/>
        </w:rPr>
        <w:tab/>
      </w:r>
      <w:r w:rsidRPr="00C3707B">
        <w:rPr>
          <w:rStyle w:val="normaltextrun"/>
          <w:noProof/>
          <w:shd w:val="clear" w:color="auto" w:fill="FFFFFF"/>
        </w:rPr>
        <w:t>De Unie zou de beschikbaarheid en de voorzieningszekerheid verder kunnen vergroten door via internationale handelsovereenkomsten of andere vormen van internationale samenwerking toegang te verstrekken tot alternatieve voorzieningsbronnen in derde landen. De Unie kan daartoe een beroep doen op haar netwerk van bestaande handelsovereenkomsten en daarnaast strategische partnerschappen met derde landen nastreven om de bilaterale samenwerking verder uit te breiden, met name met kandidaat-lidstaten. In dit verband moet de Commissie beoordelen of de bestaande partnerschappen doeltreffend zijn voor de beoogde doelstellingen of dat zij verder kunnen worden verbeterd of aangepast, en wat voor soort partnerschappen met de meest relevante derde landen kunnen worden gesloten. Dit moet plaatsvinden onverminderd de prerogatieven van de Raad overeenkomstig de Verdragen.</w:t>
      </w:r>
    </w:p>
    <w:p w14:paraId="0A442866" w14:textId="77777777" w:rsidR="003A0F6F" w:rsidRDefault="001D7C2D" w:rsidP="001D7C2D">
      <w:pPr>
        <w:pStyle w:val="ManualConsidrant"/>
        <w:rPr>
          <w:noProof/>
        </w:rPr>
      </w:pPr>
      <w:r w:rsidRPr="00C3707B">
        <w:rPr>
          <w:noProof/>
        </w:rPr>
        <w:t>(</w:t>
      </w:r>
      <w:r w:rsidRPr="00160A33">
        <w:rPr>
          <w:noProof/>
        </w:rPr>
        <w:t>40</w:t>
      </w:r>
      <w:r w:rsidRPr="00C3707B">
        <w:rPr>
          <w:noProof/>
        </w:rPr>
        <w:t>)</w:t>
      </w:r>
      <w:r w:rsidRPr="00C3707B">
        <w:rPr>
          <w:noProof/>
        </w:rPr>
        <w:tab/>
        <w:t>Om de toepassing van deze verordening te waarborgen, is het noodzakelijk dat marktdeelnemers informatie en gegevens aan overheidsinstanties beschikbaar stellen. Daarom moeten de lidstaten en de Commissie de mogelijkheid hebben om marktdeelnemers in de toeleverings- en distributieketens van kritieke geneesmiddelen en geneesmiddelen van gemeenschappelijk belang te verzoeken om de informatie die nodig is voor de toepassing en de evaluatie van deze verordening, wanneer dit nodig is en niet leidt tot dubbele informatieverzoeken.</w:t>
      </w:r>
    </w:p>
    <w:p w14:paraId="6B18E456" w14:textId="5712E0BA" w:rsidR="00917777" w:rsidRPr="00C3707B" w:rsidRDefault="001D7C2D" w:rsidP="001D7C2D">
      <w:pPr>
        <w:pStyle w:val="ManualConsidrant"/>
        <w:rPr>
          <w:noProof/>
        </w:rPr>
      </w:pPr>
      <w:r w:rsidRPr="00C3707B">
        <w:rPr>
          <w:noProof/>
        </w:rPr>
        <w:t>(</w:t>
      </w:r>
      <w:r w:rsidRPr="00160A33">
        <w:rPr>
          <w:noProof/>
        </w:rPr>
        <w:t>41</w:t>
      </w:r>
      <w:r w:rsidRPr="00C3707B">
        <w:rPr>
          <w:noProof/>
        </w:rPr>
        <w:t>)</w:t>
      </w:r>
      <w:r w:rsidRPr="00C3707B">
        <w:rPr>
          <w:noProof/>
        </w:rPr>
        <w:tab/>
        <w:t>Om ervoor te zorgen dat de doelstellingen van deze verordening daadwerkelijk worden verwezenlijkt, is het van essentieel belang om de uitvoering en het effect ervan in de loop van de tijd te beoordelen. De Commissie moet deze verordening vijf jaar nadat deze van toepassing is geworden en daarna om de vijf jaar evalueren. Bij deze evaluatie moet worden beoordeeld in welke mate de doelstellingen van de verordening, zoals uiteengezet in artikel </w:t>
      </w:r>
      <w:r w:rsidRPr="00160A33">
        <w:rPr>
          <w:noProof/>
        </w:rPr>
        <w:t>1</w:t>
      </w:r>
      <w:r w:rsidRPr="00C3707B">
        <w:rPr>
          <w:noProof/>
        </w:rPr>
        <w:t>, zijn verwezenlijkt, met inbegrip van het effect van de verordening op belanghebbenden, regelgevingsprocedures en marktdynamiek. Bij de evaluatie door de Commissie moet met name rekening worden gehouden met de standpunten van de lidstaten, marktdeelnemers en andere relevante belanghebbenden en moet ervoor worden gezorgd dat hun feedback bijdraagt tot de voortdurende verbetering van het regelgevingskader. De resultaten van die evaluatie moeten worden voorgelegd aan het Europees Parlement, de Raad, het Europees Economisch en Sociaal Comité en het Comité van de Regio’s. Om het uitvoeren van die evaluatie te vergemakkelijken, moeten nationale autoriteiten en marktdeelnemers op verzoek de desbetreffende informatie en gegevens verstrekken om de beoordeling van de Commissie te onderbouwen.</w:t>
      </w:r>
    </w:p>
    <w:p w14:paraId="34FCBA11" w14:textId="77777777" w:rsidR="004C5377" w:rsidRPr="00C3707B" w:rsidRDefault="001D7C2D" w:rsidP="001D7C2D">
      <w:pPr>
        <w:pStyle w:val="ManualConsidrant"/>
        <w:rPr>
          <w:noProof/>
        </w:rPr>
      </w:pPr>
      <w:r w:rsidRPr="00C3707B">
        <w:rPr>
          <w:noProof/>
        </w:rPr>
        <w:t>(</w:t>
      </w:r>
      <w:r w:rsidRPr="00160A33">
        <w:rPr>
          <w:noProof/>
        </w:rPr>
        <w:t>42</w:t>
      </w:r>
      <w:r w:rsidRPr="00C3707B">
        <w:rPr>
          <w:noProof/>
        </w:rPr>
        <w:t>)</w:t>
      </w:r>
      <w:r w:rsidRPr="00C3707B">
        <w:rPr>
          <w:noProof/>
        </w:rPr>
        <w:tab/>
        <w:t>Aangezien de doelstellingen van deze verordening om een kader vast te stellen ter vergroting van de beschikbaarheid en de voorzieningszekerheid van kritieke geneesmiddelen in de Unie en ter verbetering van de beschikbaarheid en toegankelijkheid van geneesmiddelen van gemeenschappelijk belang via gecoördineerde en gerichte maatregelen van de lidstaten, niet in voldoende mate door de lidstaten alleen kunnen worden verwezenlijkt, maar vanwege de omvang ervan beter op het niveau van de Unie kunnen worden verwezenlijkt, kan de Unie maatregelen treffen overeenkomstig het in artikel </w:t>
      </w:r>
      <w:r w:rsidRPr="00160A33">
        <w:rPr>
          <w:noProof/>
        </w:rPr>
        <w:t>5</w:t>
      </w:r>
      <w:r w:rsidRPr="00C3707B">
        <w:rPr>
          <w:noProof/>
        </w:rPr>
        <w:t xml:space="preserve"> VWEU neergelegde subsidiariteitsbeginsel. Overeenkomstig het in hetzelfde artikel neergelegde evenredigheidsbeginsel gaat deze verordening niet verder dan nodig is om de doelstellingen ervan te verwezenlijken,</w:t>
      </w:r>
    </w:p>
    <w:p w14:paraId="5E7AFDB5" w14:textId="77777777" w:rsidR="004C5377" w:rsidRPr="00C3707B" w:rsidRDefault="004C5377">
      <w:pPr>
        <w:pStyle w:val="Formuledadoption"/>
        <w:rPr>
          <w:noProof/>
        </w:rPr>
      </w:pPr>
      <w:r w:rsidRPr="00C3707B">
        <w:rPr>
          <w:noProof/>
        </w:rPr>
        <w:t>HEBBEN DE VOLGENDE VERORDENING VASTGESTELD:</w:t>
      </w:r>
    </w:p>
    <w:p w14:paraId="2F63F94C" w14:textId="77777777" w:rsidR="00917777" w:rsidRPr="00C3707B" w:rsidRDefault="00917777" w:rsidP="00917777">
      <w:pPr>
        <w:pStyle w:val="ChapterTitle"/>
        <w:rPr>
          <w:b w:val="0"/>
          <w:bCs/>
          <w:iCs/>
          <w:noProof/>
        </w:rPr>
      </w:pPr>
      <w:r w:rsidRPr="00C3707B">
        <w:rPr>
          <w:noProof/>
        </w:rPr>
        <w:t xml:space="preserve">Hoofdstuk I </w:t>
      </w:r>
      <w:r w:rsidRPr="00C3707B">
        <w:rPr>
          <w:noProof/>
        </w:rPr>
        <w:br/>
        <w:t>Algemene bepalingen</w:t>
      </w:r>
    </w:p>
    <w:p w14:paraId="295FABB5" w14:textId="77777777" w:rsidR="00917777" w:rsidRPr="00C3707B" w:rsidRDefault="00917777" w:rsidP="00917777">
      <w:pPr>
        <w:pStyle w:val="Titrearticle"/>
        <w:rPr>
          <w:noProof/>
        </w:rPr>
      </w:pPr>
      <w:r w:rsidRPr="00C3707B">
        <w:rPr>
          <w:noProof/>
        </w:rPr>
        <w:t>Artikel </w:t>
      </w:r>
      <w:r w:rsidRPr="00160A33">
        <w:rPr>
          <w:noProof/>
        </w:rPr>
        <w:t>1</w:t>
      </w:r>
    </w:p>
    <w:p w14:paraId="5568BF72" w14:textId="77777777" w:rsidR="003A0F6F" w:rsidRDefault="00917777" w:rsidP="00917777">
      <w:pPr>
        <w:jc w:val="center"/>
        <w:rPr>
          <w:i/>
          <w:noProof/>
        </w:rPr>
      </w:pPr>
      <w:r w:rsidRPr="00C3707B">
        <w:rPr>
          <w:i/>
          <w:noProof/>
        </w:rPr>
        <w:t>Doelstellingen en onderwerp</w:t>
      </w:r>
    </w:p>
    <w:p w14:paraId="4F716E17" w14:textId="77777777" w:rsidR="003A0F6F" w:rsidRDefault="00917777" w:rsidP="00917777">
      <w:pPr>
        <w:pStyle w:val="Point0"/>
        <w:rPr>
          <w:noProof/>
        </w:rPr>
      </w:pPr>
      <w:r w:rsidRPr="00160A33">
        <w:rPr>
          <w:noProof/>
        </w:rPr>
        <w:t>1</w:t>
      </w:r>
      <w:r w:rsidRPr="00C3707B">
        <w:rPr>
          <w:noProof/>
        </w:rPr>
        <w:t>.</w:t>
      </w:r>
      <w:r w:rsidRPr="00C3707B">
        <w:rPr>
          <w:noProof/>
        </w:rPr>
        <w:tab/>
        <w:t>Deze verordening heeft tot doel de voorzieningszekerheid en de beschikbaarheid van kritieke geneesmiddelen in de Unie te vergroten en zo een hoog niveau van bescherming van de volksgezondheid te waarborgen en de veiligheid van de Unie te ondersteunen. Deze verordening heeft ook tot doel de beschikbaarheid en toegankelijkheid van andere geneesmiddelen te verbeteren wanneer de marktwerking de beschikbaarheid en toegankelijkheid van die geneesmiddelen voor patiënten anders onvoldoende zou waarborgen, waarbij grondig wordt nagegaan of ingrijpen passend is om de betaalbaarheid van geneesmiddelen te waarborgen.</w:t>
      </w:r>
    </w:p>
    <w:p w14:paraId="386A5D99" w14:textId="2E856B48"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Om de in lid </w:t>
      </w:r>
      <w:r w:rsidRPr="00160A33">
        <w:rPr>
          <w:noProof/>
        </w:rPr>
        <w:t>1</w:t>
      </w:r>
      <w:r w:rsidRPr="00C3707B">
        <w:rPr>
          <w:noProof/>
        </w:rPr>
        <w:t xml:space="preserve"> bedoelde doelstellingen te verwezenlijken, wordt in deze verordening een kader vastgesteld om:</w:t>
      </w:r>
    </w:p>
    <w:p w14:paraId="63958C60" w14:textId="77777777" w:rsidR="00917777" w:rsidRPr="00C3707B" w:rsidRDefault="00917777" w:rsidP="00917777">
      <w:pPr>
        <w:pStyle w:val="Point1"/>
        <w:rPr>
          <w:rFonts w:eastAsia="Times New Roman"/>
          <w:noProof/>
        </w:rPr>
      </w:pPr>
      <w:r w:rsidRPr="00C3707B">
        <w:rPr>
          <w:noProof/>
        </w:rPr>
        <w:t>a)</w:t>
      </w:r>
      <w:r w:rsidRPr="00C3707B">
        <w:rPr>
          <w:noProof/>
        </w:rPr>
        <w:tab/>
        <w:t>investeringen in de productiecapaciteit voor kritieke geneesmiddelen en de werkzame stoffen en andere belangrijke inputs daarvan in de Unie te vergemakkelijken;</w:t>
      </w:r>
    </w:p>
    <w:p w14:paraId="7B3717E3" w14:textId="77777777" w:rsidR="00917777" w:rsidRPr="00C3707B" w:rsidRDefault="00917777" w:rsidP="00917777">
      <w:pPr>
        <w:pStyle w:val="Point1"/>
        <w:rPr>
          <w:rFonts w:eastAsia="Times New Roman"/>
          <w:noProof/>
        </w:rPr>
      </w:pPr>
      <w:r w:rsidRPr="00C3707B">
        <w:rPr>
          <w:noProof/>
        </w:rPr>
        <w:t>b)</w:t>
      </w:r>
      <w:r w:rsidRPr="00C3707B">
        <w:rPr>
          <w:noProof/>
        </w:rPr>
        <w:tab/>
        <w:t>het risico op verstoringen van de voorziening te verlagen en de beschikbaarheid te vergroten door in de openbare aanbestedingsprocedures voor kritieke geneesmiddelen en andere geneesmiddelen van gemeenschappelijk belang diversificatie en veerkracht van de toeleveringsketens te stimuleren;</w:t>
      </w:r>
    </w:p>
    <w:p w14:paraId="0B9C5794" w14:textId="77777777" w:rsidR="00917777" w:rsidRPr="00C3707B" w:rsidRDefault="00917777" w:rsidP="00917777">
      <w:pPr>
        <w:pStyle w:val="Point1"/>
        <w:rPr>
          <w:rFonts w:eastAsia="Times New Roman"/>
          <w:noProof/>
        </w:rPr>
      </w:pPr>
      <w:r w:rsidRPr="00C3707B">
        <w:rPr>
          <w:noProof/>
        </w:rPr>
        <w:t>c)</w:t>
      </w:r>
      <w:r w:rsidRPr="00C3707B">
        <w:rPr>
          <w:noProof/>
        </w:rPr>
        <w:tab/>
        <w:t>de geaggregeerde vraag van de deelnemende lidstaten te benutten door middel van collectieve aanbestedingsprocedures, en</w:t>
      </w:r>
    </w:p>
    <w:p w14:paraId="07D882D7" w14:textId="77777777" w:rsidR="00917777" w:rsidRPr="00C3707B" w:rsidRDefault="00917777" w:rsidP="00917777">
      <w:pPr>
        <w:pStyle w:val="Point1"/>
        <w:rPr>
          <w:rFonts w:eastAsia="Times New Roman"/>
          <w:noProof/>
        </w:rPr>
      </w:pPr>
      <w:r w:rsidRPr="00C3707B">
        <w:rPr>
          <w:noProof/>
        </w:rPr>
        <w:t>d)</w:t>
      </w:r>
      <w:r w:rsidRPr="00C3707B">
        <w:rPr>
          <w:noProof/>
        </w:rPr>
        <w:tab/>
        <w:t>de diversificatie van toeleveringsketens te ondersteunen, onder meer door het aangaan van strategische partnerschappen te vergemakkelijken.</w:t>
      </w:r>
    </w:p>
    <w:p w14:paraId="18201CD1" w14:textId="77777777" w:rsidR="00917777" w:rsidRPr="00C3707B" w:rsidRDefault="00917777" w:rsidP="00046C83">
      <w:pPr>
        <w:pStyle w:val="Titrearticle"/>
        <w:rPr>
          <w:noProof/>
        </w:rPr>
      </w:pPr>
      <w:r w:rsidRPr="00C3707B">
        <w:rPr>
          <w:noProof/>
        </w:rPr>
        <w:t>Artikel </w:t>
      </w:r>
      <w:r w:rsidRPr="00160A33">
        <w:rPr>
          <w:noProof/>
        </w:rPr>
        <w:t>2</w:t>
      </w:r>
    </w:p>
    <w:p w14:paraId="22FE45EF" w14:textId="77777777" w:rsidR="00917777" w:rsidRPr="00C3707B" w:rsidRDefault="00917777" w:rsidP="00046C83">
      <w:pPr>
        <w:jc w:val="center"/>
        <w:rPr>
          <w:i/>
          <w:iCs/>
          <w:noProof/>
        </w:rPr>
      </w:pPr>
      <w:r w:rsidRPr="00C3707B">
        <w:rPr>
          <w:i/>
          <w:noProof/>
        </w:rPr>
        <w:t>Toepassingsgebied</w:t>
      </w:r>
    </w:p>
    <w:p w14:paraId="0FCDAAA8" w14:textId="77777777" w:rsidR="00917777" w:rsidRPr="00C3707B" w:rsidRDefault="00917777" w:rsidP="00917777">
      <w:pPr>
        <w:pStyle w:val="Point0"/>
        <w:rPr>
          <w:rFonts w:eastAsia="Times New Roman"/>
          <w:noProof/>
        </w:rPr>
      </w:pPr>
      <w:r w:rsidRPr="00160A33">
        <w:rPr>
          <w:noProof/>
        </w:rPr>
        <w:t>1</w:t>
      </w:r>
      <w:r w:rsidRPr="00C3707B">
        <w:rPr>
          <w:noProof/>
        </w:rPr>
        <w:t>.</w:t>
      </w:r>
      <w:r w:rsidRPr="00C3707B">
        <w:rPr>
          <w:noProof/>
        </w:rPr>
        <w:tab/>
        <w:t>Deze verordening is van toepassing op de kritieke geneesmiddelen die zijn opgenomen in de lijst van de Unie van kritieke geneesmiddelen als bedoeld in artikel </w:t>
      </w:r>
      <w:r w:rsidRPr="00160A33">
        <w:rPr>
          <w:noProof/>
        </w:rPr>
        <w:t>131</w:t>
      </w:r>
      <w:r w:rsidRPr="00C3707B">
        <w:rPr>
          <w:noProof/>
        </w:rPr>
        <w:t xml:space="preserve"> van Verordening (EU) .../... [</w:t>
      </w:r>
      <w:r w:rsidRPr="00C3707B">
        <w:rPr>
          <w:i/>
          <w:noProof/>
        </w:rPr>
        <w:t>reference to be added after adoption cf. COM(</w:t>
      </w:r>
      <w:r w:rsidRPr="00160A33">
        <w:rPr>
          <w:i/>
          <w:noProof/>
        </w:rPr>
        <w:t>2023</w:t>
      </w:r>
      <w:r w:rsidRPr="00C3707B">
        <w:rPr>
          <w:i/>
          <w:noProof/>
        </w:rPr>
        <w:t>) </w:t>
      </w:r>
      <w:r w:rsidRPr="00160A33">
        <w:rPr>
          <w:i/>
          <w:noProof/>
        </w:rPr>
        <w:t>193</w:t>
      </w:r>
      <w:r w:rsidRPr="00C3707B">
        <w:rPr>
          <w:i/>
          <w:noProof/>
        </w:rPr>
        <w:t xml:space="preserve"> final</w:t>
      </w:r>
      <w:r w:rsidRPr="00C3707B">
        <w:rPr>
          <w:noProof/>
        </w:rPr>
        <w:t>].</w:t>
      </w:r>
    </w:p>
    <w:p w14:paraId="6018B7C9" w14:textId="77777777"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Hoofdstuk IV en artikel </w:t>
      </w:r>
      <w:r w:rsidRPr="00160A33">
        <w:rPr>
          <w:noProof/>
        </w:rPr>
        <w:t>26</w:t>
      </w:r>
      <w:r w:rsidRPr="00C3707B">
        <w:rPr>
          <w:noProof/>
        </w:rPr>
        <w:t>, lid </w:t>
      </w:r>
      <w:r w:rsidRPr="00160A33">
        <w:rPr>
          <w:noProof/>
        </w:rPr>
        <w:t>2</w:t>
      </w:r>
      <w:r w:rsidRPr="00C3707B">
        <w:rPr>
          <w:noProof/>
        </w:rPr>
        <w:t>, punt c), zijn ook van toepassing op geneesmiddelen van gemeenschappelijk belang. Hoofdstuk III is niet van toepassing op geneesmiddelen van gemeenschappelijk belang.</w:t>
      </w:r>
    </w:p>
    <w:p w14:paraId="2F4F822C" w14:textId="77777777" w:rsidR="00917777" w:rsidRPr="00C3707B" w:rsidRDefault="00917777" w:rsidP="00046C83">
      <w:pPr>
        <w:pStyle w:val="Titrearticle"/>
        <w:rPr>
          <w:i w:val="0"/>
          <w:iCs/>
          <w:noProof/>
        </w:rPr>
      </w:pPr>
      <w:r w:rsidRPr="00C3707B">
        <w:rPr>
          <w:noProof/>
        </w:rPr>
        <w:t>Artikel </w:t>
      </w:r>
      <w:r w:rsidRPr="00160A33">
        <w:rPr>
          <w:noProof/>
        </w:rPr>
        <w:t>3</w:t>
      </w:r>
    </w:p>
    <w:p w14:paraId="184197E5" w14:textId="77777777" w:rsidR="00917777" w:rsidRPr="00C3707B" w:rsidRDefault="00917777" w:rsidP="00917777">
      <w:pPr>
        <w:jc w:val="center"/>
        <w:rPr>
          <w:i/>
          <w:iCs/>
          <w:noProof/>
        </w:rPr>
      </w:pPr>
      <w:r w:rsidRPr="00C3707B">
        <w:rPr>
          <w:i/>
          <w:noProof/>
        </w:rPr>
        <w:t>Definities</w:t>
      </w:r>
    </w:p>
    <w:p w14:paraId="276CF1BA" w14:textId="77777777" w:rsidR="00917777" w:rsidRPr="00C3707B" w:rsidRDefault="00917777" w:rsidP="00917777">
      <w:pPr>
        <w:rPr>
          <w:noProof/>
        </w:rPr>
      </w:pPr>
      <w:r w:rsidRPr="00C3707B">
        <w:rPr>
          <w:noProof/>
        </w:rPr>
        <w:t>Voor de toepassing van deze verordening wordt verstaan onder:</w:t>
      </w:r>
    </w:p>
    <w:p w14:paraId="0C2E4299" w14:textId="77777777" w:rsidR="003A0F6F" w:rsidRDefault="00917777" w:rsidP="00917777">
      <w:pPr>
        <w:pStyle w:val="Point0"/>
        <w:rPr>
          <w:noProof/>
          <w:lang w:val="en-IE"/>
        </w:rPr>
      </w:pPr>
      <w:r w:rsidRPr="00160A33">
        <w:rPr>
          <w:noProof/>
        </w:rPr>
        <w:t>1</w:t>
      </w:r>
      <w:r w:rsidRPr="00C3707B">
        <w:rPr>
          <w:noProof/>
        </w:rPr>
        <w:t>)</w:t>
      </w:r>
      <w:r w:rsidRPr="00C3707B">
        <w:rPr>
          <w:noProof/>
        </w:rPr>
        <w:tab/>
        <w:t>“geneesmiddel”: een geneesmiddel zoals gedefinieerd in artikel </w:t>
      </w:r>
      <w:r w:rsidRPr="00160A33">
        <w:rPr>
          <w:noProof/>
        </w:rPr>
        <w:t>4</w:t>
      </w:r>
      <w:r w:rsidRPr="00C3707B">
        <w:rPr>
          <w:noProof/>
        </w:rPr>
        <w:t>, punt </w:t>
      </w:r>
      <w:r w:rsidRPr="00160A33">
        <w:rPr>
          <w:noProof/>
        </w:rPr>
        <w:t>1</w:t>
      </w:r>
      <w:r w:rsidRPr="00C3707B">
        <w:rPr>
          <w:noProof/>
        </w:rPr>
        <w:t xml:space="preserve">, van </w:t>
      </w:r>
      <w:bookmarkStart w:id="3" w:name="_Hlk191888892"/>
      <w:r w:rsidRPr="00C3707B">
        <w:rPr>
          <w:noProof/>
        </w:rPr>
        <w:t xml:space="preserve">Richtlijn (EU) .../... </w:t>
      </w:r>
      <w:r w:rsidRPr="005D0E22">
        <w:rPr>
          <w:noProof/>
          <w:lang w:val="en-IE"/>
        </w:rPr>
        <w:t>van het Europees Parlement en de Raad [</w:t>
      </w:r>
      <w:r w:rsidRPr="005D0E22">
        <w:rPr>
          <w:i/>
          <w:noProof/>
          <w:lang w:val="en-IE"/>
        </w:rPr>
        <w:t>reference to be added to corresponding Article after adoption of cf. COM(</w:t>
      </w:r>
      <w:r w:rsidRPr="00160A33">
        <w:rPr>
          <w:i/>
          <w:noProof/>
          <w:lang w:val="en-IE"/>
        </w:rPr>
        <w:t>2023</w:t>
      </w:r>
      <w:r w:rsidRPr="005D0E22">
        <w:rPr>
          <w:i/>
          <w:noProof/>
          <w:lang w:val="en-IE"/>
        </w:rPr>
        <w:t>) </w:t>
      </w:r>
      <w:r w:rsidRPr="00160A33">
        <w:rPr>
          <w:i/>
          <w:noProof/>
          <w:lang w:val="en-IE"/>
        </w:rPr>
        <w:t>192</w:t>
      </w:r>
      <w:r w:rsidRPr="005D0E22">
        <w:rPr>
          <w:i/>
          <w:noProof/>
          <w:lang w:val="en-IE"/>
        </w:rPr>
        <w:t xml:space="preserve"> final</w:t>
      </w:r>
      <w:r w:rsidRPr="005D0E22">
        <w:rPr>
          <w:noProof/>
          <w:lang w:val="en-IE"/>
        </w:rPr>
        <w:t>]</w:t>
      </w:r>
      <w:bookmarkEnd w:id="3"/>
      <w:r w:rsidRPr="005D0E22">
        <w:rPr>
          <w:noProof/>
          <w:lang w:val="en-IE"/>
        </w:rPr>
        <w:t>;</w:t>
      </w:r>
    </w:p>
    <w:p w14:paraId="335018C9" w14:textId="4D994664"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“belangrijke input”: inputmateriaal dat geen werkzame stof is, maar nodig is voor het vervaardigingsproces van een bepaald geneesmiddel, zoals primaire verpakkingsmaterialen, hulpstoffen, oplosmiddelen en reagentia;</w:t>
      </w:r>
    </w:p>
    <w:p w14:paraId="22D3B2CF" w14:textId="77777777" w:rsidR="00917777" w:rsidRPr="005D0E22" w:rsidRDefault="00917777" w:rsidP="00917777">
      <w:pPr>
        <w:pStyle w:val="Point0"/>
        <w:rPr>
          <w:rFonts w:eastAsia="Times New Roman"/>
          <w:noProof/>
          <w:lang w:val="en-IE"/>
        </w:rPr>
      </w:pPr>
      <w:r w:rsidRPr="00160A33">
        <w:rPr>
          <w:noProof/>
        </w:rPr>
        <w:t>3</w:t>
      </w:r>
      <w:r w:rsidRPr="00C3707B">
        <w:rPr>
          <w:noProof/>
        </w:rPr>
        <w:t>)</w:t>
      </w:r>
      <w:r w:rsidRPr="00C3707B">
        <w:rPr>
          <w:noProof/>
        </w:rPr>
        <w:tab/>
        <w:t>“werkzame stof”: een werkzame stof zoals gedefinieerd in artikel </w:t>
      </w:r>
      <w:r w:rsidRPr="00160A33">
        <w:rPr>
          <w:noProof/>
        </w:rPr>
        <w:t>4</w:t>
      </w:r>
      <w:r w:rsidRPr="00C3707B">
        <w:rPr>
          <w:noProof/>
        </w:rPr>
        <w:t>, punt </w:t>
      </w:r>
      <w:r w:rsidRPr="00160A33">
        <w:rPr>
          <w:noProof/>
        </w:rPr>
        <w:t>3</w:t>
      </w:r>
      <w:r w:rsidRPr="00C3707B">
        <w:rPr>
          <w:noProof/>
        </w:rPr>
        <w:t xml:space="preserve">, van Richtlijn (EU) .../... </w:t>
      </w:r>
      <w:r w:rsidRPr="005D0E22">
        <w:rPr>
          <w:noProof/>
          <w:lang w:val="en-IE"/>
        </w:rPr>
        <w:t>van het Europees Parlement en de Raad [</w:t>
      </w:r>
      <w:r w:rsidRPr="005D0E22">
        <w:rPr>
          <w:i/>
          <w:noProof/>
          <w:lang w:val="en-IE"/>
        </w:rPr>
        <w:t>reference to be added to corresponding Article after adoption of cf. COM(</w:t>
      </w:r>
      <w:r w:rsidRPr="00160A33">
        <w:rPr>
          <w:i/>
          <w:noProof/>
          <w:lang w:val="en-IE"/>
        </w:rPr>
        <w:t>2023</w:t>
      </w:r>
      <w:r w:rsidRPr="005D0E22">
        <w:rPr>
          <w:i/>
          <w:noProof/>
          <w:lang w:val="en-IE"/>
        </w:rPr>
        <w:t>) </w:t>
      </w:r>
      <w:r w:rsidRPr="00160A33">
        <w:rPr>
          <w:i/>
          <w:noProof/>
          <w:lang w:val="en-IE"/>
        </w:rPr>
        <w:t>192</w:t>
      </w:r>
      <w:r w:rsidRPr="005D0E22">
        <w:rPr>
          <w:i/>
          <w:noProof/>
          <w:lang w:val="en-IE"/>
        </w:rPr>
        <w:t xml:space="preserve"> final</w:t>
      </w:r>
      <w:r w:rsidRPr="005D0E22">
        <w:rPr>
          <w:noProof/>
          <w:lang w:val="en-IE"/>
        </w:rPr>
        <w:t>];</w:t>
      </w:r>
    </w:p>
    <w:p w14:paraId="2E7F763C" w14:textId="77777777" w:rsidR="00917777" w:rsidRPr="00C3707B" w:rsidRDefault="00917777" w:rsidP="00917777">
      <w:pPr>
        <w:pStyle w:val="Point0"/>
        <w:rPr>
          <w:rFonts w:eastAsia="Times New Roman"/>
          <w:noProof/>
        </w:rPr>
      </w:pPr>
      <w:bookmarkStart w:id="4" w:name="_Hlk188600619"/>
      <w:r w:rsidRPr="00160A33">
        <w:rPr>
          <w:noProof/>
        </w:rPr>
        <w:t>4</w:t>
      </w:r>
      <w:r w:rsidRPr="00C3707B">
        <w:rPr>
          <w:noProof/>
        </w:rPr>
        <w:t>)</w:t>
      </w:r>
      <w:r w:rsidRPr="00C3707B">
        <w:rPr>
          <w:noProof/>
        </w:rPr>
        <w:tab/>
        <w:t>“kritiek geneesmiddel”: een geneesmiddel waarvan de ontoereikende levering tot ernstige schade of een risico op ernstige schade voor patiënten leidt, zoals gedefinieerd in artikel </w:t>
      </w:r>
      <w:r w:rsidRPr="00160A33">
        <w:rPr>
          <w:noProof/>
        </w:rPr>
        <w:t>4</w:t>
      </w:r>
      <w:r w:rsidRPr="00C3707B">
        <w:rPr>
          <w:noProof/>
        </w:rPr>
        <w:t>, punt </w:t>
      </w:r>
      <w:r w:rsidRPr="00160A33">
        <w:rPr>
          <w:noProof/>
        </w:rPr>
        <w:t>13</w:t>
      </w:r>
      <w:r w:rsidRPr="00C3707B">
        <w:rPr>
          <w:noProof/>
        </w:rPr>
        <w:t>, van Verordening (EU) .../... [</w:t>
      </w:r>
      <w:r w:rsidRPr="00C3707B">
        <w:rPr>
          <w:i/>
          <w:noProof/>
        </w:rPr>
        <w:t>reference to be added after adoption cf. COM(</w:t>
      </w:r>
      <w:r w:rsidRPr="00160A33">
        <w:rPr>
          <w:i/>
          <w:noProof/>
        </w:rPr>
        <w:t>2023</w:t>
      </w:r>
      <w:r w:rsidRPr="00C3707B">
        <w:rPr>
          <w:i/>
          <w:noProof/>
        </w:rPr>
        <w:t xml:space="preserve">) </w:t>
      </w:r>
      <w:r w:rsidRPr="00160A33">
        <w:rPr>
          <w:i/>
          <w:noProof/>
        </w:rPr>
        <w:t>193</w:t>
      </w:r>
      <w:r w:rsidRPr="00C3707B">
        <w:rPr>
          <w:i/>
          <w:noProof/>
        </w:rPr>
        <w:t xml:space="preserve"> final</w:t>
      </w:r>
      <w:r w:rsidRPr="00C3707B">
        <w:rPr>
          <w:noProof/>
        </w:rPr>
        <w:t>];</w:t>
      </w:r>
    </w:p>
    <w:p w14:paraId="35CA21EF" w14:textId="77777777" w:rsidR="003A0F6F" w:rsidRDefault="00917777" w:rsidP="00917777">
      <w:pPr>
        <w:pStyle w:val="Point0"/>
        <w:rPr>
          <w:noProof/>
        </w:rPr>
      </w:pPr>
      <w:r w:rsidRPr="00160A33">
        <w:rPr>
          <w:noProof/>
        </w:rPr>
        <w:t>5</w:t>
      </w:r>
      <w:r w:rsidRPr="00C3707B">
        <w:rPr>
          <w:noProof/>
        </w:rPr>
        <w:t>)</w:t>
      </w:r>
      <w:r w:rsidRPr="00C3707B">
        <w:rPr>
          <w:noProof/>
        </w:rPr>
        <w:tab/>
        <w:t>“geneesmiddel van gemeenschappelijk belang”: een niet-kritiek geneesmiddel waarvan de marktwerking de beschikbaarheid en toegankelijkheid voor patiënten in voldoende hoeveelheden en in de aanbiedingsvormen die nodig zijn om in de behoeften van patiënten in die lidstaten te voorzien, onvoldoende waarborgt;</w:t>
      </w:r>
      <w:bookmarkEnd w:id="4"/>
    </w:p>
    <w:p w14:paraId="518FB52B" w14:textId="65BD9A02" w:rsidR="00917777" w:rsidRPr="00C3707B" w:rsidRDefault="00917777" w:rsidP="00917777">
      <w:pPr>
        <w:pStyle w:val="Point0"/>
        <w:rPr>
          <w:noProof/>
        </w:rPr>
      </w:pPr>
      <w:bookmarkStart w:id="5" w:name="_Hlk188962024"/>
      <w:r w:rsidRPr="00160A33">
        <w:rPr>
          <w:noProof/>
        </w:rPr>
        <w:t>6</w:t>
      </w:r>
      <w:r w:rsidRPr="00C3707B">
        <w:rPr>
          <w:noProof/>
        </w:rPr>
        <w:t>)</w:t>
      </w:r>
      <w:r w:rsidRPr="00C3707B">
        <w:rPr>
          <w:noProof/>
        </w:rPr>
        <w:tab/>
        <w:t>“kwetsbaarheid in de toeleveringsketens”: risico’s en zwakke punten in de toeleveringsketens van kritieke geneesmiddelen waardoor de continue voorziening van dergelijke geneesmiddelen aan patiënten in de Unie in gevaar komt, die op geaggregeerd niveau in kaart worden gebracht, waarbij alle geneesmiddelen in aanmerking worden genomen waarvoor in de EU een vergunning is verleend en die onder een algemene benaming zijn gegroepeerd met dezelfde toedieningsweg en formulering;</w:t>
      </w:r>
    </w:p>
    <w:bookmarkEnd w:id="5"/>
    <w:p w14:paraId="1126160E" w14:textId="77777777" w:rsidR="00917777" w:rsidRPr="00C3707B" w:rsidRDefault="00917777" w:rsidP="00917777">
      <w:pPr>
        <w:pStyle w:val="Point0"/>
        <w:rPr>
          <w:rFonts w:eastAsia="Times New Roman"/>
          <w:noProof/>
        </w:rPr>
      </w:pPr>
      <w:r w:rsidRPr="00160A33">
        <w:rPr>
          <w:noProof/>
        </w:rPr>
        <w:t>7</w:t>
      </w:r>
      <w:r w:rsidRPr="00C3707B">
        <w:rPr>
          <w:noProof/>
        </w:rPr>
        <w:t>)</w:t>
      </w:r>
      <w:r w:rsidRPr="00C3707B">
        <w:rPr>
          <w:noProof/>
        </w:rPr>
        <w:tab/>
        <w:t xml:space="preserve">“kwetsbaarheidsbeoordeling”: de door de stuurgroep tekorten aan geneesmiddelen overeenkomstig </w:t>
      </w:r>
      <w:bookmarkStart w:id="6" w:name="_Hlk189229336"/>
      <w:r w:rsidRPr="00C3707B">
        <w:rPr>
          <w:noProof/>
        </w:rPr>
        <w:t xml:space="preserve">Verordening (EU) .../... van het Europees Parlement en de Raad </w:t>
      </w:r>
      <w:r w:rsidRPr="00C3707B">
        <w:rPr>
          <w:i/>
          <w:noProof/>
        </w:rPr>
        <w:t xml:space="preserve">[reference to be added after adoption cf. </w:t>
      </w:r>
      <w:bookmarkEnd w:id="6"/>
      <w:r w:rsidRPr="00C3707B">
        <w:rPr>
          <w:i/>
          <w:noProof/>
        </w:rPr>
        <w:t>COM(</w:t>
      </w:r>
      <w:r w:rsidRPr="00160A33">
        <w:rPr>
          <w:i/>
          <w:noProof/>
        </w:rPr>
        <w:t>2023</w:t>
      </w:r>
      <w:r w:rsidRPr="00C3707B">
        <w:rPr>
          <w:i/>
          <w:noProof/>
        </w:rPr>
        <w:t xml:space="preserve">) </w:t>
      </w:r>
      <w:r w:rsidRPr="00160A33">
        <w:rPr>
          <w:i/>
          <w:noProof/>
        </w:rPr>
        <w:t>193</w:t>
      </w:r>
      <w:r w:rsidRPr="00C3707B">
        <w:rPr>
          <w:i/>
          <w:noProof/>
        </w:rPr>
        <w:t xml:space="preserve"> final]</w:t>
      </w:r>
      <w:r w:rsidRPr="00C3707B">
        <w:rPr>
          <w:rStyle w:val="FootnoteReference"/>
          <w:rFonts w:eastAsia="Times New Roman"/>
          <w:noProof/>
          <w:lang w:eastAsia="en-GB"/>
        </w:rPr>
        <w:footnoteReference w:id="79"/>
      </w:r>
      <w:r w:rsidRPr="00C3707B">
        <w:rPr>
          <w:noProof/>
        </w:rPr>
        <w:t xml:space="preserve"> uitgevoerde beoordeling van de toeleveringsketens van kritieke geneesmiddelen om de kwetsbaarheden daarin in kaart te brengen;</w:t>
      </w:r>
    </w:p>
    <w:p w14:paraId="7D28CBFB" w14:textId="77777777" w:rsidR="00917777" w:rsidRPr="005D0E22" w:rsidRDefault="00917777" w:rsidP="00917777">
      <w:pPr>
        <w:pStyle w:val="Point0"/>
        <w:rPr>
          <w:rFonts w:eastAsia="Times New Roman"/>
          <w:noProof/>
          <w:lang w:val="en-IE"/>
        </w:rPr>
      </w:pPr>
      <w:r w:rsidRPr="00160A33">
        <w:rPr>
          <w:noProof/>
        </w:rPr>
        <w:t>8</w:t>
      </w:r>
      <w:r w:rsidRPr="00C3707B">
        <w:rPr>
          <w:noProof/>
        </w:rPr>
        <w:t>)</w:t>
      </w:r>
      <w:r w:rsidRPr="00C3707B">
        <w:rPr>
          <w:noProof/>
        </w:rPr>
        <w:tab/>
        <w:t>“algemene benaming”: een algemene benaming zoals gedefinieerd in artikel </w:t>
      </w:r>
      <w:r w:rsidRPr="00160A33">
        <w:rPr>
          <w:noProof/>
        </w:rPr>
        <w:t>4</w:t>
      </w:r>
      <w:r w:rsidRPr="00C3707B">
        <w:rPr>
          <w:noProof/>
        </w:rPr>
        <w:t>, punt </w:t>
      </w:r>
      <w:r w:rsidRPr="00160A33">
        <w:rPr>
          <w:noProof/>
        </w:rPr>
        <w:t>48</w:t>
      </w:r>
      <w:r w:rsidRPr="00C3707B">
        <w:rPr>
          <w:noProof/>
        </w:rPr>
        <w:t xml:space="preserve">, van Richtlijn (EU) .../... </w:t>
      </w:r>
      <w:r w:rsidRPr="005D0E22">
        <w:rPr>
          <w:noProof/>
          <w:lang w:val="en-IE"/>
        </w:rPr>
        <w:t>van het Europees Parlement en de Raad [</w:t>
      </w:r>
      <w:r w:rsidRPr="005D0E22">
        <w:rPr>
          <w:i/>
          <w:noProof/>
          <w:lang w:val="en-IE"/>
        </w:rPr>
        <w:t>reference to be added to corresponding Article after adoption of cf. COM(</w:t>
      </w:r>
      <w:r w:rsidRPr="00160A33">
        <w:rPr>
          <w:i/>
          <w:noProof/>
          <w:lang w:val="en-IE"/>
        </w:rPr>
        <w:t>2023</w:t>
      </w:r>
      <w:r w:rsidRPr="005D0E22">
        <w:rPr>
          <w:i/>
          <w:noProof/>
          <w:lang w:val="en-IE"/>
        </w:rPr>
        <w:t>)</w:t>
      </w:r>
      <w:r w:rsidRPr="00160A33">
        <w:rPr>
          <w:i/>
          <w:noProof/>
          <w:lang w:val="en-IE"/>
        </w:rPr>
        <w:t>192</w:t>
      </w:r>
      <w:r w:rsidRPr="005D0E22">
        <w:rPr>
          <w:i/>
          <w:noProof/>
          <w:lang w:val="en-IE"/>
        </w:rPr>
        <w:t xml:space="preserve"> final</w:t>
      </w:r>
      <w:r w:rsidRPr="005D0E22">
        <w:rPr>
          <w:noProof/>
          <w:lang w:val="en-IE"/>
        </w:rPr>
        <w:t>];</w:t>
      </w:r>
    </w:p>
    <w:p w14:paraId="21266588" w14:textId="6E815BC6" w:rsidR="00917777" w:rsidRPr="00C3707B" w:rsidRDefault="00917777" w:rsidP="00917777">
      <w:pPr>
        <w:pStyle w:val="Point0"/>
        <w:rPr>
          <w:rFonts w:eastAsia="Times New Roman"/>
          <w:noProof/>
        </w:rPr>
      </w:pPr>
      <w:r w:rsidRPr="00160A33">
        <w:rPr>
          <w:noProof/>
        </w:rPr>
        <w:t>9</w:t>
      </w:r>
      <w:r w:rsidRPr="00C3707B">
        <w:rPr>
          <w:noProof/>
        </w:rPr>
        <w:t>)</w:t>
      </w:r>
      <w:r w:rsidRPr="00C3707B">
        <w:rPr>
          <w:noProof/>
        </w:rPr>
        <w:tab/>
        <w:t>“aanbestedende dienst”: een aanbestedende dienst zoals gedefinieerd in artikel </w:t>
      </w:r>
      <w:r w:rsidRPr="00160A33">
        <w:rPr>
          <w:noProof/>
        </w:rPr>
        <w:t>2</w:t>
      </w:r>
      <w:r w:rsidRPr="00C3707B">
        <w:rPr>
          <w:noProof/>
        </w:rPr>
        <w:t>, lid </w:t>
      </w:r>
      <w:r w:rsidRPr="00160A33">
        <w:rPr>
          <w:noProof/>
        </w:rPr>
        <w:t>1</w:t>
      </w:r>
      <w:r w:rsidRPr="00C3707B">
        <w:rPr>
          <w:noProof/>
        </w:rPr>
        <w:t>, punt </w:t>
      </w:r>
      <w:r w:rsidRPr="00160A33">
        <w:rPr>
          <w:noProof/>
        </w:rPr>
        <w:t>1</w:t>
      </w:r>
      <w:r w:rsidRPr="00C3707B">
        <w:rPr>
          <w:noProof/>
        </w:rPr>
        <w:t>, van Richtlijn</w:t>
      </w:r>
      <w:r w:rsidR="003B3818">
        <w:rPr>
          <w:noProof/>
        </w:rPr>
        <w:t xml:space="preserve"> </w:t>
      </w:r>
      <w:r w:rsidRPr="00160A33">
        <w:rPr>
          <w:noProof/>
        </w:rPr>
        <w:t>2014</w:t>
      </w:r>
      <w:r w:rsidRPr="00C3707B">
        <w:rPr>
          <w:noProof/>
        </w:rPr>
        <w:t>/</w:t>
      </w:r>
      <w:r w:rsidRPr="00160A33">
        <w:rPr>
          <w:noProof/>
        </w:rPr>
        <w:t>24</w:t>
      </w:r>
      <w:r w:rsidRPr="00C3707B">
        <w:rPr>
          <w:noProof/>
        </w:rPr>
        <w:t>/EU;</w:t>
      </w:r>
    </w:p>
    <w:p w14:paraId="5911C3EF" w14:textId="77777777" w:rsidR="00917777" w:rsidRPr="00C3707B" w:rsidRDefault="00917777" w:rsidP="00917777">
      <w:pPr>
        <w:pStyle w:val="Point0"/>
        <w:rPr>
          <w:rFonts w:eastAsia="Times New Roman"/>
          <w:noProof/>
        </w:rPr>
      </w:pPr>
      <w:r w:rsidRPr="00160A33">
        <w:rPr>
          <w:noProof/>
        </w:rPr>
        <w:t>10</w:t>
      </w:r>
      <w:r w:rsidRPr="00C3707B">
        <w:rPr>
          <w:noProof/>
        </w:rPr>
        <w:t>)</w:t>
      </w:r>
      <w:r w:rsidRPr="00C3707B">
        <w:rPr>
          <w:noProof/>
        </w:rPr>
        <w:tab/>
        <w:t>“strategisch project”: een industrieel project dat overeenkomstig de criteria van artikel </w:t>
      </w:r>
      <w:r w:rsidRPr="00160A33">
        <w:rPr>
          <w:noProof/>
        </w:rPr>
        <w:t>5</w:t>
      </w:r>
      <w:r w:rsidRPr="00C3707B">
        <w:rPr>
          <w:noProof/>
        </w:rPr>
        <w:t xml:space="preserve"> als strategisch project is aangewezen;</w:t>
      </w:r>
    </w:p>
    <w:p w14:paraId="19968423" w14:textId="77777777" w:rsidR="00917777" w:rsidRPr="00C3707B" w:rsidRDefault="00917777" w:rsidP="00917777">
      <w:pPr>
        <w:pStyle w:val="Point0"/>
        <w:rPr>
          <w:rFonts w:eastAsia="Times New Roman"/>
          <w:noProof/>
        </w:rPr>
      </w:pPr>
      <w:r w:rsidRPr="00160A33">
        <w:rPr>
          <w:noProof/>
        </w:rPr>
        <w:t>11</w:t>
      </w:r>
      <w:r w:rsidRPr="00C3707B">
        <w:rPr>
          <w:noProof/>
        </w:rPr>
        <w:t>)</w:t>
      </w:r>
      <w:r w:rsidRPr="00C3707B">
        <w:rPr>
          <w:noProof/>
        </w:rPr>
        <w:tab/>
        <w:t>“projectontwikkelaar”: een onderneming die of een consortium van ondernemingen dat een strategisch project uitvoert;</w:t>
      </w:r>
    </w:p>
    <w:p w14:paraId="3E58042A" w14:textId="77777777" w:rsidR="00917777" w:rsidRPr="00C3707B" w:rsidRDefault="00917777" w:rsidP="00917777">
      <w:pPr>
        <w:pStyle w:val="Point0"/>
        <w:rPr>
          <w:rFonts w:eastAsia="Times New Roman"/>
          <w:noProof/>
        </w:rPr>
      </w:pPr>
      <w:r w:rsidRPr="00160A33">
        <w:rPr>
          <w:noProof/>
        </w:rPr>
        <w:t>12</w:t>
      </w:r>
      <w:r w:rsidRPr="00C3707B">
        <w:rPr>
          <w:noProof/>
        </w:rPr>
        <w:t>)</w:t>
      </w:r>
      <w:r w:rsidRPr="00C3707B">
        <w:rPr>
          <w:noProof/>
        </w:rPr>
        <w:tab/>
        <w:t>“vergunningsprocedure”: een proces dat alle relevante vergunningen voor de opbouw en exploitatie van een strategisch project, met inbegrip van vergunningen in verband met de bouw, chemische stoffen en aansluiting op het net, en eventueel vereiste milieubeoordelingen en -vergunningen, en alle aanvragen en procedures, omvat;</w:t>
      </w:r>
    </w:p>
    <w:p w14:paraId="4735980E" w14:textId="77777777" w:rsidR="003A0F6F" w:rsidRDefault="00917777" w:rsidP="00917777">
      <w:pPr>
        <w:pStyle w:val="Point0"/>
        <w:rPr>
          <w:noProof/>
        </w:rPr>
      </w:pPr>
      <w:r w:rsidRPr="00160A33">
        <w:rPr>
          <w:noProof/>
        </w:rPr>
        <w:t>13</w:t>
      </w:r>
      <w:r w:rsidRPr="00C3707B">
        <w:rPr>
          <w:noProof/>
        </w:rPr>
        <w:t>)</w:t>
      </w:r>
      <w:r w:rsidRPr="00C3707B">
        <w:rPr>
          <w:noProof/>
        </w:rPr>
        <w:tab/>
        <w:t xml:space="preserve">“innovatief productieproces”: een nieuw proces en een nieuwe technologie voor vervaardiging of een nieuwe toepassing van een bestaande technologie, met inbegrip van, maar niet beperkt tot, gedecentraliseerde productie, doorlopende productie, artificiële intelligentie, platformtechnieken en </w:t>
      </w:r>
      <w:r w:rsidRPr="00160A33">
        <w:rPr>
          <w:noProof/>
        </w:rPr>
        <w:t>3</w:t>
      </w:r>
      <w:r w:rsidRPr="00C3707B">
        <w:rPr>
          <w:noProof/>
        </w:rPr>
        <w:t>D-productie;</w:t>
      </w:r>
    </w:p>
    <w:p w14:paraId="2F5EEA9D" w14:textId="2684942F" w:rsidR="00917777" w:rsidRPr="00C3707B" w:rsidRDefault="00917777" w:rsidP="00917777">
      <w:pPr>
        <w:pStyle w:val="Point0"/>
        <w:rPr>
          <w:rFonts w:eastAsia="Times New Roman"/>
          <w:noProof/>
        </w:rPr>
      </w:pPr>
      <w:r w:rsidRPr="00160A33">
        <w:rPr>
          <w:noProof/>
        </w:rPr>
        <w:t>15</w:t>
      </w:r>
      <w:r w:rsidRPr="00C3707B">
        <w:rPr>
          <w:noProof/>
        </w:rPr>
        <w:t>)</w:t>
      </w:r>
      <w:r w:rsidRPr="00C3707B">
        <w:rPr>
          <w:noProof/>
        </w:rPr>
        <w:tab/>
        <w:t>“grensoverschrijdende aanbesteding door de lidstaten”: een aanbestedingsprocedure die, op grond van artikel </w:t>
      </w:r>
      <w:r w:rsidRPr="00160A33">
        <w:rPr>
          <w:noProof/>
        </w:rPr>
        <w:t>39</w:t>
      </w:r>
      <w:r w:rsidRPr="00C3707B">
        <w:rPr>
          <w:noProof/>
        </w:rPr>
        <w:t xml:space="preserve"> van Richtlijn </w:t>
      </w:r>
      <w:r w:rsidRPr="00160A33">
        <w:rPr>
          <w:noProof/>
        </w:rPr>
        <w:t>2014</w:t>
      </w:r>
      <w:r w:rsidRPr="00C3707B">
        <w:rPr>
          <w:noProof/>
        </w:rPr>
        <w:t>/</w:t>
      </w:r>
      <w:r w:rsidRPr="00160A33">
        <w:rPr>
          <w:noProof/>
        </w:rPr>
        <w:t>24</w:t>
      </w:r>
      <w:r w:rsidRPr="00C3707B">
        <w:rPr>
          <w:noProof/>
        </w:rPr>
        <w:t>/EG, door de aanbestedende diensten van verschillende lidstaten samen wordt gestart;</w:t>
      </w:r>
    </w:p>
    <w:p w14:paraId="095DDD34" w14:textId="77777777" w:rsidR="003A0F6F" w:rsidRDefault="00917777" w:rsidP="00917777">
      <w:pPr>
        <w:pStyle w:val="Point0"/>
        <w:rPr>
          <w:noProof/>
        </w:rPr>
      </w:pPr>
      <w:r w:rsidRPr="00160A33">
        <w:rPr>
          <w:noProof/>
        </w:rPr>
        <w:t>16</w:t>
      </w:r>
      <w:r w:rsidRPr="00C3707B">
        <w:rPr>
          <w:noProof/>
        </w:rPr>
        <w:t>)</w:t>
      </w:r>
      <w:r w:rsidRPr="00C3707B">
        <w:rPr>
          <w:noProof/>
        </w:rPr>
        <w:tab/>
        <w:t>“aanbesteding in naam of voor rekening van de lidstaten”: een aanbestedingsprocedure die op aanvraag van de lidstaten wordt gestart en waarbij de Commissie wordt gemachtigd om in naam of voor rekening van de aanvragende lidstaten als aankoopcentrale op te treden, overeenkomstig artikel </w:t>
      </w:r>
      <w:r w:rsidRPr="00160A33">
        <w:rPr>
          <w:noProof/>
        </w:rPr>
        <w:t>168</w:t>
      </w:r>
      <w:r w:rsidRPr="00C3707B">
        <w:rPr>
          <w:noProof/>
        </w:rPr>
        <w:t>, lid </w:t>
      </w:r>
      <w:r w:rsidRPr="00160A33">
        <w:rPr>
          <w:noProof/>
        </w:rPr>
        <w:t>3</w:t>
      </w:r>
      <w:r w:rsidRPr="00C3707B">
        <w:rPr>
          <w:noProof/>
        </w:rPr>
        <w:t xml:space="preserve">, van Verordening (EU) </w:t>
      </w:r>
      <w:r w:rsidRPr="00160A33">
        <w:rPr>
          <w:noProof/>
        </w:rPr>
        <w:t>2024</w:t>
      </w:r>
      <w:r w:rsidRPr="00C3707B">
        <w:rPr>
          <w:noProof/>
        </w:rPr>
        <w:t>/</w:t>
      </w:r>
      <w:r w:rsidRPr="00160A33">
        <w:rPr>
          <w:noProof/>
        </w:rPr>
        <w:t>2509</w:t>
      </w:r>
      <w:r w:rsidRPr="00C3707B">
        <w:rPr>
          <w:noProof/>
        </w:rPr>
        <w:t>;</w:t>
      </w:r>
    </w:p>
    <w:p w14:paraId="35A5774D" w14:textId="6E1727C7" w:rsidR="00917777" w:rsidRPr="00C3707B" w:rsidRDefault="00917777" w:rsidP="00917777">
      <w:pPr>
        <w:pStyle w:val="Point0"/>
        <w:rPr>
          <w:rFonts w:eastAsia="Times New Roman"/>
          <w:noProof/>
        </w:rPr>
      </w:pPr>
      <w:r w:rsidRPr="00160A33">
        <w:rPr>
          <w:noProof/>
        </w:rPr>
        <w:t>17</w:t>
      </w:r>
      <w:r w:rsidRPr="00C3707B">
        <w:rPr>
          <w:noProof/>
        </w:rPr>
        <w:t>)</w:t>
      </w:r>
      <w:r w:rsidRPr="00C3707B">
        <w:rPr>
          <w:noProof/>
        </w:rPr>
        <w:tab/>
        <w:t>“gezamenlijke aanbesteding”: een aanbestedingsprocedure die gezamenlijk door de Commissie en de lidstaten wordt uitgevoerd, overeenkomstig artikel </w:t>
      </w:r>
      <w:r w:rsidRPr="00160A33">
        <w:rPr>
          <w:noProof/>
        </w:rPr>
        <w:t>168</w:t>
      </w:r>
      <w:r w:rsidRPr="00C3707B">
        <w:rPr>
          <w:noProof/>
        </w:rPr>
        <w:t>, lid </w:t>
      </w:r>
      <w:r w:rsidRPr="00160A33">
        <w:rPr>
          <w:noProof/>
        </w:rPr>
        <w:t>2</w:t>
      </w:r>
      <w:r w:rsidRPr="00C3707B">
        <w:rPr>
          <w:noProof/>
        </w:rPr>
        <w:t xml:space="preserve">, van Verordening (EU) </w:t>
      </w:r>
      <w:r w:rsidRPr="00160A33">
        <w:rPr>
          <w:noProof/>
        </w:rPr>
        <w:t>2024</w:t>
      </w:r>
      <w:r w:rsidRPr="00C3707B">
        <w:rPr>
          <w:noProof/>
        </w:rPr>
        <w:t>/</w:t>
      </w:r>
      <w:r w:rsidRPr="00160A33">
        <w:rPr>
          <w:noProof/>
        </w:rPr>
        <w:t>2509</w:t>
      </w:r>
      <w:r w:rsidRPr="00C3707B">
        <w:rPr>
          <w:noProof/>
        </w:rPr>
        <w:t>;</w:t>
      </w:r>
    </w:p>
    <w:p w14:paraId="27DE96F2" w14:textId="77777777" w:rsidR="00917777" w:rsidRPr="00C3707B" w:rsidRDefault="00917777" w:rsidP="00917777">
      <w:pPr>
        <w:pStyle w:val="Point0"/>
        <w:rPr>
          <w:rFonts w:eastAsia="Times New Roman"/>
          <w:noProof/>
        </w:rPr>
      </w:pPr>
      <w:r w:rsidRPr="00160A33">
        <w:rPr>
          <w:noProof/>
        </w:rPr>
        <w:t>18</w:t>
      </w:r>
      <w:r w:rsidRPr="00C3707B">
        <w:rPr>
          <w:noProof/>
        </w:rPr>
        <w:t>)</w:t>
      </w:r>
      <w:r w:rsidRPr="00C3707B">
        <w:rPr>
          <w:noProof/>
        </w:rPr>
        <w:tab/>
        <w:t>“leverancier”: de fabrikant of de houder van een vergunning voor het in de handel brengen van afgewerkte doseringsvormen, of de fabrikant van belangrijke inputs of werkzame stoffen;</w:t>
      </w:r>
    </w:p>
    <w:p w14:paraId="215190D1" w14:textId="77777777" w:rsidR="00917777" w:rsidRPr="00C3707B" w:rsidRDefault="00917777" w:rsidP="00917777">
      <w:pPr>
        <w:pStyle w:val="Point0"/>
        <w:rPr>
          <w:rFonts w:eastAsia="Times New Roman"/>
          <w:noProof/>
        </w:rPr>
      </w:pPr>
      <w:r w:rsidRPr="00160A33">
        <w:rPr>
          <w:noProof/>
        </w:rPr>
        <w:t>19</w:t>
      </w:r>
      <w:r w:rsidRPr="00C3707B">
        <w:rPr>
          <w:noProof/>
        </w:rPr>
        <w:t>)</w:t>
      </w:r>
      <w:r w:rsidRPr="00C3707B">
        <w:rPr>
          <w:noProof/>
        </w:rPr>
        <w:tab/>
        <w:t>“strategisch partnerschap”: verbintenis tussen de Unie en een derde land, een groep van derde landen of internationale organisaties om hun samenwerking met betrekking tot een of meerdere kritieke geneesmiddelen te intensiveren, die is vastgelegd in een niet-bindend instrument en die gunstige resultaten voor zowel de Unie als het derde land, de groep van derde landen of de internationale organisatie in kwestie bevordert.</w:t>
      </w:r>
    </w:p>
    <w:p w14:paraId="54BBF05F" w14:textId="77777777" w:rsidR="00917777" w:rsidRPr="00C3707B" w:rsidRDefault="00917777" w:rsidP="00046C83">
      <w:pPr>
        <w:pStyle w:val="ChapterTitle"/>
        <w:rPr>
          <w:noProof/>
        </w:rPr>
      </w:pPr>
      <w:r w:rsidRPr="00C3707B">
        <w:rPr>
          <w:noProof/>
        </w:rPr>
        <w:t xml:space="preserve">Hoofdstuk II </w:t>
      </w:r>
      <w:r w:rsidRPr="00C3707B">
        <w:rPr>
          <w:noProof/>
        </w:rPr>
        <w:br/>
        <w:t>Vergroting van de voorzieningszekerheid van de Unie</w:t>
      </w:r>
    </w:p>
    <w:p w14:paraId="490150C4" w14:textId="77777777" w:rsidR="00917777" w:rsidRPr="00C3707B" w:rsidRDefault="00917777" w:rsidP="00917777">
      <w:pPr>
        <w:pStyle w:val="Titrearticle"/>
        <w:rPr>
          <w:noProof/>
        </w:rPr>
      </w:pPr>
      <w:r w:rsidRPr="00C3707B">
        <w:rPr>
          <w:noProof/>
        </w:rPr>
        <w:t>Artikel </w:t>
      </w:r>
      <w:r w:rsidRPr="00160A33">
        <w:rPr>
          <w:noProof/>
        </w:rPr>
        <w:t>4</w:t>
      </w:r>
    </w:p>
    <w:p w14:paraId="52844A64" w14:textId="77777777" w:rsidR="00917777" w:rsidRPr="00C3707B" w:rsidRDefault="00917777" w:rsidP="00917777">
      <w:pPr>
        <w:jc w:val="center"/>
        <w:rPr>
          <w:i/>
          <w:noProof/>
        </w:rPr>
      </w:pPr>
      <w:r w:rsidRPr="00C3707B">
        <w:rPr>
          <w:i/>
          <w:noProof/>
        </w:rPr>
        <w:t>Strategische doelstelling van de Unie</w:t>
      </w:r>
    </w:p>
    <w:p w14:paraId="08FC11B7" w14:textId="77777777" w:rsidR="003A0F6F" w:rsidRDefault="00917777" w:rsidP="00917777">
      <w:pPr>
        <w:pStyle w:val="Point0"/>
        <w:rPr>
          <w:noProof/>
        </w:rPr>
      </w:pPr>
      <w:r w:rsidRPr="00160A33">
        <w:rPr>
          <w:noProof/>
        </w:rPr>
        <w:t>1</w:t>
      </w:r>
      <w:r w:rsidRPr="00C3707B">
        <w:rPr>
          <w:noProof/>
        </w:rPr>
        <w:t>.</w:t>
      </w:r>
      <w:r w:rsidRPr="00C3707B">
        <w:rPr>
          <w:noProof/>
        </w:rPr>
        <w:tab/>
        <w:t>De voorzieningszekerheid en beschikbaarheid van kritieke geneesmiddelen voor patiënten is een strategische doelstelling van de Unie.</w:t>
      </w:r>
    </w:p>
    <w:p w14:paraId="45A98416" w14:textId="77777777" w:rsidR="003A0F6F" w:rsidRDefault="00917777" w:rsidP="00917777">
      <w:pPr>
        <w:pStyle w:val="Point0"/>
        <w:rPr>
          <w:noProof/>
        </w:rPr>
      </w:pPr>
      <w:r w:rsidRPr="00160A33">
        <w:rPr>
          <w:noProof/>
        </w:rPr>
        <w:t>2</w:t>
      </w:r>
      <w:r w:rsidRPr="00C3707B">
        <w:rPr>
          <w:noProof/>
        </w:rPr>
        <w:t>.</w:t>
      </w:r>
      <w:r w:rsidRPr="00C3707B">
        <w:rPr>
          <w:noProof/>
        </w:rPr>
        <w:tab/>
        <w:t>De lidstaten en de Commissie werken samen om de voorzieningszekerheid en de voortdurende beschikbaarheid van kritieke geneesmiddelen in de Unie te vergroten, door maatregelen te nemen waarmee ten volle gebruik wordt gemaakt van het potentieel van de interne markt.</w:t>
      </w:r>
    </w:p>
    <w:p w14:paraId="299C177C" w14:textId="77777777" w:rsidR="003A0F6F" w:rsidRDefault="00917777" w:rsidP="00917777">
      <w:pPr>
        <w:pStyle w:val="Point0"/>
        <w:rPr>
          <w:noProof/>
        </w:rPr>
      </w:pPr>
      <w:r w:rsidRPr="00160A33">
        <w:rPr>
          <w:noProof/>
        </w:rPr>
        <w:t>3</w:t>
      </w:r>
      <w:r w:rsidRPr="00C3707B">
        <w:rPr>
          <w:noProof/>
        </w:rPr>
        <w:t>.</w:t>
      </w:r>
      <w:r w:rsidRPr="00C3707B">
        <w:rPr>
          <w:noProof/>
        </w:rPr>
        <w:tab/>
        <w:t>De Commissie ondersteunt de gecoördineerde inspanningen van de lidstaten.</w:t>
      </w:r>
    </w:p>
    <w:p w14:paraId="6F225C80" w14:textId="133D16B0" w:rsidR="00917777" w:rsidRPr="00C3707B" w:rsidRDefault="00917777" w:rsidP="00917777">
      <w:pPr>
        <w:pStyle w:val="ChapterTitle"/>
        <w:rPr>
          <w:noProof/>
        </w:rPr>
      </w:pPr>
      <w:r w:rsidRPr="00C3707B">
        <w:rPr>
          <w:noProof/>
        </w:rPr>
        <w:t xml:space="preserve">Hoofdstuk III </w:t>
      </w:r>
      <w:r w:rsidRPr="00C3707B">
        <w:rPr>
          <w:noProof/>
        </w:rPr>
        <w:br/>
        <w:t>Randvoorwaarden voor investeringen</w:t>
      </w:r>
    </w:p>
    <w:p w14:paraId="14439D1A" w14:textId="77777777" w:rsidR="00917777" w:rsidRPr="00C3707B" w:rsidRDefault="00917777" w:rsidP="00046C83">
      <w:pPr>
        <w:pStyle w:val="SectionTitle"/>
        <w:rPr>
          <w:noProof/>
        </w:rPr>
      </w:pPr>
      <w:r w:rsidRPr="00C3707B">
        <w:rPr>
          <w:noProof/>
        </w:rPr>
        <w:t>Afdeling I</w:t>
      </w:r>
    </w:p>
    <w:p w14:paraId="00EEB901" w14:textId="77777777" w:rsidR="00917777" w:rsidRPr="00C3707B" w:rsidRDefault="00917777" w:rsidP="00046C83">
      <w:pPr>
        <w:pStyle w:val="SectionTitle"/>
        <w:rPr>
          <w:noProof/>
          <w:szCs w:val="32"/>
        </w:rPr>
      </w:pPr>
      <w:r w:rsidRPr="00C3707B">
        <w:rPr>
          <w:noProof/>
          <w:sz w:val="32"/>
        </w:rPr>
        <w:t>Criteria en procedure voor de erkenning van strategische projecten</w:t>
      </w:r>
    </w:p>
    <w:p w14:paraId="613C0492" w14:textId="77777777" w:rsidR="00917777" w:rsidRPr="00C3707B" w:rsidRDefault="00917777" w:rsidP="00917777">
      <w:pPr>
        <w:pStyle w:val="Titrearticle"/>
        <w:rPr>
          <w:noProof/>
        </w:rPr>
      </w:pPr>
      <w:r w:rsidRPr="00C3707B">
        <w:rPr>
          <w:noProof/>
        </w:rPr>
        <w:t>Artikel </w:t>
      </w:r>
      <w:r w:rsidRPr="00160A33">
        <w:rPr>
          <w:noProof/>
        </w:rPr>
        <w:t>5</w:t>
      </w:r>
    </w:p>
    <w:p w14:paraId="5688517F" w14:textId="77777777" w:rsidR="00917777" w:rsidRPr="00C3707B" w:rsidRDefault="00917777" w:rsidP="00917777">
      <w:pPr>
        <w:jc w:val="center"/>
        <w:rPr>
          <w:i/>
          <w:noProof/>
        </w:rPr>
      </w:pPr>
      <w:r w:rsidRPr="00C3707B">
        <w:rPr>
          <w:i/>
          <w:noProof/>
        </w:rPr>
        <w:t>Strategische projecten</w:t>
      </w:r>
    </w:p>
    <w:p w14:paraId="46AB4F20" w14:textId="77777777" w:rsidR="00917777" w:rsidRPr="00C3707B" w:rsidRDefault="00917777" w:rsidP="00917777">
      <w:pPr>
        <w:rPr>
          <w:noProof/>
        </w:rPr>
      </w:pPr>
      <w:r w:rsidRPr="00C3707B">
        <w:rPr>
          <w:noProof/>
        </w:rPr>
        <w:t>Een project in de Unie dat verband houdt met het creëren of vergroten van productiecapaciteit wordt als een strategisch project beschouwd indien het aan ten minste een van de volgende criteria voldoet:</w:t>
      </w:r>
    </w:p>
    <w:p w14:paraId="35075E3C" w14:textId="77777777" w:rsidR="00917777" w:rsidRPr="00C3707B" w:rsidRDefault="00917777" w:rsidP="00917777">
      <w:pPr>
        <w:pStyle w:val="Point0"/>
        <w:rPr>
          <w:rFonts w:eastAsia="Times New Roman"/>
          <w:noProof/>
        </w:rPr>
      </w:pPr>
      <w:r w:rsidRPr="00C3707B">
        <w:rPr>
          <w:noProof/>
        </w:rPr>
        <w:t>a)</w:t>
      </w:r>
      <w:r w:rsidRPr="00C3707B">
        <w:rPr>
          <w:noProof/>
        </w:rPr>
        <w:tab/>
        <w:t>het project vergroot de capaciteit voor de productie van een of meerdere kritieke geneesmiddelen of voor het verzamelen of vervaardigen van de werkzame stoffen ervan;</w:t>
      </w:r>
    </w:p>
    <w:p w14:paraId="2E96FC3F" w14:textId="77777777" w:rsidR="003A0F6F" w:rsidRDefault="00917777" w:rsidP="00917777">
      <w:pPr>
        <w:pStyle w:val="Point0"/>
        <w:rPr>
          <w:noProof/>
        </w:rPr>
      </w:pPr>
      <w:r w:rsidRPr="00C3707B">
        <w:rPr>
          <w:noProof/>
        </w:rPr>
        <w:t>b)</w:t>
      </w:r>
      <w:r w:rsidRPr="00C3707B">
        <w:rPr>
          <w:noProof/>
        </w:rPr>
        <w:tab/>
        <w:t>het project moderniseert een bestaande productielocatie voor een of meerdere kritieke geneesmiddelen of de werkzame stoffen daarvan, om voor meer duurzaamheid of efficiëntie te zorgen;</w:t>
      </w:r>
    </w:p>
    <w:p w14:paraId="4EE45120" w14:textId="77777777" w:rsidR="003A0F6F" w:rsidRDefault="00917777" w:rsidP="00917777">
      <w:pPr>
        <w:pStyle w:val="Point0"/>
        <w:rPr>
          <w:noProof/>
        </w:rPr>
      </w:pPr>
      <w:r w:rsidRPr="00C3707B">
        <w:rPr>
          <w:noProof/>
        </w:rPr>
        <w:t>c)</w:t>
      </w:r>
      <w:r w:rsidRPr="00C3707B">
        <w:rPr>
          <w:noProof/>
        </w:rPr>
        <w:tab/>
        <w:t>het project creëert of vergroot productiecapaciteit voor belangrijke inputs die nodig zijn voor de vervaardiging van een of meerdere kritieke geneesmiddelen of de werkzame stoffen daarvan;</w:t>
      </w:r>
    </w:p>
    <w:p w14:paraId="18780DB1" w14:textId="7157C318" w:rsidR="00917777" w:rsidRPr="00C3707B" w:rsidRDefault="00917777" w:rsidP="00917777">
      <w:pPr>
        <w:pStyle w:val="Point0"/>
        <w:rPr>
          <w:rFonts w:eastAsia="Times New Roman"/>
          <w:noProof/>
        </w:rPr>
      </w:pPr>
      <w:r w:rsidRPr="00C3707B">
        <w:rPr>
          <w:noProof/>
        </w:rPr>
        <w:t>d)</w:t>
      </w:r>
      <w:r w:rsidRPr="00C3707B">
        <w:rPr>
          <w:noProof/>
        </w:rPr>
        <w:tab/>
        <w:t>het project draagt bij tot de uitrol van een technologie die van doorslaggevend belang is om de vervaardiging van een of meer kritieke geneesmiddelen, of de werkzame stoffen of belangrijke inputs daarvan, mogelijk te maken.</w:t>
      </w:r>
    </w:p>
    <w:p w14:paraId="50B1F001" w14:textId="77777777" w:rsidR="00917777" w:rsidRPr="00C3707B" w:rsidRDefault="00917777" w:rsidP="00917777">
      <w:pPr>
        <w:pStyle w:val="Titrearticle"/>
        <w:rPr>
          <w:noProof/>
        </w:rPr>
      </w:pPr>
      <w:r w:rsidRPr="00C3707B">
        <w:rPr>
          <w:noProof/>
        </w:rPr>
        <w:t>Artikel </w:t>
      </w:r>
      <w:r w:rsidRPr="00160A33">
        <w:rPr>
          <w:noProof/>
        </w:rPr>
        <w:t>6</w:t>
      </w:r>
    </w:p>
    <w:p w14:paraId="555132C0" w14:textId="77777777" w:rsidR="00917777" w:rsidRPr="00C3707B" w:rsidRDefault="00917777" w:rsidP="00917777">
      <w:pPr>
        <w:jc w:val="center"/>
        <w:rPr>
          <w:i/>
          <w:noProof/>
        </w:rPr>
      </w:pPr>
      <w:r w:rsidRPr="00C3707B">
        <w:rPr>
          <w:i/>
          <w:noProof/>
        </w:rPr>
        <w:t>Erkenning van strategische projecten</w:t>
      </w:r>
    </w:p>
    <w:p w14:paraId="2714C82B" w14:textId="77777777" w:rsidR="00917777" w:rsidRPr="00C3707B" w:rsidRDefault="00046C83" w:rsidP="00046C83">
      <w:pPr>
        <w:pStyle w:val="Point0"/>
        <w:rPr>
          <w:rFonts w:eastAsia="Times New Roman"/>
          <w:noProof/>
        </w:rPr>
      </w:pPr>
      <w:r w:rsidRPr="00160A33">
        <w:rPr>
          <w:noProof/>
        </w:rPr>
        <w:t>1</w:t>
      </w:r>
      <w:r w:rsidRPr="00C3707B">
        <w:rPr>
          <w:noProof/>
        </w:rPr>
        <w:t>.</w:t>
      </w:r>
      <w:r w:rsidRPr="00C3707B">
        <w:rPr>
          <w:noProof/>
        </w:rPr>
        <w:tab/>
        <w:t>Elke lidstaat wijst een autoriteit aan (“de aangewezen autoriteit”) die beoordeelt en verifieert of een project al dan niet aan ten minste één van de criteria van artikel </w:t>
      </w:r>
      <w:r w:rsidRPr="00160A33">
        <w:rPr>
          <w:noProof/>
        </w:rPr>
        <w:t>5</w:t>
      </w:r>
      <w:r w:rsidRPr="00C3707B">
        <w:rPr>
          <w:noProof/>
        </w:rPr>
        <w:t xml:space="preserve"> voldoet en dus al dan niet een strategisch project is.</w:t>
      </w:r>
    </w:p>
    <w:p w14:paraId="634FD9FC" w14:textId="77777777" w:rsidR="00917777" w:rsidRPr="00C3707B" w:rsidRDefault="00917777" w:rsidP="00046C83">
      <w:pPr>
        <w:pStyle w:val="Text1"/>
        <w:rPr>
          <w:noProof/>
        </w:rPr>
      </w:pPr>
      <w:r w:rsidRPr="00C3707B">
        <w:rPr>
          <w:noProof/>
        </w:rPr>
        <w:t>Een projectontwikkelaar kan de aangewezen autoriteit verzoeken om te beoordelen of een project een strategisch project is.</w:t>
      </w:r>
    </w:p>
    <w:p w14:paraId="7FD9A81B" w14:textId="77777777" w:rsidR="003A0F6F" w:rsidRDefault="00917777" w:rsidP="00046C83">
      <w:pPr>
        <w:pStyle w:val="Text1"/>
        <w:rPr>
          <w:noProof/>
        </w:rPr>
      </w:pPr>
      <w:r w:rsidRPr="00C3707B">
        <w:rPr>
          <w:noProof/>
        </w:rPr>
        <w:t>Elke autoriteit van een lidstaat kan de aangewezen autoriteit verzoeken om haar vaststelling of een project een strategisch project is, te verifiëren.</w:t>
      </w:r>
    </w:p>
    <w:p w14:paraId="6121DDC9" w14:textId="77777777" w:rsidR="003A0F6F" w:rsidRDefault="00917777" w:rsidP="00917777">
      <w:pPr>
        <w:pStyle w:val="Point0"/>
        <w:rPr>
          <w:noProof/>
        </w:rPr>
      </w:pPr>
      <w:r w:rsidRPr="00160A33">
        <w:rPr>
          <w:noProof/>
        </w:rPr>
        <w:t>2</w:t>
      </w:r>
      <w:r w:rsidRPr="00C3707B">
        <w:rPr>
          <w:noProof/>
        </w:rPr>
        <w:t>.</w:t>
      </w:r>
      <w:r w:rsidRPr="00C3707B">
        <w:rPr>
          <w:noProof/>
        </w:rPr>
        <w:tab/>
        <w:t>De lidstaten stellen de Commissie in kennis van de voor de toepassing van lid </w:t>
      </w:r>
      <w:r w:rsidRPr="00160A33">
        <w:rPr>
          <w:noProof/>
        </w:rPr>
        <w:t>1</w:t>
      </w:r>
      <w:r w:rsidRPr="00C3707B">
        <w:rPr>
          <w:noProof/>
        </w:rPr>
        <w:t xml:space="preserve"> aangewezen autoriteit.</w:t>
      </w:r>
    </w:p>
    <w:p w14:paraId="04A3A0B5" w14:textId="77777777" w:rsidR="003A0F6F" w:rsidRDefault="00917777" w:rsidP="00917777">
      <w:pPr>
        <w:pStyle w:val="Point0"/>
        <w:rPr>
          <w:noProof/>
        </w:rPr>
      </w:pPr>
      <w:r w:rsidRPr="00160A33">
        <w:rPr>
          <w:noProof/>
        </w:rPr>
        <w:t>3</w:t>
      </w:r>
      <w:r w:rsidRPr="00C3707B">
        <w:rPr>
          <w:noProof/>
        </w:rPr>
        <w:t>.</w:t>
      </w:r>
      <w:r w:rsidRPr="00C3707B">
        <w:rPr>
          <w:noProof/>
        </w:rPr>
        <w:tab/>
        <w:t>De Commissie voorziet in een eenvoudige, toegankelijke webpagina waarop de contactgegevens van en andere relevante informatie over de aangewezen autoriteiten van de lidstaten duidelijk worden vermeld.</w:t>
      </w:r>
    </w:p>
    <w:p w14:paraId="30AF102E" w14:textId="77777777" w:rsidR="003A0F6F" w:rsidRDefault="00917777" w:rsidP="00917777">
      <w:pPr>
        <w:pStyle w:val="Point0"/>
        <w:rPr>
          <w:noProof/>
        </w:rPr>
      </w:pPr>
      <w:r w:rsidRPr="00160A33">
        <w:rPr>
          <w:noProof/>
        </w:rPr>
        <w:t>4</w:t>
      </w:r>
      <w:r w:rsidRPr="00C3707B">
        <w:rPr>
          <w:noProof/>
        </w:rPr>
        <w:t>.</w:t>
      </w:r>
      <w:r w:rsidRPr="00C3707B">
        <w:rPr>
          <w:noProof/>
        </w:rPr>
        <w:tab/>
        <w:t>Andere autoriteiten van de lidstaten die een verzoek van een projectontwikkelaar met betrekking tot de artikelen </w:t>
      </w:r>
      <w:r w:rsidRPr="00160A33">
        <w:rPr>
          <w:noProof/>
        </w:rPr>
        <w:t>8</w:t>
      </w:r>
      <w:r w:rsidRPr="00C3707B">
        <w:rPr>
          <w:noProof/>
        </w:rPr>
        <w:t xml:space="preserve"> tot en met </w:t>
      </w:r>
      <w:r w:rsidRPr="00160A33">
        <w:rPr>
          <w:noProof/>
        </w:rPr>
        <w:t>14</w:t>
      </w:r>
      <w:r w:rsidRPr="00C3707B">
        <w:rPr>
          <w:noProof/>
        </w:rPr>
        <w:t xml:space="preserve"> ontvangen, beoordelen of het project in kwestie voldoet aan de in artikel </w:t>
      </w:r>
      <w:r w:rsidRPr="00160A33">
        <w:rPr>
          <w:noProof/>
        </w:rPr>
        <w:t>5</w:t>
      </w:r>
      <w:r w:rsidRPr="00C3707B">
        <w:rPr>
          <w:noProof/>
        </w:rPr>
        <w:t xml:space="preserve"> bedoelde criteria om als strategisch project te worden beschouwd, en verzoeken de aangewezen autoriteit in voorkomend geval om hun besluit te verifiëren.</w:t>
      </w:r>
    </w:p>
    <w:p w14:paraId="45A36177" w14:textId="77777777" w:rsidR="003A0F6F" w:rsidRDefault="00917777" w:rsidP="00917777">
      <w:pPr>
        <w:pStyle w:val="Point0"/>
        <w:rPr>
          <w:noProof/>
        </w:rPr>
      </w:pPr>
      <w:r w:rsidRPr="00160A33">
        <w:rPr>
          <w:noProof/>
        </w:rPr>
        <w:t>5</w:t>
      </w:r>
      <w:r w:rsidRPr="00C3707B">
        <w:rPr>
          <w:noProof/>
        </w:rPr>
        <w:t>.</w:t>
      </w:r>
      <w:r w:rsidRPr="00C3707B">
        <w:rPr>
          <w:noProof/>
        </w:rPr>
        <w:tab/>
        <w:t>Wanneer een autoriteit overeenkomstig dit artikel heeft geverifieerd of een project een strategisch project is, vertrouwen andere autoriteiten op die verificatie.</w:t>
      </w:r>
    </w:p>
    <w:p w14:paraId="1BCEE63C" w14:textId="470C8050" w:rsidR="00917777" w:rsidRPr="00C3707B" w:rsidRDefault="00917777" w:rsidP="00917777">
      <w:pPr>
        <w:pStyle w:val="SectionTitle"/>
        <w:rPr>
          <w:noProof/>
        </w:rPr>
      </w:pPr>
      <w:r w:rsidRPr="00C3707B">
        <w:rPr>
          <w:noProof/>
        </w:rPr>
        <w:t>Afdeling II</w:t>
      </w:r>
    </w:p>
    <w:p w14:paraId="6B633E5F" w14:textId="77777777" w:rsidR="00917777" w:rsidRPr="00C3707B" w:rsidRDefault="00917777" w:rsidP="00917777">
      <w:pPr>
        <w:pStyle w:val="SectionTitle"/>
        <w:rPr>
          <w:b w:val="0"/>
          <w:noProof/>
        </w:rPr>
      </w:pPr>
      <w:r w:rsidRPr="00C3707B">
        <w:rPr>
          <w:noProof/>
        </w:rPr>
        <w:t>Vergemakkelijking van administratieve en vergunningsprocedures</w:t>
      </w:r>
    </w:p>
    <w:p w14:paraId="595CB3A7" w14:textId="77777777" w:rsidR="00917777" w:rsidRPr="00C3707B" w:rsidRDefault="00917777" w:rsidP="00917777">
      <w:pPr>
        <w:pStyle w:val="Titrearticle"/>
        <w:rPr>
          <w:noProof/>
        </w:rPr>
      </w:pPr>
      <w:bookmarkStart w:id="7" w:name="_Hlk192166497"/>
      <w:r w:rsidRPr="00C3707B">
        <w:rPr>
          <w:noProof/>
        </w:rPr>
        <w:t>Artikel </w:t>
      </w:r>
      <w:r w:rsidRPr="00160A33">
        <w:rPr>
          <w:noProof/>
        </w:rPr>
        <w:t>7</w:t>
      </w:r>
    </w:p>
    <w:p w14:paraId="5464F24C" w14:textId="77777777" w:rsidR="00917777" w:rsidRPr="00C3707B" w:rsidRDefault="00917777" w:rsidP="00917777">
      <w:pPr>
        <w:jc w:val="center"/>
        <w:rPr>
          <w:noProof/>
        </w:rPr>
      </w:pPr>
      <w:r w:rsidRPr="00C3707B">
        <w:rPr>
          <w:i/>
          <w:noProof/>
        </w:rPr>
        <w:t>Prioritaire status van strategische projecten</w:t>
      </w:r>
    </w:p>
    <w:p w14:paraId="305DA5D4" w14:textId="77777777" w:rsidR="003A0F6F" w:rsidRDefault="00917777" w:rsidP="00917777">
      <w:pPr>
        <w:rPr>
          <w:noProof/>
        </w:rPr>
      </w:pPr>
      <w:r w:rsidRPr="00C3707B">
        <w:rPr>
          <w:noProof/>
        </w:rPr>
        <w:t>Strategische projecten worden geacht bij te dragen tot de voorzieningszekerheid van kritieke geneesmiddelen in de Unie en derhalve in het algemeen belang te zijn.</w:t>
      </w:r>
    </w:p>
    <w:p w14:paraId="519BD151" w14:textId="77777777" w:rsidR="003A0F6F" w:rsidRDefault="00917777" w:rsidP="00917777">
      <w:pPr>
        <w:rPr>
          <w:noProof/>
        </w:rPr>
      </w:pPr>
      <w:r w:rsidRPr="00C3707B">
        <w:rPr>
          <w:noProof/>
        </w:rPr>
        <w:t>De autoriteits van de lidstaten zorgen ervoor dat de relevante vergunningsprocedures met betrekking tot strategische projecten zo snel mogelijk worden uitgevoerd, waarbij zij met name alle vormen van versnelde procedures beschikbaar stellen waarin het Unierecht en hun nationale recht voorzien.</w:t>
      </w:r>
    </w:p>
    <w:bookmarkEnd w:id="7"/>
    <w:p w14:paraId="14166E57" w14:textId="13AF92B4" w:rsidR="00917777" w:rsidRPr="00C3707B" w:rsidRDefault="00917777" w:rsidP="00917777">
      <w:pPr>
        <w:pStyle w:val="Titrearticle"/>
        <w:rPr>
          <w:noProof/>
        </w:rPr>
      </w:pPr>
      <w:r w:rsidRPr="00C3707B">
        <w:rPr>
          <w:noProof/>
        </w:rPr>
        <w:t>Artikel </w:t>
      </w:r>
      <w:r w:rsidRPr="00160A33">
        <w:rPr>
          <w:noProof/>
        </w:rPr>
        <w:t>8</w:t>
      </w:r>
    </w:p>
    <w:p w14:paraId="3B93C2F7" w14:textId="77777777" w:rsidR="00917777" w:rsidRPr="00C3707B" w:rsidRDefault="00917777" w:rsidP="005D0E22">
      <w:pPr>
        <w:jc w:val="center"/>
        <w:rPr>
          <w:i/>
          <w:noProof/>
        </w:rPr>
      </w:pPr>
      <w:r w:rsidRPr="00C3707B">
        <w:rPr>
          <w:i/>
          <w:noProof/>
        </w:rPr>
        <w:t>Administratieve ondersteuning</w:t>
      </w:r>
    </w:p>
    <w:p w14:paraId="2EAB62E3" w14:textId="77777777" w:rsidR="00917777" w:rsidRPr="00C3707B" w:rsidRDefault="00917777" w:rsidP="00046C83">
      <w:pPr>
        <w:pStyle w:val="Point0"/>
        <w:rPr>
          <w:i/>
          <w:noProof/>
        </w:rPr>
      </w:pPr>
      <w:r w:rsidRPr="00160A33">
        <w:rPr>
          <w:noProof/>
        </w:rPr>
        <w:t>1</w:t>
      </w:r>
      <w:r w:rsidRPr="00C3707B">
        <w:rPr>
          <w:noProof/>
        </w:rPr>
        <w:t>.</w:t>
      </w:r>
      <w:r w:rsidRPr="00C3707B">
        <w:rPr>
          <w:noProof/>
        </w:rPr>
        <w:tab/>
        <w:t>Op verzoek van een projectontwikkelaar verlenen de lidstaten strategische projecten op hun grondgebied alle administratieve ondersteuning die nodig is om de tijdige en doeltreffende uitvoering ervan te vergemakkelijken, waaronder bijstand:</w:t>
      </w:r>
    </w:p>
    <w:p w14:paraId="7FFD5A2E" w14:textId="77777777" w:rsidR="00917777" w:rsidRPr="00C3707B" w:rsidRDefault="00917777" w:rsidP="00046C83">
      <w:pPr>
        <w:pStyle w:val="Point1"/>
        <w:rPr>
          <w:i/>
          <w:noProof/>
        </w:rPr>
      </w:pPr>
      <w:r w:rsidRPr="00C3707B">
        <w:rPr>
          <w:noProof/>
        </w:rPr>
        <w:t>a)</w:t>
      </w:r>
      <w:r w:rsidRPr="00C3707B">
        <w:rPr>
          <w:noProof/>
        </w:rPr>
        <w:tab/>
        <w:t>met betrekking tot de naleving van de toepasselijke administratieve en verslagleggingsverplichtingen;</w:t>
      </w:r>
    </w:p>
    <w:p w14:paraId="35798DFF" w14:textId="77777777" w:rsidR="00917777" w:rsidRPr="00C3707B" w:rsidRDefault="00917777" w:rsidP="00046C83">
      <w:pPr>
        <w:pStyle w:val="Point1"/>
        <w:rPr>
          <w:rFonts w:eastAsia="Times New Roman"/>
          <w:i/>
          <w:noProof/>
        </w:rPr>
      </w:pPr>
      <w:r w:rsidRPr="00C3707B">
        <w:rPr>
          <w:noProof/>
        </w:rPr>
        <w:t>b)</w:t>
      </w:r>
      <w:r w:rsidRPr="00C3707B">
        <w:rPr>
          <w:noProof/>
        </w:rPr>
        <w:tab/>
        <w:t>met betrekking tot informatieverstrekking aan het publiek om het publiek draagvlak voor het strategisch project te vergroten;</w:t>
      </w:r>
    </w:p>
    <w:p w14:paraId="33D30A95" w14:textId="77777777" w:rsidR="003A0F6F" w:rsidRDefault="00917777" w:rsidP="00046C83">
      <w:pPr>
        <w:pStyle w:val="Point1"/>
        <w:rPr>
          <w:noProof/>
        </w:rPr>
      </w:pPr>
      <w:r w:rsidRPr="00C3707B">
        <w:rPr>
          <w:noProof/>
        </w:rPr>
        <w:t>c)</w:t>
      </w:r>
      <w:r w:rsidRPr="00C3707B">
        <w:rPr>
          <w:noProof/>
        </w:rPr>
        <w:tab/>
        <w:t>tijdens de volledige vergunningprocedure.</w:t>
      </w:r>
    </w:p>
    <w:p w14:paraId="2590E533" w14:textId="77777777" w:rsidR="003A0F6F" w:rsidRDefault="00917777" w:rsidP="00917777">
      <w:pPr>
        <w:pStyle w:val="Point0"/>
        <w:rPr>
          <w:noProof/>
        </w:rPr>
      </w:pPr>
      <w:r w:rsidRPr="00160A33">
        <w:rPr>
          <w:noProof/>
        </w:rPr>
        <w:t>2</w:t>
      </w:r>
      <w:r w:rsidRPr="00C3707B">
        <w:rPr>
          <w:noProof/>
        </w:rPr>
        <w:t>.</w:t>
      </w:r>
      <w:r w:rsidRPr="00C3707B">
        <w:rPr>
          <w:noProof/>
        </w:rPr>
        <w:tab/>
        <w:t>De lidstaten besteden bij het verlenen van de in lid </w:t>
      </w:r>
      <w:r w:rsidRPr="00160A33">
        <w:rPr>
          <w:noProof/>
        </w:rPr>
        <w:t>1</w:t>
      </w:r>
      <w:r w:rsidRPr="00C3707B">
        <w:rPr>
          <w:noProof/>
        </w:rPr>
        <w:t xml:space="preserve"> bedoelde administratieve bijstand bijzondere aandacht aan kleine en middelgrote ondernemingen (kmo’s), en zij zetten in voorkomend geval een specifiek communicatiekanaal op om kmo’s richtsnoeren te verstrekken en hun vragen in verband met de uitvoering van deze verordening te beantwoorden.</w:t>
      </w:r>
    </w:p>
    <w:p w14:paraId="31D8B60B" w14:textId="4249D583" w:rsidR="00917777" w:rsidRPr="00C3707B" w:rsidRDefault="00917777" w:rsidP="00917777">
      <w:pPr>
        <w:pStyle w:val="Titrearticle"/>
        <w:rPr>
          <w:rFonts w:eastAsia="Times New Roman"/>
          <w:noProof/>
        </w:rPr>
      </w:pPr>
      <w:r w:rsidRPr="00C3707B">
        <w:rPr>
          <w:noProof/>
        </w:rPr>
        <w:t>Artikel </w:t>
      </w:r>
      <w:r w:rsidRPr="00160A33">
        <w:rPr>
          <w:noProof/>
        </w:rPr>
        <w:t>9</w:t>
      </w:r>
    </w:p>
    <w:p w14:paraId="498F3A73" w14:textId="77777777" w:rsidR="003A0F6F" w:rsidRDefault="00917777" w:rsidP="005D0E22">
      <w:pPr>
        <w:jc w:val="center"/>
        <w:rPr>
          <w:i/>
          <w:noProof/>
        </w:rPr>
      </w:pPr>
      <w:r w:rsidRPr="00C3707B">
        <w:rPr>
          <w:i/>
          <w:noProof/>
        </w:rPr>
        <w:t>Verzoek om toekenning van de hoogste status van nationaal belang</w:t>
      </w:r>
    </w:p>
    <w:p w14:paraId="308AF4AD" w14:textId="77777777" w:rsidR="003A0F6F" w:rsidRDefault="00917777" w:rsidP="00917777">
      <w:pPr>
        <w:pStyle w:val="Point0"/>
        <w:rPr>
          <w:noProof/>
        </w:rPr>
      </w:pPr>
      <w:r w:rsidRPr="00160A33">
        <w:rPr>
          <w:noProof/>
        </w:rPr>
        <w:t>1</w:t>
      </w:r>
      <w:r w:rsidRPr="00C3707B">
        <w:rPr>
          <w:noProof/>
        </w:rPr>
        <w:t>.</w:t>
      </w:r>
      <w:r w:rsidRPr="00C3707B">
        <w:rPr>
          <w:noProof/>
        </w:rPr>
        <w:tab/>
        <w:t>Projectontwikkelaars kunnen erom verzoeken dat hun vergunningsaanvraag de hoogste status van nationaal belang krijgt, indien een dergelijke status in het desbetreffende nationale recht bestaat, en dienovereenkomstig wordt behandeld.</w:t>
      </w:r>
    </w:p>
    <w:p w14:paraId="4683FC9B" w14:textId="16C2217A"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Nationale autoriteiten kennen de hoogste status van nationaal belang aan een vergunningsaanvraag toe onverminderd verplichtingen uit hoofde van het Unierecht.</w:t>
      </w:r>
    </w:p>
    <w:p w14:paraId="507EB307" w14:textId="77777777" w:rsidR="00917777" w:rsidRPr="00C3707B" w:rsidRDefault="00917777" w:rsidP="00917777">
      <w:pPr>
        <w:pStyle w:val="Titrearticle"/>
        <w:rPr>
          <w:noProof/>
        </w:rPr>
      </w:pPr>
      <w:r w:rsidRPr="00C3707B">
        <w:rPr>
          <w:noProof/>
        </w:rPr>
        <w:t>Artikel </w:t>
      </w:r>
      <w:r w:rsidRPr="00160A33">
        <w:rPr>
          <w:noProof/>
        </w:rPr>
        <w:t>10</w:t>
      </w:r>
    </w:p>
    <w:p w14:paraId="27A702E3" w14:textId="77777777" w:rsidR="00917777" w:rsidRPr="00C3707B" w:rsidRDefault="00917777" w:rsidP="005D0E22">
      <w:pPr>
        <w:jc w:val="center"/>
        <w:rPr>
          <w:i/>
          <w:noProof/>
        </w:rPr>
      </w:pPr>
      <w:r w:rsidRPr="00C3707B">
        <w:rPr>
          <w:i/>
          <w:noProof/>
        </w:rPr>
        <w:t>Geschillenbeslechtingsprocedures</w:t>
      </w:r>
    </w:p>
    <w:p w14:paraId="77B3C10E" w14:textId="77777777" w:rsidR="003A0F6F" w:rsidRDefault="00917777" w:rsidP="00917777">
      <w:pPr>
        <w:rPr>
          <w:noProof/>
        </w:rPr>
      </w:pPr>
      <w:r w:rsidRPr="00C3707B">
        <w:rPr>
          <w:noProof/>
        </w:rPr>
        <w:t>Projectontwikkelaars kunnen verzoeken om alle geschillenbeslechtingsprocedures, rechtszaken, beroepen en gedingen over rechtsmiddelen in verband met de vergunningsprocedure en de verlening van vergunningen voor strategische projecten in de Unie voor een nationale rechterlijke instantie, gerecht of kamer, ook met betrekking tot bemiddeling of arbitrage indien het nationale recht daarin voorziet, met spoed te behandelen indien en voor zover het nationale recht in dergelijke spoedprocedures voorziet. De geldende rechten van de verdediging van individuen of plaatselijke gemeenschappen worden tijdens dergelijke spoedprocedures geëerbiedigd.</w:t>
      </w:r>
    </w:p>
    <w:p w14:paraId="5ED53C06" w14:textId="77777777" w:rsidR="003A0F6F" w:rsidRDefault="00917777" w:rsidP="00917777">
      <w:pPr>
        <w:rPr>
          <w:noProof/>
        </w:rPr>
      </w:pPr>
      <w:r w:rsidRPr="00C3707B">
        <w:rPr>
          <w:noProof/>
        </w:rPr>
        <w:t>Projectontwikkelaars nemen in voorkomend geval deel aan dergelijke spoedprocedures.</w:t>
      </w:r>
    </w:p>
    <w:p w14:paraId="783858B4" w14:textId="46023C6F" w:rsidR="00917777" w:rsidRPr="00C3707B" w:rsidRDefault="00917777" w:rsidP="00917777">
      <w:pPr>
        <w:pStyle w:val="Titrearticle"/>
        <w:rPr>
          <w:noProof/>
        </w:rPr>
      </w:pPr>
      <w:r w:rsidRPr="00C3707B">
        <w:rPr>
          <w:noProof/>
        </w:rPr>
        <w:t>Artikel </w:t>
      </w:r>
      <w:r w:rsidRPr="00160A33">
        <w:rPr>
          <w:noProof/>
        </w:rPr>
        <w:t>11</w:t>
      </w:r>
    </w:p>
    <w:p w14:paraId="24AFFC9C" w14:textId="77777777" w:rsidR="00917777" w:rsidRPr="00C3707B" w:rsidRDefault="00917777" w:rsidP="005D0E22">
      <w:pPr>
        <w:jc w:val="center"/>
        <w:rPr>
          <w:i/>
          <w:iCs/>
          <w:noProof/>
        </w:rPr>
      </w:pPr>
      <w:r w:rsidRPr="00C3707B">
        <w:rPr>
          <w:i/>
          <w:noProof/>
        </w:rPr>
        <w:t>Regelgevings- en wetenschappelijke ondersteuning van geneesmiddelenbureaus en inspectiediensten voor geneesmiddelen</w:t>
      </w:r>
    </w:p>
    <w:p w14:paraId="0E7AB308" w14:textId="77777777" w:rsidR="00917777" w:rsidRPr="00C3707B" w:rsidRDefault="00917777" w:rsidP="00917777">
      <w:pPr>
        <w:pStyle w:val="Point0"/>
        <w:rPr>
          <w:noProof/>
        </w:rPr>
      </w:pPr>
      <w:r w:rsidRPr="00160A33">
        <w:rPr>
          <w:noProof/>
        </w:rPr>
        <w:t>1</w:t>
      </w:r>
      <w:r w:rsidRPr="00C3707B">
        <w:rPr>
          <w:noProof/>
        </w:rPr>
        <w:t>.</w:t>
      </w:r>
      <w:r w:rsidRPr="00C3707B">
        <w:rPr>
          <w:noProof/>
        </w:rPr>
        <w:tab/>
        <w:t>Op verzoek van een projectontwikkelaar bieden de lidstaten strategische projecten op hun grondgebied regelgevingsondersteuning, onder meer door voorrang te geven aan inspecties van goede fabricagepraktijken voor de goedkeuring van nieuwe en uitgebreide productielocaties en voor de productielocaties die in het kader van het desbetreffende strategische project worden gemoderniseerd.</w:t>
      </w:r>
    </w:p>
    <w:p w14:paraId="143302E4" w14:textId="77777777" w:rsidR="00917777" w:rsidRPr="00C3707B" w:rsidRDefault="00917777" w:rsidP="00917777">
      <w:pPr>
        <w:pStyle w:val="Point0"/>
        <w:rPr>
          <w:noProof/>
        </w:rPr>
      </w:pPr>
      <w:r w:rsidRPr="00160A33">
        <w:rPr>
          <w:noProof/>
        </w:rPr>
        <w:t>2</w:t>
      </w:r>
      <w:r w:rsidRPr="00C3707B">
        <w:rPr>
          <w:noProof/>
        </w:rPr>
        <w:t>.</w:t>
      </w:r>
      <w:r w:rsidRPr="00C3707B">
        <w:rPr>
          <w:noProof/>
        </w:rPr>
        <w:tab/>
        <w:t>Op verzoek van een projectontwikkelaar verstrekt het Europees Geneesmiddelenbureau (“het Bureau”) specifiek advies om ontwikkelaars van projecten die gebaseerd zijn op innovatieve productieprocessen bij te staan.</w:t>
      </w:r>
    </w:p>
    <w:p w14:paraId="04029529" w14:textId="77777777" w:rsidR="00917777" w:rsidRPr="00C3707B" w:rsidRDefault="00917777" w:rsidP="00917777">
      <w:pPr>
        <w:pStyle w:val="Titrearticle"/>
        <w:rPr>
          <w:noProof/>
        </w:rPr>
      </w:pPr>
      <w:r w:rsidRPr="00C3707B">
        <w:rPr>
          <w:noProof/>
        </w:rPr>
        <w:t>Artikel </w:t>
      </w:r>
      <w:r w:rsidRPr="00160A33">
        <w:rPr>
          <w:noProof/>
        </w:rPr>
        <w:t>12</w:t>
      </w:r>
    </w:p>
    <w:p w14:paraId="7220FF70" w14:textId="77777777" w:rsidR="00917777" w:rsidRPr="00C3707B" w:rsidRDefault="00917777" w:rsidP="005D0E22">
      <w:pPr>
        <w:jc w:val="center"/>
        <w:rPr>
          <w:noProof/>
        </w:rPr>
      </w:pPr>
      <w:r w:rsidRPr="00C3707B">
        <w:rPr>
          <w:i/>
          <w:noProof/>
        </w:rPr>
        <w:t>Milieubeoordelingen en milieuvergunningen</w:t>
      </w:r>
    </w:p>
    <w:p w14:paraId="76F458B5" w14:textId="76E5842A" w:rsidR="00917777" w:rsidRPr="00C3707B" w:rsidRDefault="00917777" w:rsidP="00917777">
      <w:pPr>
        <w:pStyle w:val="Point0"/>
        <w:rPr>
          <w:noProof/>
        </w:rPr>
      </w:pPr>
      <w:r w:rsidRPr="00160A33">
        <w:rPr>
          <w:noProof/>
        </w:rPr>
        <w:t>1</w:t>
      </w:r>
      <w:r w:rsidRPr="00C3707B">
        <w:rPr>
          <w:noProof/>
        </w:rPr>
        <w:t>.</w:t>
      </w:r>
      <w:r w:rsidRPr="00C3707B">
        <w:rPr>
          <w:noProof/>
        </w:rPr>
        <w:tab/>
        <w:t>Indien de verplichting om een beoordeling van de milieueffecten uit te voeren gelijktijdig voortvloeit uit twee of meer van de Richtlijnen</w:t>
      </w:r>
      <w:r w:rsidR="003B3818">
        <w:rPr>
          <w:noProof/>
        </w:rPr>
        <w:t xml:space="preserve"> </w:t>
      </w:r>
      <w:r w:rsidRPr="00160A33">
        <w:rPr>
          <w:noProof/>
        </w:rPr>
        <w:t>92</w:t>
      </w:r>
      <w:r w:rsidRPr="00C3707B">
        <w:rPr>
          <w:noProof/>
        </w:rPr>
        <w:t>/</w:t>
      </w:r>
      <w:r w:rsidRPr="00160A33">
        <w:rPr>
          <w:noProof/>
        </w:rPr>
        <w:t>43</w:t>
      </w:r>
      <w:r w:rsidRPr="00C3707B">
        <w:rPr>
          <w:noProof/>
        </w:rPr>
        <w:t>/EEG van de Raad</w:t>
      </w:r>
      <w:r w:rsidRPr="00C3707B">
        <w:rPr>
          <w:rStyle w:val="FootnoteReference"/>
          <w:noProof/>
          <w:lang w:eastAsia="en-GB"/>
        </w:rPr>
        <w:footnoteReference w:id="80"/>
      </w:r>
      <w:r w:rsidRPr="00C3707B">
        <w:rPr>
          <w:noProof/>
        </w:rPr>
        <w:t xml:space="preserve">, </w:t>
      </w:r>
      <w:r w:rsidRPr="00160A33">
        <w:rPr>
          <w:noProof/>
        </w:rPr>
        <w:t>2000</w:t>
      </w:r>
      <w:r w:rsidRPr="00C3707B">
        <w:rPr>
          <w:noProof/>
        </w:rPr>
        <w:t>/</w:t>
      </w:r>
      <w:r w:rsidRPr="00160A33">
        <w:rPr>
          <w:noProof/>
        </w:rPr>
        <w:t>60</w:t>
      </w:r>
      <w:r w:rsidRPr="00C3707B">
        <w:rPr>
          <w:noProof/>
        </w:rPr>
        <w:t>/EG van het Europees Parlement en de Raad</w:t>
      </w:r>
      <w:r w:rsidRPr="00C3707B">
        <w:rPr>
          <w:rStyle w:val="FootnoteReference"/>
          <w:noProof/>
          <w:lang w:eastAsia="en-GB"/>
        </w:rPr>
        <w:footnoteReference w:id="81"/>
      </w:r>
      <w:r w:rsidRPr="00C3707B">
        <w:rPr>
          <w:noProof/>
        </w:rPr>
        <w:t xml:space="preserve">, </w:t>
      </w:r>
      <w:r w:rsidRPr="00160A33">
        <w:rPr>
          <w:noProof/>
        </w:rPr>
        <w:t>2001</w:t>
      </w:r>
      <w:r w:rsidRPr="00C3707B">
        <w:rPr>
          <w:noProof/>
        </w:rPr>
        <w:t>/</w:t>
      </w:r>
      <w:r w:rsidRPr="00160A33">
        <w:rPr>
          <w:noProof/>
        </w:rPr>
        <w:t>42</w:t>
      </w:r>
      <w:r w:rsidRPr="00C3707B">
        <w:rPr>
          <w:noProof/>
        </w:rPr>
        <w:t>/EG van het Europees Parlement en de Raad</w:t>
      </w:r>
      <w:r w:rsidRPr="00C3707B">
        <w:rPr>
          <w:rStyle w:val="FootnoteReference"/>
          <w:noProof/>
          <w:lang w:eastAsia="en-GB"/>
        </w:rPr>
        <w:footnoteReference w:id="82"/>
      </w:r>
      <w:r w:rsidRPr="00C3707B">
        <w:rPr>
          <w:noProof/>
        </w:rPr>
        <w:t xml:space="preserve">, </w:t>
      </w:r>
      <w:r w:rsidRPr="00160A33">
        <w:rPr>
          <w:noProof/>
        </w:rPr>
        <w:t>2008</w:t>
      </w:r>
      <w:r w:rsidRPr="00C3707B">
        <w:rPr>
          <w:noProof/>
        </w:rPr>
        <w:t>/</w:t>
      </w:r>
      <w:r w:rsidRPr="00160A33">
        <w:rPr>
          <w:noProof/>
        </w:rPr>
        <w:t>98</w:t>
      </w:r>
      <w:r w:rsidRPr="00C3707B">
        <w:rPr>
          <w:noProof/>
        </w:rPr>
        <w:t>/EG van het Europees Parlement en de Raad</w:t>
      </w:r>
      <w:r w:rsidRPr="00C3707B">
        <w:rPr>
          <w:rStyle w:val="FootnoteReference"/>
          <w:noProof/>
          <w:lang w:eastAsia="en-GB"/>
        </w:rPr>
        <w:footnoteReference w:id="83"/>
      </w:r>
      <w:r w:rsidRPr="00C3707B">
        <w:rPr>
          <w:noProof/>
        </w:rPr>
        <w:t xml:space="preserve">, </w:t>
      </w:r>
      <w:r w:rsidRPr="00160A33">
        <w:rPr>
          <w:noProof/>
        </w:rPr>
        <w:t>2009</w:t>
      </w:r>
      <w:r w:rsidRPr="00C3707B">
        <w:rPr>
          <w:noProof/>
        </w:rPr>
        <w:t>/</w:t>
      </w:r>
      <w:r w:rsidRPr="00160A33">
        <w:rPr>
          <w:noProof/>
        </w:rPr>
        <w:t>147</w:t>
      </w:r>
      <w:r w:rsidRPr="00C3707B">
        <w:rPr>
          <w:noProof/>
        </w:rPr>
        <w:t>/EG van het Europees Parlement en de Raad</w:t>
      </w:r>
      <w:r w:rsidRPr="00C3707B">
        <w:rPr>
          <w:rStyle w:val="FootnoteReference"/>
          <w:noProof/>
          <w:lang w:eastAsia="en-GB"/>
        </w:rPr>
        <w:footnoteReference w:id="84"/>
      </w:r>
      <w:r w:rsidRPr="00C3707B">
        <w:rPr>
          <w:noProof/>
        </w:rPr>
        <w:t xml:space="preserve">, </w:t>
      </w:r>
      <w:r w:rsidRPr="00160A33">
        <w:rPr>
          <w:noProof/>
        </w:rPr>
        <w:t>2010</w:t>
      </w:r>
      <w:r w:rsidRPr="00C3707B">
        <w:rPr>
          <w:noProof/>
        </w:rPr>
        <w:t>/</w:t>
      </w:r>
      <w:r w:rsidRPr="00160A33">
        <w:rPr>
          <w:noProof/>
        </w:rPr>
        <w:t>75</w:t>
      </w:r>
      <w:r w:rsidRPr="00C3707B">
        <w:rPr>
          <w:noProof/>
        </w:rPr>
        <w:t>/EU van het Europees Parlement en de Raad</w:t>
      </w:r>
      <w:r w:rsidRPr="00C3707B">
        <w:rPr>
          <w:rStyle w:val="FootnoteReference"/>
          <w:noProof/>
          <w:lang w:eastAsia="en-GB"/>
        </w:rPr>
        <w:footnoteReference w:id="85"/>
      </w:r>
      <w:r w:rsidRPr="00C3707B">
        <w:rPr>
          <w:noProof/>
        </w:rPr>
        <w:t xml:space="preserve">, </w:t>
      </w:r>
      <w:r w:rsidRPr="00160A33">
        <w:rPr>
          <w:noProof/>
        </w:rPr>
        <w:t>2011</w:t>
      </w:r>
      <w:r w:rsidRPr="00C3707B">
        <w:rPr>
          <w:noProof/>
        </w:rPr>
        <w:t>/</w:t>
      </w:r>
      <w:r w:rsidRPr="00160A33">
        <w:rPr>
          <w:noProof/>
        </w:rPr>
        <w:t>92</w:t>
      </w:r>
      <w:r w:rsidRPr="00C3707B">
        <w:rPr>
          <w:noProof/>
        </w:rPr>
        <w:t>/EU van het Europees Parlement en de Raad</w:t>
      </w:r>
      <w:r w:rsidRPr="00C3707B">
        <w:rPr>
          <w:rStyle w:val="FootnoteReference"/>
          <w:noProof/>
          <w:lang w:eastAsia="en-GB"/>
        </w:rPr>
        <w:footnoteReference w:id="86"/>
      </w:r>
      <w:r w:rsidRPr="00C3707B">
        <w:rPr>
          <w:noProof/>
        </w:rPr>
        <w:t xml:space="preserve"> en </w:t>
      </w:r>
      <w:r w:rsidRPr="00160A33">
        <w:rPr>
          <w:noProof/>
        </w:rPr>
        <w:t>2012</w:t>
      </w:r>
      <w:r w:rsidRPr="00C3707B">
        <w:rPr>
          <w:noProof/>
        </w:rPr>
        <w:t>/</w:t>
      </w:r>
      <w:r w:rsidRPr="00160A33">
        <w:rPr>
          <w:noProof/>
        </w:rPr>
        <w:t>18</w:t>
      </w:r>
      <w:r w:rsidRPr="00C3707B">
        <w:rPr>
          <w:noProof/>
        </w:rPr>
        <w:t>/EU van het Europees Parlement en de Raad</w:t>
      </w:r>
      <w:r w:rsidRPr="00C3707B">
        <w:rPr>
          <w:rStyle w:val="FootnoteReference"/>
          <w:noProof/>
          <w:lang w:eastAsia="en-GB"/>
        </w:rPr>
        <w:footnoteReference w:id="87"/>
      </w:r>
      <w:r w:rsidRPr="00C3707B">
        <w:rPr>
          <w:noProof/>
        </w:rPr>
        <w:t>, kan een projectontwikkelaar verzoeken om toepassing van een gecoördineerde of gezamenlijke procedure om aan de voorschriften van die wetgevingshandelingen van de Unie te voldoen.</w:t>
      </w:r>
    </w:p>
    <w:p w14:paraId="16FBFCAF" w14:textId="77777777" w:rsidR="00917777" w:rsidRPr="00C3707B" w:rsidRDefault="00917777" w:rsidP="00917777">
      <w:pPr>
        <w:pStyle w:val="Text1"/>
        <w:rPr>
          <w:noProof/>
        </w:rPr>
      </w:pPr>
      <w:r w:rsidRPr="00C3707B">
        <w:rPr>
          <w:noProof/>
        </w:rPr>
        <w:t>Bij de in de eerste alinea bedoelde gecoördineerde procedure coördineert een bevoegde autoriteit de verschillende door de desbetreffende richtlijn vereiste afzonderlijke beoordelingen van de milieueffecten van een bepaald project.</w:t>
      </w:r>
    </w:p>
    <w:p w14:paraId="22583591" w14:textId="77777777" w:rsidR="003A0F6F" w:rsidRDefault="00917777" w:rsidP="00917777">
      <w:pPr>
        <w:pStyle w:val="Text1"/>
        <w:rPr>
          <w:noProof/>
        </w:rPr>
      </w:pPr>
      <w:r w:rsidRPr="00C3707B">
        <w:rPr>
          <w:noProof/>
        </w:rPr>
        <w:t>Bij de in de eerste alinea bedoelde gezamenlijke procedure voorziet een bevoegde autoriteit in één milieueffectbeoordeling van een bepaald project die op grond van de desbetreffende richtlijn vereist is.</w:t>
      </w:r>
    </w:p>
    <w:p w14:paraId="34F4D536" w14:textId="1BD45D45" w:rsidR="003A0F6F" w:rsidRDefault="00917777" w:rsidP="00917777">
      <w:pPr>
        <w:pStyle w:val="Point0"/>
        <w:rPr>
          <w:noProof/>
        </w:rPr>
      </w:pPr>
      <w:r w:rsidRPr="00160A33">
        <w:rPr>
          <w:noProof/>
        </w:rPr>
        <w:t>2</w:t>
      </w:r>
      <w:r w:rsidRPr="00C3707B">
        <w:rPr>
          <w:noProof/>
        </w:rPr>
        <w:t>.</w:t>
      </w:r>
      <w:r w:rsidRPr="00C3707B">
        <w:rPr>
          <w:noProof/>
        </w:rPr>
        <w:tab/>
        <w:t xml:space="preserve">De lidstaten zorgen ervoor dat de bevoegde autoriteiten binnen </w:t>
      </w:r>
      <w:r w:rsidRPr="00160A33">
        <w:rPr>
          <w:noProof/>
        </w:rPr>
        <w:t>45</w:t>
      </w:r>
      <w:r w:rsidR="003B3818">
        <w:rPr>
          <w:noProof/>
        </w:rPr>
        <w:t> </w:t>
      </w:r>
      <w:r w:rsidRPr="00C3707B">
        <w:rPr>
          <w:noProof/>
        </w:rPr>
        <w:t>dagen na ontvangst van alle vereiste informatie de in artikel </w:t>
      </w:r>
      <w:r w:rsidRPr="00160A33">
        <w:rPr>
          <w:noProof/>
        </w:rPr>
        <w:t>1</w:t>
      </w:r>
      <w:r w:rsidRPr="00C3707B">
        <w:rPr>
          <w:noProof/>
        </w:rPr>
        <w:t>, lid </w:t>
      </w:r>
      <w:r w:rsidRPr="00160A33">
        <w:rPr>
          <w:noProof/>
        </w:rPr>
        <w:t>2</w:t>
      </w:r>
      <w:r w:rsidRPr="00C3707B">
        <w:rPr>
          <w:noProof/>
        </w:rPr>
        <w:t>, punt g), iv), van Richtlijn</w:t>
      </w:r>
      <w:r w:rsidR="003B3818">
        <w:rPr>
          <w:noProof/>
        </w:rPr>
        <w:t xml:space="preserve"> </w:t>
      </w:r>
      <w:r w:rsidRPr="00160A33">
        <w:rPr>
          <w:noProof/>
        </w:rPr>
        <w:t>2011</w:t>
      </w:r>
      <w:r w:rsidRPr="00C3707B">
        <w:rPr>
          <w:noProof/>
        </w:rPr>
        <w:t>/</w:t>
      </w:r>
      <w:r w:rsidRPr="00160A33">
        <w:rPr>
          <w:noProof/>
        </w:rPr>
        <w:t>92</w:t>
      </w:r>
      <w:r w:rsidRPr="00C3707B">
        <w:rPr>
          <w:noProof/>
        </w:rPr>
        <w:t>/EU bedoelde gemotiveerde conclusie over de milieueffectbeoordeling uitbrengen.</w:t>
      </w:r>
    </w:p>
    <w:p w14:paraId="4BF99B53" w14:textId="77777777" w:rsidR="003A0F6F" w:rsidRDefault="00917777" w:rsidP="00917777">
      <w:pPr>
        <w:pStyle w:val="Point0"/>
        <w:rPr>
          <w:noProof/>
        </w:rPr>
      </w:pPr>
      <w:r w:rsidRPr="00160A33">
        <w:rPr>
          <w:noProof/>
        </w:rPr>
        <w:t>3</w:t>
      </w:r>
      <w:r w:rsidRPr="00C3707B">
        <w:rPr>
          <w:noProof/>
        </w:rPr>
        <w:t>.</w:t>
      </w:r>
      <w:r w:rsidRPr="00C3707B">
        <w:rPr>
          <w:noProof/>
        </w:rPr>
        <w:tab/>
        <w:t>In uitzonderlijke gevallen waarin dat gezien de aard, complexiteit, locatie of omvang van het voorgestelde project vereist is, kunnen de lidstaten de in lid </w:t>
      </w:r>
      <w:r w:rsidRPr="00160A33">
        <w:rPr>
          <w:noProof/>
        </w:rPr>
        <w:t>2</w:t>
      </w:r>
      <w:r w:rsidRPr="00C3707B">
        <w:rPr>
          <w:noProof/>
        </w:rPr>
        <w:t xml:space="preserve"> vermelde termijn vóór afloop daarvan en per geval eenmalig met maximaal </w:t>
      </w:r>
      <w:r w:rsidRPr="00160A33">
        <w:rPr>
          <w:noProof/>
        </w:rPr>
        <w:t>15</w:t>
      </w:r>
      <w:r w:rsidRPr="00C3707B">
        <w:rPr>
          <w:noProof/>
        </w:rPr>
        <w:t> dagen verlengen. In dat geval stelt de bevoegde autoriteit de projectontwikkelaar schriftelijk in kennis van de redenen die ten grondslag liggen aan de verlenging en van de uiterste termijn voor zijn gemotiveerde conclusie.</w:t>
      </w:r>
    </w:p>
    <w:p w14:paraId="48E12B97" w14:textId="77777777" w:rsidR="003A0F6F" w:rsidRDefault="00917777" w:rsidP="00917777">
      <w:pPr>
        <w:pStyle w:val="Point0"/>
        <w:rPr>
          <w:noProof/>
        </w:rPr>
      </w:pPr>
      <w:r w:rsidRPr="00160A33">
        <w:rPr>
          <w:noProof/>
        </w:rPr>
        <w:t>4</w:t>
      </w:r>
      <w:r w:rsidRPr="00C3707B">
        <w:rPr>
          <w:noProof/>
        </w:rPr>
        <w:t>.</w:t>
      </w:r>
      <w:r w:rsidRPr="00C3707B">
        <w:rPr>
          <w:noProof/>
        </w:rPr>
        <w:tab/>
        <w:t>De termijnen voor het raadplegen van het in artikel </w:t>
      </w:r>
      <w:r w:rsidRPr="00160A33">
        <w:rPr>
          <w:noProof/>
        </w:rPr>
        <w:t>1</w:t>
      </w:r>
      <w:r w:rsidRPr="00C3707B">
        <w:rPr>
          <w:noProof/>
        </w:rPr>
        <w:t>, lid </w:t>
      </w:r>
      <w:r w:rsidRPr="00160A33">
        <w:rPr>
          <w:noProof/>
        </w:rPr>
        <w:t>2</w:t>
      </w:r>
      <w:r w:rsidRPr="00C3707B">
        <w:rPr>
          <w:noProof/>
        </w:rPr>
        <w:t xml:space="preserve">, punt e), van Richtlijn </w:t>
      </w:r>
      <w:r w:rsidRPr="00160A33">
        <w:rPr>
          <w:noProof/>
        </w:rPr>
        <w:t>2011</w:t>
      </w:r>
      <w:r w:rsidRPr="00C3707B">
        <w:rPr>
          <w:noProof/>
        </w:rPr>
        <w:t>/</w:t>
      </w:r>
      <w:r w:rsidRPr="00160A33">
        <w:rPr>
          <w:noProof/>
        </w:rPr>
        <w:t>92</w:t>
      </w:r>
      <w:r w:rsidRPr="00C3707B">
        <w:rPr>
          <w:noProof/>
        </w:rPr>
        <w:t>/EU bedoelde betrokken publiek, en de in artikel </w:t>
      </w:r>
      <w:r w:rsidRPr="00160A33">
        <w:rPr>
          <w:noProof/>
        </w:rPr>
        <w:t>6</w:t>
      </w:r>
      <w:r w:rsidRPr="00C3707B">
        <w:rPr>
          <w:noProof/>
        </w:rPr>
        <w:t>, lid </w:t>
      </w:r>
      <w:r w:rsidRPr="00160A33">
        <w:rPr>
          <w:noProof/>
        </w:rPr>
        <w:t>1</w:t>
      </w:r>
      <w:r w:rsidRPr="00C3707B">
        <w:rPr>
          <w:noProof/>
        </w:rPr>
        <w:t>, van die richtlijn bedoelde instanties over het in artikel </w:t>
      </w:r>
      <w:r w:rsidRPr="00160A33">
        <w:rPr>
          <w:noProof/>
        </w:rPr>
        <w:t>5</w:t>
      </w:r>
      <w:r w:rsidRPr="00C3707B">
        <w:rPr>
          <w:noProof/>
        </w:rPr>
        <w:t>, lid </w:t>
      </w:r>
      <w:r w:rsidRPr="00160A33">
        <w:rPr>
          <w:noProof/>
        </w:rPr>
        <w:t>1</w:t>
      </w:r>
      <w:r w:rsidRPr="00C3707B">
        <w:rPr>
          <w:noProof/>
        </w:rPr>
        <w:t xml:space="preserve">, van die richtlijn bedoelde milieueffectbeoordelingsrapport mogen niet langer zijn dan </w:t>
      </w:r>
      <w:r w:rsidRPr="00160A33">
        <w:rPr>
          <w:noProof/>
        </w:rPr>
        <w:t>85</w:t>
      </w:r>
      <w:r w:rsidRPr="00C3707B">
        <w:rPr>
          <w:noProof/>
        </w:rPr>
        <w:t> dagen en niet korter dan de in artikel </w:t>
      </w:r>
      <w:r w:rsidRPr="00160A33">
        <w:rPr>
          <w:noProof/>
        </w:rPr>
        <w:t>6</w:t>
      </w:r>
      <w:r w:rsidRPr="00C3707B">
        <w:rPr>
          <w:noProof/>
        </w:rPr>
        <w:t>, lid </w:t>
      </w:r>
      <w:r w:rsidRPr="00160A33">
        <w:rPr>
          <w:noProof/>
        </w:rPr>
        <w:t>7</w:t>
      </w:r>
      <w:r w:rsidRPr="00C3707B">
        <w:rPr>
          <w:noProof/>
        </w:rPr>
        <w:t xml:space="preserve">, van die richtlijn bedoelde periode van </w:t>
      </w:r>
      <w:r w:rsidRPr="00160A33">
        <w:rPr>
          <w:noProof/>
        </w:rPr>
        <w:t>30</w:t>
      </w:r>
      <w:r w:rsidRPr="00C3707B">
        <w:rPr>
          <w:noProof/>
        </w:rPr>
        <w:t> dagen.</w:t>
      </w:r>
    </w:p>
    <w:p w14:paraId="5915C43F" w14:textId="62AD3550" w:rsidR="00917777" w:rsidRPr="00C3707B" w:rsidRDefault="00917777" w:rsidP="00917777">
      <w:pPr>
        <w:pStyle w:val="Point0"/>
        <w:rPr>
          <w:noProof/>
        </w:rPr>
      </w:pPr>
      <w:r w:rsidRPr="00160A33">
        <w:rPr>
          <w:noProof/>
        </w:rPr>
        <w:t>5</w:t>
      </w:r>
      <w:r w:rsidRPr="00C3707B">
        <w:rPr>
          <w:noProof/>
        </w:rPr>
        <w:t>.</w:t>
      </w:r>
      <w:r w:rsidRPr="00C3707B">
        <w:rPr>
          <w:noProof/>
        </w:rPr>
        <w:tab/>
        <w:t>Met betrekking tot de milieueffecten of -verplichtingen zoals bedoeld in artikel </w:t>
      </w:r>
      <w:r w:rsidRPr="00160A33">
        <w:rPr>
          <w:noProof/>
        </w:rPr>
        <w:t>4</w:t>
      </w:r>
      <w:r w:rsidRPr="00C3707B">
        <w:rPr>
          <w:noProof/>
        </w:rPr>
        <w:t>, lid </w:t>
      </w:r>
      <w:r w:rsidRPr="00160A33">
        <w:rPr>
          <w:noProof/>
        </w:rPr>
        <w:t>7</w:t>
      </w:r>
      <w:r w:rsidRPr="00C3707B">
        <w:rPr>
          <w:noProof/>
        </w:rPr>
        <w:t xml:space="preserve">, van Richtlijn </w:t>
      </w:r>
      <w:r w:rsidRPr="00160A33">
        <w:rPr>
          <w:noProof/>
        </w:rPr>
        <w:t>2000</w:t>
      </w:r>
      <w:r w:rsidRPr="00C3707B">
        <w:rPr>
          <w:noProof/>
        </w:rPr>
        <w:t>/</w:t>
      </w:r>
      <w:r w:rsidRPr="00160A33">
        <w:rPr>
          <w:noProof/>
        </w:rPr>
        <w:t>60</w:t>
      </w:r>
      <w:r w:rsidRPr="00C3707B">
        <w:rPr>
          <w:noProof/>
        </w:rPr>
        <w:t>/EG, artikel </w:t>
      </w:r>
      <w:r w:rsidRPr="00160A33">
        <w:rPr>
          <w:noProof/>
        </w:rPr>
        <w:t>9</w:t>
      </w:r>
      <w:r w:rsidRPr="00C3707B">
        <w:rPr>
          <w:noProof/>
        </w:rPr>
        <w:t>, lid </w:t>
      </w:r>
      <w:r w:rsidRPr="00160A33">
        <w:rPr>
          <w:noProof/>
        </w:rPr>
        <w:t>1</w:t>
      </w:r>
      <w:r w:rsidRPr="00C3707B">
        <w:rPr>
          <w:noProof/>
        </w:rPr>
        <w:t xml:space="preserve">, punt a), van Richtlijn </w:t>
      </w:r>
      <w:r w:rsidRPr="00160A33">
        <w:rPr>
          <w:noProof/>
        </w:rPr>
        <w:t>2009</w:t>
      </w:r>
      <w:r w:rsidRPr="00C3707B">
        <w:rPr>
          <w:noProof/>
        </w:rPr>
        <w:t>/</w:t>
      </w:r>
      <w:r w:rsidRPr="00160A33">
        <w:rPr>
          <w:noProof/>
        </w:rPr>
        <w:t>147</w:t>
      </w:r>
      <w:r w:rsidRPr="00C3707B">
        <w:rPr>
          <w:noProof/>
        </w:rPr>
        <w:t>/EG, artikel </w:t>
      </w:r>
      <w:r w:rsidRPr="00160A33">
        <w:rPr>
          <w:noProof/>
        </w:rPr>
        <w:t>6</w:t>
      </w:r>
      <w:r w:rsidRPr="00C3707B">
        <w:rPr>
          <w:noProof/>
        </w:rPr>
        <w:t>, lid </w:t>
      </w:r>
      <w:r w:rsidRPr="00160A33">
        <w:rPr>
          <w:noProof/>
        </w:rPr>
        <w:t>4</w:t>
      </w:r>
      <w:r w:rsidRPr="00C3707B">
        <w:rPr>
          <w:noProof/>
        </w:rPr>
        <w:t>, en artikel </w:t>
      </w:r>
      <w:r w:rsidRPr="00160A33">
        <w:rPr>
          <w:noProof/>
        </w:rPr>
        <w:t>16</w:t>
      </w:r>
      <w:r w:rsidRPr="00C3707B">
        <w:rPr>
          <w:noProof/>
        </w:rPr>
        <w:t>, lid </w:t>
      </w:r>
      <w:r w:rsidRPr="00160A33">
        <w:rPr>
          <w:noProof/>
        </w:rPr>
        <w:t>1</w:t>
      </w:r>
      <w:r w:rsidRPr="00C3707B">
        <w:rPr>
          <w:noProof/>
        </w:rPr>
        <w:t xml:space="preserve">, van Richtlijn </w:t>
      </w:r>
      <w:r w:rsidRPr="00160A33">
        <w:rPr>
          <w:noProof/>
        </w:rPr>
        <w:t>92</w:t>
      </w:r>
      <w:r w:rsidRPr="00C3707B">
        <w:rPr>
          <w:noProof/>
        </w:rPr>
        <w:t>/</w:t>
      </w:r>
      <w:r w:rsidRPr="00160A33">
        <w:rPr>
          <w:noProof/>
        </w:rPr>
        <w:t>43</w:t>
      </w:r>
      <w:r w:rsidRPr="00C3707B">
        <w:rPr>
          <w:noProof/>
        </w:rPr>
        <w:t>/EEG, en voor de toepassing van artikel </w:t>
      </w:r>
      <w:r w:rsidRPr="00160A33">
        <w:rPr>
          <w:noProof/>
        </w:rPr>
        <w:t>4</w:t>
      </w:r>
      <w:r w:rsidRPr="00C3707B">
        <w:rPr>
          <w:noProof/>
        </w:rPr>
        <w:t>, leden </w:t>
      </w:r>
      <w:r w:rsidRPr="00160A33">
        <w:rPr>
          <w:noProof/>
        </w:rPr>
        <w:t>14</w:t>
      </w:r>
      <w:r w:rsidRPr="00C3707B">
        <w:rPr>
          <w:noProof/>
        </w:rPr>
        <w:t xml:space="preserve"> en </w:t>
      </w:r>
      <w:r w:rsidRPr="00160A33">
        <w:rPr>
          <w:noProof/>
        </w:rPr>
        <w:t>15</w:t>
      </w:r>
      <w:r w:rsidRPr="00C3707B">
        <w:rPr>
          <w:noProof/>
        </w:rPr>
        <w:t>, en artikel </w:t>
      </w:r>
      <w:r w:rsidRPr="00160A33">
        <w:rPr>
          <w:noProof/>
        </w:rPr>
        <w:t>5</w:t>
      </w:r>
      <w:r w:rsidRPr="00C3707B">
        <w:rPr>
          <w:noProof/>
        </w:rPr>
        <w:t>, leden </w:t>
      </w:r>
      <w:r w:rsidRPr="00160A33">
        <w:rPr>
          <w:noProof/>
        </w:rPr>
        <w:t>11</w:t>
      </w:r>
      <w:r w:rsidRPr="00C3707B">
        <w:rPr>
          <w:noProof/>
        </w:rPr>
        <w:t xml:space="preserve"> en </w:t>
      </w:r>
      <w:r w:rsidRPr="00160A33">
        <w:rPr>
          <w:noProof/>
        </w:rPr>
        <w:t>12</w:t>
      </w:r>
      <w:r w:rsidRPr="00C3707B">
        <w:rPr>
          <w:noProof/>
        </w:rPr>
        <w:t>, van Verordening (EU)</w:t>
      </w:r>
      <w:r w:rsidR="003B3818">
        <w:rPr>
          <w:noProof/>
        </w:rPr>
        <w:t xml:space="preserve"> </w:t>
      </w:r>
      <w:r w:rsidRPr="00160A33">
        <w:rPr>
          <w:noProof/>
        </w:rPr>
        <w:t>2024</w:t>
      </w:r>
      <w:r w:rsidRPr="00C3707B">
        <w:rPr>
          <w:noProof/>
        </w:rPr>
        <w:t>/</w:t>
      </w:r>
      <w:r w:rsidRPr="00160A33">
        <w:rPr>
          <w:noProof/>
        </w:rPr>
        <w:t>1991</w:t>
      </w:r>
      <w:r w:rsidRPr="00C3707B">
        <w:rPr>
          <w:noProof/>
        </w:rPr>
        <w:t>, kunnen strategische projecten in de Unie worden geacht van hoger openbaar belang en in het belang van de volksgezondheid en openbare veiligheid te zijn, mits aan alle voorwaarden van die handelingen is voldaan.</w:t>
      </w:r>
    </w:p>
    <w:p w14:paraId="331679DB" w14:textId="77777777" w:rsidR="00917777" w:rsidRPr="00C3707B" w:rsidRDefault="00917777" w:rsidP="00917777">
      <w:pPr>
        <w:pStyle w:val="Titrearticle"/>
        <w:rPr>
          <w:noProof/>
          <w:szCs w:val="24"/>
        </w:rPr>
      </w:pPr>
      <w:r w:rsidRPr="00C3707B">
        <w:rPr>
          <w:noProof/>
        </w:rPr>
        <w:t>Artikel </w:t>
      </w:r>
      <w:r w:rsidRPr="00160A33">
        <w:rPr>
          <w:noProof/>
        </w:rPr>
        <w:t>13</w:t>
      </w:r>
    </w:p>
    <w:p w14:paraId="004D9FA7" w14:textId="77777777" w:rsidR="00917777" w:rsidRPr="00C3707B" w:rsidRDefault="00917777" w:rsidP="00917777">
      <w:pPr>
        <w:jc w:val="center"/>
        <w:rPr>
          <w:i/>
          <w:noProof/>
          <w:szCs w:val="24"/>
        </w:rPr>
      </w:pPr>
      <w:r w:rsidRPr="00C3707B">
        <w:rPr>
          <w:i/>
          <w:noProof/>
        </w:rPr>
        <w:t>Planning</w:t>
      </w:r>
    </w:p>
    <w:p w14:paraId="3CF27C05" w14:textId="77777777" w:rsidR="00917777" w:rsidRPr="00C3707B" w:rsidRDefault="00917777" w:rsidP="00917777">
      <w:pPr>
        <w:pStyle w:val="Point0"/>
        <w:rPr>
          <w:noProof/>
          <w:szCs w:val="24"/>
        </w:rPr>
      </w:pPr>
      <w:r w:rsidRPr="00160A33">
        <w:rPr>
          <w:noProof/>
        </w:rPr>
        <w:t>1</w:t>
      </w:r>
      <w:r w:rsidRPr="00C3707B">
        <w:rPr>
          <w:noProof/>
        </w:rPr>
        <w:t>.</w:t>
      </w:r>
      <w:r w:rsidRPr="00C3707B">
        <w:rPr>
          <w:noProof/>
        </w:rPr>
        <w:tab/>
        <w:t>De nationale, regionale en lokale autoriteiten die verantwoordelijk zijn voor het opstellen van plannen, waaronder bestemmingsplannen en plannen voor ruimtelijke ordening en landgebruik, overwegen daar in voorkomend geval bepalingen voor de ontwikkeling van strategische projecten en de daarvoor benodigde infrastructuur in op te nemen. Om de ontwikkeling van strategische projecten te faciliteren, zorgen de lidstaten ervoor dat alle relevante gegevens inzake ruimtelijke ordening beschikbaar zijn.</w:t>
      </w:r>
    </w:p>
    <w:p w14:paraId="3D8CA80E" w14:textId="77777777" w:rsidR="00917777" w:rsidRPr="00C3707B" w:rsidRDefault="00917777" w:rsidP="00917777">
      <w:pPr>
        <w:pStyle w:val="Point0"/>
        <w:rPr>
          <w:noProof/>
          <w:szCs w:val="24"/>
        </w:rPr>
      </w:pPr>
      <w:r w:rsidRPr="00160A33">
        <w:rPr>
          <w:noProof/>
          <w:shd w:val="clear" w:color="auto" w:fill="FFFFFF"/>
        </w:rPr>
        <w:t>2</w:t>
      </w:r>
      <w:r w:rsidRPr="00C3707B">
        <w:rPr>
          <w:noProof/>
          <w:shd w:val="clear" w:color="auto" w:fill="FFFFFF"/>
        </w:rPr>
        <w:t>.</w:t>
      </w:r>
      <w:r w:rsidRPr="00C3707B">
        <w:rPr>
          <w:noProof/>
        </w:rPr>
        <w:tab/>
      </w:r>
      <w:r w:rsidRPr="00C3707B">
        <w:rPr>
          <w:noProof/>
          <w:shd w:val="clear" w:color="auto" w:fill="FFFFFF"/>
        </w:rPr>
        <w:t xml:space="preserve">Indien plannen met bepalingen voor de ontwikkeling van strategische projecten zowel overeenkomstig Richtlijn </w:t>
      </w:r>
      <w:r w:rsidRPr="00160A33">
        <w:rPr>
          <w:noProof/>
          <w:shd w:val="clear" w:color="auto" w:fill="FFFFFF"/>
        </w:rPr>
        <w:t>2001</w:t>
      </w:r>
      <w:r w:rsidRPr="00C3707B">
        <w:rPr>
          <w:noProof/>
          <w:shd w:val="clear" w:color="auto" w:fill="FFFFFF"/>
        </w:rPr>
        <w:t>/</w:t>
      </w:r>
      <w:r w:rsidRPr="00160A33">
        <w:rPr>
          <w:noProof/>
          <w:shd w:val="clear" w:color="auto" w:fill="FFFFFF"/>
        </w:rPr>
        <w:t>42</w:t>
      </w:r>
      <w:r w:rsidRPr="00C3707B">
        <w:rPr>
          <w:noProof/>
          <w:shd w:val="clear" w:color="auto" w:fill="FFFFFF"/>
        </w:rPr>
        <w:t>/EG van het Europees Parlement en de Raad als overeenkomstig artikel </w:t>
      </w:r>
      <w:r w:rsidRPr="00160A33">
        <w:rPr>
          <w:noProof/>
          <w:shd w:val="clear" w:color="auto" w:fill="FFFFFF"/>
        </w:rPr>
        <w:t>6</w:t>
      </w:r>
      <w:r w:rsidRPr="00C3707B">
        <w:rPr>
          <w:noProof/>
          <w:shd w:val="clear" w:color="auto" w:fill="FFFFFF"/>
        </w:rPr>
        <w:t>, lid </w:t>
      </w:r>
      <w:r w:rsidRPr="00160A33">
        <w:rPr>
          <w:noProof/>
          <w:shd w:val="clear" w:color="auto" w:fill="FFFFFF"/>
        </w:rPr>
        <w:t>3</w:t>
      </w:r>
      <w:r w:rsidRPr="00C3707B">
        <w:rPr>
          <w:noProof/>
          <w:shd w:val="clear" w:color="auto" w:fill="FFFFFF"/>
        </w:rPr>
        <w:t xml:space="preserve">, van Richtlijn </w:t>
      </w:r>
      <w:r w:rsidRPr="00160A33">
        <w:rPr>
          <w:noProof/>
          <w:shd w:val="clear" w:color="auto" w:fill="FFFFFF"/>
        </w:rPr>
        <w:t>92</w:t>
      </w:r>
      <w:r w:rsidRPr="00C3707B">
        <w:rPr>
          <w:noProof/>
          <w:shd w:val="clear" w:color="auto" w:fill="FFFFFF"/>
        </w:rPr>
        <w:t>/</w:t>
      </w:r>
      <w:r w:rsidRPr="00160A33">
        <w:rPr>
          <w:noProof/>
          <w:shd w:val="clear" w:color="auto" w:fill="FFFFFF"/>
        </w:rPr>
        <w:t>43</w:t>
      </w:r>
      <w:r w:rsidRPr="00C3707B">
        <w:rPr>
          <w:noProof/>
          <w:shd w:val="clear" w:color="auto" w:fill="FFFFFF"/>
        </w:rPr>
        <w:t xml:space="preserve">/EEG moeten worden beoordeeld, worden die beoordelingen gecombineerd. In de gecombineerde beoordeling wordt in voorkomend geval ook ingegaan op de effecten op mogelijk getroffen waterlichamen als bedoeld in Richtlijn </w:t>
      </w:r>
      <w:r w:rsidRPr="00160A33">
        <w:rPr>
          <w:noProof/>
          <w:shd w:val="clear" w:color="auto" w:fill="FFFFFF"/>
        </w:rPr>
        <w:t>2000</w:t>
      </w:r>
      <w:r w:rsidRPr="00C3707B">
        <w:rPr>
          <w:noProof/>
          <w:shd w:val="clear" w:color="auto" w:fill="FFFFFF"/>
        </w:rPr>
        <w:t>/</w:t>
      </w:r>
      <w:r w:rsidRPr="00160A33">
        <w:rPr>
          <w:noProof/>
          <w:shd w:val="clear" w:color="auto" w:fill="FFFFFF"/>
        </w:rPr>
        <w:t>60</w:t>
      </w:r>
      <w:r w:rsidRPr="00C3707B">
        <w:rPr>
          <w:noProof/>
          <w:shd w:val="clear" w:color="auto" w:fill="FFFFFF"/>
        </w:rPr>
        <w:t>/EG. Indien de lidstaten de effecten van huidige en toekomstige activiteiten op het mariene milieu, met inbegrip van de wisselwerking tussen land en zee, moeten beoordelen overeenkomstig artikel </w:t>
      </w:r>
      <w:r w:rsidRPr="00160A33">
        <w:rPr>
          <w:noProof/>
          <w:shd w:val="clear" w:color="auto" w:fill="FFFFFF"/>
        </w:rPr>
        <w:t>4</w:t>
      </w:r>
      <w:r w:rsidRPr="00C3707B">
        <w:rPr>
          <w:noProof/>
          <w:shd w:val="clear" w:color="auto" w:fill="FFFFFF"/>
        </w:rPr>
        <w:t xml:space="preserve"> van Richtlijn </w:t>
      </w:r>
      <w:r w:rsidRPr="00160A33">
        <w:rPr>
          <w:noProof/>
          <w:shd w:val="clear" w:color="auto" w:fill="FFFFFF"/>
        </w:rPr>
        <w:t>2014</w:t>
      </w:r>
      <w:r w:rsidRPr="00C3707B">
        <w:rPr>
          <w:noProof/>
          <w:shd w:val="clear" w:color="auto" w:fill="FFFFFF"/>
        </w:rPr>
        <w:t>/</w:t>
      </w:r>
      <w:r w:rsidRPr="00160A33">
        <w:rPr>
          <w:noProof/>
          <w:shd w:val="clear" w:color="auto" w:fill="FFFFFF"/>
        </w:rPr>
        <w:t>89</w:t>
      </w:r>
      <w:r w:rsidRPr="00C3707B">
        <w:rPr>
          <w:noProof/>
          <w:shd w:val="clear" w:color="auto" w:fill="FFFFFF"/>
        </w:rPr>
        <w:t>/EU van het Europees Parlement en de Raad</w:t>
      </w:r>
      <w:r w:rsidRPr="00C3707B">
        <w:rPr>
          <w:rStyle w:val="FootnoteReference"/>
          <w:noProof/>
          <w:szCs w:val="24"/>
        </w:rPr>
        <w:footnoteReference w:id="88"/>
      </w:r>
      <w:r w:rsidRPr="00C3707B">
        <w:rPr>
          <w:noProof/>
          <w:shd w:val="clear" w:color="auto" w:fill="FFFFFF"/>
        </w:rPr>
        <w:t>, heeft de gecombineerde beoordeling ook betrekking op die effecten.</w:t>
      </w:r>
    </w:p>
    <w:p w14:paraId="5817F9F3" w14:textId="77777777" w:rsidR="00917777" w:rsidRPr="00C3707B" w:rsidRDefault="00917777" w:rsidP="00046C83">
      <w:pPr>
        <w:pStyle w:val="Titrearticle"/>
        <w:rPr>
          <w:noProof/>
          <w:szCs w:val="24"/>
        </w:rPr>
      </w:pPr>
      <w:r w:rsidRPr="00C3707B">
        <w:rPr>
          <w:rStyle w:val="normaltextrun"/>
          <w:noProof/>
        </w:rPr>
        <w:t>Artikel </w:t>
      </w:r>
      <w:r w:rsidRPr="00160A33">
        <w:rPr>
          <w:rStyle w:val="normaltextrun"/>
          <w:noProof/>
        </w:rPr>
        <w:t>14</w:t>
      </w:r>
    </w:p>
    <w:p w14:paraId="2ADCC974" w14:textId="77777777" w:rsidR="00917777" w:rsidRPr="00C3707B" w:rsidRDefault="00917777" w:rsidP="00046C83">
      <w:pPr>
        <w:jc w:val="center"/>
        <w:rPr>
          <w:i/>
          <w:iCs/>
          <w:noProof/>
          <w:szCs w:val="24"/>
        </w:rPr>
      </w:pPr>
      <w:r w:rsidRPr="00C3707B">
        <w:rPr>
          <w:i/>
          <w:noProof/>
        </w:rPr>
        <w:t>Toepasselijkheid van VN/ECE-verdragen</w:t>
      </w:r>
    </w:p>
    <w:p w14:paraId="73292960" w14:textId="77777777" w:rsidR="00917777" w:rsidRPr="00C3707B" w:rsidRDefault="00046C83" w:rsidP="00046C83">
      <w:pPr>
        <w:pStyle w:val="Point0"/>
        <w:rPr>
          <w:rStyle w:val="normaltextrun"/>
          <w:noProof/>
        </w:rPr>
      </w:pPr>
      <w:r w:rsidRPr="00160A33">
        <w:rPr>
          <w:rStyle w:val="normaltextrun"/>
          <w:noProof/>
        </w:rPr>
        <w:t>1</w:t>
      </w:r>
      <w:r w:rsidRPr="00C3707B">
        <w:rPr>
          <w:rStyle w:val="normaltextrun"/>
          <w:noProof/>
        </w:rPr>
        <w:t>.</w:t>
      </w:r>
      <w:r w:rsidRPr="00C3707B">
        <w:rPr>
          <w:noProof/>
        </w:rPr>
        <w:tab/>
      </w:r>
      <w:r w:rsidRPr="00C3707B">
        <w:rPr>
          <w:rStyle w:val="normaltextrun"/>
          <w:noProof/>
        </w:rPr>
        <w:t xml:space="preserve">Deze verordening laat de verplichtingen onverlet die voortvloeien uit het Verdrag van de Economische Commissie voor Europa van de Verenigde Naties (VN/ECE) betreffende toegang tot informatie, inspraak bij besluitvorming en toegang tot de rechter inzake milieuaangelegenheden, dat op </w:t>
      </w:r>
      <w:r w:rsidRPr="00160A33">
        <w:rPr>
          <w:rStyle w:val="normaltextrun"/>
          <w:noProof/>
        </w:rPr>
        <w:t>25</w:t>
      </w:r>
      <w:r w:rsidRPr="00C3707B">
        <w:rPr>
          <w:rStyle w:val="normaltextrun"/>
          <w:noProof/>
        </w:rPr>
        <w:t xml:space="preserve"> juni </w:t>
      </w:r>
      <w:r w:rsidRPr="00160A33">
        <w:rPr>
          <w:rStyle w:val="normaltextrun"/>
          <w:noProof/>
        </w:rPr>
        <w:t>1998</w:t>
      </w:r>
      <w:r w:rsidRPr="00C3707B">
        <w:rPr>
          <w:rStyle w:val="normaltextrun"/>
          <w:noProof/>
        </w:rPr>
        <w:t xml:space="preserve"> in Aarhus is ondertekend, en uit het VN/ECE-Verdrag inzake milieueffectrapportage in grensoverschrijdend verband, dat op </w:t>
      </w:r>
      <w:r w:rsidRPr="00160A33">
        <w:rPr>
          <w:rStyle w:val="normaltextrun"/>
          <w:noProof/>
        </w:rPr>
        <w:t>25</w:t>
      </w:r>
      <w:r w:rsidRPr="00C3707B">
        <w:rPr>
          <w:rStyle w:val="normaltextrun"/>
          <w:noProof/>
        </w:rPr>
        <w:t xml:space="preserve"> februari </w:t>
      </w:r>
      <w:r w:rsidRPr="00160A33">
        <w:rPr>
          <w:rStyle w:val="normaltextrun"/>
          <w:noProof/>
        </w:rPr>
        <w:t>1991</w:t>
      </w:r>
      <w:r w:rsidRPr="00C3707B">
        <w:rPr>
          <w:rStyle w:val="normaltextrun"/>
          <w:noProof/>
        </w:rPr>
        <w:t xml:space="preserve"> in Espoo is ondertekend en het bijbehorende protocol inzake de strategische milieueffectbeoordeling, dat op </w:t>
      </w:r>
      <w:r w:rsidRPr="00160A33">
        <w:rPr>
          <w:rStyle w:val="normaltextrun"/>
          <w:noProof/>
        </w:rPr>
        <w:t>21</w:t>
      </w:r>
      <w:r w:rsidRPr="00C3707B">
        <w:rPr>
          <w:rStyle w:val="normaltextrun"/>
          <w:noProof/>
        </w:rPr>
        <w:t xml:space="preserve"> mei </w:t>
      </w:r>
      <w:r w:rsidRPr="00160A33">
        <w:rPr>
          <w:rStyle w:val="normaltextrun"/>
          <w:noProof/>
        </w:rPr>
        <w:t>2003</w:t>
      </w:r>
      <w:r w:rsidRPr="00C3707B">
        <w:rPr>
          <w:rStyle w:val="normaltextrun"/>
          <w:noProof/>
        </w:rPr>
        <w:t xml:space="preserve"> in Kyiv is ondertekend.</w:t>
      </w:r>
    </w:p>
    <w:p w14:paraId="0D253799" w14:textId="77777777" w:rsidR="00917777" w:rsidRPr="00C3707B" w:rsidRDefault="00046C83" w:rsidP="00046C83">
      <w:pPr>
        <w:pStyle w:val="Point0"/>
        <w:rPr>
          <w:noProof/>
        </w:rPr>
      </w:pPr>
      <w:r w:rsidRPr="00160A33">
        <w:rPr>
          <w:rStyle w:val="normaltextrun"/>
          <w:noProof/>
        </w:rPr>
        <w:t>2</w:t>
      </w:r>
      <w:r w:rsidRPr="00C3707B">
        <w:rPr>
          <w:rStyle w:val="normaltextrun"/>
          <w:noProof/>
        </w:rPr>
        <w:t>.</w:t>
      </w:r>
      <w:r w:rsidRPr="00C3707B">
        <w:rPr>
          <w:noProof/>
        </w:rPr>
        <w:tab/>
      </w:r>
      <w:r w:rsidRPr="00C3707B">
        <w:rPr>
          <w:rStyle w:val="normaltextrun"/>
          <w:noProof/>
        </w:rPr>
        <w:t>Alle besluiten die uit hoofde van de artikelen in deze afdeling worden vastgesteld, worden openbaar gemaakt.</w:t>
      </w:r>
    </w:p>
    <w:p w14:paraId="14BCC881" w14:textId="77777777" w:rsidR="00917777" w:rsidRPr="00C3707B" w:rsidRDefault="00917777" w:rsidP="00917777">
      <w:pPr>
        <w:pStyle w:val="SectionTitle"/>
        <w:rPr>
          <w:noProof/>
        </w:rPr>
      </w:pPr>
      <w:r w:rsidRPr="00C3707B">
        <w:rPr>
          <w:noProof/>
        </w:rPr>
        <w:t>Afdeling III</w:t>
      </w:r>
    </w:p>
    <w:p w14:paraId="2964C146" w14:textId="77777777" w:rsidR="00917777" w:rsidRPr="00C3707B" w:rsidRDefault="00917777" w:rsidP="00917777">
      <w:pPr>
        <w:pStyle w:val="SectionTitle"/>
        <w:rPr>
          <w:b w:val="0"/>
          <w:noProof/>
        </w:rPr>
      </w:pPr>
      <w:r w:rsidRPr="00C3707B">
        <w:rPr>
          <w:noProof/>
        </w:rPr>
        <w:t>Financiële stimulansen</w:t>
      </w:r>
    </w:p>
    <w:p w14:paraId="19576E0D" w14:textId="77777777" w:rsidR="00917777" w:rsidRPr="00C3707B" w:rsidRDefault="00917777" w:rsidP="00917777">
      <w:pPr>
        <w:pStyle w:val="Titrearticle"/>
        <w:rPr>
          <w:noProof/>
        </w:rPr>
      </w:pPr>
      <w:r w:rsidRPr="00C3707B">
        <w:rPr>
          <w:noProof/>
        </w:rPr>
        <w:t>Artikel </w:t>
      </w:r>
      <w:r w:rsidRPr="00160A33">
        <w:rPr>
          <w:noProof/>
        </w:rPr>
        <w:t>15</w:t>
      </w:r>
    </w:p>
    <w:p w14:paraId="4A25B779" w14:textId="77777777" w:rsidR="00917777" w:rsidRPr="00C3707B" w:rsidRDefault="00917777" w:rsidP="00917777">
      <w:pPr>
        <w:jc w:val="center"/>
        <w:rPr>
          <w:i/>
          <w:noProof/>
        </w:rPr>
      </w:pPr>
      <w:r w:rsidRPr="00C3707B">
        <w:rPr>
          <w:i/>
          <w:noProof/>
        </w:rPr>
        <w:t>Financiële steun van de lidstaten</w:t>
      </w:r>
    </w:p>
    <w:p w14:paraId="23FC7320" w14:textId="77777777" w:rsidR="00917777" w:rsidRPr="00C3707B" w:rsidRDefault="00917777" w:rsidP="00917777">
      <w:pPr>
        <w:pStyle w:val="Point0"/>
        <w:rPr>
          <w:noProof/>
          <w:color w:val="333333"/>
        </w:rPr>
      </w:pPr>
      <w:r w:rsidRPr="00160A33">
        <w:rPr>
          <w:noProof/>
          <w:color w:val="333333"/>
          <w:shd w:val="clear" w:color="auto" w:fill="FFFFFF"/>
        </w:rPr>
        <w:t>1</w:t>
      </w:r>
      <w:r w:rsidRPr="00C3707B">
        <w:rPr>
          <w:noProof/>
          <w:color w:val="333333"/>
          <w:shd w:val="clear" w:color="auto" w:fill="FFFFFF"/>
        </w:rPr>
        <w:t>.</w:t>
      </w:r>
      <w:r w:rsidRPr="00C3707B">
        <w:rPr>
          <w:noProof/>
        </w:rPr>
        <w:tab/>
      </w:r>
      <w:r w:rsidRPr="00C3707B">
        <w:rPr>
          <w:noProof/>
          <w:color w:val="333333"/>
        </w:rPr>
        <w:t>Onverminderd de artikelen </w:t>
      </w:r>
      <w:r w:rsidRPr="00160A33">
        <w:rPr>
          <w:noProof/>
          <w:color w:val="333333"/>
        </w:rPr>
        <w:t>107</w:t>
      </w:r>
      <w:r w:rsidRPr="00C3707B">
        <w:rPr>
          <w:noProof/>
          <w:color w:val="333333"/>
        </w:rPr>
        <w:t xml:space="preserve"> en </w:t>
      </w:r>
      <w:r w:rsidRPr="00160A33">
        <w:rPr>
          <w:noProof/>
          <w:color w:val="333333"/>
        </w:rPr>
        <w:t>108</w:t>
      </w:r>
      <w:r w:rsidRPr="00C3707B">
        <w:rPr>
          <w:noProof/>
          <w:color w:val="333333"/>
        </w:rPr>
        <w:t xml:space="preserve"> van het VWEU kunnen de lidstaten voorrang geven aan financiële steun voor strategische projecten waarmee een kwetsbaarheid in de toeleveringsketens van kritieke geneesmiddelen wordt aangepakt die is vastgesteld naar aanleiding van een kwetsbaarheidsbeoordeling en waarbij terdege rekening is gehouden met de in artikel </w:t>
      </w:r>
      <w:r w:rsidRPr="00160A33">
        <w:rPr>
          <w:noProof/>
          <w:color w:val="333333"/>
        </w:rPr>
        <w:t>26</w:t>
      </w:r>
      <w:r w:rsidRPr="00C3707B">
        <w:rPr>
          <w:noProof/>
          <w:color w:val="333333"/>
        </w:rPr>
        <w:t>, lid </w:t>
      </w:r>
      <w:r w:rsidRPr="00160A33">
        <w:rPr>
          <w:noProof/>
          <w:color w:val="333333"/>
        </w:rPr>
        <w:t>2</w:t>
      </w:r>
      <w:r w:rsidRPr="00C3707B">
        <w:rPr>
          <w:noProof/>
          <w:color w:val="333333"/>
        </w:rPr>
        <w:t>, punt a), bedoelde strategische richtsnoeren van de groep kritieke geneesmiddelen.</w:t>
      </w:r>
    </w:p>
    <w:p w14:paraId="26D9681F" w14:textId="77777777"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Zolang een kritiek geneesmiddel in de lijst van de Unie van kritieke geneesmiddelen is opgenomen, geeft een onderneming die financiële steun voor een strategisch project heeft ontvangen voorrang aan levering aan de markt van de Unie en stelt deze alles in het werk om te waarborgen dat dat kritieke geneesmiddel in de lidstaten waar het in de handel is gebracht, beschikbaar blijft.</w:t>
      </w:r>
    </w:p>
    <w:p w14:paraId="460F6F11" w14:textId="77777777" w:rsidR="003A0F6F" w:rsidRDefault="00917777" w:rsidP="00917777">
      <w:pPr>
        <w:pStyle w:val="Point0"/>
        <w:rPr>
          <w:noProof/>
        </w:rPr>
      </w:pPr>
      <w:r w:rsidRPr="00160A33">
        <w:rPr>
          <w:rStyle w:val="normaltextrun"/>
          <w:noProof/>
          <w:shd w:val="clear" w:color="auto" w:fill="FFFFFF"/>
        </w:rPr>
        <w:t>3</w:t>
      </w:r>
      <w:r w:rsidRPr="00C3707B">
        <w:rPr>
          <w:rStyle w:val="normaltextrun"/>
          <w:noProof/>
          <w:shd w:val="clear" w:color="auto" w:fill="FFFFFF"/>
        </w:rPr>
        <w:t>.</w:t>
      </w:r>
      <w:r w:rsidRPr="00C3707B">
        <w:rPr>
          <w:noProof/>
        </w:rPr>
        <w:tab/>
        <w:t>De lidstaat die financiële steun aan een strategisch project heeft verleend, kan een dergelijke onderneming verzoeken om de nodige voorraden van een kritiek geneesmiddel, een werkzame stof of een belangrijke input, naargelang het geval, aan de markt van de Unie te leveren om tekorten in een of meer lidstaten te voorkomen.</w:t>
      </w:r>
    </w:p>
    <w:p w14:paraId="73672E3B" w14:textId="77777777" w:rsidR="003A0F6F" w:rsidRDefault="00917777" w:rsidP="00046C83">
      <w:pPr>
        <w:pStyle w:val="Text1"/>
        <w:rPr>
          <w:noProof/>
        </w:rPr>
      </w:pPr>
      <w:r w:rsidRPr="00C3707B">
        <w:rPr>
          <w:noProof/>
        </w:rPr>
        <w:t>Indien in een lidstaat tekorten van het desbetreffende kritieke geneesmiddel dreigen te ontstaan, kan die lidstaat de lidstaat die financiële steun heeft verleend, verzoeken om namens de eerstgenoemde lidstaat een verzoek in te dienen.</w:t>
      </w:r>
    </w:p>
    <w:p w14:paraId="2FF4263D" w14:textId="5924CA06" w:rsidR="00917777" w:rsidRPr="00C3707B" w:rsidRDefault="00917777" w:rsidP="00917777">
      <w:pPr>
        <w:pStyle w:val="Titrearticle"/>
        <w:rPr>
          <w:noProof/>
        </w:rPr>
      </w:pPr>
      <w:r w:rsidRPr="00C3707B">
        <w:rPr>
          <w:noProof/>
        </w:rPr>
        <w:t>Artikel </w:t>
      </w:r>
      <w:r w:rsidRPr="00160A33">
        <w:rPr>
          <w:noProof/>
        </w:rPr>
        <w:t>16</w:t>
      </w:r>
    </w:p>
    <w:p w14:paraId="446BD152" w14:textId="77777777" w:rsidR="00917777" w:rsidRPr="00C3707B" w:rsidRDefault="00917777" w:rsidP="00917777">
      <w:pPr>
        <w:jc w:val="center"/>
        <w:rPr>
          <w:i/>
          <w:noProof/>
        </w:rPr>
      </w:pPr>
      <w:r w:rsidRPr="00C3707B">
        <w:rPr>
          <w:i/>
          <w:noProof/>
        </w:rPr>
        <w:t>Financiële steun van de Unie</w:t>
      </w:r>
    </w:p>
    <w:p w14:paraId="477C600D" w14:textId="77777777" w:rsidR="003A0F6F" w:rsidRDefault="00917777" w:rsidP="00917777">
      <w:pPr>
        <w:pStyle w:val="Point0"/>
        <w:rPr>
          <w:noProof/>
        </w:rPr>
      </w:pPr>
      <w:r w:rsidRPr="00160A33">
        <w:rPr>
          <w:noProof/>
        </w:rPr>
        <w:t>1</w:t>
      </w:r>
      <w:r w:rsidRPr="00C3707B">
        <w:rPr>
          <w:noProof/>
        </w:rPr>
        <w:t>.</w:t>
      </w:r>
      <w:r w:rsidRPr="00C3707B">
        <w:rPr>
          <w:noProof/>
        </w:rPr>
        <w:tab/>
        <w:t xml:space="preserve">Voor de duur van het meerjarig financieel kader </w:t>
      </w:r>
      <w:r w:rsidRPr="00160A33">
        <w:rPr>
          <w:noProof/>
        </w:rPr>
        <w:t>2021</w:t>
      </w:r>
      <w:r w:rsidRPr="00C3707B">
        <w:rPr>
          <w:noProof/>
        </w:rPr>
        <w:t>-</w:t>
      </w:r>
      <w:r w:rsidRPr="00160A33">
        <w:rPr>
          <w:noProof/>
        </w:rPr>
        <w:t>2027</w:t>
      </w:r>
      <w:r w:rsidRPr="00C3707B">
        <w:rPr>
          <w:rStyle w:val="FootnoteReference"/>
          <w:rFonts w:eastAsia="Times New Roman"/>
          <w:noProof/>
          <w:lang w:eastAsia="en-GB"/>
        </w:rPr>
        <w:footnoteReference w:id="89"/>
      </w:r>
      <w:r w:rsidRPr="00C3707B">
        <w:rPr>
          <w:noProof/>
        </w:rPr>
        <w:t xml:space="preserve"> kunnen strategische projecten worden ondersteund met financiering van de Unie, met inbegrip van, maar niet beperkt tot, programma’s van de Unie zoals het EU</w:t>
      </w:r>
      <w:r w:rsidRPr="00160A33">
        <w:rPr>
          <w:noProof/>
        </w:rPr>
        <w:t>4</w:t>
      </w:r>
      <w:r w:rsidRPr="00C3707B">
        <w:rPr>
          <w:noProof/>
        </w:rPr>
        <w:t>Health-programma</w:t>
      </w:r>
      <w:r w:rsidRPr="00C3707B">
        <w:rPr>
          <w:rStyle w:val="FootnoteReference"/>
          <w:rFonts w:eastAsia="Times New Roman"/>
          <w:noProof/>
          <w:lang w:eastAsia="en-GB"/>
        </w:rPr>
        <w:footnoteReference w:id="90"/>
      </w:r>
      <w:r w:rsidRPr="00C3707B">
        <w:rPr>
          <w:noProof/>
        </w:rPr>
        <w:t>, Horizon Europa</w:t>
      </w:r>
      <w:r w:rsidRPr="00C3707B">
        <w:rPr>
          <w:rStyle w:val="FootnoteReference"/>
          <w:rFonts w:eastAsia="Times New Roman"/>
          <w:noProof/>
          <w:lang w:eastAsia="en-GB"/>
        </w:rPr>
        <w:footnoteReference w:id="91"/>
      </w:r>
      <w:r w:rsidRPr="00C3707B">
        <w:rPr>
          <w:noProof/>
        </w:rPr>
        <w:t xml:space="preserve"> en het programma Digitaal Europa</w:t>
      </w:r>
      <w:r w:rsidRPr="00C3707B">
        <w:rPr>
          <w:rStyle w:val="FootnoteReference"/>
          <w:rFonts w:eastAsia="Times New Roman"/>
          <w:noProof/>
          <w:lang w:eastAsia="en-GB"/>
        </w:rPr>
        <w:footnoteReference w:id="92"/>
      </w:r>
      <w:r w:rsidRPr="00C3707B">
        <w:rPr>
          <w:noProof/>
        </w:rPr>
        <w:t>, mits die steun in overeenstemming is met de in de verordeningen tot vaststelling van die programma’s vastgelegde doelstellingen.</w:t>
      </w:r>
    </w:p>
    <w:p w14:paraId="3806A2D1" w14:textId="52687712" w:rsidR="003A0F6F" w:rsidRDefault="00CE00B6" w:rsidP="00917777">
      <w:pPr>
        <w:pStyle w:val="Point0"/>
        <w:rPr>
          <w:noProof/>
        </w:rPr>
      </w:pPr>
      <w:r w:rsidRPr="00160A33">
        <w:rPr>
          <w:noProof/>
        </w:rPr>
        <w:t>2</w:t>
      </w:r>
      <w:r w:rsidRPr="00C3707B">
        <w:rPr>
          <w:noProof/>
        </w:rPr>
        <w:t>.</w:t>
      </w:r>
      <w:r w:rsidRPr="00C3707B">
        <w:rPr>
          <w:noProof/>
        </w:rPr>
        <w:tab/>
        <w:t xml:space="preserve">Op verzoek van een projectontwikkelaar en indien dat gerechtvaardigd is omdat in het kader van een aanvraag voor financiering door de Unie resultaten van een kwetsbaarheidsbeoordeling moeten worden verstrekt, beoordeelt de aangewezen autoriteit of een naar aanleiding van de kwetsbaarheidsbeoordeling vastgestelde kwetsbaarheid met een strategische project wordt aangepakt. De aangewezen autoriteit doet haar aanbeveling binnen </w:t>
      </w:r>
      <w:r w:rsidRPr="00160A33">
        <w:rPr>
          <w:noProof/>
        </w:rPr>
        <w:t>15</w:t>
      </w:r>
      <w:r w:rsidR="000A2A54">
        <w:rPr>
          <w:noProof/>
        </w:rPr>
        <w:t> </w:t>
      </w:r>
      <w:r w:rsidRPr="00C3707B">
        <w:rPr>
          <w:noProof/>
        </w:rPr>
        <w:t>werkdagen na het verzoek aan de projectontwikkelaar toekomen. De aangewezen autoriteit stelt de Commissie onverwijld in kennis van de strategische projecten waarvan is vastgesteld dat daarmee een bestaande kwetsbaarheid in de toeleveringsketens wordt aangepakt.</w:t>
      </w:r>
    </w:p>
    <w:p w14:paraId="71D275FE" w14:textId="097DBEA0" w:rsidR="00917777" w:rsidRPr="00C3707B" w:rsidRDefault="00917777" w:rsidP="00046C83">
      <w:pPr>
        <w:pStyle w:val="Titrearticle"/>
        <w:rPr>
          <w:noProof/>
        </w:rPr>
      </w:pPr>
      <w:r w:rsidRPr="00C3707B">
        <w:rPr>
          <w:noProof/>
        </w:rPr>
        <w:t>Artikel </w:t>
      </w:r>
      <w:r w:rsidRPr="00160A33">
        <w:rPr>
          <w:noProof/>
        </w:rPr>
        <w:t>17</w:t>
      </w:r>
    </w:p>
    <w:p w14:paraId="320595F9" w14:textId="77777777" w:rsidR="00917777" w:rsidRPr="00C3707B" w:rsidRDefault="00917777" w:rsidP="00917777">
      <w:pPr>
        <w:jc w:val="center"/>
        <w:rPr>
          <w:i/>
          <w:noProof/>
          <w:szCs w:val="24"/>
        </w:rPr>
      </w:pPr>
      <w:r w:rsidRPr="00C3707B">
        <w:rPr>
          <w:i/>
          <w:noProof/>
        </w:rPr>
        <w:t>Uitwisseling van informatie over gefinancierde projecten</w:t>
      </w:r>
    </w:p>
    <w:p w14:paraId="1B573F4F" w14:textId="77777777" w:rsidR="00917777" w:rsidRPr="00C3707B" w:rsidRDefault="00917777" w:rsidP="00917777">
      <w:pPr>
        <w:pStyle w:val="Point0"/>
        <w:rPr>
          <w:rFonts w:eastAsia="Times New Roman"/>
          <w:noProof/>
          <w:szCs w:val="24"/>
        </w:rPr>
      </w:pPr>
      <w:r w:rsidRPr="00160A33">
        <w:rPr>
          <w:noProof/>
        </w:rPr>
        <w:t>1</w:t>
      </w:r>
      <w:r w:rsidRPr="00C3707B">
        <w:rPr>
          <w:noProof/>
        </w:rPr>
        <w:t>.</w:t>
      </w:r>
      <w:r w:rsidRPr="00C3707B">
        <w:rPr>
          <w:noProof/>
        </w:rPr>
        <w:tab/>
        <w:t>De lidstaten stellen de in artikel </w:t>
      </w:r>
      <w:r w:rsidRPr="00160A33">
        <w:rPr>
          <w:noProof/>
        </w:rPr>
        <w:t>24</w:t>
      </w:r>
      <w:r w:rsidRPr="00C3707B">
        <w:rPr>
          <w:noProof/>
        </w:rPr>
        <w:t xml:space="preserve"> bedoelde coördinatiegroep kritieke geneesmiddelen (“de groep kritieke geneesmiddelen”) op tijd in kennis van het voornemen om financiële steun te verlenen aan strategische projecten om de groep in staat te stellen haar coördinatietaak als bedoeld in artikel </w:t>
      </w:r>
      <w:r w:rsidRPr="00160A33">
        <w:rPr>
          <w:noProof/>
        </w:rPr>
        <w:t>25</w:t>
      </w:r>
      <w:r w:rsidRPr="00C3707B">
        <w:rPr>
          <w:noProof/>
        </w:rPr>
        <w:t xml:space="preserve"> uit te voeren.</w:t>
      </w:r>
    </w:p>
    <w:p w14:paraId="7D2488F8" w14:textId="77777777" w:rsidR="00917777" w:rsidRPr="00C3707B" w:rsidRDefault="00917777" w:rsidP="00917777">
      <w:pPr>
        <w:pStyle w:val="Point0"/>
        <w:rPr>
          <w:rFonts w:eastAsia="Times New Roman"/>
          <w:noProof/>
          <w:szCs w:val="24"/>
        </w:rPr>
      </w:pPr>
      <w:r w:rsidRPr="00160A33">
        <w:rPr>
          <w:noProof/>
        </w:rPr>
        <w:t>2</w:t>
      </w:r>
      <w:r w:rsidRPr="00C3707B">
        <w:rPr>
          <w:noProof/>
        </w:rPr>
        <w:t>.</w:t>
      </w:r>
      <w:r w:rsidRPr="00C3707B">
        <w:rPr>
          <w:noProof/>
        </w:rPr>
        <w:tab/>
        <w:t>De Commissie stelt de groep kritieke geneesmiddelen regelmatig in kennis van de strategische projecten die financiële steun van de Unie hebben ontvangen.</w:t>
      </w:r>
    </w:p>
    <w:p w14:paraId="57395C7A" w14:textId="77777777" w:rsidR="008D53D5" w:rsidRDefault="00917777" w:rsidP="00046C83">
      <w:pPr>
        <w:pStyle w:val="Text1"/>
        <w:rPr>
          <w:noProof/>
        </w:rPr>
      </w:pPr>
      <w:r w:rsidRPr="00C3707B">
        <w:rPr>
          <w:noProof/>
        </w:rPr>
        <w:t>De Commissie kan de groep kritieke geneesmiddelen in kennis stellen van het voornemen om het opzetten van financieringsmogelijkheden voor te stellen die specifiek zijn ontworpen om kwetsbaarheden in de toeleveringsketens aan te pakken, en van eventuele andere programma’s die de beschikbaarheid van kritieke geneesmiddelen kunnen verbeteren, overeenkomstig de specifieke regels en voorwaarden van die financieringsprogramma’s van de Unie.</w:t>
      </w:r>
    </w:p>
    <w:p w14:paraId="1CE0A0A7" w14:textId="4DB94282" w:rsidR="00917777" w:rsidRPr="00C3707B" w:rsidRDefault="00917777" w:rsidP="00917777">
      <w:pPr>
        <w:pStyle w:val="ChapterTitle"/>
        <w:rPr>
          <w:b w:val="0"/>
          <w:noProof/>
        </w:rPr>
      </w:pPr>
      <w:bookmarkStart w:id="8" w:name="_Hlk192165508"/>
      <w:r w:rsidRPr="00C3707B">
        <w:rPr>
          <w:noProof/>
        </w:rPr>
        <w:t xml:space="preserve">Hoofdstuk IV </w:t>
      </w:r>
      <w:r w:rsidRPr="00C3707B">
        <w:rPr>
          <w:noProof/>
        </w:rPr>
        <w:br/>
        <w:t>Maatregelen aan de vraagzijde</w:t>
      </w:r>
    </w:p>
    <w:p w14:paraId="707FF318" w14:textId="77777777" w:rsidR="00917777" w:rsidRPr="00C3707B" w:rsidRDefault="00917777" w:rsidP="00917777">
      <w:pPr>
        <w:pStyle w:val="SectionTitle"/>
        <w:rPr>
          <w:noProof/>
        </w:rPr>
      </w:pPr>
      <w:r w:rsidRPr="00C3707B">
        <w:rPr>
          <w:noProof/>
        </w:rPr>
        <w:t>Afdeling I</w:t>
      </w:r>
    </w:p>
    <w:p w14:paraId="779DC40B" w14:textId="77777777" w:rsidR="00917777" w:rsidRPr="00C3707B" w:rsidRDefault="000D1861" w:rsidP="00917777">
      <w:pPr>
        <w:pStyle w:val="SectionTitle"/>
        <w:rPr>
          <w:b w:val="0"/>
          <w:noProof/>
        </w:rPr>
      </w:pPr>
      <w:r w:rsidRPr="00C3707B">
        <w:rPr>
          <w:noProof/>
        </w:rPr>
        <w:t>Gunningscriteria en andere aanbestedingsvereisten, en daarmee verband houdende maatregelen</w:t>
      </w:r>
    </w:p>
    <w:bookmarkEnd w:id="8"/>
    <w:p w14:paraId="7A76E296" w14:textId="77777777" w:rsidR="00917777" w:rsidRPr="00C3707B" w:rsidRDefault="00917777" w:rsidP="00917777">
      <w:pPr>
        <w:pStyle w:val="Titrearticle"/>
        <w:rPr>
          <w:noProof/>
        </w:rPr>
      </w:pPr>
      <w:r w:rsidRPr="00C3707B">
        <w:rPr>
          <w:noProof/>
        </w:rPr>
        <w:t>Artikel </w:t>
      </w:r>
      <w:r w:rsidRPr="00160A33">
        <w:rPr>
          <w:noProof/>
        </w:rPr>
        <w:t>18</w:t>
      </w:r>
    </w:p>
    <w:p w14:paraId="0F1E38A7" w14:textId="77777777" w:rsidR="008D53D5" w:rsidRDefault="00917777" w:rsidP="00917777">
      <w:pPr>
        <w:jc w:val="center"/>
        <w:rPr>
          <w:i/>
          <w:noProof/>
        </w:rPr>
      </w:pPr>
      <w:r w:rsidRPr="00C3707B">
        <w:rPr>
          <w:i/>
          <w:noProof/>
        </w:rPr>
        <w:t>Stimuleren van veerkracht, duurzaamheid en positieve sociale effecten bij openbare aanbestedingsprocedures</w:t>
      </w:r>
    </w:p>
    <w:p w14:paraId="461BB99E" w14:textId="4E9D99B3" w:rsidR="001F6FB9" w:rsidRPr="00C3707B" w:rsidRDefault="00917777" w:rsidP="00697F90">
      <w:pPr>
        <w:pStyle w:val="Point0"/>
        <w:rPr>
          <w:noProof/>
        </w:rPr>
      </w:pPr>
      <w:r w:rsidRPr="00160A33">
        <w:rPr>
          <w:noProof/>
        </w:rPr>
        <w:t>1</w:t>
      </w:r>
      <w:r w:rsidRPr="00C3707B">
        <w:rPr>
          <w:noProof/>
        </w:rPr>
        <w:t>.</w:t>
      </w:r>
      <w:r w:rsidRPr="00C3707B">
        <w:rPr>
          <w:noProof/>
        </w:rPr>
        <w:tab/>
        <w:t xml:space="preserve">Bij aanbestedingsprocedures voor kritieke geneesmiddelen die onder het toepassingsgebied van Richtlijn </w:t>
      </w:r>
      <w:r w:rsidRPr="00160A33">
        <w:rPr>
          <w:noProof/>
        </w:rPr>
        <w:t>2014</w:t>
      </w:r>
      <w:r w:rsidRPr="00C3707B">
        <w:rPr>
          <w:noProof/>
        </w:rPr>
        <w:t>/</w:t>
      </w:r>
      <w:r w:rsidRPr="00160A33">
        <w:rPr>
          <w:noProof/>
        </w:rPr>
        <w:t>24</w:t>
      </w:r>
      <w:r w:rsidRPr="00C3707B">
        <w:rPr>
          <w:noProof/>
        </w:rPr>
        <w:t xml:space="preserve">/EU van het Europees Parlement en de Raad vallen, passen aanbestedende diensten in de lidstaten andere aanbestedingsvereisten toe dan gunningscriteria die uitsluitend op de prijs zijn gebaseerd, zoals aanbestedingsvereisten die de veerkracht van de voorziening in de Unie bevorderen. Die aanbestedingsvereisten worden vastgesteld overeenkomstig Richtlijn </w:t>
      </w:r>
      <w:r w:rsidRPr="00160A33">
        <w:rPr>
          <w:noProof/>
        </w:rPr>
        <w:t>2014</w:t>
      </w:r>
      <w:r w:rsidRPr="00C3707B">
        <w:rPr>
          <w:noProof/>
        </w:rPr>
        <w:t>/</w:t>
      </w:r>
      <w:r w:rsidRPr="00160A33">
        <w:rPr>
          <w:noProof/>
        </w:rPr>
        <w:t>24</w:t>
      </w:r>
      <w:r w:rsidRPr="00C3707B">
        <w:rPr>
          <w:noProof/>
        </w:rPr>
        <w:t>/EU en kunnen betrekking hebben op verplichtingen in verband met het aanhouden van een voorraad, het aantal verschillende leveranciers, het toezicht op de toeleveringsketens, de transparantie van die ketens voor de aanbestedende dienst en contractvoorwaarden inzake tijdige levering.</w:t>
      </w:r>
    </w:p>
    <w:p w14:paraId="30ACB712" w14:textId="77777777"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Voor kritieke geneesmiddelen waarvoor een kwetsbaarheid in de toeleveringsketens is bevestigd door middel van een kwetsbaarheidsbeoordeling die wijst op een hoge mate van afhankelijkheid van één of een beperkt aantal derde landen, passen de aanbestedende diensten, waar dat gerechtvaardigd is, aanbestedingsvereisten toe waarmee leveranciers die een aanzienlijk deel van deze kritieke geneesmiddelen in de Unie vervaardigen, worden begunstigd. Deze vereisten worden toegepast in overeenstemming met de internationale verbintenissen van de Unie.</w:t>
      </w:r>
    </w:p>
    <w:p w14:paraId="6CF7EAC1" w14:textId="77777777" w:rsidR="00917777" w:rsidRPr="00C3707B" w:rsidRDefault="00917777" w:rsidP="00917777">
      <w:pPr>
        <w:pStyle w:val="Point0"/>
        <w:rPr>
          <w:rFonts w:eastAsia="Times New Roman"/>
          <w:noProof/>
          <w:szCs w:val="24"/>
        </w:rPr>
      </w:pPr>
      <w:r w:rsidRPr="00160A33">
        <w:rPr>
          <w:noProof/>
        </w:rPr>
        <w:t>3</w:t>
      </w:r>
      <w:r w:rsidRPr="00C3707B">
        <w:rPr>
          <w:noProof/>
        </w:rPr>
        <w:t>.</w:t>
      </w:r>
      <w:r w:rsidRPr="00C3707B">
        <w:rPr>
          <w:noProof/>
        </w:rPr>
        <w:tab/>
        <w:t xml:space="preserve">Voor andere geneesmiddelen van gemeenschappelijk belang kunnen de aanbestedende diensten, indien dat op basis van marktanalyse en volksgezondheidsoverwegingen gerechtvaardigd is, aanbestedingsvereisten toepassen waarmee leveranciers die een ten minste aanzienlijk deel van deze geneesmiddelen in de Unie vervaardigen, worden begunstigd. </w:t>
      </w:r>
      <w:r w:rsidRPr="00C3707B">
        <w:rPr>
          <w:rStyle w:val="normaltextrun"/>
          <w:noProof/>
          <w:color w:val="000000" w:themeColor="text1"/>
        </w:rPr>
        <w:t>Deze vereisten worden toegepast in overeenstemming met de internationale verbintenissen van de Unie.</w:t>
      </w:r>
    </w:p>
    <w:p w14:paraId="7DF5D74F" w14:textId="77777777" w:rsidR="00917777" w:rsidRPr="00C3707B" w:rsidRDefault="00917777" w:rsidP="00917777">
      <w:pPr>
        <w:pStyle w:val="Point0"/>
        <w:rPr>
          <w:rFonts w:eastAsia="Times New Roman"/>
          <w:noProof/>
        </w:rPr>
      </w:pPr>
      <w:r w:rsidRPr="00160A33">
        <w:rPr>
          <w:noProof/>
        </w:rPr>
        <w:t>4</w:t>
      </w:r>
      <w:r w:rsidRPr="00C3707B">
        <w:rPr>
          <w:noProof/>
        </w:rPr>
        <w:t>.</w:t>
      </w:r>
      <w:r w:rsidRPr="00C3707B">
        <w:rPr>
          <w:noProof/>
        </w:rPr>
        <w:tab/>
        <w:t>Dit artikel belet aanbestedende diensten niet gebruik te maken van aanvullende kwalitatieve vereisten, onder meer met betrekking tot ecologische duurzaamheid en sociale rechten.</w:t>
      </w:r>
    </w:p>
    <w:p w14:paraId="0A0449A1" w14:textId="77777777" w:rsidR="008D53D5" w:rsidRDefault="00917777" w:rsidP="00917777">
      <w:pPr>
        <w:pStyle w:val="Point0"/>
        <w:rPr>
          <w:noProof/>
        </w:rPr>
      </w:pPr>
      <w:r w:rsidRPr="00160A33">
        <w:rPr>
          <w:noProof/>
        </w:rPr>
        <w:t>5</w:t>
      </w:r>
      <w:r w:rsidRPr="00C3707B">
        <w:rPr>
          <w:noProof/>
        </w:rPr>
        <w:t>.</w:t>
      </w:r>
      <w:r w:rsidRPr="00C3707B">
        <w:rPr>
          <w:noProof/>
        </w:rPr>
        <w:tab/>
        <w:t>Bij wijze van uitzondering kunnen aanbestedende diensten besluiten de leden </w:t>
      </w:r>
      <w:r w:rsidRPr="00160A33">
        <w:rPr>
          <w:noProof/>
        </w:rPr>
        <w:t>1</w:t>
      </w:r>
      <w:r w:rsidRPr="00C3707B">
        <w:rPr>
          <w:noProof/>
        </w:rPr>
        <w:t xml:space="preserve">, </w:t>
      </w:r>
      <w:r w:rsidRPr="00160A33">
        <w:rPr>
          <w:noProof/>
        </w:rPr>
        <w:t>2</w:t>
      </w:r>
      <w:r w:rsidRPr="00C3707B">
        <w:rPr>
          <w:noProof/>
        </w:rPr>
        <w:t xml:space="preserve"> en </w:t>
      </w:r>
      <w:r w:rsidRPr="00160A33">
        <w:rPr>
          <w:noProof/>
        </w:rPr>
        <w:t>3</w:t>
      </w:r>
      <w:r w:rsidRPr="00C3707B">
        <w:rPr>
          <w:noProof/>
        </w:rPr>
        <w:t xml:space="preserve"> niet toe te passen, indien dat op basis van marktanalyse en overwegingen in verband met de financiering van gezondheidsdiensten gerechtvaardigd is.</w:t>
      </w:r>
    </w:p>
    <w:p w14:paraId="71DC7B1C" w14:textId="1570233B" w:rsidR="00917777" w:rsidRPr="00C3707B" w:rsidRDefault="00917777" w:rsidP="00917777">
      <w:pPr>
        <w:pStyle w:val="Titrearticle"/>
        <w:rPr>
          <w:noProof/>
        </w:rPr>
      </w:pPr>
      <w:r w:rsidRPr="00C3707B">
        <w:rPr>
          <w:noProof/>
        </w:rPr>
        <w:t>Artikel </w:t>
      </w:r>
      <w:r w:rsidRPr="00160A33">
        <w:rPr>
          <w:noProof/>
        </w:rPr>
        <w:t>19</w:t>
      </w:r>
    </w:p>
    <w:p w14:paraId="326BDCCE" w14:textId="77777777" w:rsidR="00917777" w:rsidRPr="00C3707B" w:rsidRDefault="00917777" w:rsidP="00917777">
      <w:pPr>
        <w:jc w:val="center"/>
        <w:rPr>
          <w:i/>
          <w:noProof/>
        </w:rPr>
      </w:pPr>
      <w:r w:rsidRPr="00C3707B">
        <w:rPr>
          <w:i/>
          <w:noProof/>
        </w:rPr>
        <w:t>Programma’s ter ondersteuning van duurzaamheid en veerkracht bij openbare aanbestedingsprocedures</w:t>
      </w:r>
    </w:p>
    <w:p w14:paraId="6F029995" w14:textId="77777777" w:rsidR="00917777" w:rsidRPr="00C3707B" w:rsidRDefault="00917777" w:rsidP="00917777">
      <w:pPr>
        <w:pStyle w:val="Point0"/>
        <w:rPr>
          <w:rFonts w:eastAsia="Times New Roman"/>
          <w:noProof/>
        </w:rPr>
      </w:pPr>
      <w:r w:rsidRPr="00160A33">
        <w:rPr>
          <w:noProof/>
        </w:rPr>
        <w:t>1</w:t>
      </w:r>
      <w:r w:rsidRPr="00C3707B">
        <w:rPr>
          <w:noProof/>
        </w:rPr>
        <w:t>.</w:t>
      </w:r>
      <w:r w:rsidRPr="00C3707B">
        <w:rPr>
          <w:noProof/>
        </w:rPr>
        <w:tab/>
        <w:t>Uiterlijk zes maanden na de inwerkingtreding van deze verordening zet elke lidstaat een nationaal programma op voor de ondersteuning van de voorzieningszekerheid van kritieke geneesmiddelen, onder meer bij aanbestedingsprocedures. Dergelijke programma’s bevorderen het consistente gebruik van aanbestedingsvereisten door aanbestedende diensten in een bepaalde lidstaat en, indien dat gezien de marktanalyse nuttig is, benaderingen met meerdere begunstigden. Dergelijke programma’s kunnen ook maatregelen voor prijsstelling en vergoeding omvatten ter ondersteuning van de voorzieningszekerheid van kritieke geneesmiddelen die niet via openbare aanbestedingsprocedures worden aangekocht.</w:t>
      </w:r>
    </w:p>
    <w:p w14:paraId="51CAE5A9" w14:textId="77777777"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De lidstaten stellen de Commissie, als secretariaat van de groep kritieke geneesmiddelen, in kennis van hun programma’s. De Commissie zorgt ervoor dat deze programma’s onmiddellijk onder alle leden van de groep kritieke geneesmiddelen worden verspreid. De groep kritieke geneesmiddelen kan adviezen uitbrengen en faciliteert een discussie met als doel voor coördinatie van nationale programma’s te zorgen, onder meer wat betreft de toepassing van de in artikel </w:t>
      </w:r>
      <w:r w:rsidRPr="00160A33">
        <w:rPr>
          <w:noProof/>
        </w:rPr>
        <w:t>18</w:t>
      </w:r>
      <w:r w:rsidRPr="00C3707B">
        <w:rPr>
          <w:noProof/>
        </w:rPr>
        <w:t>, lid </w:t>
      </w:r>
      <w:r w:rsidRPr="00160A33">
        <w:rPr>
          <w:noProof/>
        </w:rPr>
        <w:t>2</w:t>
      </w:r>
      <w:r w:rsidRPr="00C3707B">
        <w:rPr>
          <w:noProof/>
        </w:rPr>
        <w:t>, bedoelde criteria. Wanneer de groep kritieke geneesmiddelen een advies uitbrengt over de nationale programma’s, nemen de lidstaten dit terdege in aanmerking en kunnen zij daar bij de herziening van hun programma’s rekening mee houden.</w:t>
      </w:r>
    </w:p>
    <w:p w14:paraId="6FD95A09" w14:textId="77777777" w:rsidR="00917777" w:rsidRPr="00C3707B" w:rsidRDefault="00917777" w:rsidP="00B0454E">
      <w:pPr>
        <w:pStyle w:val="Titrearticle"/>
        <w:rPr>
          <w:rFonts w:eastAsia="Times New Roman"/>
          <w:i w:val="0"/>
          <w:iCs/>
          <w:noProof/>
        </w:rPr>
      </w:pPr>
      <w:bookmarkStart w:id="9" w:name="_Hlk192165422"/>
      <w:bookmarkStart w:id="10" w:name="_Hlk192169224"/>
      <w:r w:rsidRPr="00C3707B">
        <w:rPr>
          <w:noProof/>
        </w:rPr>
        <w:t>Artikel </w:t>
      </w:r>
      <w:r w:rsidRPr="00160A33">
        <w:rPr>
          <w:noProof/>
        </w:rPr>
        <w:t>20</w:t>
      </w:r>
    </w:p>
    <w:p w14:paraId="005FFCB7" w14:textId="77777777" w:rsidR="00917777" w:rsidRPr="00C3707B" w:rsidRDefault="00917777" w:rsidP="00B0454E">
      <w:pPr>
        <w:jc w:val="center"/>
        <w:rPr>
          <w:rFonts w:eastAsia="Times New Roman"/>
          <w:i/>
          <w:iCs/>
          <w:noProof/>
        </w:rPr>
      </w:pPr>
      <w:r w:rsidRPr="00C3707B">
        <w:rPr>
          <w:i/>
          <w:noProof/>
        </w:rPr>
        <w:t>Waarborgen in verband met noodvoorraden van de lidstaten en andere maatregelen inzake voorzieningszekerheid</w:t>
      </w:r>
    </w:p>
    <w:p w14:paraId="7000EC8D" w14:textId="77777777" w:rsidR="008D53D5" w:rsidRDefault="00917777" w:rsidP="00B0454E">
      <w:pPr>
        <w:rPr>
          <w:noProof/>
        </w:rPr>
      </w:pPr>
      <w:r w:rsidRPr="00C3707B">
        <w:rPr>
          <w:noProof/>
        </w:rPr>
        <w:t>Maatregelen inzake voorzieningszekerheid die in een lidstaat worden toegepast, mogen geen negatieve gevolgen hebben in andere lidstaten. De lidstaten vermijden dergelijke gevolgen met name wanneer zij voorstellen doen voor de bepaling van de reikwijdte van en het tijdschema voor vereisten waaraan ondernemingen moeten voldoen om noodvoorraden aan te houden.</w:t>
      </w:r>
    </w:p>
    <w:p w14:paraId="38A98401" w14:textId="77777777" w:rsidR="008D53D5" w:rsidRDefault="00596544" w:rsidP="00F30056">
      <w:pPr>
        <w:rPr>
          <w:noProof/>
        </w:rPr>
      </w:pPr>
      <w:r w:rsidRPr="00C3707B">
        <w:rPr>
          <w:noProof/>
        </w:rPr>
        <w:t>De lidstaten waarborgen dat vereisten voor het aanhouden van noodvoorraden die zij aan ondernemingen in de toeleveringsketen opleggen evenredig zijn en de beginselen van transparantie en solidariteit eerbiedigen.</w:t>
      </w:r>
      <w:bookmarkEnd w:id="9"/>
      <w:bookmarkEnd w:id="10"/>
    </w:p>
    <w:p w14:paraId="05F6275F" w14:textId="6E7FD209" w:rsidR="00917777" w:rsidRPr="00C3707B" w:rsidRDefault="00917777" w:rsidP="00917777">
      <w:pPr>
        <w:pStyle w:val="SectionTitle"/>
        <w:rPr>
          <w:noProof/>
        </w:rPr>
      </w:pPr>
      <w:r w:rsidRPr="00C3707B">
        <w:rPr>
          <w:noProof/>
        </w:rPr>
        <w:t>Afdeling II</w:t>
      </w:r>
    </w:p>
    <w:p w14:paraId="4F510D33" w14:textId="77777777" w:rsidR="00917777" w:rsidRPr="00C3707B" w:rsidRDefault="00917777" w:rsidP="00917777">
      <w:pPr>
        <w:pStyle w:val="SectionTitle"/>
        <w:rPr>
          <w:b w:val="0"/>
          <w:noProof/>
        </w:rPr>
      </w:pPr>
      <w:r w:rsidRPr="00C3707B">
        <w:rPr>
          <w:noProof/>
        </w:rPr>
        <w:t>Collectieve aanbestedingen</w:t>
      </w:r>
    </w:p>
    <w:p w14:paraId="73744560" w14:textId="77777777" w:rsidR="00917777" w:rsidRPr="00C3707B" w:rsidRDefault="00917777" w:rsidP="00917777">
      <w:pPr>
        <w:pStyle w:val="Titrearticle"/>
        <w:rPr>
          <w:noProof/>
        </w:rPr>
      </w:pPr>
      <w:r w:rsidRPr="00C3707B">
        <w:rPr>
          <w:noProof/>
        </w:rPr>
        <w:t>Artikel </w:t>
      </w:r>
      <w:r w:rsidRPr="00160A33">
        <w:rPr>
          <w:noProof/>
        </w:rPr>
        <w:t>21</w:t>
      </w:r>
    </w:p>
    <w:p w14:paraId="4E966AA3" w14:textId="77777777" w:rsidR="00917777" w:rsidRPr="00C3707B" w:rsidRDefault="00917777" w:rsidP="00917777">
      <w:pPr>
        <w:jc w:val="center"/>
        <w:rPr>
          <w:i/>
          <w:noProof/>
        </w:rPr>
      </w:pPr>
      <w:r w:rsidRPr="00C3707B">
        <w:rPr>
          <w:i/>
          <w:noProof/>
        </w:rPr>
        <w:t>Door de Commissie gefaciliteerde grensoverschrijdende aanbesteding door de lidstaten</w:t>
      </w:r>
    </w:p>
    <w:p w14:paraId="797A61AB" w14:textId="77777777" w:rsidR="008D53D5" w:rsidRDefault="00917777" w:rsidP="00917777">
      <w:pPr>
        <w:pStyle w:val="Point0"/>
        <w:rPr>
          <w:noProof/>
        </w:rPr>
      </w:pPr>
      <w:r w:rsidRPr="00160A33">
        <w:rPr>
          <w:noProof/>
        </w:rPr>
        <w:t>1</w:t>
      </w:r>
      <w:r w:rsidRPr="00C3707B">
        <w:rPr>
          <w:noProof/>
        </w:rPr>
        <w:t>.</w:t>
      </w:r>
      <w:r w:rsidRPr="00C3707B">
        <w:rPr>
          <w:noProof/>
        </w:rPr>
        <w:tab/>
        <w:t>Indien drie of meer lidstaten een met redenen omkleed verzoek daartoe (“het verzoek”) indienen, kan de Commissie voor de verzoekende lidstaten als facilitator optreden bij de grensoverschrijdende aanbesteding van geneesmiddelen van gemeenschappelijk belang, zoals bedoeld in artikel </w:t>
      </w:r>
      <w:r w:rsidRPr="00160A33">
        <w:rPr>
          <w:noProof/>
        </w:rPr>
        <w:t>39</w:t>
      </w:r>
      <w:r w:rsidRPr="00C3707B">
        <w:rPr>
          <w:noProof/>
        </w:rPr>
        <w:t xml:space="preserve"> van Richtlijn </w:t>
      </w:r>
      <w:r w:rsidRPr="00160A33">
        <w:rPr>
          <w:noProof/>
        </w:rPr>
        <w:t>2014</w:t>
      </w:r>
      <w:r w:rsidRPr="00C3707B">
        <w:rPr>
          <w:noProof/>
        </w:rPr>
        <w:t>/</w:t>
      </w:r>
      <w:r w:rsidRPr="00160A33">
        <w:rPr>
          <w:noProof/>
        </w:rPr>
        <w:t>24</w:t>
      </w:r>
      <w:r w:rsidRPr="00C3707B">
        <w:rPr>
          <w:noProof/>
        </w:rPr>
        <w:t>/EU van het Europees Parlement en de Raad</w:t>
      </w:r>
      <w:r w:rsidRPr="00C3707B">
        <w:rPr>
          <w:rStyle w:val="FootnoteReference"/>
          <w:noProof/>
        </w:rPr>
        <w:footnoteReference w:id="93"/>
      </w:r>
      <w:r w:rsidRPr="00C3707B">
        <w:rPr>
          <w:noProof/>
        </w:rPr>
        <w:t>.</w:t>
      </w:r>
    </w:p>
    <w:p w14:paraId="55EF3639" w14:textId="5A39E105"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Na ontvangst van het verzoek stelt de Commissie alle andere lidstaten van het initiatief in kennis en stelt zij een passende termijn vast waarbinnen zij interesse kunnen tonen. Die termijn bedraagt niet meer dan drie weken.</w:t>
      </w:r>
    </w:p>
    <w:p w14:paraId="4AA36CC8" w14:textId="77777777" w:rsidR="008D53D5" w:rsidRDefault="00917777" w:rsidP="00917777">
      <w:pPr>
        <w:pStyle w:val="Point0"/>
        <w:rPr>
          <w:noProof/>
        </w:rPr>
      </w:pPr>
      <w:r w:rsidRPr="00160A33">
        <w:rPr>
          <w:noProof/>
        </w:rPr>
        <w:t>3</w:t>
      </w:r>
      <w:r w:rsidRPr="00C3707B">
        <w:rPr>
          <w:noProof/>
        </w:rPr>
        <w:t>.</w:t>
      </w:r>
      <w:r w:rsidRPr="00C3707B">
        <w:rPr>
          <w:noProof/>
        </w:rPr>
        <w:tab/>
        <w:t>De Commissie beoordeelt het verzoek in het licht van de doelstellingen van deze verordening. De Commissie deelt de geïnteresseerde lidstaten binnen drie weken na ontvangst van het verzoek mee of zij er al dan niet mee instemt het voorgestelde initiatief te faciliteren.</w:t>
      </w:r>
    </w:p>
    <w:p w14:paraId="2BB4BAFD" w14:textId="77777777" w:rsidR="008D53D5" w:rsidRDefault="00917777" w:rsidP="00917777">
      <w:pPr>
        <w:pStyle w:val="Point0"/>
        <w:rPr>
          <w:noProof/>
        </w:rPr>
      </w:pPr>
      <w:r w:rsidRPr="00160A33">
        <w:rPr>
          <w:noProof/>
        </w:rPr>
        <w:t>4</w:t>
      </w:r>
      <w:r w:rsidRPr="00C3707B">
        <w:rPr>
          <w:noProof/>
        </w:rPr>
        <w:t>.</w:t>
      </w:r>
      <w:r w:rsidRPr="00C3707B">
        <w:rPr>
          <w:noProof/>
        </w:rPr>
        <w:tab/>
        <w:t>Indien de Commissie het verzoek afwijst, motiveert zij die afwijzing.</w:t>
      </w:r>
    </w:p>
    <w:p w14:paraId="79C804AD" w14:textId="7A911A8E" w:rsidR="00917777" w:rsidRPr="00C3707B" w:rsidRDefault="00917777" w:rsidP="00917777">
      <w:pPr>
        <w:pStyle w:val="Point0"/>
        <w:rPr>
          <w:rFonts w:eastAsia="Times New Roman"/>
          <w:noProof/>
        </w:rPr>
      </w:pPr>
      <w:r w:rsidRPr="00160A33">
        <w:rPr>
          <w:noProof/>
        </w:rPr>
        <w:t>5</w:t>
      </w:r>
      <w:r w:rsidRPr="00C3707B">
        <w:rPr>
          <w:noProof/>
        </w:rPr>
        <w:t>.</w:t>
      </w:r>
      <w:r w:rsidRPr="00C3707B">
        <w:rPr>
          <w:noProof/>
        </w:rPr>
        <w:tab/>
        <w:t>Indien de Commissie het verzoek inwilligt, verleent zij secretariële en logistieke steun aan de belangstellende lidstaten. De Commissie faciliteert communicatie en samenwerking tussen de betrokken lidstaten en verstrekt advies over de toepasselijke aanbestedingsregels van de Unie en over regelgevingsaangelegenheden met betrekking tot geneesmiddelen.</w:t>
      </w:r>
    </w:p>
    <w:p w14:paraId="09684DB9" w14:textId="77777777" w:rsidR="00917777" w:rsidRPr="00C3707B" w:rsidRDefault="00917777" w:rsidP="00917777">
      <w:pPr>
        <w:pStyle w:val="Point0"/>
        <w:rPr>
          <w:rFonts w:eastAsia="Times New Roman"/>
          <w:noProof/>
        </w:rPr>
      </w:pPr>
      <w:r w:rsidRPr="00160A33">
        <w:rPr>
          <w:noProof/>
        </w:rPr>
        <w:t>6</w:t>
      </w:r>
      <w:r w:rsidRPr="00C3707B">
        <w:rPr>
          <w:noProof/>
        </w:rPr>
        <w:t>.</w:t>
      </w:r>
      <w:r w:rsidRPr="00C3707B">
        <w:rPr>
          <w:noProof/>
        </w:rPr>
        <w:tab/>
        <w:t>De door de Commissie geboden facilitering is beperkt in de tijd en eindigt uiterlijk bij de ondertekening van de opdracht door de deelnemende aanbestedende diensten.</w:t>
      </w:r>
    </w:p>
    <w:p w14:paraId="017A62D7" w14:textId="77777777" w:rsidR="00917777" w:rsidRPr="00C3707B" w:rsidRDefault="00405E27" w:rsidP="00917777">
      <w:pPr>
        <w:pStyle w:val="Point0"/>
        <w:rPr>
          <w:rFonts w:eastAsia="Times New Roman"/>
          <w:noProof/>
        </w:rPr>
      </w:pPr>
      <w:r w:rsidRPr="00160A33">
        <w:rPr>
          <w:noProof/>
        </w:rPr>
        <w:t>7</w:t>
      </w:r>
      <w:r w:rsidRPr="00C3707B">
        <w:rPr>
          <w:noProof/>
        </w:rPr>
        <w:t>.</w:t>
      </w:r>
      <w:r w:rsidRPr="00C3707B">
        <w:rPr>
          <w:noProof/>
        </w:rPr>
        <w:tab/>
        <w:t>De Commissie is niet verantwoordelijk of aansprakelijk voor eventuele inbreuken op Unie- of nationale aanbestedingswetgeving door de deelnemende aanbestedende diensten. De Commissie is geenszins aansprakelijk voor de uitvoering van de aanbestedingsprocedure door de geïnteresseerde lidstaten of van de uit de procedure voortvloeiende opdracht.</w:t>
      </w:r>
    </w:p>
    <w:p w14:paraId="4F2E8129" w14:textId="77777777" w:rsidR="00917777" w:rsidRPr="00C3707B" w:rsidRDefault="00917777" w:rsidP="00917777">
      <w:pPr>
        <w:pStyle w:val="Titrearticle"/>
        <w:rPr>
          <w:noProof/>
        </w:rPr>
      </w:pPr>
      <w:r w:rsidRPr="00C3707B">
        <w:rPr>
          <w:noProof/>
        </w:rPr>
        <w:t>Artikel </w:t>
      </w:r>
      <w:r w:rsidRPr="00160A33">
        <w:rPr>
          <w:noProof/>
        </w:rPr>
        <w:t>22</w:t>
      </w:r>
    </w:p>
    <w:p w14:paraId="461DDE6F" w14:textId="77777777" w:rsidR="00917777" w:rsidRPr="00C3707B" w:rsidRDefault="00917777" w:rsidP="00917777">
      <w:pPr>
        <w:jc w:val="center"/>
        <w:rPr>
          <w:i/>
          <w:noProof/>
        </w:rPr>
      </w:pPr>
      <w:r w:rsidRPr="00C3707B">
        <w:rPr>
          <w:i/>
          <w:noProof/>
        </w:rPr>
        <w:t>Aanbesteding door de Commissie in naam of voor rekening van de lidstaten</w:t>
      </w:r>
    </w:p>
    <w:p w14:paraId="02EB13C8" w14:textId="77777777" w:rsidR="00917777" w:rsidRPr="00C3707B" w:rsidRDefault="00917777" w:rsidP="00917777">
      <w:pPr>
        <w:pStyle w:val="Point0"/>
        <w:rPr>
          <w:rFonts w:eastAsia="Times New Roman"/>
          <w:noProof/>
        </w:rPr>
      </w:pPr>
      <w:r w:rsidRPr="00160A33">
        <w:rPr>
          <w:noProof/>
        </w:rPr>
        <w:t>1</w:t>
      </w:r>
      <w:r w:rsidRPr="00C3707B">
        <w:rPr>
          <w:noProof/>
        </w:rPr>
        <w:t>.</w:t>
      </w:r>
      <w:r w:rsidRPr="00C3707B">
        <w:rPr>
          <w:noProof/>
        </w:rPr>
        <w:tab/>
        <w:t>In afwijking van artikel </w:t>
      </w:r>
      <w:r w:rsidRPr="00160A33">
        <w:rPr>
          <w:noProof/>
        </w:rPr>
        <w:t>168</w:t>
      </w:r>
      <w:r w:rsidRPr="00C3707B">
        <w:rPr>
          <w:noProof/>
        </w:rPr>
        <w:t>, lid </w:t>
      </w:r>
      <w:r w:rsidRPr="00160A33">
        <w:rPr>
          <w:noProof/>
        </w:rPr>
        <w:t>3</w:t>
      </w:r>
      <w:r w:rsidRPr="00C3707B">
        <w:rPr>
          <w:noProof/>
        </w:rPr>
        <w:t xml:space="preserve">, van Verordening (EU, Euratom) </w:t>
      </w:r>
      <w:r w:rsidRPr="00160A33">
        <w:rPr>
          <w:noProof/>
        </w:rPr>
        <w:t>2024</w:t>
      </w:r>
      <w:r w:rsidRPr="00C3707B">
        <w:rPr>
          <w:noProof/>
        </w:rPr>
        <w:t>/</w:t>
      </w:r>
      <w:r w:rsidRPr="00160A33">
        <w:rPr>
          <w:noProof/>
        </w:rPr>
        <w:t>2509</w:t>
      </w:r>
      <w:r w:rsidRPr="00C3707B">
        <w:rPr>
          <w:noProof/>
        </w:rPr>
        <w:t xml:space="preserve"> kan de Commissie, indien negen of meer lidstaten haar gezamenlijk verzoeken in hun naam of voor hun rekening aan te besteden, onder de voorwaarden van dit artikel een aanbestedingsprocedure starten, indien de aanbesteding betrekking heeft op geneesmiddelen die tot een van de volgende categorieën behoren:</w:t>
      </w:r>
    </w:p>
    <w:p w14:paraId="08040C9A" w14:textId="77777777" w:rsidR="008D53D5" w:rsidRDefault="00917777" w:rsidP="00917777">
      <w:pPr>
        <w:pStyle w:val="Point1"/>
        <w:rPr>
          <w:noProof/>
        </w:rPr>
      </w:pPr>
      <w:r w:rsidRPr="00C3707B">
        <w:rPr>
          <w:noProof/>
        </w:rPr>
        <w:t>a)</w:t>
      </w:r>
      <w:r w:rsidRPr="00C3707B">
        <w:rPr>
          <w:noProof/>
        </w:rPr>
        <w:tab/>
        <w:t>kritieke geneesmiddelen waarvoor bij een kwetsbaarheidsbeoordeling een kwetsbaarheid in de toeleveringsketens is vastgesteld of waarvoor de stuurgroep tekorten aan geneesmiddelen een gemeenschappelijk aanbestedingsinitiatief heeft aanbevolen;</w:t>
      </w:r>
    </w:p>
    <w:p w14:paraId="5331F6D8" w14:textId="4F764A0F" w:rsidR="00917777" w:rsidRPr="00C3707B" w:rsidRDefault="00917777" w:rsidP="00917777">
      <w:pPr>
        <w:pStyle w:val="Point1"/>
        <w:rPr>
          <w:rFonts w:eastAsia="Times New Roman"/>
          <w:noProof/>
        </w:rPr>
      </w:pPr>
      <w:r w:rsidRPr="00C3707B">
        <w:rPr>
          <w:noProof/>
        </w:rPr>
        <w:t>b)</w:t>
      </w:r>
      <w:r w:rsidRPr="00C3707B">
        <w:rPr>
          <w:noProof/>
        </w:rPr>
        <w:tab/>
        <w:t>geneesmiddelen van gemeenschappelijk belang waarvoor overeenkomstig artikel </w:t>
      </w:r>
      <w:r w:rsidRPr="00160A33">
        <w:rPr>
          <w:noProof/>
        </w:rPr>
        <w:t>12</w:t>
      </w:r>
      <w:r w:rsidRPr="00C3707B">
        <w:rPr>
          <w:noProof/>
        </w:rPr>
        <w:t>, lid </w:t>
      </w:r>
      <w:r w:rsidRPr="00160A33">
        <w:rPr>
          <w:noProof/>
        </w:rPr>
        <w:t>4</w:t>
      </w:r>
      <w:r w:rsidRPr="00C3707B">
        <w:rPr>
          <w:noProof/>
        </w:rPr>
        <w:t xml:space="preserve">, van Verordening (EU) </w:t>
      </w:r>
      <w:r w:rsidRPr="00160A33">
        <w:rPr>
          <w:noProof/>
        </w:rPr>
        <w:t>2021</w:t>
      </w:r>
      <w:r w:rsidRPr="00C3707B">
        <w:rPr>
          <w:noProof/>
        </w:rPr>
        <w:t>/</w:t>
      </w:r>
      <w:r w:rsidRPr="00160A33">
        <w:rPr>
          <w:noProof/>
        </w:rPr>
        <w:t>2282</w:t>
      </w:r>
      <w:r w:rsidRPr="00C3707B">
        <w:rPr>
          <w:noProof/>
        </w:rPr>
        <w:t xml:space="preserve"> van het Europees Parlement en de Raad</w:t>
      </w:r>
      <w:r w:rsidRPr="00C3707B">
        <w:rPr>
          <w:rStyle w:val="FootnoteReference"/>
          <w:noProof/>
        </w:rPr>
        <w:footnoteReference w:id="94"/>
      </w:r>
      <w:r w:rsidRPr="00C3707B">
        <w:rPr>
          <w:noProof/>
        </w:rPr>
        <w:t xml:space="preserve"> een gezamenlijk klinisch evaluatieverslag is uitgebracht of die een klinische evaluatie hebben ondergaan in het kader van de vrijwillige samenwerking tussen lidstaten als bedoeld in artikel </w:t>
      </w:r>
      <w:r w:rsidRPr="00160A33">
        <w:rPr>
          <w:noProof/>
        </w:rPr>
        <w:t>23</w:t>
      </w:r>
      <w:r w:rsidRPr="00C3707B">
        <w:rPr>
          <w:noProof/>
        </w:rPr>
        <w:t>, lid </w:t>
      </w:r>
      <w:r w:rsidRPr="00160A33">
        <w:rPr>
          <w:noProof/>
        </w:rPr>
        <w:t>1</w:t>
      </w:r>
      <w:r w:rsidRPr="00C3707B">
        <w:rPr>
          <w:noProof/>
        </w:rPr>
        <w:t>, punt e), van die verordening.</w:t>
      </w:r>
    </w:p>
    <w:p w14:paraId="013A08B9" w14:textId="77777777" w:rsidR="008D53D5" w:rsidRDefault="00917777" w:rsidP="00917777">
      <w:pPr>
        <w:pStyle w:val="Point0"/>
        <w:rPr>
          <w:noProof/>
        </w:rPr>
      </w:pPr>
      <w:r w:rsidRPr="00160A33">
        <w:rPr>
          <w:noProof/>
        </w:rPr>
        <w:t>2</w:t>
      </w:r>
      <w:r w:rsidRPr="00C3707B">
        <w:rPr>
          <w:noProof/>
        </w:rPr>
        <w:t>.</w:t>
      </w:r>
      <w:r w:rsidRPr="00C3707B">
        <w:rPr>
          <w:noProof/>
        </w:rPr>
        <w:tab/>
        <w:t>Het in lid </w:t>
      </w:r>
      <w:r w:rsidRPr="00160A33">
        <w:rPr>
          <w:noProof/>
        </w:rPr>
        <w:t>1</w:t>
      </w:r>
      <w:r w:rsidRPr="00C3707B">
        <w:rPr>
          <w:noProof/>
        </w:rPr>
        <w:t xml:space="preserve"> bedoelde gezamenlijke verzoek wordt alleen gedaan indien het desbetreffende geneesmiddel aan een van de criteria van dat lid voldoet en indien de aanbestedingsprocedure waar om wordt verzocht, bijdraagt tot de verbetering van de voorzieningszekerheid en de beschikbaarheid van kritieke geneesmiddelen in de Unie of tot het waarborgen van de beschikbaarheid en toegankelijkheid van geneesmiddelen van gemeenschappelijk belang, naargelang het geval.</w:t>
      </w:r>
    </w:p>
    <w:p w14:paraId="3F11925A" w14:textId="77777777" w:rsidR="008D53D5" w:rsidRDefault="00917777" w:rsidP="00917777">
      <w:pPr>
        <w:pStyle w:val="Point0"/>
        <w:rPr>
          <w:noProof/>
        </w:rPr>
      </w:pPr>
      <w:r w:rsidRPr="00160A33">
        <w:rPr>
          <w:noProof/>
        </w:rPr>
        <w:t>3</w:t>
      </w:r>
      <w:r w:rsidRPr="00C3707B">
        <w:rPr>
          <w:noProof/>
        </w:rPr>
        <w:t>.</w:t>
      </w:r>
      <w:r w:rsidRPr="00C3707B">
        <w:rPr>
          <w:noProof/>
        </w:rPr>
        <w:tab/>
        <w:t>Deelname aan de aanbestedingsprocedure staat open voor alle lidstaten. De Commissie stelt alle lidstaten via de groep kritieke geneesmiddelen in kennis van het verzoek en nodigt hen uit zich bij de procedure aan te sluiten.</w:t>
      </w:r>
    </w:p>
    <w:p w14:paraId="126C3C4A" w14:textId="2A6D52E3" w:rsidR="00917777" w:rsidRPr="00C3707B" w:rsidRDefault="00917777" w:rsidP="00917777">
      <w:pPr>
        <w:pStyle w:val="Point0"/>
        <w:rPr>
          <w:rFonts w:eastAsia="Times New Roman"/>
          <w:noProof/>
        </w:rPr>
      </w:pPr>
      <w:r w:rsidRPr="00160A33">
        <w:rPr>
          <w:noProof/>
        </w:rPr>
        <w:t>4</w:t>
      </w:r>
      <w:r w:rsidRPr="00C3707B">
        <w:rPr>
          <w:noProof/>
        </w:rPr>
        <w:t>.</w:t>
      </w:r>
      <w:r w:rsidRPr="00C3707B">
        <w:rPr>
          <w:noProof/>
        </w:rPr>
        <w:tab/>
        <w:t>De Commissie beoordeelt het nut, de noodzaak en de evenredigheid van het verzoek en beoordeelt of het verzoek gerechtvaardigd is gezien de doelstellingen van deze verordening. De Commissie gaat met name na of de aanbesteding discriminatie, beperking van het handelsverkeer of verstoring van de mededinging zou kunnen inhouden.</w:t>
      </w:r>
    </w:p>
    <w:p w14:paraId="5D518F04" w14:textId="77777777" w:rsidR="00917777" w:rsidRPr="00C3707B" w:rsidRDefault="00917777" w:rsidP="00917777">
      <w:pPr>
        <w:pStyle w:val="Point0"/>
        <w:rPr>
          <w:noProof/>
        </w:rPr>
      </w:pPr>
      <w:r w:rsidRPr="00160A33">
        <w:rPr>
          <w:noProof/>
        </w:rPr>
        <w:t>5</w:t>
      </w:r>
      <w:r w:rsidRPr="00C3707B">
        <w:rPr>
          <w:noProof/>
        </w:rPr>
        <w:t>.</w:t>
      </w:r>
      <w:r w:rsidRPr="00C3707B">
        <w:rPr>
          <w:noProof/>
        </w:rPr>
        <w:tab/>
        <w:t>De Commissie stelt de geïnteresseerde lidstaten binnen een maand in kennis van haar besluit en motiveert haar besluit in geval van een afwijzing.</w:t>
      </w:r>
    </w:p>
    <w:p w14:paraId="47475256" w14:textId="77777777" w:rsidR="008D53D5" w:rsidRDefault="00917777" w:rsidP="00917777">
      <w:pPr>
        <w:pStyle w:val="Point0"/>
        <w:rPr>
          <w:noProof/>
        </w:rPr>
      </w:pPr>
      <w:r w:rsidRPr="00160A33">
        <w:rPr>
          <w:noProof/>
        </w:rPr>
        <w:t>6</w:t>
      </w:r>
      <w:r w:rsidRPr="00C3707B">
        <w:rPr>
          <w:noProof/>
        </w:rPr>
        <w:t>.</w:t>
      </w:r>
      <w:r w:rsidRPr="00C3707B">
        <w:rPr>
          <w:noProof/>
        </w:rPr>
        <w:tab/>
        <w:t>Indien het gezien de beoordeling van de Commissie voor de verwezenlijking van de doelstellingen van deze verordening nodig is de aanbesteding uitsluitend voor de lidstaten uit te voeren of verplichte minimumhoeveelheden overeen te komen, kan de instemming van de Commissie om de procedure uit te voeren, ervan afhankelijk worden gesteld dat de geïnteresseerde lidstaten deze voorwaarden aanvaarden.</w:t>
      </w:r>
    </w:p>
    <w:p w14:paraId="1484E556" w14:textId="77777777" w:rsidR="008D53D5" w:rsidRDefault="00917777" w:rsidP="00917777">
      <w:pPr>
        <w:pStyle w:val="Point0"/>
        <w:rPr>
          <w:noProof/>
        </w:rPr>
      </w:pPr>
      <w:r w:rsidRPr="00160A33">
        <w:rPr>
          <w:noProof/>
        </w:rPr>
        <w:t>7</w:t>
      </w:r>
      <w:r w:rsidRPr="00C3707B">
        <w:rPr>
          <w:noProof/>
        </w:rPr>
        <w:t>.</w:t>
      </w:r>
      <w:r w:rsidRPr="00C3707B">
        <w:rPr>
          <w:noProof/>
        </w:rPr>
        <w:tab/>
        <w:t>Met uitzondering van de afwijkingen waarin deze verordening voorziet, wordt de in dit artikel bedoelde aanbesteding uitgevoerd in overeenstemming met artikel </w:t>
      </w:r>
      <w:r w:rsidRPr="00160A33">
        <w:rPr>
          <w:noProof/>
        </w:rPr>
        <w:t>168</w:t>
      </w:r>
      <w:r w:rsidRPr="00C3707B">
        <w:rPr>
          <w:noProof/>
        </w:rPr>
        <w:t>, lid </w:t>
      </w:r>
      <w:r w:rsidRPr="00160A33">
        <w:rPr>
          <w:noProof/>
        </w:rPr>
        <w:t>3</w:t>
      </w:r>
      <w:r w:rsidRPr="00C3707B">
        <w:rPr>
          <w:noProof/>
        </w:rPr>
        <w:t xml:space="preserve">, van Verordening (EU) </w:t>
      </w:r>
      <w:r w:rsidRPr="00160A33">
        <w:rPr>
          <w:noProof/>
        </w:rPr>
        <w:t>2024</w:t>
      </w:r>
      <w:r w:rsidRPr="00C3707B">
        <w:rPr>
          <w:noProof/>
        </w:rPr>
        <w:t>/</w:t>
      </w:r>
      <w:r w:rsidRPr="00160A33">
        <w:rPr>
          <w:noProof/>
        </w:rPr>
        <w:t>2509</w:t>
      </w:r>
      <w:r w:rsidRPr="00C3707B">
        <w:rPr>
          <w:rStyle w:val="FootnoteReference"/>
          <w:noProof/>
        </w:rPr>
        <w:footnoteReference w:id="95"/>
      </w:r>
      <w:r w:rsidRPr="00C3707B">
        <w:rPr>
          <w:noProof/>
        </w:rPr>
        <w:t>.</w:t>
      </w:r>
    </w:p>
    <w:p w14:paraId="60DA5786" w14:textId="162E97DE" w:rsidR="00917777" w:rsidRPr="00C3707B" w:rsidRDefault="00917777" w:rsidP="00917777">
      <w:pPr>
        <w:pStyle w:val="Titrearticle"/>
        <w:rPr>
          <w:noProof/>
        </w:rPr>
      </w:pPr>
      <w:r w:rsidRPr="00C3707B">
        <w:rPr>
          <w:noProof/>
        </w:rPr>
        <w:t>Artikel </w:t>
      </w:r>
      <w:r w:rsidRPr="00160A33">
        <w:rPr>
          <w:noProof/>
        </w:rPr>
        <w:t>23</w:t>
      </w:r>
    </w:p>
    <w:p w14:paraId="335CA1A6" w14:textId="77777777" w:rsidR="00917777" w:rsidRPr="00C3707B" w:rsidRDefault="00917777" w:rsidP="00917777">
      <w:pPr>
        <w:jc w:val="center"/>
        <w:rPr>
          <w:i/>
          <w:noProof/>
        </w:rPr>
      </w:pPr>
      <w:r w:rsidRPr="00C3707B">
        <w:rPr>
          <w:i/>
          <w:noProof/>
        </w:rPr>
        <w:t>Gezamenlijke aanbesteding</w:t>
      </w:r>
    </w:p>
    <w:p w14:paraId="03B21B59" w14:textId="77777777" w:rsidR="00917777" w:rsidRPr="00C3707B" w:rsidRDefault="00917777" w:rsidP="00917777">
      <w:pPr>
        <w:pStyle w:val="Point0"/>
        <w:rPr>
          <w:rFonts w:eastAsia="Times New Roman"/>
          <w:noProof/>
        </w:rPr>
      </w:pPr>
      <w:r w:rsidRPr="00160A33">
        <w:rPr>
          <w:noProof/>
        </w:rPr>
        <w:t>1</w:t>
      </w:r>
      <w:r w:rsidRPr="00C3707B">
        <w:rPr>
          <w:noProof/>
        </w:rPr>
        <w:t>.</w:t>
      </w:r>
      <w:r w:rsidRPr="00C3707B">
        <w:rPr>
          <w:noProof/>
        </w:rPr>
        <w:tab/>
        <w:t>Onder de in dit artikel vastgestelde voorwaarden, in afwijking van artikel </w:t>
      </w:r>
      <w:r w:rsidRPr="00160A33">
        <w:rPr>
          <w:noProof/>
        </w:rPr>
        <w:t>168</w:t>
      </w:r>
      <w:r w:rsidRPr="00C3707B">
        <w:rPr>
          <w:noProof/>
        </w:rPr>
        <w:t>, lid </w:t>
      </w:r>
      <w:r w:rsidRPr="00160A33">
        <w:rPr>
          <w:noProof/>
        </w:rPr>
        <w:t>2</w:t>
      </w:r>
      <w:r w:rsidRPr="00C3707B">
        <w:rPr>
          <w:noProof/>
        </w:rPr>
        <w:t xml:space="preserve">, van Verordening (EU, Euratom) </w:t>
      </w:r>
      <w:r w:rsidRPr="00160A33">
        <w:rPr>
          <w:noProof/>
        </w:rPr>
        <w:t>2024</w:t>
      </w:r>
      <w:r w:rsidRPr="00C3707B">
        <w:rPr>
          <w:noProof/>
        </w:rPr>
        <w:t>/</w:t>
      </w:r>
      <w:r w:rsidRPr="00160A33">
        <w:rPr>
          <w:noProof/>
        </w:rPr>
        <w:t>2509</w:t>
      </w:r>
      <w:r w:rsidRPr="00C3707B">
        <w:rPr>
          <w:noProof/>
        </w:rPr>
        <w:t xml:space="preserve"> en indien voor de uitvoering van een gezamenlijke actie van de Commissie en de lidstaten een overeenkomst nodig is, kunnen de Commissie en ten minste negen lidstaten als contracterende partijen deelnemen aan een gezamenlijke aanbestedingsprocedure.</w:t>
      </w:r>
    </w:p>
    <w:p w14:paraId="62CFE817" w14:textId="77777777"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Op verzoek van de lidstaten of op initiatief van de Commissie kan een gezamenlijke aanbestedingsprocedure worden georganiseerd indien de aanbesteding betrekking heeft op geneesmiddelen die tot een van de volgende categorieën behoren:</w:t>
      </w:r>
    </w:p>
    <w:p w14:paraId="53B3746E" w14:textId="77777777" w:rsidR="008D53D5" w:rsidRDefault="00917777" w:rsidP="00917777">
      <w:pPr>
        <w:pStyle w:val="Point1"/>
        <w:rPr>
          <w:noProof/>
        </w:rPr>
      </w:pPr>
      <w:r w:rsidRPr="00C3707B">
        <w:rPr>
          <w:noProof/>
        </w:rPr>
        <w:t>a)</w:t>
      </w:r>
      <w:r w:rsidRPr="00C3707B">
        <w:rPr>
          <w:noProof/>
        </w:rPr>
        <w:tab/>
        <w:t>kritieke geneesmiddelen waarvoor bij een kwetsbaarheidsbeoordeling een kwetsbaarheid in de toeleveringsketens is vastgesteld of waarvoor de stuurgroep tekorten aan geneesmiddelen een gemeenschappelijk aanbestedingsinitiatief heeft aanbevolen;</w:t>
      </w:r>
    </w:p>
    <w:p w14:paraId="0BA3FC1A" w14:textId="495EC4DF" w:rsidR="00917777" w:rsidRPr="00C3707B" w:rsidRDefault="00917777" w:rsidP="00917777">
      <w:pPr>
        <w:pStyle w:val="Point1"/>
        <w:rPr>
          <w:rFonts w:eastAsia="Times New Roman"/>
          <w:noProof/>
        </w:rPr>
      </w:pPr>
      <w:r w:rsidRPr="00C3707B">
        <w:rPr>
          <w:noProof/>
        </w:rPr>
        <w:t>b)</w:t>
      </w:r>
      <w:r w:rsidRPr="00C3707B">
        <w:rPr>
          <w:noProof/>
        </w:rPr>
        <w:tab/>
        <w:t>geneesmiddelen van gemeenschappelijk belang waarvoor overeenkomstig artikel </w:t>
      </w:r>
      <w:r w:rsidRPr="00160A33">
        <w:rPr>
          <w:noProof/>
        </w:rPr>
        <w:t>12</w:t>
      </w:r>
      <w:r w:rsidRPr="00C3707B">
        <w:rPr>
          <w:noProof/>
        </w:rPr>
        <w:t>, lid </w:t>
      </w:r>
      <w:r w:rsidRPr="00160A33">
        <w:rPr>
          <w:noProof/>
        </w:rPr>
        <w:t>4</w:t>
      </w:r>
      <w:r w:rsidRPr="00C3707B">
        <w:rPr>
          <w:noProof/>
        </w:rPr>
        <w:t xml:space="preserve">, van Verordening (EU) </w:t>
      </w:r>
      <w:r w:rsidRPr="00160A33">
        <w:rPr>
          <w:noProof/>
        </w:rPr>
        <w:t>2021</w:t>
      </w:r>
      <w:r w:rsidRPr="00C3707B">
        <w:rPr>
          <w:noProof/>
        </w:rPr>
        <w:t>/</w:t>
      </w:r>
      <w:r w:rsidRPr="00160A33">
        <w:rPr>
          <w:noProof/>
        </w:rPr>
        <w:t>2282</w:t>
      </w:r>
      <w:r w:rsidRPr="00C3707B">
        <w:rPr>
          <w:noProof/>
        </w:rPr>
        <w:t xml:space="preserve"> van het Europees Parlement en de Raad</w:t>
      </w:r>
      <w:r w:rsidRPr="00C3707B">
        <w:rPr>
          <w:rStyle w:val="FootnoteReference"/>
          <w:noProof/>
        </w:rPr>
        <w:footnoteReference w:id="96"/>
      </w:r>
      <w:r w:rsidRPr="00C3707B">
        <w:rPr>
          <w:noProof/>
        </w:rPr>
        <w:t xml:space="preserve"> een gezamenlijk klinisch evaluatieverslag is uitgebracht of die een klinische evaluatie hebben ondergaan in het kader van de vrijwillige samenwerking tussen lidstaten als bedoeld in artikel </w:t>
      </w:r>
      <w:r w:rsidRPr="00160A33">
        <w:rPr>
          <w:noProof/>
        </w:rPr>
        <w:t>23</w:t>
      </w:r>
      <w:r w:rsidRPr="00C3707B">
        <w:rPr>
          <w:noProof/>
        </w:rPr>
        <w:t>, lid </w:t>
      </w:r>
      <w:r w:rsidRPr="00160A33">
        <w:rPr>
          <w:noProof/>
        </w:rPr>
        <w:t>1</w:t>
      </w:r>
      <w:r w:rsidRPr="00C3707B">
        <w:rPr>
          <w:noProof/>
        </w:rPr>
        <w:t>, punt e), van die verordening.</w:t>
      </w:r>
    </w:p>
    <w:p w14:paraId="2D0B1902" w14:textId="77777777" w:rsidR="00917777" w:rsidRPr="00C3707B" w:rsidRDefault="00917777" w:rsidP="00917777">
      <w:pPr>
        <w:pStyle w:val="Point0"/>
        <w:rPr>
          <w:noProof/>
        </w:rPr>
      </w:pPr>
      <w:r w:rsidRPr="00160A33">
        <w:rPr>
          <w:noProof/>
        </w:rPr>
        <w:t>3</w:t>
      </w:r>
      <w:r w:rsidRPr="00C3707B">
        <w:rPr>
          <w:noProof/>
        </w:rPr>
        <w:t>.</w:t>
      </w:r>
      <w:r w:rsidRPr="00C3707B">
        <w:rPr>
          <w:noProof/>
        </w:rPr>
        <w:tab/>
        <w:t>De Commissie kan besluiten de gezamenlijke aanbestedingsprocedure uit te voeren indien de aanbestedingsprocedure bijdraagt tot de verbetering van de voorzieningszekerheid en de beschikbaarheid van kritieke geneesmiddelen in de Unie of tot het waarborgen van de beschikbaarheid en toegankelijkheid van geneesmiddelen van gemeenschappelijk belang, naargelang het geval.</w:t>
      </w:r>
    </w:p>
    <w:p w14:paraId="1062FA7E" w14:textId="77777777" w:rsidR="008D53D5" w:rsidRDefault="00917777" w:rsidP="00917777">
      <w:pPr>
        <w:pStyle w:val="Point0"/>
        <w:rPr>
          <w:noProof/>
        </w:rPr>
      </w:pPr>
      <w:r w:rsidRPr="00160A33">
        <w:rPr>
          <w:noProof/>
        </w:rPr>
        <w:t>4</w:t>
      </w:r>
      <w:r w:rsidRPr="00C3707B">
        <w:rPr>
          <w:noProof/>
        </w:rPr>
        <w:t>.</w:t>
      </w:r>
      <w:r w:rsidRPr="00C3707B">
        <w:rPr>
          <w:noProof/>
        </w:rPr>
        <w:tab/>
        <w:t>Deelname aan de aanbestedingsprocedure staat open voor alle lidstaten. De Commissie stelt alle lidstaten via de groep kritieke geneesmiddelen in kennis van het verzoek en nodigt hen uit zich bij de procedure aan te sluiten.</w:t>
      </w:r>
    </w:p>
    <w:p w14:paraId="1CA80BE8" w14:textId="77777777" w:rsidR="008D53D5" w:rsidRDefault="00917777" w:rsidP="00917777">
      <w:pPr>
        <w:pStyle w:val="Point0"/>
        <w:rPr>
          <w:noProof/>
        </w:rPr>
      </w:pPr>
      <w:r w:rsidRPr="00160A33">
        <w:rPr>
          <w:noProof/>
        </w:rPr>
        <w:t>5</w:t>
      </w:r>
      <w:r w:rsidRPr="00C3707B">
        <w:rPr>
          <w:noProof/>
        </w:rPr>
        <w:t>.</w:t>
      </w:r>
      <w:r w:rsidRPr="00C3707B">
        <w:rPr>
          <w:noProof/>
        </w:rPr>
        <w:tab/>
        <w:t>De Commissie beoordeelt de noodzaak van een gezamenlijke actie en beoordeelt of het verzoek gerechtvaardigd is gezien de doelstellingen van deze verordening. De Commissie gaat met name na of de aanbesteding discriminatie, beperking van het handelsverkeer of verstoring van de mededinging zou kunnen inhouden.</w:t>
      </w:r>
    </w:p>
    <w:p w14:paraId="4E04AC6C" w14:textId="77777777" w:rsidR="008D53D5" w:rsidRDefault="00917777" w:rsidP="00917777">
      <w:pPr>
        <w:pStyle w:val="Point0"/>
        <w:rPr>
          <w:noProof/>
        </w:rPr>
      </w:pPr>
      <w:r w:rsidRPr="00160A33">
        <w:rPr>
          <w:noProof/>
        </w:rPr>
        <w:t>6</w:t>
      </w:r>
      <w:r w:rsidRPr="00C3707B">
        <w:rPr>
          <w:noProof/>
        </w:rPr>
        <w:t>.</w:t>
      </w:r>
      <w:r w:rsidRPr="00C3707B">
        <w:rPr>
          <w:noProof/>
        </w:rPr>
        <w:tab/>
        <w:t>Indien het gezien de beoordeling van de Commissie voor de verwezenlijking van de doelstellingen van deze verordening nodig is de aanbesteding uitsluitend voor de lidstaten uit te voeren of verplichte minimumhoeveelheden overeen te komen, kan de instemming van de Commissie om de procedure uit te voeren, ervan afhankelijk worden gesteld dat de geïnteresseerde lidstaten deze voorwaarden aanvaarden.</w:t>
      </w:r>
    </w:p>
    <w:p w14:paraId="77E2A3B2" w14:textId="75DD8358" w:rsidR="009F2CDA" w:rsidRPr="00C3707B" w:rsidRDefault="009F2CDA" w:rsidP="00917777">
      <w:pPr>
        <w:pStyle w:val="Point0"/>
        <w:rPr>
          <w:rFonts w:eastAsia="Times New Roman"/>
          <w:noProof/>
        </w:rPr>
      </w:pPr>
      <w:r w:rsidRPr="00160A33">
        <w:rPr>
          <w:noProof/>
        </w:rPr>
        <w:t>7</w:t>
      </w:r>
      <w:r w:rsidRPr="00C3707B">
        <w:rPr>
          <w:noProof/>
        </w:rPr>
        <w:t>.</w:t>
      </w:r>
      <w:r w:rsidRPr="00C3707B">
        <w:rPr>
          <w:noProof/>
        </w:rPr>
        <w:tab/>
        <w:t>De Commissie stelt de geïnteresseerde lidstaten binnen een maand in kennis van haar besluit en motiveert haar besluit in geval van een afwijzing.</w:t>
      </w:r>
    </w:p>
    <w:p w14:paraId="07CF5B0A" w14:textId="77777777" w:rsidR="00D62518" w:rsidRDefault="009F2CDA" w:rsidP="00917777">
      <w:pPr>
        <w:pStyle w:val="Point0"/>
        <w:rPr>
          <w:noProof/>
        </w:rPr>
      </w:pPr>
      <w:r w:rsidRPr="00160A33">
        <w:rPr>
          <w:noProof/>
        </w:rPr>
        <w:t>8</w:t>
      </w:r>
      <w:r w:rsidRPr="00C3707B">
        <w:rPr>
          <w:noProof/>
        </w:rPr>
        <w:t>.</w:t>
      </w:r>
      <w:r w:rsidRPr="00C3707B">
        <w:rPr>
          <w:noProof/>
        </w:rPr>
        <w:tab/>
        <w:t>Met uitzondering van de afwijkingen waarin deze verordening voorziet, voert de Commissie de gezamenlijke aanbesteding uit in overeenstemming met artikel </w:t>
      </w:r>
      <w:r w:rsidRPr="00160A33">
        <w:rPr>
          <w:noProof/>
        </w:rPr>
        <w:t>168</w:t>
      </w:r>
      <w:r w:rsidRPr="00C3707B">
        <w:rPr>
          <w:noProof/>
        </w:rPr>
        <w:t>, lid </w:t>
      </w:r>
      <w:r w:rsidRPr="00160A33">
        <w:rPr>
          <w:noProof/>
        </w:rPr>
        <w:t>2</w:t>
      </w:r>
      <w:r w:rsidRPr="00C3707B">
        <w:rPr>
          <w:noProof/>
        </w:rPr>
        <w:t xml:space="preserve">, van Verordening (EU) </w:t>
      </w:r>
      <w:r w:rsidRPr="00160A33">
        <w:rPr>
          <w:noProof/>
        </w:rPr>
        <w:t>2024</w:t>
      </w:r>
      <w:r w:rsidRPr="00C3707B">
        <w:rPr>
          <w:noProof/>
        </w:rPr>
        <w:t>/</w:t>
      </w:r>
      <w:r w:rsidRPr="00160A33">
        <w:rPr>
          <w:noProof/>
        </w:rPr>
        <w:t>2509</w:t>
      </w:r>
      <w:r w:rsidRPr="00C3707B">
        <w:rPr>
          <w:noProof/>
        </w:rPr>
        <w:t>.</w:t>
      </w:r>
    </w:p>
    <w:p w14:paraId="6CA20ACE" w14:textId="35F80B1E" w:rsidR="00917777" w:rsidRPr="00C3707B" w:rsidRDefault="00917777" w:rsidP="00917777">
      <w:pPr>
        <w:pStyle w:val="Titrearticle"/>
        <w:rPr>
          <w:rFonts w:eastAsia="Times New Roman"/>
          <w:noProof/>
        </w:rPr>
      </w:pPr>
      <w:r w:rsidRPr="00C3707B">
        <w:rPr>
          <w:noProof/>
        </w:rPr>
        <w:t>Artikel </w:t>
      </w:r>
      <w:r w:rsidRPr="00160A33">
        <w:rPr>
          <w:noProof/>
        </w:rPr>
        <w:t>24</w:t>
      </w:r>
    </w:p>
    <w:p w14:paraId="1F8581DD" w14:textId="77777777" w:rsidR="00917777" w:rsidRPr="00C3707B" w:rsidRDefault="00917777" w:rsidP="00917777">
      <w:pPr>
        <w:jc w:val="center"/>
        <w:rPr>
          <w:i/>
          <w:noProof/>
        </w:rPr>
      </w:pPr>
      <w:r w:rsidRPr="00C3707B">
        <w:rPr>
          <w:i/>
          <w:noProof/>
        </w:rPr>
        <w:t>Overeenkomst betreffende de procedures uit hoofde van de artikelen </w:t>
      </w:r>
      <w:r w:rsidRPr="00160A33">
        <w:rPr>
          <w:i/>
          <w:noProof/>
        </w:rPr>
        <w:t>22</w:t>
      </w:r>
      <w:r w:rsidRPr="00C3707B">
        <w:rPr>
          <w:i/>
          <w:noProof/>
        </w:rPr>
        <w:t xml:space="preserve"> en </w:t>
      </w:r>
      <w:r w:rsidRPr="00160A33">
        <w:rPr>
          <w:i/>
          <w:noProof/>
        </w:rPr>
        <w:t>23</w:t>
      </w:r>
    </w:p>
    <w:p w14:paraId="5FD3CD08" w14:textId="77777777" w:rsidR="00917777" w:rsidRPr="00C3707B" w:rsidRDefault="00917777" w:rsidP="00917777">
      <w:pPr>
        <w:pStyle w:val="Point0"/>
        <w:rPr>
          <w:rFonts w:eastAsia="Times New Roman"/>
          <w:noProof/>
        </w:rPr>
      </w:pPr>
      <w:r w:rsidRPr="00160A33">
        <w:rPr>
          <w:noProof/>
        </w:rPr>
        <w:t>1</w:t>
      </w:r>
      <w:r w:rsidRPr="00C3707B">
        <w:rPr>
          <w:noProof/>
        </w:rPr>
        <w:t>.</w:t>
      </w:r>
      <w:r w:rsidRPr="00C3707B">
        <w:rPr>
          <w:noProof/>
        </w:rPr>
        <w:tab/>
        <w:t>Lidstaten die deelnemen aan de aanbestedingsprocedures die onder de artikelen </w:t>
      </w:r>
      <w:r w:rsidRPr="00160A33">
        <w:rPr>
          <w:noProof/>
        </w:rPr>
        <w:t>22</w:t>
      </w:r>
      <w:r w:rsidRPr="00C3707B">
        <w:rPr>
          <w:noProof/>
        </w:rPr>
        <w:t xml:space="preserve"> en </w:t>
      </w:r>
      <w:r w:rsidRPr="00160A33">
        <w:rPr>
          <w:noProof/>
        </w:rPr>
        <w:t>23</w:t>
      </w:r>
      <w:r w:rsidRPr="00C3707B">
        <w:rPr>
          <w:noProof/>
        </w:rPr>
        <w:t xml:space="preserve"> vallen, delen alle informatie die relevant is voor de aanbestedingsprocedure met de Commissie. De lidstaten voorzien in de nodige middelen voor de succesvolle afronding van de procedure, met name door de betrokkenheid van personeel met deskundigheid en kennis.</w:t>
      </w:r>
    </w:p>
    <w:p w14:paraId="26842C76" w14:textId="77777777" w:rsidR="00D62518" w:rsidRDefault="00917777" w:rsidP="00917777">
      <w:pPr>
        <w:pStyle w:val="Point0"/>
        <w:rPr>
          <w:noProof/>
        </w:rPr>
      </w:pPr>
      <w:r w:rsidRPr="00160A33">
        <w:rPr>
          <w:noProof/>
        </w:rPr>
        <w:t>2</w:t>
      </w:r>
      <w:r w:rsidRPr="00C3707B">
        <w:rPr>
          <w:noProof/>
        </w:rPr>
        <w:t>.</w:t>
      </w:r>
      <w:r w:rsidRPr="00C3707B">
        <w:rPr>
          <w:noProof/>
        </w:rPr>
        <w:tab/>
        <w:t>De praktische regelingen voor de aanbestedingsprocedure, de aangegane verantwoordelijkheden en het besluitvormingsproces worden vastgesteld in een overeenkomst tussen de lidstaten en de Commissie.</w:t>
      </w:r>
    </w:p>
    <w:p w14:paraId="1EACFF3D" w14:textId="77777777" w:rsidR="00D62518" w:rsidRDefault="00917777" w:rsidP="00917777">
      <w:pPr>
        <w:pStyle w:val="ChapterTitle"/>
        <w:rPr>
          <w:noProof/>
        </w:rPr>
      </w:pPr>
      <w:r w:rsidRPr="00C3707B">
        <w:rPr>
          <w:noProof/>
        </w:rPr>
        <w:t xml:space="preserve">Hoofdstuk V </w:t>
      </w:r>
      <w:r w:rsidRPr="00C3707B">
        <w:rPr>
          <w:noProof/>
        </w:rPr>
        <w:br/>
        <w:t>Coördinatiegroep kritieke geneesmiddelen</w:t>
      </w:r>
    </w:p>
    <w:p w14:paraId="7F2A51F8" w14:textId="37AA6337" w:rsidR="00917777" w:rsidRPr="00C3707B" w:rsidRDefault="00917777" w:rsidP="00917777">
      <w:pPr>
        <w:pStyle w:val="Titrearticle"/>
        <w:rPr>
          <w:noProof/>
        </w:rPr>
      </w:pPr>
      <w:r w:rsidRPr="00C3707B">
        <w:rPr>
          <w:noProof/>
        </w:rPr>
        <w:t>Artikel </w:t>
      </w:r>
      <w:r w:rsidRPr="00160A33">
        <w:rPr>
          <w:noProof/>
        </w:rPr>
        <w:t>25</w:t>
      </w:r>
    </w:p>
    <w:p w14:paraId="159789D0" w14:textId="77777777" w:rsidR="00917777" w:rsidRPr="00C3707B" w:rsidRDefault="00917777" w:rsidP="00917777">
      <w:pPr>
        <w:jc w:val="center"/>
        <w:rPr>
          <w:i/>
          <w:noProof/>
        </w:rPr>
      </w:pPr>
      <w:r w:rsidRPr="00C3707B">
        <w:rPr>
          <w:i/>
          <w:noProof/>
        </w:rPr>
        <w:t>Oprichting van de coördinatiegroep kritieke geneesmiddelen</w:t>
      </w:r>
    </w:p>
    <w:p w14:paraId="3F1E3080" w14:textId="77777777" w:rsidR="00D62518" w:rsidRDefault="00917777" w:rsidP="005D0E22">
      <w:pPr>
        <w:pStyle w:val="Point0"/>
        <w:rPr>
          <w:noProof/>
        </w:rPr>
      </w:pPr>
      <w:r w:rsidRPr="00160A33">
        <w:rPr>
          <w:noProof/>
        </w:rPr>
        <w:t>1</w:t>
      </w:r>
      <w:r w:rsidRPr="00C3707B">
        <w:rPr>
          <w:noProof/>
        </w:rPr>
        <w:t>.</w:t>
      </w:r>
      <w:r w:rsidRPr="00C3707B">
        <w:rPr>
          <w:noProof/>
        </w:rPr>
        <w:tab/>
        <w:t>Hierbij wordt een coördinatiegroep kritieke geneesmiddelen (“de groep kritieke geneesmiddelen”) opgericht.</w:t>
      </w:r>
    </w:p>
    <w:p w14:paraId="5D27C943" w14:textId="77777777" w:rsidR="00D62518" w:rsidRDefault="00917777" w:rsidP="005D0E22">
      <w:pPr>
        <w:pStyle w:val="Point0"/>
        <w:rPr>
          <w:noProof/>
        </w:rPr>
      </w:pPr>
      <w:r w:rsidRPr="00160A33">
        <w:rPr>
          <w:noProof/>
        </w:rPr>
        <w:t>2</w:t>
      </w:r>
      <w:r w:rsidRPr="00C3707B">
        <w:rPr>
          <w:noProof/>
        </w:rPr>
        <w:t>.</w:t>
      </w:r>
      <w:r w:rsidRPr="00C3707B">
        <w:rPr>
          <w:noProof/>
        </w:rPr>
        <w:tab/>
        <w:t>De leden van de groep kritieke geneesmiddelen zijn de lidstaten en de Commissie. Elk lid benoemt maximaal twee permanente vertegenwoordigers op hoog niveau, die beschikken over de deskundigheid die relevant is voor de uitvoering van de verschillende bij deze verordening vastgestelde maatregelen. Indien dat relevant is voor de functie en deskundigheid, kunnen de lidstaten verschillende vertegenwoordigers aanwijzen voor verschillende taken van de groep kritieke geneesmiddelen. De aangestelde permanente vertegenwoordigers zorgen voor de nodige coördinatie binnen hun respectieve lidstaat. Het Bureau heeft de status van waarnemer.</w:t>
      </w:r>
    </w:p>
    <w:p w14:paraId="544E4AD4" w14:textId="77777777" w:rsidR="00D62518" w:rsidRDefault="00917777" w:rsidP="005D0E22">
      <w:pPr>
        <w:pStyle w:val="Point0"/>
        <w:rPr>
          <w:noProof/>
        </w:rPr>
      </w:pPr>
      <w:r w:rsidRPr="00160A33">
        <w:rPr>
          <w:noProof/>
        </w:rPr>
        <w:t>3</w:t>
      </w:r>
      <w:r w:rsidRPr="00C3707B">
        <w:rPr>
          <w:noProof/>
        </w:rPr>
        <w:t>.</w:t>
      </w:r>
      <w:r w:rsidRPr="00C3707B">
        <w:rPr>
          <w:noProof/>
        </w:rPr>
        <w:tab/>
        <w:t>De groep kritieke geneesmiddelen werkt nauw samen met de stuurgroep tekorten aan geneesmiddelen, het Bureau en de nationale autoriteiten die verantwoordelijk zijn voor geneesmiddelen. Voor besprekingen waarvoor inbreng vanuit het perspectief van de geneesmiddelenautoriteiten nodig is, kan de groep kritieke geneesmiddelen gezamenlijke vergaderingen met de stuurgroep tekorten aan geneesmiddelen organiseren.</w:t>
      </w:r>
    </w:p>
    <w:p w14:paraId="48B10945" w14:textId="5A60F2C5" w:rsidR="00917777" w:rsidRPr="00C3707B" w:rsidRDefault="00917777" w:rsidP="005D0E22">
      <w:pPr>
        <w:pStyle w:val="Point0"/>
        <w:rPr>
          <w:rFonts w:eastAsia="Times New Roman"/>
          <w:noProof/>
        </w:rPr>
      </w:pPr>
      <w:r w:rsidRPr="00160A33">
        <w:rPr>
          <w:noProof/>
        </w:rPr>
        <w:t>4</w:t>
      </w:r>
      <w:r w:rsidRPr="00C3707B">
        <w:rPr>
          <w:noProof/>
        </w:rPr>
        <w:t>.</w:t>
      </w:r>
      <w:r w:rsidRPr="00C3707B">
        <w:rPr>
          <w:noProof/>
        </w:rPr>
        <w:tab/>
        <w:t>De Commissie organiseert en coördineert de werkzaamheden van de groep kritieke geneesmiddelen via het secretariaat.</w:t>
      </w:r>
    </w:p>
    <w:p w14:paraId="4F4FD374" w14:textId="77777777" w:rsidR="00D62518" w:rsidRDefault="00917777" w:rsidP="005D0E22">
      <w:pPr>
        <w:pStyle w:val="Point0"/>
        <w:rPr>
          <w:noProof/>
        </w:rPr>
      </w:pPr>
      <w:r w:rsidRPr="00160A33">
        <w:rPr>
          <w:noProof/>
        </w:rPr>
        <w:t>5</w:t>
      </w:r>
      <w:r w:rsidRPr="00C3707B">
        <w:rPr>
          <w:noProof/>
        </w:rPr>
        <w:t>.</w:t>
      </w:r>
      <w:r w:rsidRPr="00C3707B">
        <w:rPr>
          <w:noProof/>
        </w:rPr>
        <w:tab/>
        <w:t>Een vertegenwoordiger van de Commissie zit de vergaderingen van de groep kritieke geneesmiddelen voor.</w:t>
      </w:r>
    </w:p>
    <w:p w14:paraId="6172562D" w14:textId="5A9989FF" w:rsidR="00917777" w:rsidRPr="00C3707B" w:rsidRDefault="00917777" w:rsidP="005D0E22">
      <w:pPr>
        <w:pStyle w:val="Point0"/>
        <w:rPr>
          <w:rFonts w:eastAsia="Times New Roman"/>
          <w:noProof/>
        </w:rPr>
      </w:pPr>
      <w:r w:rsidRPr="00160A33">
        <w:rPr>
          <w:noProof/>
        </w:rPr>
        <w:t>6</w:t>
      </w:r>
      <w:r w:rsidRPr="00C3707B">
        <w:rPr>
          <w:noProof/>
        </w:rPr>
        <w:t>.</w:t>
      </w:r>
      <w:r w:rsidRPr="00C3707B">
        <w:rPr>
          <w:noProof/>
        </w:rPr>
        <w:tab/>
        <w:t>De groep kritieke geneesmiddelen kan op voorstel van de voorzitter of een lid besluiten een werkgroep op te richten.</w:t>
      </w:r>
    </w:p>
    <w:p w14:paraId="7A60E35F" w14:textId="77777777" w:rsidR="00917777" w:rsidRPr="00C3707B" w:rsidRDefault="00917777" w:rsidP="005D0E22">
      <w:pPr>
        <w:pStyle w:val="Point0"/>
        <w:rPr>
          <w:rFonts w:eastAsia="Times New Roman"/>
          <w:noProof/>
        </w:rPr>
      </w:pPr>
      <w:r w:rsidRPr="00160A33">
        <w:rPr>
          <w:noProof/>
        </w:rPr>
        <w:t>7</w:t>
      </w:r>
      <w:r w:rsidRPr="00C3707B">
        <w:rPr>
          <w:noProof/>
        </w:rPr>
        <w:t>.</w:t>
      </w:r>
      <w:r w:rsidRPr="00C3707B">
        <w:rPr>
          <w:noProof/>
        </w:rPr>
        <w:tab/>
        <w:t>De groep kritieke geneesmiddelen stelt alles in het werk om waar mogelijk tot een consensus te komen. Leden met afwijkende standpunten kunnen verzoeken om hun standpunten en de onderbouwing daarvan in het standpunt van de groep kritieke geneesmiddelen op te laten nemen.</w:t>
      </w:r>
    </w:p>
    <w:p w14:paraId="71FFAA58" w14:textId="77777777" w:rsidR="00917777" w:rsidRPr="00C3707B" w:rsidRDefault="00917777" w:rsidP="00917777">
      <w:pPr>
        <w:pStyle w:val="Titrearticle"/>
        <w:rPr>
          <w:noProof/>
        </w:rPr>
      </w:pPr>
      <w:r w:rsidRPr="00C3707B">
        <w:rPr>
          <w:noProof/>
        </w:rPr>
        <w:t>Artikel </w:t>
      </w:r>
      <w:r w:rsidRPr="00160A33">
        <w:rPr>
          <w:noProof/>
        </w:rPr>
        <w:t>26</w:t>
      </w:r>
    </w:p>
    <w:p w14:paraId="7836F577" w14:textId="77777777" w:rsidR="00917777" w:rsidRPr="00C3707B" w:rsidRDefault="00917777" w:rsidP="00917777">
      <w:pPr>
        <w:jc w:val="center"/>
        <w:rPr>
          <w:noProof/>
        </w:rPr>
      </w:pPr>
      <w:r w:rsidRPr="00C3707B">
        <w:rPr>
          <w:i/>
          <w:noProof/>
        </w:rPr>
        <w:t>Taken van de coördinatiegroep kritieke geneesmiddelen</w:t>
      </w:r>
    </w:p>
    <w:p w14:paraId="12B7109E" w14:textId="77777777" w:rsidR="00D62518" w:rsidRDefault="00917777" w:rsidP="00917777">
      <w:pPr>
        <w:pStyle w:val="Point0"/>
        <w:rPr>
          <w:noProof/>
        </w:rPr>
      </w:pPr>
      <w:r w:rsidRPr="00160A33">
        <w:rPr>
          <w:noProof/>
        </w:rPr>
        <w:t>1</w:t>
      </w:r>
      <w:r w:rsidRPr="00C3707B">
        <w:rPr>
          <w:noProof/>
        </w:rPr>
        <w:t>.</w:t>
      </w:r>
      <w:r w:rsidRPr="00C3707B">
        <w:rPr>
          <w:noProof/>
        </w:rPr>
        <w:tab/>
        <w:t>De groep kritieke geneesmiddelen faciliteert de coördinatie bij de uitvoering van deze verordening en verstrekt, waar dat passend is, advies aan de Commissie om het effect van de beoogde maatregelen te maximaliseren en om onbedoelde gevolgen voor de interne markt te voorkomen.</w:t>
      </w:r>
    </w:p>
    <w:p w14:paraId="48B4408E" w14:textId="446FDE7C" w:rsidR="00917777" w:rsidRPr="00C3707B" w:rsidRDefault="00917777" w:rsidP="00917777">
      <w:pPr>
        <w:pStyle w:val="Point0"/>
        <w:rPr>
          <w:rFonts w:eastAsia="Times New Roman"/>
          <w:noProof/>
        </w:rPr>
      </w:pPr>
      <w:r w:rsidRPr="00160A33">
        <w:rPr>
          <w:noProof/>
        </w:rPr>
        <w:t>2</w:t>
      </w:r>
      <w:r w:rsidRPr="00C3707B">
        <w:rPr>
          <w:noProof/>
        </w:rPr>
        <w:t>.</w:t>
      </w:r>
      <w:r w:rsidRPr="00C3707B">
        <w:rPr>
          <w:noProof/>
        </w:rPr>
        <w:tab/>
        <w:t>Om de in lid </w:t>
      </w:r>
      <w:r w:rsidRPr="00160A33">
        <w:rPr>
          <w:noProof/>
        </w:rPr>
        <w:t>1</w:t>
      </w:r>
      <w:r w:rsidRPr="00C3707B">
        <w:rPr>
          <w:noProof/>
        </w:rPr>
        <w:t xml:space="preserve"> genoemde doelstellingen te verwezenlijken, verricht de groep kritieke geneesmiddelen de volgende taken:</w:t>
      </w:r>
    </w:p>
    <w:p w14:paraId="461D6938" w14:textId="77777777" w:rsidR="00917777" w:rsidRPr="00C3707B" w:rsidRDefault="00917777" w:rsidP="00917777">
      <w:pPr>
        <w:pStyle w:val="Point1"/>
        <w:rPr>
          <w:noProof/>
        </w:rPr>
      </w:pPr>
      <w:r w:rsidRPr="00C3707B">
        <w:rPr>
          <w:noProof/>
        </w:rPr>
        <w:t>a)</w:t>
      </w:r>
      <w:r w:rsidRPr="00C3707B">
        <w:rPr>
          <w:noProof/>
        </w:rPr>
        <w:tab/>
        <w:t>het faciliteren van de coördinatie betreffende de strategische oriëntatie van de financiële steun voor strategische projecten, onder meer door informatie uit te wisselen over de bestaande of geplande productiecapaciteit voor een bepaald kritiek geneesmiddel in de lidstaten, en het faciliteren van de besprekingen over de capaciteit die in de Unie nodig is om haar voorzieningszekerheid en de beschikbaarheid van kritieke geneesmiddelen in de Unie te vergroten;</w:t>
      </w:r>
    </w:p>
    <w:p w14:paraId="715A56D1" w14:textId="77777777" w:rsidR="00917777" w:rsidRPr="00C3707B" w:rsidRDefault="00917777" w:rsidP="00917777">
      <w:pPr>
        <w:pStyle w:val="Point1"/>
        <w:rPr>
          <w:rFonts w:eastAsia="Times New Roman"/>
          <w:noProof/>
        </w:rPr>
      </w:pPr>
      <w:r w:rsidRPr="00C3707B">
        <w:rPr>
          <w:noProof/>
        </w:rPr>
        <w:t>b)</w:t>
      </w:r>
      <w:r w:rsidRPr="00C3707B">
        <w:rPr>
          <w:noProof/>
        </w:rPr>
        <w:tab/>
        <w:t>het faciliteren van uitwisselingen over de in artikel </w:t>
      </w:r>
      <w:r w:rsidRPr="00160A33">
        <w:rPr>
          <w:noProof/>
        </w:rPr>
        <w:t>19</w:t>
      </w:r>
      <w:r w:rsidRPr="00C3707B">
        <w:rPr>
          <w:noProof/>
        </w:rPr>
        <w:t xml:space="preserve"> bedoelde nationale programma’s en het mogelijk maken van samenwerking op het gebied van en coördinatie van het beleid van de lidstaten met betrekking tot openbare aanbesteding van kritieke geneesmiddelen;</w:t>
      </w:r>
    </w:p>
    <w:p w14:paraId="31C18916" w14:textId="77777777" w:rsidR="00917777" w:rsidRPr="00C3707B" w:rsidRDefault="00917777" w:rsidP="00917777">
      <w:pPr>
        <w:pStyle w:val="Point1"/>
        <w:rPr>
          <w:rFonts w:eastAsia="Times New Roman"/>
          <w:noProof/>
        </w:rPr>
      </w:pPr>
      <w:r w:rsidRPr="00C3707B">
        <w:rPr>
          <w:noProof/>
        </w:rPr>
        <w:t>c)</w:t>
      </w:r>
      <w:r w:rsidRPr="00C3707B">
        <w:rPr>
          <w:noProof/>
        </w:rPr>
        <w:tab/>
        <w:t>het faciliteren van besprekingen over de noodzaak van een collectief aanbestedingsinitiatief voor een bepaald geneesmiddel;</w:t>
      </w:r>
    </w:p>
    <w:p w14:paraId="28AEF657" w14:textId="77777777" w:rsidR="00D62518" w:rsidRDefault="00917777" w:rsidP="00917777">
      <w:pPr>
        <w:pStyle w:val="Point1"/>
        <w:rPr>
          <w:noProof/>
        </w:rPr>
      </w:pPr>
      <w:r w:rsidRPr="00C3707B">
        <w:rPr>
          <w:noProof/>
        </w:rPr>
        <w:t>d)</w:t>
      </w:r>
      <w:r w:rsidRPr="00C3707B">
        <w:rPr>
          <w:noProof/>
        </w:rPr>
        <w:tab/>
        <w:t>het verstrekken van advies aan de stuurgroep tekorten aan geneesmiddelen bij het vaststellen van de volgorde van prioriteit voor de kwetsbaarheidsbeoordeling van kritieke geneesmiddelen, en waar nodig het voorstellen van herziening of actualisering van bestaande beoordelingen.</w:t>
      </w:r>
    </w:p>
    <w:p w14:paraId="6D43BCFD" w14:textId="77777777" w:rsidR="00D62518" w:rsidRDefault="00917777" w:rsidP="00917777">
      <w:pPr>
        <w:pStyle w:val="Point0"/>
        <w:rPr>
          <w:noProof/>
        </w:rPr>
      </w:pPr>
      <w:r w:rsidRPr="00160A33">
        <w:rPr>
          <w:noProof/>
        </w:rPr>
        <w:t>3</w:t>
      </w:r>
      <w:r w:rsidRPr="00C3707B">
        <w:rPr>
          <w:noProof/>
        </w:rPr>
        <w:t>.</w:t>
      </w:r>
      <w:r w:rsidRPr="00C3707B">
        <w:rPr>
          <w:noProof/>
        </w:rPr>
        <w:tab/>
        <w:t>De groep kritieke geneesmiddelen maakt de in artikel </w:t>
      </w:r>
      <w:r w:rsidRPr="00160A33">
        <w:rPr>
          <w:noProof/>
        </w:rPr>
        <w:t>17</w:t>
      </w:r>
      <w:r w:rsidRPr="00C3707B">
        <w:rPr>
          <w:noProof/>
        </w:rPr>
        <w:t xml:space="preserve"> bedoelde uitwisseling van informatie tussen de lidstaten en de Commissie mogelijk, en indien nodig de coördinatie van de respectieve acties om de doelstellingen van deze verordening te verwezenlijken.</w:t>
      </w:r>
    </w:p>
    <w:p w14:paraId="16FCB9B0" w14:textId="77777777" w:rsidR="00D62518" w:rsidRDefault="00917777" w:rsidP="00917777">
      <w:pPr>
        <w:pStyle w:val="Point0"/>
        <w:rPr>
          <w:noProof/>
        </w:rPr>
      </w:pPr>
      <w:r w:rsidRPr="00160A33">
        <w:rPr>
          <w:noProof/>
        </w:rPr>
        <w:t>4</w:t>
      </w:r>
      <w:r w:rsidRPr="00C3707B">
        <w:rPr>
          <w:noProof/>
        </w:rPr>
        <w:t>.</w:t>
      </w:r>
      <w:r w:rsidRPr="00C3707B">
        <w:rPr>
          <w:noProof/>
        </w:rPr>
        <w:tab/>
        <w:t>De groep kritieke geneesmiddelen bespreekt periodiek de mogelijke bijdrage van strategische partnerschappen aan de doelstellingen van deze verordening, de prioritering van derde landen voor dat doel, en de samenhang en mogelijke synergieën tussen de samenwerking van de lidstaten met derde landen en de door de Unie uitgevoerde acties.</w:t>
      </w:r>
    </w:p>
    <w:p w14:paraId="61357C3B" w14:textId="5AB6197D" w:rsidR="00917777" w:rsidRPr="00C3707B" w:rsidRDefault="00917777" w:rsidP="00917777">
      <w:pPr>
        <w:pStyle w:val="Point0"/>
        <w:rPr>
          <w:rFonts w:eastAsia="Times New Roman"/>
          <w:noProof/>
        </w:rPr>
      </w:pPr>
      <w:r w:rsidRPr="00160A33">
        <w:rPr>
          <w:noProof/>
        </w:rPr>
        <w:t>5</w:t>
      </w:r>
      <w:r w:rsidRPr="00C3707B">
        <w:rPr>
          <w:noProof/>
        </w:rPr>
        <w:t>.</w:t>
      </w:r>
      <w:r w:rsidRPr="00C3707B">
        <w:rPr>
          <w:noProof/>
        </w:rPr>
        <w:tab/>
        <w:t>Op verzoek van de Commissie kan de groep kritieke geneesmiddelen advies uitbrengen over aangelegenheden die verband houden met de toepassing van deze verordening in het kader van de uitvoering van de in dit artikel genoemde taken.</w:t>
      </w:r>
    </w:p>
    <w:p w14:paraId="6E50AE99" w14:textId="77777777" w:rsidR="00D62518" w:rsidRDefault="00917777" w:rsidP="00917777">
      <w:pPr>
        <w:pStyle w:val="ChapterTitle"/>
        <w:rPr>
          <w:noProof/>
        </w:rPr>
      </w:pPr>
      <w:r w:rsidRPr="00C3707B">
        <w:rPr>
          <w:noProof/>
        </w:rPr>
        <w:t xml:space="preserve">Hoofdstuk VI </w:t>
      </w:r>
      <w:r w:rsidRPr="00C3707B">
        <w:rPr>
          <w:noProof/>
        </w:rPr>
        <w:br/>
        <w:t>Internationale samenwerking</w:t>
      </w:r>
    </w:p>
    <w:p w14:paraId="726AC0B2" w14:textId="786C5047" w:rsidR="00917777" w:rsidRPr="00C3707B" w:rsidRDefault="00917777" w:rsidP="00917777">
      <w:pPr>
        <w:pStyle w:val="Titrearticle"/>
        <w:rPr>
          <w:noProof/>
        </w:rPr>
      </w:pPr>
      <w:r w:rsidRPr="00C3707B">
        <w:rPr>
          <w:noProof/>
        </w:rPr>
        <w:t>Artikel </w:t>
      </w:r>
      <w:r w:rsidRPr="00160A33">
        <w:rPr>
          <w:noProof/>
        </w:rPr>
        <w:t>27</w:t>
      </w:r>
    </w:p>
    <w:p w14:paraId="046F647A" w14:textId="77777777" w:rsidR="00917777" w:rsidRPr="00C3707B" w:rsidRDefault="00917777" w:rsidP="00917777">
      <w:pPr>
        <w:jc w:val="center"/>
        <w:rPr>
          <w:i/>
          <w:noProof/>
        </w:rPr>
      </w:pPr>
      <w:r w:rsidRPr="00C3707B">
        <w:rPr>
          <w:i/>
          <w:noProof/>
        </w:rPr>
        <w:t>Strategische partnerschappen</w:t>
      </w:r>
    </w:p>
    <w:p w14:paraId="406E60E1" w14:textId="77777777" w:rsidR="00917777" w:rsidRPr="00C3707B" w:rsidRDefault="00917777" w:rsidP="00B0454E">
      <w:pPr>
        <w:rPr>
          <w:rFonts w:eastAsia="Times New Roman"/>
          <w:noProof/>
        </w:rPr>
      </w:pPr>
      <w:r w:rsidRPr="00C3707B">
        <w:rPr>
          <w:noProof/>
        </w:rPr>
        <w:t xml:space="preserve">Onverminderd de prerogatieven van de Raad, onderzoekt de Commissie de mogelijkheden om strategische partnerschappen aan te gaan om de verkrijging van kritieke geneesmiddelen en de werkzame stoffen en belangrijke inputs daarvan te diversifiëren om zo de voorzieningszekerheid van kritieke geneesmiddelen in de Unie te vergroten. </w:t>
      </w:r>
      <w:r w:rsidRPr="00C3707B">
        <w:rPr>
          <w:rStyle w:val="normaltextrun"/>
          <w:noProof/>
          <w:shd w:val="clear" w:color="auto" w:fill="FFFFFF"/>
        </w:rPr>
        <w:t>De Commissie onderzoekt ook de mogelijkheid om waar mogelijk voort te bouwen op bestaande vormen van samenwerking om de voorzieningszekerheid te ondersteunen en de inspanningen ter versterking van de productie van kritieke geneesmiddelen in de Unie op te voeren.</w:t>
      </w:r>
    </w:p>
    <w:p w14:paraId="19451F1F" w14:textId="77777777" w:rsidR="00917777" w:rsidRPr="00C3707B" w:rsidRDefault="00917777" w:rsidP="00917777">
      <w:pPr>
        <w:pStyle w:val="ChapterTitle"/>
        <w:rPr>
          <w:noProof/>
        </w:rPr>
      </w:pPr>
      <w:r w:rsidRPr="00C3707B">
        <w:rPr>
          <w:noProof/>
        </w:rPr>
        <w:t xml:space="preserve">Hoofdstuk VII </w:t>
      </w:r>
      <w:r w:rsidRPr="00C3707B">
        <w:rPr>
          <w:noProof/>
        </w:rPr>
        <w:br/>
        <w:t xml:space="preserve">Wijziging van Verordening (EU) </w:t>
      </w:r>
      <w:r w:rsidRPr="00160A33">
        <w:rPr>
          <w:noProof/>
        </w:rPr>
        <w:t>2024</w:t>
      </w:r>
      <w:r w:rsidRPr="00C3707B">
        <w:rPr>
          <w:noProof/>
        </w:rPr>
        <w:t>/</w:t>
      </w:r>
      <w:r w:rsidRPr="00160A33">
        <w:rPr>
          <w:noProof/>
        </w:rPr>
        <w:t>795</w:t>
      </w:r>
    </w:p>
    <w:p w14:paraId="0BC798D2" w14:textId="77777777" w:rsidR="00917777" w:rsidRPr="00C3707B" w:rsidRDefault="00917777" w:rsidP="00B0454E">
      <w:pPr>
        <w:pStyle w:val="Titrearticle"/>
        <w:rPr>
          <w:rFonts w:eastAsia="Times New Roman"/>
          <w:noProof/>
        </w:rPr>
      </w:pPr>
      <w:r w:rsidRPr="00C3707B">
        <w:rPr>
          <w:noProof/>
        </w:rPr>
        <w:t>Artikel </w:t>
      </w:r>
      <w:r w:rsidRPr="00160A33">
        <w:rPr>
          <w:noProof/>
        </w:rPr>
        <w:t>28</w:t>
      </w:r>
    </w:p>
    <w:p w14:paraId="033E5861" w14:textId="77777777" w:rsidR="00917777" w:rsidRPr="00C3707B" w:rsidRDefault="00917777" w:rsidP="00B0454E">
      <w:pPr>
        <w:rPr>
          <w:rFonts w:eastAsia="Times New Roman"/>
          <w:noProof/>
        </w:rPr>
      </w:pPr>
      <w:r w:rsidRPr="00C3707B">
        <w:rPr>
          <w:noProof/>
        </w:rPr>
        <w:t xml:space="preserve">Verordening (EU) </w:t>
      </w:r>
      <w:r w:rsidRPr="00160A33">
        <w:rPr>
          <w:noProof/>
        </w:rPr>
        <w:t>2024</w:t>
      </w:r>
      <w:r w:rsidRPr="00C3707B">
        <w:rPr>
          <w:noProof/>
        </w:rPr>
        <w:t>/</w:t>
      </w:r>
      <w:r w:rsidRPr="00160A33">
        <w:rPr>
          <w:noProof/>
        </w:rPr>
        <w:t>795</w:t>
      </w:r>
      <w:r w:rsidRPr="00C3707B">
        <w:rPr>
          <w:noProof/>
        </w:rPr>
        <w:t xml:space="preserve"> wordt als volgt gewijzigd:</w:t>
      </w:r>
    </w:p>
    <w:p w14:paraId="09D13B89" w14:textId="77777777" w:rsidR="00917777" w:rsidRPr="00C3707B" w:rsidRDefault="00917777" w:rsidP="00917777">
      <w:pPr>
        <w:pStyle w:val="Point1"/>
        <w:rPr>
          <w:noProof/>
        </w:rPr>
      </w:pPr>
      <w:r w:rsidRPr="00C3707B">
        <w:rPr>
          <w:noProof/>
        </w:rPr>
        <w:t>a)</w:t>
      </w:r>
      <w:r w:rsidRPr="00C3707B">
        <w:rPr>
          <w:noProof/>
        </w:rPr>
        <w:tab/>
        <w:t>In artikel </w:t>
      </w:r>
      <w:r w:rsidRPr="00160A33">
        <w:rPr>
          <w:noProof/>
        </w:rPr>
        <w:t>2</w:t>
      </w:r>
      <w:r w:rsidRPr="00C3707B">
        <w:rPr>
          <w:noProof/>
        </w:rPr>
        <w:t>, lid </w:t>
      </w:r>
      <w:r w:rsidRPr="00160A33">
        <w:rPr>
          <w:noProof/>
        </w:rPr>
        <w:t>1</w:t>
      </w:r>
      <w:r w:rsidRPr="00C3707B">
        <w:rPr>
          <w:noProof/>
        </w:rPr>
        <w:t>, punt a), wordt punt iii) vervangen door:</w:t>
      </w:r>
    </w:p>
    <w:p w14:paraId="3AE5B663" w14:textId="77777777" w:rsidR="00917777" w:rsidRPr="00C3707B" w:rsidRDefault="00917777" w:rsidP="00917777">
      <w:pPr>
        <w:pStyle w:val="Point2"/>
        <w:rPr>
          <w:noProof/>
        </w:rPr>
      </w:pPr>
      <w:r w:rsidRPr="00C3707B">
        <w:rPr>
          <w:noProof/>
        </w:rPr>
        <w:t>“iii)</w:t>
      </w:r>
      <w:r w:rsidRPr="00C3707B">
        <w:rPr>
          <w:noProof/>
        </w:rPr>
        <w:tab/>
        <w:t>biotechnologie en andere technologieën die relevant zijn voor de vervaardiging van kritieke geneesmiddelen zoals gedefinieerd in de verordening kritieke geneesmiddelen*;</w:t>
      </w:r>
    </w:p>
    <w:p w14:paraId="1992C69B" w14:textId="77777777" w:rsidR="00917777" w:rsidRPr="00C3707B" w:rsidRDefault="00917777" w:rsidP="00917777">
      <w:pPr>
        <w:pStyle w:val="Point2"/>
        <w:rPr>
          <w:noProof/>
        </w:rPr>
      </w:pPr>
      <w:r w:rsidRPr="00C3707B">
        <w:rPr>
          <w:noProof/>
        </w:rPr>
        <w:t>_________</w:t>
      </w:r>
    </w:p>
    <w:p w14:paraId="2ED9D9EA" w14:textId="77777777" w:rsidR="00917777" w:rsidRPr="00C3707B" w:rsidRDefault="00917777" w:rsidP="00917777">
      <w:pPr>
        <w:pStyle w:val="Point2"/>
        <w:rPr>
          <w:noProof/>
        </w:rPr>
      </w:pPr>
      <w:r w:rsidRPr="00C3707B">
        <w:rPr>
          <w:noProof/>
        </w:rPr>
        <w:t>*</w:t>
      </w:r>
      <w:r w:rsidRPr="00C3707B">
        <w:rPr>
          <w:noProof/>
        </w:rPr>
        <w:tab/>
        <w:t xml:space="preserve">Verordening (EU) .../... van het Europees Parlement en de Raad tot vaststelling van een kader voor de vergroting van de beschikbaarheid en voorzieningszekerheid van kritieke geneesmiddelen, en voor verbetering van de beschikbaarheid en toegankelijkheid van geneesmiddelen van gemeenschappelijk belang, en tot wijziging van Verordening (EU) </w:t>
      </w:r>
      <w:r w:rsidRPr="00160A33">
        <w:rPr>
          <w:noProof/>
        </w:rPr>
        <w:t>2024</w:t>
      </w:r>
      <w:r w:rsidRPr="00C3707B">
        <w:rPr>
          <w:noProof/>
        </w:rPr>
        <w:t>/</w:t>
      </w:r>
      <w:r w:rsidRPr="00160A33">
        <w:rPr>
          <w:noProof/>
        </w:rPr>
        <w:t>795</w:t>
      </w:r>
      <w:r w:rsidRPr="00C3707B">
        <w:rPr>
          <w:noProof/>
        </w:rPr>
        <w:t xml:space="preserve"> [</w:t>
      </w:r>
      <w:r w:rsidRPr="00C3707B">
        <w:rPr>
          <w:i/>
          <w:noProof/>
        </w:rPr>
        <w:t>D.G.: reference to be completed with the definitive title of the ‘Critical Medicines Act’ and with its publications references once they are available</w:t>
      </w:r>
      <w:r w:rsidRPr="00C3707B">
        <w:rPr>
          <w:noProof/>
        </w:rPr>
        <w:t>]”.</w:t>
      </w:r>
    </w:p>
    <w:p w14:paraId="7689A2EC" w14:textId="77777777" w:rsidR="00917777" w:rsidRPr="00C3707B" w:rsidRDefault="00917777" w:rsidP="00917777">
      <w:pPr>
        <w:pStyle w:val="Point1"/>
        <w:rPr>
          <w:rFonts w:eastAsia="Times New Roman"/>
          <w:noProof/>
        </w:rPr>
      </w:pPr>
      <w:r w:rsidRPr="00C3707B">
        <w:rPr>
          <w:noProof/>
        </w:rPr>
        <w:t>b)</w:t>
      </w:r>
      <w:r w:rsidRPr="00C3707B">
        <w:rPr>
          <w:noProof/>
        </w:rPr>
        <w:tab/>
        <w:t>In artikel </w:t>
      </w:r>
      <w:r w:rsidRPr="00160A33">
        <w:rPr>
          <w:noProof/>
        </w:rPr>
        <w:t>2</w:t>
      </w:r>
      <w:r w:rsidRPr="00C3707B">
        <w:rPr>
          <w:noProof/>
        </w:rPr>
        <w:t>, lid </w:t>
      </w:r>
      <w:r w:rsidRPr="00160A33">
        <w:rPr>
          <w:noProof/>
        </w:rPr>
        <w:t>3</w:t>
      </w:r>
      <w:r w:rsidRPr="00C3707B">
        <w:rPr>
          <w:noProof/>
        </w:rPr>
        <w:t>, wordt de volgende alinea toegevoegd:</w:t>
      </w:r>
    </w:p>
    <w:p w14:paraId="193C2B6D" w14:textId="77777777" w:rsidR="00917777" w:rsidRPr="00C3707B" w:rsidRDefault="00917777" w:rsidP="00917777">
      <w:pPr>
        <w:pStyle w:val="Text2"/>
        <w:rPr>
          <w:noProof/>
        </w:rPr>
      </w:pPr>
      <w:r w:rsidRPr="00C3707B">
        <w:rPr>
          <w:noProof/>
        </w:rPr>
        <w:t>“In afwijking van de eerste alinea van dit lid heeft de waardeketen voor de ontwikkeling of vervaardiging van kritieke geneesmiddelen die binnen het toepassingsgebied van de [verordening kritieke geneesmiddelen] vallen, zoals bedoeld in lid </w:t>
      </w:r>
      <w:r w:rsidRPr="00160A33">
        <w:rPr>
          <w:noProof/>
        </w:rPr>
        <w:t>1</w:t>
      </w:r>
      <w:r w:rsidRPr="00C3707B">
        <w:rPr>
          <w:noProof/>
        </w:rPr>
        <w:t>, punt a), iii), van dit artikel, betrekking op afgewerkte doseringsvormen, alsook op werkzame bestanddelen voor geneesmiddelen en andere belangrijke inputs die nodig zijn voor de productie van de afgewerkte doseringsvormen van geneesmiddelen zoals gedefinieerd in die verordening.”.</w:t>
      </w:r>
    </w:p>
    <w:p w14:paraId="4A8B3AE8" w14:textId="77777777" w:rsidR="00D62518" w:rsidRDefault="00917777" w:rsidP="00917777">
      <w:pPr>
        <w:pStyle w:val="Point1"/>
        <w:rPr>
          <w:noProof/>
        </w:rPr>
      </w:pPr>
      <w:r w:rsidRPr="00C3707B">
        <w:rPr>
          <w:noProof/>
        </w:rPr>
        <w:t>c)</w:t>
      </w:r>
      <w:r w:rsidRPr="00C3707B">
        <w:rPr>
          <w:noProof/>
        </w:rPr>
        <w:tab/>
        <w:t>In artikel </w:t>
      </w:r>
      <w:r w:rsidRPr="00160A33">
        <w:rPr>
          <w:noProof/>
        </w:rPr>
        <w:t>2</w:t>
      </w:r>
      <w:r w:rsidRPr="00C3707B">
        <w:rPr>
          <w:noProof/>
        </w:rPr>
        <w:t xml:space="preserve"> wordt het volgende lid </w:t>
      </w:r>
      <w:r w:rsidRPr="00160A33">
        <w:rPr>
          <w:noProof/>
        </w:rPr>
        <w:t>8</w:t>
      </w:r>
      <w:r w:rsidRPr="00C3707B">
        <w:rPr>
          <w:noProof/>
        </w:rPr>
        <w:t xml:space="preserve"> toegevoegd:</w:t>
      </w:r>
    </w:p>
    <w:p w14:paraId="17899493" w14:textId="284718B2" w:rsidR="00917777" w:rsidRPr="00C3707B" w:rsidRDefault="00917777" w:rsidP="00917777">
      <w:pPr>
        <w:pStyle w:val="Point2"/>
        <w:rPr>
          <w:noProof/>
        </w:rPr>
      </w:pPr>
      <w:r w:rsidRPr="00C3707B">
        <w:rPr>
          <w:noProof/>
        </w:rPr>
        <w:t>“</w:t>
      </w:r>
      <w:r w:rsidRPr="00160A33">
        <w:rPr>
          <w:noProof/>
        </w:rPr>
        <w:t>8</w:t>
      </w:r>
      <w:r w:rsidRPr="00C3707B">
        <w:rPr>
          <w:noProof/>
        </w:rPr>
        <w:t>.</w:t>
      </w:r>
      <w:r w:rsidRPr="00C3707B">
        <w:rPr>
          <w:noProof/>
        </w:rPr>
        <w:tab/>
        <w:t>Overeenkomstig de [verordening kritieke geneesmiddelen] aangewezen strategische projecten waarmee een kwetsbaarheid in de toeleveringsketens van kritieke geneesmiddelen wordt aangepakt, worden geacht bij te dragen aan de in lid </w:t>
      </w:r>
      <w:r w:rsidRPr="00160A33">
        <w:rPr>
          <w:noProof/>
        </w:rPr>
        <w:t>1</w:t>
      </w:r>
      <w:r w:rsidRPr="00C3707B">
        <w:rPr>
          <w:noProof/>
        </w:rPr>
        <w:t>, punt a), iii), bedoelde STEP-doelstelling.”.</w:t>
      </w:r>
    </w:p>
    <w:p w14:paraId="24590269" w14:textId="77777777" w:rsidR="00D62518" w:rsidRDefault="00917777" w:rsidP="00917777">
      <w:pPr>
        <w:pStyle w:val="Point1"/>
        <w:rPr>
          <w:noProof/>
        </w:rPr>
      </w:pPr>
      <w:r w:rsidRPr="00C3707B">
        <w:rPr>
          <w:noProof/>
        </w:rPr>
        <w:t>d)</w:t>
      </w:r>
      <w:r w:rsidRPr="00C3707B">
        <w:rPr>
          <w:noProof/>
        </w:rPr>
        <w:tab/>
        <w:t>In artikel </w:t>
      </w:r>
      <w:r w:rsidRPr="00160A33">
        <w:rPr>
          <w:noProof/>
        </w:rPr>
        <w:t>4</w:t>
      </w:r>
      <w:r w:rsidRPr="00C3707B">
        <w:rPr>
          <w:noProof/>
        </w:rPr>
        <w:t xml:space="preserve"> wordt lid </w:t>
      </w:r>
      <w:r w:rsidRPr="00160A33">
        <w:rPr>
          <w:noProof/>
        </w:rPr>
        <w:t>7</w:t>
      </w:r>
      <w:r w:rsidRPr="00C3707B">
        <w:rPr>
          <w:noProof/>
        </w:rPr>
        <w:t xml:space="preserve"> vervangen door:</w:t>
      </w:r>
    </w:p>
    <w:p w14:paraId="18130B04" w14:textId="5A5FB2BE" w:rsidR="00917777" w:rsidRPr="00C3707B" w:rsidRDefault="00917777" w:rsidP="00917777">
      <w:pPr>
        <w:pStyle w:val="Point2"/>
        <w:rPr>
          <w:noProof/>
        </w:rPr>
      </w:pPr>
      <w:r w:rsidRPr="00C3707B">
        <w:rPr>
          <w:noProof/>
        </w:rPr>
        <w:t>“</w:t>
      </w:r>
      <w:r w:rsidRPr="00160A33">
        <w:rPr>
          <w:noProof/>
        </w:rPr>
        <w:t>7</w:t>
      </w:r>
      <w:r w:rsidRPr="00C3707B">
        <w:rPr>
          <w:noProof/>
        </w:rPr>
        <w:t>.</w:t>
      </w:r>
      <w:r w:rsidRPr="00C3707B">
        <w:rPr>
          <w:noProof/>
        </w:rPr>
        <w:tab/>
        <w:t>Strategische projecten die zijn erkend overeenkomstig de desbetreffende bepalingen van de verordening voor een nettonulindustrie, de verordening kritieke grondstoffen [en de verordening kritieke geneesmiddelen] en die binnen het toepassingsgebied van artikel </w:t>
      </w:r>
      <w:r w:rsidRPr="00160A33">
        <w:rPr>
          <w:noProof/>
        </w:rPr>
        <w:t>2</w:t>
      </w:r>
      <w:r w:rsidRPr="00C3707B">
        <w:rPr>
          <w:noProof/>
        </w:rPr>
        <w:t xml:space="preserve"> van deze verordening vallen en een bijdrage ontvangen uit hoofde van de in artikel </w:t>
      </w:r>
      <w:r w:rsidRPr="00160A33">
        <w:rPr>
          <w:noProof/>
        </w:rPr>
        <w:t>3</w:t>
      </w:r>
      <w:r w:rsidRPr="00C3707B">
        <w:rPr>
          <w:noProof/>
        </w:rPr>
        <w:t xml:space="preserve"> van deze verordening bedoelde programma’s, kunnen ook een bijdrage ontvangen uit andere programma’s van de Unie, met inbegrip van fondsen onder gedeeld beheer, op voorwaarde dat die bijdragen niet dezelfde kosten dekken. De regels van het desbetreffende programma van de Unie zijn van toepassing op de overeenkomstige bijdrage aan het strategische project. De cumulatieve financiering bedraagt niet meer dan de totale subsidiabele kosten van het strategische project. De steun uit de verschillende programma’s van de Unie kan op een pro-ratabasis worden berekend overeenkomstig de documenten waarin de steunvoorwaarden zijn vastgesteld.”.</w:t>
      </w:r>
    </w:p>
    <w:p w14:paraId="2D9A58D1" w14:textId="77777777" w:rsidR="00917777" w:rsidRPr="00C3707B" w:rsidRDefault="00917777" w:rsidP="00917777">
      <w:pPr>
        <w:pStyle w:val="Point1"/>
        <w:rPr>
          <w:noProof/>
        </w:rPr>
      </w:pPr>
      <w:r w:rsidRPr="00C3707B">
        <w:rPr>
          <w:noProof/>
        </w:rPr>
        <w:t>e)</w:t>
      </w:r>
      <w:r w:rsidRPr="00C3707B">
        <w:rPr>
          <w:noProof/>
        </w:rPr>
        <w:tab/>
        <w:t>In artikel </w:t>
      </w:r>
      <w:r w:rsidRPr="00160A33">
        <w:rPr>
          <w:noProof/>
        </w:rPr>
        <w:t>6</w:t>
      </w:r>
      <w:r w:rsidRPr="00C3707B">
        <w:rPr>
          <w:noProof/>
        </w:rPr>
        <w:t>, lid </w:t>
      </w:r>
      <w:r w:rsidRPr="00160A33">
        <w:rPr>
          <w:noProof/>
        </w:rPr>
        <w:t>1</w:t>
      </w:r>
      <w:r w:rsidRPr="00C3707B">
        <w:rPr>
          <w:noProof/>
        </w:rPr>
        <w:t>, wordt punt c) vervangen door:</w:t>
      </w:r>
    </w:p>
    <w:p w14:paraId="6C9FDB4D" w14:textId="77777777" w:rsidR="00D62518" w:rsidRDefault="00917777" w:rsidP="00917777">
      <w:pPr>
        <w:pStyle w:val="Point2"/>
        <w:rPr>
          <w:noProof/>
        </w:rPr>
      </w:pPr>
      <w:r w:rsidRPr="00C3707B">
        <w:rPr>
          <w:noProof/>
        </w:rPr>
        <w:t>“c)</w:t>
      </w:r>
      <w:r w:rsidRPr="00C3707B">
        <w:rPr>
          <w:noProof/>
        </w:rPr>
        <w:tab/>
        <w:t>details van projecten die zijn erkend als strategische projecten uit hoofde van de verordening voor een nettonulindustrie, de verordening kritieke grondstoffen en de [verordening kritieke geneesmiddelen], voor zover zij binnen het toepassingsgebied van artikel </w:t>
      </w:r>
      <w:r w:rsidRPr="00160A33">
        <w:rPr>
          <w:noProof/>
        </w:rPr>
        <w:t>2</w:t>
      </w:r>
      <w:r w:rsidRPr="00C3707B">
        <w:rPr>
          <w:noProof/>
        </w:rPr>
        <w:t xml:space="preserve"> van deze verordening vallen;”.</w:t>
      </w:r>
    </w:p>
    <w:p w14:paraId="39F28A20" w14:textId="05BE3264" w:rsidR="00917777" w:rsidRPr="00C3707B" w:rsidRDefault="00917777" w:rsidP="00917777">
      <w:pPr>
        <w:pStyle w:val="ChapterTitle"/>
        <w:rPr>
          <w:b w:val="0"/>
          <w:noProof/>
        </w:rPr>
      </w:pPr>
      <w:r w:rsidRPr="00C3707B">
        <w:rPr>
          <w:noProof/>
        </w:rPr>
        <w:t xml:space="preserve">Hoofdstuk VIII </w:t>
      </w:r>
      <w:r w:rsidRPr="00C3707B">
        <w:rPr>
          <w:noProof/>
        </w:rPr>
        <w:br/>
        <w:t>Slotbepalingen</w:t>
      </w:r>
    </w:p>
    <w:p w14:paraId="28A9C179" w14:textId="77777777" w:rsidR="00917777" w:rsidRPr="00C3707B" w:rsidRDefault="00917777" w:rsidP="00917777">
      <w:pPr>
        <w:pStyle w:val="Titrearticle"/>
        <w:rPr>
          <w:noProof/>
        </w:rPr>
      </w:pPr>
      <w:r w:rsidRPr="00C3707B">
        <w:rPr>
          <w:noProof/>
        </w:rPr>
        <w:t>Artikel </w:t>
      </w:r>
      <w:r w:rsidRPr="00160A33">
        <w:rPr>
          <w:noProof/>
        </w:rPr>
        <w:t>29</w:t>
      </w:r>
    </w:p>
    <w:p w14:paraId="136FFC40" w14:textId="77777777" w:rsidR="00917777" w:rsidRPr="00C3707B" w:rsidRDefault="00917777" w:rsidP="00B0454E">
      <w:pPr>
        <w:jc w:val="center"/>
        <w:rPr>
          <w:i/>
          <w:iCs/>
          <w:noProof/>
        </w:rPr>
      </w:pPr>
      <w:r w:rsidRPr="00C3707B">
        <w:rPr>
          <w:i/>
          <w:noProof/>
        </w:rPr>
        <w:t>Informatieverplichting voor marktdeelnemers</w:t>
      </w:r>
    </w:p>
    <w:p w14:paraId="4A2CED0E" w14:textId="77777777" w:rsidR="00917777" w:rsidRPr="00C3707B" w:rsidRDefault="00917777" w:rsidP="00B0454E">
      <w:pPr>
        <w:pStyle w:val="Point0"/>
        <w:rPr>
          <w:i/>
          <w:noProof/>
        </w:rPr>
      </w:pPr>
      <w:r w:rsidRPr="00160A33">
        <w:rPr>
          <w:noProof/>
        </w:rPr>
        <w:t>1</w:t>
      </w:r>
      <w:r w:rsidRPr="00C3707B">
        <w:rPr>
          <w:noProof/>
        </w:rPr>
        <w:t>.</w:t>
      </w:r>
      <w:r w:rsidRPr="00C3707B">
        <w:rPr>
          <w:noProof/>
        </w:rPr>
        <w:tab/>
        <w:t>Houders van vergunningen voor het in de handel brengen en andere marktdeelnemers in de voorzienings- en distributieketens van kritieke geneesmiddelen, met inbegrip van belangrijke inputs en werkzame stoffen daarvan, of van geneesmiddelen van gemeenschappelijk belang, verstrekken de Commissie of de nationale autoriteiten, naargelang het geval, op verzoek de gevraagde informatie die nodig is voor de toepassing van deze verordening.</w:t>
      </w:r>
    </w:p>
    <w:p w14:paraId="388F08B4" w14:textId="77777777" w:rsidR="0032759E" w:rsidRPr="00C3707B" w:rsidRDefault="00917777" w:rsidP="00B0454E">
      <w:pPr>
        <w:pStyle w:val="Point0"/>
        <w:rPr>
          <w:noProof/>
        </w:rPr>
      </w:pPr>
      <w:r w:rsidRPr="00160A33">
        <w:rPr>
          <w:noProof/>
        </w:rPr>
        <w:t>2</w:t>
      </w:r>
      <w:r w:rsidRPr="00C3707B">
        <w:rPr>
          <w:noProof/>
        </w:rPr>
        <w:t>.</w:t>
      </w:r>
      <w:r w:rsidRPr="00C3707B">
        <w:rPr>
          <w:noProof/>
        </w:rPr>
        <w:tab/>
        <w:t>De Commissie en de nationale autoriteiten van de lidstaten streven ernaar overlapping van de gevraagde en ingediende informatie te voorkomen.</w:t>
      </w:r>
    </w:p>
    <w:p w14:paraId="624DBA54" w14:textId="77777777" w:rsidR="00917777" w:rsidRPr="00C3707B" w:rsidRDefault="00917777" w:rsidP="00B0454E">
      <w:pPr>
        <w:pStyle w:val="Point0"/>
        <w:rPr>
          <w:noProof/>
        </w:rPr>
      </w:pPr>
      <w:r w:rsidRPr="00160A33">
        <w:rPr>
          <w:noProof/>
        </w:rPr>
        <w:t>3</w:t>
      </w:r>
      <w:r w:rsidRPr="00C3707B">
        <w:rPr>
          <w:noProof/>
        </w:rPr>
        <w:t>.</w:t>
      </w:r>
      <w:r w:rsidRPr="00C3707B">
        <w:rPr>
          <w:noProof/>
        </w:rPr>
        <w:tab/>
        <w:t>De Commissie en de nationale autoriteiten van de lidstaten beoordelen de gegrondheid van voldoende onderbouwde vertrouwelijkheidsclaims van houders van vergunningen voor het in de handel brengen en andere marktdeelnemers die op grond van lid </w:t>
      </w:r>
      <w:r w:rsidRPr="00160A33">
        <w:rPr>
          <w:noProof/>
        </w:rPr>
        <w:t>1</w:t>
      </w:r>
      <w:r w:rsidRPr="00C3707B">
        <w:rPr>
          <w:noProof/>
        </w:rPr>
        <w:t xml:space="preserve"> zijn verzocht informatie te verstrekken, en beschermen alle informatie van commercieel vertrouwelijke aard tegen ongerechtvaardigde openbaarmaking.</w:t>
      </w:r>
    </w:p>
    <w:p w14:paraId="5AF219A8" w14:textId="77777777" w:rsidR="00917777" w:rsidRPr="00C3707B" w:rsidRDefault="00917777" w:rsidP="00917777">
      <w:pPr>
        <w:pStyle w:val="Titrearticle"/>
        <w:rPr>
          <w:noProof/>
        </w:rPr>
      </w:pPr>
      <w:r w:rsidRPr="00C3707B">
        <w:rPr>
          <w:noProof/>
        </w:rPr>
        <w:t>Artikel </w:t>
      </w:r>
      <w:r w:rsidRPr="00160A33">
        <w:rPr>
          <w:noProof/>
        </w:rPr>
        <w:t>30</w:t>
      </w:r>
    </w:p>
    <w:p w14:paraId="14CF2683" w14:textId="77777777" w:rsidR="00917777" w:rsidRPr="00C3707B" w:rsidRDefault="00917777" w:rsidP="00917777">
      <w:pPr>
        <w:jc w:val="center"/>
        <w:rPr>
          <w:i/>
          <w:iCs/>
          <w:noProof/>
        </w:rPr>
      </w:pPr>
      <w:r w:rsidRPr="00C3707B">
        <w:rPr>
          <w:i/>
          <w:noProof/>
        </w:rPr>
        <w:t>Evaluatie</w:t>
      </w:r>
    </w:p>
    <w:p w14:paraId="6A053951" w14:textId="77777777" w:rsidR="00917777" w:rsidRPr="00C3707B" w:rsidRDefault="00B0454E" w:rsidP="00B0454E">
      <w:pPr>
        <w:pStyle w:val="Point0"/>
        <w:rPr>
          <w:noProof/>
        </w:rPr>
      </w:pPr>
      <w:r w:rsidRPr="00160A33">
        <w:rPr>
          <w:noProof/>
        </w:rPr>
        <w:t>1</w:t>
      </w:r>
      <w:r w:rsidRPr="00C3707B">
        <w:rPr>
          <w:noProof/>
        </w:rPr>
        <w:t>.</w:t>
      </w:r>
      <w:r w:rsidRPr="00C3707B">
        <w:rPr>
          <w:noProof/>
        </w:rPr>
        <w:tab/>
        <w:t>Uiterlijk op [</w:t>
      </w:r>
      <w:r w:rsidRPr="00C3707B">
        <w:rPr>
          <w:i/>
          <w:noProof/>
        </w:rPr>
        <w:t>OP please insert the date: five years after the date of application]</w:t>
      </w:r>
      <w:r w:rsidRPr="00C3707B">
        <w:rPr>
          <w:noProof/>
        </w:rPr>
        <w:t xml:space="preserve"> en vervolgens om de vijf jaar evalueert de Commissie deze verordening en brengt zij aan het Europees Parlement, de Raad, het Europees Economisch en Sociaal Comité en het Comité en het Comité van de Regio’s verslag uit over de belangrijkste bevindingen.</w:t>
      </w:r>
    </w:p>
    <w:p w14:paraId="6574CE70" w14:textId="77777777" w:rsidR="00917777" w:rsidRPr="00C3707B" w:rsidRDefault="00B0454E" w:rsidP="00B0454E">
      <w:pPr>
        <w:pStyle w:val="Point0"/>
        <w:rPr>
          <w:noProof/>
        </w:rPr>
      </w:pPr>
      <w:r w:rsidRPr="00160A33">
        <w:rPr>
          <w:noProof/>
        </w:rPr>
        <w:t>2</w:t>
      </w:r>
      <w:r w:rsidRPr="00C3707B">
        <w:rPr>
          <w:noProof/>
        </w:rPr>
        <w:t>.</w:t>
      </w:r>
      <w:r w:rsidRPr="00C3707B">
        <w:rPr>
          <w:noProof/>
        </w:rPr>
        <w:tab/>
        <w:t>De Commissie beoordeelt in haar evaluatie het effect van deze verordening en de mate waarin de in artikel </w:t>
      </w:r>
      <w:r w:rsidRPr="00160A33">
        <w:rPr>
          <w:noProof/>
        </w:rPr>
        <w:t>1</w:t>
      </w:r>
      <w:r w:rsidRPr="00C3707B">
        <w:rPr>
          <w:noProof/>
        </w:rPr>
        <w:t xml:space="preserve"> vastgestelde doelstellingen zijn verwezenlijkt.</w:t>
      </w:r>
    </w:p>
    <w:p w14:paraId="4755EB94" w14:textId="77777777" w:rsidR="00D62518" w:rsidRDefault="00B0454E" w:rsidP="00B0454E">
      <w:pPr>
        <w:pStyle w:val="Point0"/>
        <w:rPr>
          <w:noProof/>
        </w:rPr>
      </w:pPr>
      <w:r w:rsidRPr="00160A33">
        <w:rPr>
          <w:noProof/>
        </w:rPr>
        <w:t>3</w:t>
      </w:r>
      <w:r w:rsidRPr="00C3707B">
        <w:rPr>
          <w:noProof/>
        </w:rPr>
        <w:t>.</w:t>
      </w:r>
      <w:r w:rsidRPr="00C3707B">
        <w:rPr>
          <w:noProof/>
        </w:rPr>
        <w:tab/>
        <w:t>De bevoegde autoriteiten en de marktdeelnemers verstrekken de Commissie op verzoek alle relevante informatie waarover zij beschikken die de Commissie nodig kan hebben voor de in lid </w:t>
      </w:r>
      <w:r w:rsidRPr="00160A33">
        <w:rPr>
          <w:noProof/>
        </w:rPr>
        <w:t>1</w:t>
      </w:r>
      <w:r w:rsidRPr="00C3707B">
        <w:rPr>
          <w:noProof/>
        </w:rPr>
        <w:t xml:space="preserve"> bedoelde beoordeling.</w:t>
      </w:r>
    </w:p>
    <w:p w14:paraId="72DBA32A" w14:textId="4BAD02EC" w:rsidR="00917777" w:rsidRPr="00C3707B" w:rsidRDefault="00917777" w:rsidP="00B0454E">
      <w:pPr>
        <w:pStyle w:val="Titrearticle"/>
        <w:rPr>
          <w:noProof/>
        </w:rPr>
      </w:pPr>
      <w:r w:rsidRPr="00C3707B">
        <w:rPr>
          <w:noProof/>
        </w:rPr>
        <w:t>Artikel </w:t>
      </w:r>
      <w:r w:rsidRPr="00160A33">
        <w:rPr>
          <w:noProof/>
        </w:rPr>
        <w:t>31</w:t>
      </w:r>
    </w:p>
    <w:p w14:paraId="6F0F86F4" w14:textId="77777777" w:rsidR="00917777" w:rsidRPr="00C3707B" w:rsidRDefault="00917777" w:rsidP="00917777">
      <w:pPr>
        <w:jc w:val="center"/>
        <w:rPr>
          <w:i/>
          <w:iCs/>
          <w:noProof/>
          <w:szCs w:val="24"/>
        </w:rPr>
      </w:pPr>
      <w:r w:rsidRPr="00C3707B">
        <w:rPr>
          <w:i/>
          <w:noProof/>
        </w:rPr>
        <w:t>Inwerkingtreding en toepassing</w:t>
      </w:r>
    </w:p>
    <w:p w14:paraId="41B932DB" w14:textId="77777777" w:rsidR="00917777" w:rsidRPr="00C3707B" w:rsidRDefault="00917777" w:rsidP="00917777">
      <w:pPr>
        <w:rPr>
          <w:noProof/>
          <w:szCs w:val="24"/>
        </w:rPr>
      </w:pPr>
      <w:r w:rsidRPr="00C3707B">
        <w:rPr>
          <w:noProof/>
        </w:rPr>
        <w:t xml:space="preserve">Deze verordening treedt in werking op de twintigste dag na die van de bekendmaking ervan in het </w:t>
      </w:r>
      <w:r w:rsidRPr="00C3707B">
        <w:rPr>
          <w:i/>
          <w:noProof/>
        </w:rPr>
        <w:t>Publicatieblad van de Europese Unie</w:t>
      </w:r>
      <w:r w:rsidRPr="00C3707B">
        <w:rPr>
          <w:noProof/>
        </w:rPr>
        <w:t>.</w:t>
      </w:r>
    </w:p>
    <w:p w14:paraId="78E0CAE8" w14:textId="77777777" w:rsidR="00917777" w:rsidRPr="00C3707B" w:rsidRDefault="00917777" w:rsidP="00917777">
      <w:pPr>
        <w:rPr>
          <w:noProof/>
        </w:rPr>
      </w:pPr>
      <w:r w:rsidRPr="00C3707B">
        <w:rPr>
          <w:noProof/>
        </w:rPr>
        <w:t>Zij is van toepassing met ingang van […].</w:t>
      </w:r>
    </w:p>
    <w:p w14:paraId="62D50DD5" w14:textId="77777777" w:rsidR="00917777" w:rsidRPr="00C3707B" w:rsidRDefault="00917777" w:rsidP="00414DF4">
      <w:pPr>
        <w:pStyle w:val="Applicationdirecte"/>
        <w:keepNext/>
        <w:keepLines/>
        <w:rPr>
          <w:noProof/>
        </w:rPr>
      </w:pPr>
      <w:r w:rsidRPr="00C3707B">
        <w:rPr>
          <w:noProof/>
        </w:rPr>
        <w:t>Deze verordening is verbindend in al haar onderdelen en rechtstreeks toepasselijk in elke lidstaat.</w:t>
      </w:r>
    </w:p>
    <w:p w14:paraId="22807F6B" w14:textId="0046E3FA" w:rsidR="004C5377" w:rsidRPr="00C3707B" w:rsidRDefault="00C94C3F" w:rsidP="00414DF4">
      <w:pPr>
        <w:pStyle w:val="Fait"/>
        <w:rPr>
          <w:noProof/>
        </w:rPr>
      </w:pPr>
      <w:r>
        <w:rPr>
          <w:noProof/>
        </w:rPr>
        <w:t>Gedaan te Straatsburg,</w:t>
      </w:r>
    </w:p>
    <w:p w14:paraId="36A4F9F3" w14:textId="77777777" w:rsidR="004C5377" w:rsidRPr="00C3707B" w:rsidRDefault="004C5377" w:rsidP="00414DF4">
      <w:pPr>
        <w:pStyle w:val="Institutionquisigne"/>
        <w:rPr>
          <w:noProof/>
        </w:rPr>
      </w:pPr>
      <w:r w:rsidRPr="00C3707B">
        <w:rPr>
          <w:noProof/>
        </w:rPr>
        <w:t>Voor het Europees Parlement</w:t>
      </w:r>
      <w:r w:rsidRPr="00C3707B">
        <w:rPr>
          <w:noProof/>
        </w:rPr>
        <w:tab/>
        <w:t>Voor de Raad</w:t>
      </w:r>
    </w:p>
    <w:p w14:paraId="72159D17" w14:textId="77777777" w:rsidR="004C5377" w:rsidRPr="00C3707B" w:rsidRDefault="004C5377" w:rsidP="004C5377">
      <w:pPr>
        <w:pStyle w:val="Personnequisigne"/>
        <w:rPr>
          <w:noProof/>
        </w:rPr>
      </w:pPr>
      <w:r w:rsidRPr="00C3707B">
        <w:rPr>
          <w:noProof/>
        </w:rPr>
        <w:t>De voorzitter</w:t>
      </w:r>
      <w:r w:rsidRPr="00C3707B">
        <w:rPr>
          <w:noProof/>
        </w:rPr>
        <w:tab/>
        <w:t>De voorzitter</w:t>
      </w:r>
    </w:p>
    <w:p w14:paraId="423875F0" w14:textId="77777777" w:rsidR="004C5377" w:rsidRPr="00C3707B" w:rsidRDefault="004C5377" w:rsidP="004C5377">
      <w:pPr>
        <w:rPr>
          <w:noProof/>
        </w:rPr>
        <w:sectPr w:rsidR="004C5377" w:rsidRPr="00C3707B" w:rsidSect="00C21E5E">
          <w:footnotePr>
            <w:numRestart w:val="eachSect"/>
          </w:footnotePr>
          <w:pgSz w:w="11907" w:h="16839"/>
          <w:pgMar w:top="1134" w:right="1417" w:bottom="1134" w:left="1417" w:header="709" w:footer="709" w:gutter="0"/>
          <w:cols w:space="708"/>
          <w:docGrid w:linePitch="360"/>
        </w:sectPr>
      </w:pPr>
    </w:p>
    <w:p w14:paraId="0B115853" w14:textId="77777777" w:rsidR="00D37F2D" w:rsidRPr="00C3707B" w:rsidRDefault="00D37F2D" w:rsidP="00D37F2D">
      <w:pPr>
        <w:pStyle w:val="Fichefinanciretitre"/>
        <w:keepNext/>
        <w:rPr>
          <w:noProof/>
        </w:rPr>
      </w:pPr>
      <w:r w:rsidRPr="00C3707B">
        <w:rPr>
          <w:noProof/>
        </w:rPr>
        <w:t>FINANCIEEL EN DIGITAAL MEMORANDUM</w:t>
      </w:r>
    </w:p>
    <w:p w14:paraId="33761D5A" w14:textId="77777777" w:rsidR="00D37F2D" w:rsidRPr="00C3707B" w:rsidRDefault="00D37F2D" w:rsidP="00D37F2D">
      <w:pPr>
        <w:pStyle w:val="TOC1"/>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C3707B">
        <w:rPr>
          <w:noProof/>
        </w:rPr>
        <w:tab/>
        <w:t>KADER VAN HET VOORSTEL/INITIATIEF</w:t>
      </w:r>
      <w:r w:rsidRPr="00C3707B">
        <w:rPr>
          <w:noProof/>
        </w:rPr>
        <w:tab/>
      </w:r>
      <w:r w:rsidRPr="00160A33">
        <w:rPr>
          <w:noProof/>
          <w:webHidden/>
        </w:rPr>
        <w:t>3</w:t>
      </w:r>
    </w:p>
    <w:p w14:paraId="5550DE2F"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1</w:t>
      </w:r>
      <w:r w:rsidRPr="00C3707B">
        <w:rPr>
          <w:noProof/>
        </w:rPr>
        <w:t>.</w:t>
      </w:r>
      <w:r w:rsidRPr="00C3707B">
        <w:rPr>
          <w:noProof/>
        </w:rPr>
        <w:tab/>
        <w:t>Benaming van het voorstel/initiatief</w:t>
      </w:r>
      <w:r w:rsidRPr="00C3707B">
        <w:rPr>
          <w:noProof/>
        </w:rPr>
        <w:tab/>
      </w:r>
      <w:r w:rsidRPr="00160A33">
        <w:rPr>
          <w:noProof/>
          <w:webHidden/>
        </w:rPr>
        <w:t>3</w:t>
      </w:r>
    </w:p>
    <w:p w14:paraId="1A689EC6"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2</w:t>
      </w:r>
      <w:r w:rsidRPr="00C3707B">
        <w:rPr>
          <w:noProof/>
        </w:rPr>
        <w:t>.</w:t>
      </w:r>
      <w:r w:rsidRPr="00C3707B">
        <w:rPr>
          <w:noProof/>
        </w:rPr>
        <w:tab/>
        <w:t>Betrokken beleidsterreinen</w:t>
      </w:r>
      <w:r w:rsidRPr="00C3707B">
        <w:rPr>
          <w:noProof/>
        </w:rPr>
        <w:tab/>
      </w:r>
      <w:r w:rsidRPr="00160A33">
        <w:rPr>
          <w:noProof/>
          <w:webHidden/>
        </w:rPr>
        <w:t>3</w:t>
      </w:r>
    </w:p>
    <w:p w14:paraId="3A9FC269"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3</w:t>
      </w:r>
      <w:r w:rsidRPr="00C3707B">
        <w:rPr>
          <w:noProof/>
        </w:rPr>
        <w:t>.</w:t>
      </w:r>
      <w:r w:rsidRPr="00C3707B">
        <w:rPr>
          <w:noProof/>
        </w:rPr>
        <w:tab/>
        <w:t>Doelstellingen</w:t>
      </w:r>
      <w:r w:rsidRPr="00C3707B">
        <w:rPr>
          <w:noProof/>
        </w:rPr>
        <w:tab/>
      </w:r>
      <w:r w:rsidRPr="00160A33">
        <w:rPr>
          <w:noProof/>
          <w:webHidden/>
        </w:rPr>
        <w:t>3</w:t>
      </w:r>
    </w:p>
    <w:p w14:paraId="1DF1FDA1"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3</w:t>
      </w:r>
      <w:r w:rsidRPr="00C3707B">
        <w:rPr>
          <w:noProof/>
        </w:rPr>
        <w:t>.</w:t>
      </w:r>
      <w:r w:rsidRPr="00160A33">
        <w:rPr>
          <w:noProof/>
        </w:rPr>
        <w:t>1</w:t>
      </w:r>
      <w:r w:rsidRPr="00C3707B">
        <w:rPr>
          <w:noProof/>
        </w:rPr>
        <w:t>.</w:t>
      </w:r>
      <w:r w:rsidRPr="00C3707B">
        <w:rPr>
          <w:noProof/>
        </w:rPr>
        <w:tab/>
        <w:t>Algemene doelstellingen</w:t>
      </w:r>
      <w:r w:rsidRPr="00C3707B">
        <w:rPr>
          <w:noProof/>
        </w:rPr>
        <w:tab/>
      </w:r>
      <w:r w:rsidRPr="00160A33">
        <w:rPr>
          <w:noProof/>
          <w:webHidden/>
        </w:rPr>
        <w:t>3</w:t>
      </w:r>
    </w:p>
    <w:p w14:paraId="679BC7E7"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3</w:t>
      </w:r>
      <w:r w:rsidRPr="00C3707B">
        <w:rPr>
          <w:noProof/>
        </w:rPr>
        <w:t>.</w:t>
      </w:r>
      <w:r w:rsidRPr="00160A33">
        <w:rPr>
          <w:noProof/>
        </w:rPr>
        <w:t>2</w:t>
      </w:r>
      <w:r w:rsidRPr="00C3707B">
        <w:rPr>
          <w:noProof/>
        </w:rPr>
        <w:t>.</w:t>
      </w:r>
      <w:r w:rsidRPr="00C3707B">
        <w:rPr>
          <w:noProof/>
        </w:rPr>
        <w:tab/>
        <w:t>Specifieke doelstellingen</w:t>
      </w:r>
      <w:r w:rsidRPr="00C3707B">
        <w:rPr>
          <w:noProof/>
        </w:rPr>
        <w:tab/>
      </w:r>
      <w:r w:rsidRPr="00160A33">
        <w:rPr>
          <w:noProof/>
          <w:webHidden/>
        </w:rPr>
        <w:t>3</w:t>
      </w:r>
    </w:p>
    <w:p w14:paraId="5E50CE85"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3</w:t>
      </w:r>
      <w:r w:rsidRPr="00C3707B">
        <w:rPr>
          <w:noProof/>
        </w:rPr>
        <w:t>.</w:t>
      </w:r>
      <w:r w:rsidRPr="00160A33">
        <w:rPr>
          <w:noProof/>
        </w:rPr>
        <w:t>3</w:t>
      </w:r>
      <w:r w:rsidRPr="00C3707B">
        <w:rPr>
          <w:noProof/>
        </w:rPr>
        <w:t>.</w:t>
      </w:r>
      <w:r w:rsidRPr="00C3707B">
        <w:rPr>
          <w:noProof/>
        </w:rPr>
        <w:tab/>
        <w:t>Verwachte resultaten en gevolgen</w:t>
      </w:r>
      <w:r w:rsidRPr="00C3707B">
        <w:rPr>
          <w:noProof/>
        </w:rPr>
        <w:tab/>
      </w:r>
      <w:r w:rsidRPr="00160A33">
        <w:rPr>
          <w:noProof/>
          <w:webHidden/>
        </w:rPr>
        <w:t>3</w:t>
      </w:r>
    </w:p>
    <w:p w14:paraId="5D0FA9D8"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3</w:t>
      </w:r>
      <w:r w:rsidRPr="00C3707B">
        <w:rPr>
          <w:noProof/>
        </w:rPr>
        <w:t>.</w:t>
      </w:r>
      <w:r w:rsidRPr="00160A33">
        <w:rPr>
          <w:noProof/>
        </w:rPr>
        <w:t>4</w:t>
      </w:r>
      <w:r w:rsidRPr="00C3707B">
        <w:rPr>
          <w:noProof/>
        </w:rPr>
        <w:t>.</w:t>
      </w:r>
      <w:r w:rsidRPr="00C3707B">
        <w:rPr>
          <w:noProof/>
        </w:rPr>
        <w:tab/>
        <w:t>Prestatie-indicatoren</w:t>
      </w:r>
      <w:r w:rsidRPr="00C3707B">
        <w:rPr>
          <w:noProof/>
        </w:rPr>
        <w:tab/>
      </w:r>
      <w:r w:rsidRPr="00160A33">
        <w:rPr>
          <w:noProof/>
          <w:webHidden/>
        </w:rPr>
        <w:t>3</w:t>
      </w:r>
    </w:p>
    <w:p w14:paraId="3CF3A207"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4</w:t>
      </w:r>
      <w:r w:rsidRPr="00C3707B">
        <w:rPr>
          <w:noProof/>
        </w:rPr>
        <w:t>.</w:t>
      </w:r>
      <w:r w:rsidRPr="00C3707B">
        <w:rPr>
          <w:noProof/>
        </w:rPr>
        <w:tab/>
        <w:t>Het voorstel/initiatief betreft:</w:t>
      </w:r>
      <w:r w:rsidRPr="00C3707B">
        <w:rPr>
          <w:noProof/>
        </w:rPr>
        <w:tab/>
      </w:r>
      <w:r w:rsidRPr="00160A33">
        <w:rPr>
          <w:noProof/>
          <w:webHidden/>
        </w:rPr>
        <w:t>4</w:t>
      </w:r>
    </w:p>
    <w:p w14:paraId="699BC939"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C3707B">
        <w:rPr>
          <w:noProof/>
        </w:rPr>
        <w:tab/>
        <w:t>Motivering van het voorstel/initiatief</w:t>
      </w:r>
      <w:r w:rsidRPr="00C3707B">
        <w:rPr>
          <w:noProof/>
        </w:rPr>
        <w:tab/>
      </w:r>
      <w:r w:rsidRPr="00160A33">
        <w:rPr>
          <w:noProof/>
          <w:webHidden/>
        </w:rPr>
        <w:t>5</w:t>
      </w:r>
    </w:p>
    <w:p w14:paraId="18837204"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160A33">
        <w:rPr>
          <w:noProof/>
        </w:rPr>
        <w:t>1</w:t>
      </w:r>
      <w:r w:rsidRPr="00C3707B">
        <w:rPr>
          <w:noProof/>
        </w:rPr>
        <w:t>.</w:t>
      </w:r>
      <w:r w:rsidRPr="00C3707B">
        <w:rPr>
          <w:noProof/>
        </w:rPr>
        <w:tab/>
        <w:t>Behoeften waarin op korte of lange termijn moet worden voorzien, met een gedetailleerd tijdschema voor de uitrol van het initiatief</w:t>
      </w:r>
      <w:r w:rsidRPr="00C3707B">
        <w:rPr>
          <w:noProof/>
        </w:rPr>
        <w:tab/>
      </w:r>
      <w:r w:rsidRPr="00160A33">
        <w:rPr>
          <w:noProof/>
          <w:webHidden/>
        </w:rPr>
        <w:t>5</w:t>
      </w:r>
    </w:p>
    <w:p w14:paraId="05B9C2EC"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160A33">
        <w:rPr>
          <w:noProof/>
        </w:rPr>
        <w:t>2</w:t>
      </w:r>
      <w:r w:rsidRPr="00C3707B">
        <w:rPr>
          <w:noProof/>
        </w:rPr>
        <w:t>.</w:t>
      </w:r>
      <w:r w:rsidRPr="00C3707B">
        <w:rPr>
          <w:noProof/>
        </w:rPr>
        <w:tab/>
        <w:t>Toegevoegde waarde van de deelname van de EU (deze kan het resultaat zijn van verschillende factoren, bijvoorbeeld coördinatiewinst, rechtszekerheid, grotere doeltreffendheid of complementariteit). Voor de toepassing van dit punt wordt onder “toegevoegde waarde van het optreden van de EU” verstaan de waarde die het optreden van de Unie oplevert boven op de waarde die door een optreden van alleen de lidstaten zou zijn gecreëerd.</w:t>
      </w:r>
      <w:r w:rsidRPr="00C3707B">
        <w:rPr>
          <w:noProof/>
        </w:rPr>
        <w:tab/>
      </w:r>
      <w:r w:rsidRPr="00160A33">
        <w:rPr>
          <w:noProof/>
          <w:webHidden/>
        </w:rPr>
        <w:t>5</w:t>
      </w:r>
    </w:p>
    <w:p w14:paraId="42778571"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160A33">
        <w:rPr>
          <w:noProof/>
        </w:rPr>
        <w:t>3</w:t>
      </w:r>
      <w:r w:rsidRPr="00C3707B">
        <w:rPr>
          <w:noProof/>
        </w:rPr>
        <w:t>.</w:t>
      </w:r>
      <w:r w:rsidRPr="00C3707B">
        <w:rPr>
          <w:noProof/>
        </w:rPr>
        <w:tab/>
        <w:t>Nuttige ervaring die bij soortgelijke activiteiten in het verleden is opgedaan</w:t>
      </w:r>
      <w:r w:rsidRPr="00C3707B">
        <w:rPr>
          <w:noProof/>
        </w:rPr>
        <w:tab/>
      </w:r>
      <w:r w:rsidRPr="00160A33">
        <w:rPr>
          <w:noProof/>
          <w:webHidden/>
        </w:rPr>
        <w:t>5</w:t>
      </w:r>
    </w:p>
    <w:p w14:paraId="7E47123E"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160A33">
        <w:rPr>
          <w:noProof/>
        </w:rPr>
        <w:t>4</w:t>
      </w:r>
      <w:r w:rsidRPr="00C3707B">
        <w:rPr>
          <w:noProof/>
        </w:rPr>
        <w:t>.</w:t>
      </w:r>
      <w:r w:rsidRPr="00C3707B">
        <w:rPr>
          <w:noProof/>
        </w:rPr>
        <w:tab/>
        <w:t>Verenigbaarheid met het meerjarig financieel kader en eventuele synergie met andere passende instrumenten</w:t>
      </w:r>
      <w:r w:rsidRPr="00C3707B">
        <w:rPr>
          <w:noProof/>
        </w:rPr>
        <w:tab/>
      </w:r>
      <w:r w:rsidRPr="00160A33">
        <w:rPr>
          <w:noProof/>
          <w:webHidden/>
        </w:rPr>
        <w:t>5</w:t>
      </w:r>
    </w:p>
    <w:p w14:paraId="0793DEB2"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5</w:t>
      </w:r>
      <w:r w:rsidRPr="00C3707B">
        <w:rPr>
          <w:noProof/>
        </w:rPr>
        <w:t>.</w:t>
      </w:r>
      <w:r w:rsidRPr="00160A33">
        <w:rPr>
          <w:noProof/>
        </w:rPr>
        <w:t>5</w:t>
      </w:r>
      <w:r w:rsidRPr="00C3707B">
        <w:rPr>
          <w:noProof/>
        </w:rPr>
        <w:t>.</w:t>
      </w:r>
      <w:r w:rsidRPr="00C3707B">
        <w:rPr>
          <w:noProof/>
        </w:rPr>
        <w:tab/>
        <w:t>Beoordeling van de verschillende beschikbare financieringsopties, waaronder mogelijkheden voor herschikking</w:t>
      </w:r>
      <w:r w:rsidRPr="00C3707B">
        <w:rPr>
          <w:noProof/>
        </w:rPr>
        <w:tab/>
      </w:r>
      <w:r w:rsidRPr="00160A33">
        <w:rPr>
          <w:noProof/>
          <w:webHidden/>
        </w:rPr>
        <w:t>6</w:t>
      </w:r>
    </w:p>
    <w:p w14:paraId="4ED3040B"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6</w:t>
      </w:r>
      <w:r w:rsidRPr="00C3707B">
        <w:rPr>
          <w:noProof/>
        </w:rPr>
        <w:t>.</w:t>
      </w:r>
      <w:r w:rsidRPr="00C3707B">
        <w:rPr>
          <w:noProof/>
        </w:rPr>
        <w:tab/>
        <w:t>Duur en financiële gevolgen van het voorstel/initiatief</w:t>
      </w:r>
      <w:r w:rsidRPr="00C3707B">
        <w:rPr>
          <w:noProof/>
        </w:rPr>
        <w:tab/>
      </w:r>
      <w:r w:rsidRPr="00160A33">
        <w:rPr>
          <w:noProof/>
          <w:webHidden/>
        </w:rPr>
        <w:t>7</w:t>
      </w:r>
    </w:p>
    <w:p w14:paraId="104EE860"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1</w:t>
      </w:r>
      <w:r w:rsidRPr="00C3707B">
        <w:rPr>
          <w:noProof/>
        </w:rPr>
        <w:t>.</w:t>
      </w:r>
      <w:r w:rsidRPr="00160A33">
        <w:rPr>
          <w:noProof/>
        </w:rPr>
        <w:t>7</w:t>
      </w:r>
      <w:r w:rsidRPr="00C3707B">
        <w:rPr>
          <w:noProof/>
        </w:rPr>
        <w:t>.</w:t>
      </w:r>
      <w:r w:rsidRPr="00C3707B">
        <w:rPr>
          <w:noProof/>
        </w:rPr>
        <w:tab/>
        <w:t>Wijzen van uitvoering van de begroting</w:t>
      </w:r>
      <w:r w:rsidRPr="00C3707B">
        <w:rPr>
          <w:noProof/>
        </w:rPr>
        <w:tab/>
      </w:r>
      <w:r w:rsidRPr="00160A33">
        <w:rPr>
          <w:noProof/>
          <w:webHidden/>
        </w:rPr>
        <w:t>7</w:t>
      </w:r>
    </w:p>
    <w:p w14:paraId="3E355E34" w14:textId="77777777" w:rsidR="00D37F2D" w:rsidRPr="00C3707B" w:rsidRDefault="00D37F2D" w:rsidP="00D37F2D">
      <w:pPr>
        <w:pStyle w:val="TOC1"/>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C3707B">
        <w:rPr>
          <w:noProof/>
        </w:rPr>
        <w:tab/>
        <w:t>BEHEERSMAATREGELEN</w:t>
      </w:r>
      <w:r w:rsidRPr="00C3707B">
        <w:rPr>
          <w:noProof/>
        </w:rPr>
        <w:tab/>
      </w:r>
      <w:r w:rsidRPr="00160A33">
        <w:rPr>
          <w:noProof/>
          <w:webHidden/>
        </w:rPr>
        <w:t>8</w:t>
      </w:r>
    </w:p>
    <w:p w14:paraId="206BB4A1"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1</w:t>
      </w:r>
      <w:r w:rsidRPr="00C3707B">
        <w:rPr>
          <w:noProof/>
        </w:rPr>
        <w:t>.</w:t>
      </w:r>
      <w:r w:rsidRPr="00C3707B">
        <w:rPr>
          <w:noProof/>
        </w:rPr>
        <w:tab/>
        <w:t>Regels inzake het toezicht en de verslagen</w:t>
      </w:r>
      <w:r w:rsidRPr="00C3707B">
        <w:rPr>
          <w:noProof/>
        </w:rPr>
        <w:tab/>
      </w:r>
      <w:r w:rsidRPr="00160A33">
        <w:rPr>
          <w:noProof/>
          <w:webHidden/>
        </w:rPr>
        <w:t>8</w:t>
      </w:r>
    </w:p>
    <w:p w14:paraId="5EFD3FC1"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2</w:t>
      </w:r>
      <w:r w:rsidRPr="00C3707B">
        <w:rPr>
          <w:noProof/>
        </w:rPr>
        <w:t>.</w:t>
      </w:r>
      <w:r w:rsidRPr="00C3707B">
        <w:rPr>
          <w:noProof/>
        </w:rPr>
        <w:tab/>
        <w:t>Beheers- en controlesystemen</w:t>
      </w:r>
      <w:r w:rsidRPr="00C3707B">
        <w:rPr>
          <w:noProof/>
        </w:rPr>
        <w:tab/>
      </w:r>
      <w:r w:rsidRPr="00160A33">
        <w:rPr>
          <w:noProof/>
          <w:webHidden/>
        </w:rPr>
        <w:t>8</w:t>
      </w:r>
    </w:p>
    <w:p w14:paraId="3483C2F4"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2</w:t>
      </w:r>
      <w:r w:rsidRPr="00C3707B">
        <w:rPr>
          <w:noProof/>
        </w:rPr>
        <w:t>.</w:t>
      </w:r>
      <w:r w:rsidRPr="00160A33">
        <w:rPr>
          <w:noProof/>
        </w:rPr>
        <w:t>1</w:t>
      </w:r>
      <w:r w:rsidRPr="00C3707B">
        <w:rPr>
          <w:noProof/>
        </w:rPr>
        <w:t>.</w:t>
      </w:r>
      <w:r w:rsidRPr="00C3707B">
        <w:rPr>
          <w:noProof/>
        </w:rPr>
        <w:tab/>
        <w:t>Rechtvaardiging van de voorgestelde wijzen van uitvoering van de begroting, uitvoeringsmechanismen voor financiering, betalingsvoorwaarden en controlestrategie</w:t>
      </w:r>
      <w:r w:rsidRPr="00C3707B">
        <w:rPr>
          <w:noProof/>
        </w:rPr>
        <w:tab/>
      </w:r>
      <w:r w:rsidRPr="00160A33">
        <w:rPr>
          <w:noProof/>
          <w:webHidden/>
        </w:rPr>
        <w:t>8</w:t>
      </w:r>
    </w:p>
    <w:p w14:paraId="3DDADD70"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2</w:t>
      </w:r>
      <w:r w:rsidRPr="00C3707B">
        <w:rPr>
          <w:noProof/>
        </w:rPr>
        <w:t>.</w:t>
      </w:r>
      <w:r w:rsidRPr="00160A33">
        <w:rPr>
          <w:noProof/>
        </w:rPr>
        <w:t>2</w:t>
      </w:r>
      <w:r w:rsidRPr="00C3707B">
        <w:rPr>
          <w:noProof/>
        </w:rPr>
        <w:t>.</w:t>
      </w:r>
      <w:r w:rsidRPr="00C3707B">
        <w:rPr>
          <w:noProof/>
        </w:rPr>
        <w:tab/>
        <w:t>Informatie over de vastgestelde risico’s en het systeem of de systemen voor interne controle die zijn opgezet om die risico’s te beperken</w:t>
      </w:r>
      <w:r w:rsidRPr="00C3707B">
        <w:rPr>
          <w:noProof/>
        </w:rPr>
        <w:tab/>
      </w:r>
      <w:r w:rsidRPr="00160A33">
        <w:rPr>
          <w:noProof/>
          <w:webHidden/>
        </w:rPr>
        <w:t>8</w:t>
      </w:r>
    </w:p>
    <w:p w14:paraId="106DE084"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2</w:t>
      </w:r>
      <w:r w:rsidRPr="00C3707B">
        <w:rPr>
          <w:noProof/>
        </w:rPr>
        <w:t>.</w:t>
      </w:r>
      <w:r w:rsidRPr="00160A33">
        <w:rPr>
          <w:noProof/>
        </w:rPr>
        <w:t>3</w:t>
      </w:r>
      <w:r w:rsidRPr="00C3707B">
        <w:rPr>
          <w:noProof/>
        </w:rPr>
        <w:t>.</w:t>
      </w:r>
      <w:r w:rsidRPr="00C3707B">
        <w:rPr>
          <w:noProof/>
        </w:rPr>
        <w:tab/>
        <w:t>Raming en motivering van de kosteneffectiviteit van de controles (verhouding tussen de controlekosten en de waarde van de desbetreffende financiële middelen) en evaluatie van het verwachte foutenrisico (bij betaling en bij afsluiting)</w:t>
      </w:r>
      <w:r w:rsidRPr="00C3707B">
        <w:rPr>
          <w:noProof/>
        </w:rPr>
        <w:tab/>
      </w:r>
      <w:r w:rsidRPr="00160A33">
        <w:rPr>
          <w:noProof/>
          <w:webHidden/>
        </w:rPr>
        <w:t>10</w:t>
      </w:r>
    </w:p>
    <w:p w14:paraId="624ADEB9"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2</w:t>
      </w:r>
      <w:r w:rsidRPr="00C3707B">
        <w:rPr>
          <w:noProof/>
        </w:rPr>
        <w:t>.</w:t>
      </w:r>
      <w:r w:rsidRPr="00160A33">
        <w:rPr>
          <w:noProof/>
        </w:rPr>
        <w:t>3</w:t>
      </w:r>
      <w:r w:rsidRPr="00C3707B">
        <w:rPr>
          <w:noProof/>
        </w:rPr>
        <w:t>.</w:t>
      </w:r>
      <w:r w:rsidRPr="00C3707B">
        <w:rPr>
          <w:noProof/>
        </w:rPr>
        <w:tab/>
        <w:t>Maatregelen ter voorkoming van fraude en onregelmatigheden</w:t>
      </w:r>
      <w:r w:rsidRPr="00C3707B">
        <w:rPr>
          <w:noProof/>
        </w:rPr>
        <w:tab/>
      </w:r>
      <w:r w:rsidRPr="00160A33">
        <w:rPr>
          <w:noProof/>
          <w:webHidden/>
        </w:rPr>
        <w:t>10</w:t>
      </w:r>
    </w:p>
    <w:p w14:paraId="6D4F56F1" w14:textId="77777777" w:rsidR="00D37F2D" w:rsidRPr="00C3707B" w:rsidRDefault="00D37F2D" w:rsidP="00D37F2D">
      <w:pPr>
        <w:pStyle w:val="TOC1"/>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C3707B">
        <w:rPr>
          <w:noProof/>
        </w:rPr>
        <w:tab/>
        <w:t>GERAAMDE FINANCIËLE GEVOLGEN VAN HET VOORSTEL/INITIATIEF</w:t>
      </w:r>
      <w:r w:rsidRPr="00C3707B">
        <w:rPr>
          <w:noProof/>
        </w:rPr>
        <w:tab/>
      </w:r>
      <w:r w:rsidRPr="00160A33">
        <w:rPr>
          <w:noProof/>
          <w:webHidden/>
        </w:rPr>
        <w:t>12</w:t>
      </w:r>
    </w:p>
    <w:p w14:paraId="17C73F6F"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1</w:t>
      </w:r>
      <w:r w:rsidRPr="00C3707B">
        <w:rPr>
          <w:noProof/>
        </w:rPr>
        <w:t>.</w:t>
      </w:r>
      <w:r w:rsidRPr="00C3707B">
        <w:rPr>
          <w:noProof/>
        </w:rPr>
        <w:tab/>
        <w:t>Rubrieken van het meerjarig financieel kader en betrokken begrotingsonderdelen voor uitgaven</w:t>
      </w:r>
      <w:r w:rsidRPr="00C3707B">
        <w:rPr>
          <w:noProof/>
        </w:rPr>
        <w:tab/>
      </w:r>
      <w:r w:rsidRPr="00160A33">
        <w:rPr>
          <w:noProof/>
          <w:webHidden/>
        </w:rPr>
        <w:t>12</w:t>
      </w:r>
    </w:p>
    <w:p w14:paraId="51D93DBF"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C3707B">
        <w:rPr>
          <w:noProof/>
        </w:rPr>
        <w:tab/>
        <w:t>Geraamde financiële gevolgen van het voorstel inzake kredieten</w:t>
      </w:r>
      <w:r w:rsidRPr="00C3707B">
        <w:rPr>
          <w:noProof/>
        </w:rPr>
        <w:tab/>
      </w:r>
      <w:r w:rsidRPr="00160A33">
        <w:rPr>
          <w:noProof/>
          <w:webHidden/>
        </w:rPr>
        <w:t>13</w:t>
      </w:r>
    </w:p>
    <w:p w14:paraId="1622999D"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C3707B">
        <w:rPr>
          <w:noProof/>
        </w:rPr>
        <w:tab/>
        <w:t>Samenvatting van de geraamde gevolgen voor de beleidskredieten</w:t>
      </w:r>
      <w:r w:rsidRPr="00C3707B">
        <w:rPr>
          <w:noProof/>
        </w:rPr>
        <w:tab/>
      </w:r>
      <w:r w:rsidRPr="00160A33">
        <w:rPr>
          <w:noProof/>
          <w:webHidden/>
        </w:rPr>
        <w:t>13</w:t>
      </w:r>
    </w:p>
    <w:p w14:paraId="486BCB9D"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160A33">
        <w:rPr>
          <w:noProof/>
        </w:rPr>
        <w:t>1</w:t>
      </w:r>
      <w:r w:rsidRPr="00C3707B">
        <w:rPr>
          <w:noProof/>
        </w:rPr>
        <w:t>.</w:t>
      </w:r>
      <w:r w:rsidRPr="00C3707B">
        <w:rPr>
          <w:noProof/>
        </w:rPr>
        <w:tab/>
        <w:t>Kredieten uit goedgekeurde begroting</w:t>
      </w:r>
      <w:r w:rsidRPr="00C3707B">
        <w:rPr>
          <w:noProof/>
        </w:rPr>
        <w:tab/>
      </w:r>
      <w:r w:rsidRPr="00160A33">
        <w:rPr>
          <w:noProof/>
          <w:webHidden/>
        </w:rPr>
        <w:t>13</w:t>
      </w:r>
    </w:p>
    <w:p w14:paraId="6A6F2CFC"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160A33">
        <w:rPr>
          <w:noProof/>
        </w:rPr>
        <w:t>2</w:t>
      </w:r>
      <w:r w:rsidRPr="00C3707B">
        <w:rPr>
          <w:noProof/>
        </w:rPr>
        <w:t>.</w:t>
      </w:r>
      <w:r w:rsidRPr="00C3707B">
        <w:rPr>
          <w:noProof/>
        </w:rPr>
        <w:tab/>
        <w:t>Kredieten uit externe bestemmingsontvangsten</w:t>
      </w:r>
      <w:r w:rsidRPr="00C3707B">
        <w:rPr>
          <w:noProof/>
        </w:rPr>
        <w:tab/>
      </w:r>
      <w:r w:rsidRPr="00160A33">
        <w:rPr>
          <w:noProof/>
          <w:webHidden/>
        </w:rPr>
        <w:t>16</w:t>
      </w:r>
    </w:p>
    <w:p w14:paraId="461DAF6A"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2</w:t>
      </w:r>
      <w:r w:rsidRPr="00C3707B">
        <w:rPr>
          <w:noProof/>
        </w:rPr>
        <w:t>.</w:t>
      </w:r>
      <w:r w:rsidRPr="00C3707B">
        <w:rPr>
          <w:noProof/>
        </w:rPr>
        <w:tab/>
        <w:t>Geraamde output, gefinancierd uit beleidskredieten</w:t>
      </w:r>
      <w:r w:rsidRPr="00C3707B">
        <w:rPr>
          <w:noProof/>
        </w:rPr>
        <w:tab/>
      </w:r>
      <w:r w:rsidRPr="00160A33">
        <w:rPr>
          <w:noProof/>
          <w:webHidden/>
        </w:rPr>
        <w:t>16</w:t>
      </w:r>
    </w:p>
    <w:p w14:paraId="7BDF569D"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C3707B">
        <w:rPr>
          <w:noProof/>
        </w:rPr>
        <w:tab/>
        <w:t>Samenvatting van de geraamde gevolgen voor de administratieve kredieten</w:t>
      </w:r>
      <w:r w:rsidRPr="00C3707B">
        <w:rPr>
          <w:noProof/>
        </w:rPr>
        <w:tab/>
      </w:r>
      <w:r w:rsidRPr="00160A33">
        <w:rPr>
          <w:noProof/>
          <w:webHidden/>
        </w:rPr>
        <w:t>18</w:t>
      </w:r>
    </w:p>
    <w:p w14:paraId="420AAE76"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160A33">
        <w:rPr>
          <w:noProof/>
        </w:rPr>
        <w:t>1</w:t>
      </w:r>
      <w:r w:rsidRPr="00C3707B">
        <w:rPr>
          <w:noProof/>
        </w:rPr>
        <w:t>. Kredieten uit goedgekeurde begroting</w:t>
      </w:r>
      <w:r w:rsidRPr="00C3707B">
        <w:rPr>
          <w:noProof/>
        </w:rPr>
        <w:tab/>
      </w:r>
      <w:r w:rsidRPr="00160A33">
        <w:rPr>
          <w:noProof/>
          <w:webHidden/>
        </w:rPr>
        <w:t>18</w:t>
      </w:r>
    </w:p>
    <w:p w14:paraId="2ED3AE39"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160A33">
        <w:rPr>
          <w:noProof/>
        </w:rPr>
        <w:t>2</w:t>
      </w:r>
      <w:r w:rsidRPr="00C3707B">
        <w:rPr>
          <w:noProof/>
        </w:rPr>
        <w:t>.</w:t>
      </w:r>
      <w:r w:rsidRPr="00C3707B">
        <w:rPr>
          <w:noProof/>
        </w:rPr>
        <w:tab/>
        <w:t>Kredieten uit externe bestemmingsontvangsten</w:t>
      </w:r>
      <w:r w:rsidRPr="00C3707B">
        <w:rPr>
          <w:noProof/>
        </w:rPr>
        <w:tab/>
      </w:r>
      <w:r w:rsidRPr="00160A33">
        <w:rPr>
          <w:noProof/>
          <w:webHidden/>
        </w:rPr>
        <w:t>18</w:t>
      </w:r>
    </w:p>
    <w:p w14:paraId="09CF93E2"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160A33">
        <w:rPr>
          <w:noProof/>
        </w:rPr>
        <w:t>3</w:t>
      </w:r>
      <w:r w:rsidRPr="00C3707B">
        <w:rPr>
          <w:noProof/>
        </w:rPr>
        <w:t>.</w:t>
      </w:r>
      <w:r w:rsidRPr="00C3707B">
        <w:rPr>
          <w:noProof/>
        </w:rPr>
        <w:tab/>
        <w:t>Totaal kredieten</w:t>
      </w:r>
      <w:r w:rsidRPr="00C3707B">
        <w:rPr>
          <w:noProof/>
        </w:rPr>
        <w:tab/>
      </w:r>
      <w:r w:rsidRPr="00160A33">
        <w:rPr>
          <w:noProof/>
          <w:webHidden/>
        </w:rPr>
        <w:t>18</w:t>
      </w:r>
    </w:p>
    <w:p w14:paraId="7B68EA0A"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C3707B">
        <w:rPr>
          <w:noProof/>
        </w:rPr>
        <w:tab/>
        <w:t>Geraamde personeelsbehoeften</w:t>
      </w:r>
      <w:r w:rsidRPr="00C3707B">
        <w:rPr>
          <w:noProof/>
        </w:rPr>
        <w:tab/>
      </w:r>
      <w:r w:rsidRPr="00160A33">
        <w:rPr>
          <w:noProof/>
          <w:webHidden/>
        </w:rPr>
        <w:t>19</w:t>
      </w:r>
    </w:p>
    <w:p w14:paraId="02E77088"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1</w:t>
      </w:r>
      <w:r w:rsidRPr="00C3707B">
        <w:rPr>
          <w:noProof/>
        </w:rPr>
        <w:t>.</w:t>
      </w:r>
      <w:r w:rsidRPr="00C3707B">
        <w:rPr>
          <w:noProof/>
        </w:rPr>
        <w:tab/>
        <w:t>Gefinancierd uit goedgekeurde begroting</w:t>
      </w:r>
      <w:r w:rsidRPr="00C3707B">
        <w:rPr>
          <w:noProof/>
        </w:rPr>
        <w:tab/>
      </w:r>
      <w:r w:rsidRPr="00160A33">
        <w:rPr>
          <w:noProof/>
          <w:webHidden/>
        </w:rPr>
        <w:t>19</w:t>
      </w:r>
    </w:p>
    <w:p w14:paraId="03D4BE4B"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2</w:t>
      </w:r>
      <w:r w:rsidRPr="00C3707B">
        <w:rPr>
          <w:noProof/>
        </w:rPr>
        <w:t>.</w:t>
      </w:r>
      <w:r w:rsidRPr="00C3707B">
        <w:rPr>
          <w:noProof/>
        </w:rPr>
        <w:tab/>
        <w:t>Gefinancierd uit externe bestemmingsontvangsten</w:t>
      </w:r>
      <w:r w:rsidRPr="00C3707B">
        <w:rPr>
          <w:noProof/>
        </w:rPr>
        <w:tab/>
      </w:r>
      <w:r w:rsidRPr="00160A33">
        <w:rPr>
          <w:noProof/>
          <w:webHidden/>
        </w:rPr>
        <w:t>20</w:t>
      </w:r>
    </w:p>
    <w:p w14:paraId="1394EF29"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3</w:t>
      </w:r>
      <w:r w:rsidRPr="00C3707B">
        <w:rPr>
          <w:noProof/>
        </w:rPr>
        <w:t>.</w:t>
      </w:r>
      <w:r w:rsidRPr="00C3707B">
        <w:rPr>
          <w:noProof/>
        </w:rPr>
        <w:tab/>
        <w:t>Totale personeelsbehoeften</w:t>
      </w:r>
      <w:r w:rsidRPr="00C3707B">
        <w:rPr>
          <w:noProof/>
        </w:rPr>
        <w:tab/>
      </w:r>
      <w:r w:rsidRPr="00160A33">
        <w:rPr>
          <w:noProof/>
          <w:webHidden/>
        </w:rPr>
        <w:t>20</w:t>
      </w:r>
    </w:p>
    <w:p w14:paraId="53A7ACEF"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5</w:t>
      </w:r>
      <w:r w:rsidRPr="00C3707B">
        <w:rPr>
          <w:noProof/>
        </w:rPr>
        <w:t>.</w:t>
      </w:r>
      <w:r w:rsidRPr="00C3707B">
        <w:rPr>
          <w:noProof/>
        </w:rPr>
        <w:tab/>
        <w:t>Overzicht van het geschatte effect op met digitale technologie samenhangende investeringen</w:t>
      </w:r>
      <w:r w:rsidRPr="00C3707B">
        <w:rPr>
          <w:noProof/>
        </w:rPr>
        <w:tab/>
      </w:r>
      <w:r w:rsidRPr="00160A33">
        <w:rPr>
          <w:noProof/>
          <w:webHidden/>
        </w:rPr>
        <w:t>23</w:t>
      </w:r>
    </w:p>
    <w:p w14:paraId="62A22E7E"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6</w:t>
      </w:r>
      <w:r w:rsidRPr="00C3707B">
        <w:rPr>
          <w:noProof/>
        </w:rPr>
        <w:t>.</w:t>
      </w:r>
      <w:r w:rsidRPr="00C3707B">
        <w:rPr>
          <w:noProof/>
        </w:rPr>
        <w:tab/>
        <w:t>Verenigbaarheid met het huidige meerjarig financieel kader</w:t>
      </w:r>
      <w:r w:rsidRPr="00C3707B">
        <w:rPr>
          <w:noProof/>
        </w:rPr>
        <w:tab/>
      </w:r>
      <w:r w:rsidRPr="00160A33">
        <w:rPr>
          <w:noProof/>
          <w:webHidden/>
        </w:rPr>
        <w:t>23</w:t>
      </w:r>
    </w:p>
    <w:p w14:paraId="02DE7BE2" w14:textId="77777777" w:rsidR="00D37F2D" w:rsidRPr="00C3707B" w:rsidRDefault="00D37F2D" w:rsidP="00D37F2D">
      <w:pPr>
        <w:pStyle w:val="TOC3"/>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2</w:t>
      </w:r>
      <w:r w:rsidRPr="00C3707B">
        <w:rPr>
          <w:noProof/>
        </w:rPr>
        <w:t>.</w:t>
      </w:r>
      <w:r w:rsidRPr="00160A33">
        <w:rPr>
          <w:noProof/>
        </w:rPr>
        <w:t>7</w:t>
      </w:r>
      <w:r w:rsidRPr="00C3707B">
        <w:rPr>
          <w:noProof/>
        </w:rPr>
        <w:t>.</w:t>
      </w:r>
      <w:r w:rsidRPr="00C3707B">
        <w:rPr>
          <w:noProof/>
        </w:rPr>
        <w:tab/>
        <w:t>Bijdragen van derden</w:t>
      </w:r>
      <w:r w:rsidRPr="00C3707B">
        <w:rPr>
          <w:noProof/>
        </w:rPr>
        <w:tab/>
      </w:r>
      <w:r w:rsidRPr="00160A33">
        <w:rPr>
          <w:noProof/>
          <w:webHidden/>
        </w:rPr>
        <w:t>24</w:t>
      </w:r>
    </w:p>
    <w:p w14:paraId="2C4333FE"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3</w:t>
      </w:r>
      <w:r w:rsidRPr="00C3707B">
        <w:rPr>
          <w:noProof/>
        </w:rPr>
        <w:t>.</w:t>
      </w:r>
      <w:r w:rsidRPr="00160A33">
        <w:rPr>
          <w:noProof/>
        </w:rPr>
        <w:t>3</w:t>
      </w:r>
      <w:r w:rsidRPr="00C3707B">
        <w:rPr>
          <w:noProof/>
        </w:rPr>
        <w:t>.</w:t>
      </w:r>
      <w:r w:rsidRPr="00C3707B">
        <w:rPr>
          <w:noProof/>
        </w:rPr>
        <w:tab/>
        <w:t>Geraamde gevolgen voor de ontvangsten</w:t>
      </w:r>
      <w:r w:rsidRPr="00C3707B">
        <w:rPr>
          <w:noProof/>
        </w:rPr>
        <w:tab/>
      </w:r>
      <w:r w:rsidRPr="00160A33">
        <w:rPr>
          <w:noProof/>
          <w:webHidden/>
        </w:rPr>
        <w:t>24</w:t>
      </w:r>
    </w:p>
    <w:p w14:paraId="292E552B" w14:textId="77777777" w:rsidR="00D37F2D" w:rsidRPr="00C3707B" w:rsidRDefault="00D37F2D" w:rsidP="00D37F2D">
      <w:pPr>
        <w:pStyle w:val="TOC1"/>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C3707B">
        <w:rPr>
          <w:noProof/>
        </w:rPr>
        <w:tab/>
      </w:r>
      <w:r w:rsidRPr="00C3707B">
        <w:rPr>
          <w:caps/>
          <w:noProof/>
        </w:rPr>
        <w:t>Digitale dimensies</w:t>
      </w:r>
      <w:r w:rsidRPr="00C3707B">
        <w:rPr>
          <w:noProof/>
        </w:rPr>
        <w:tab/>
      </w:r>
      <w:r w:rsidRPr="00160A33">
        <w:rPr>
          <w:noProof/>
          <w:webHidden/>
        </w:rPr>
        <w:t>24</w:t>
      </w:r>
    </w:p>
    <w:p w14:paraId="71861E72"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160A33">
        <w:rPr>
          <w:noProof/>
        </w:rPr>
        <w:t>1</w:t>
      </w:r>
      <w:r w:rsidRPr="00C3707B">
        <w:rPr>
          <w:noProof/>
        </w:rPr>
        <w:t>.</w:t>
      </w:r>
      <w:r w:rsidRPr="00C3707B">
        <w:rPr>
          <w:noProof/>
        </w:rPr>
        <w:tab/>
        <w:t>Voorschriften met digitale relevantie</w:t>
      </w:r>
      <w:r w:rsidRPr="00C3707B">
        <w:rPr>
          <w:noProof/>
        </w:rPr>
        <w:tab/>
      </w:r>
      <w:r w:rsidRPr="00160A33">
        <w:rPr>
          <w:noProof/>
          <w:webHidden/>
        </w:rPr>
        <w:t>24</w:t>
      </w:r>
    </w:p>
    <w:p w14:paraId="414AF4B9"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160A33">
        <w:rPr>
          <w:noProof/>
        </w:rPr>
        <w:t>2</w:t>
      </w:r>
      <w:r w:rsidRPr="00C3707B">
        <w:rPr>
          <w:noProof/>
        </w:rPr>
        <w:t>.</w:t>
      </w:r>
      <w:r w:rsidRPr="00C3707B">
        <w:rPr>
          <w:noProof/>
        </w:rPr>
        <w:tab/>
        <w:t>Gegevens</w:t>
      </w:r>
      <w:r w:rsidRPr="00C3707B">
        <w:rPr>
          <w:noProof/>
        </w:rPr>
        <w:tab/>
      </w:r>
      <w:r w:rsidRPr="00160A33">
        <w:rPr>
          <w:noProof/>
          <w:webHidden/>
        </w:rPr>
        <w:t>25</w:t>
      </w:r>
    </w:p>
    <w:p w14:paraId="739B3A0A"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160A33">
        <w:rPr>
          <w:noProof/>
        </w:rPr>
        <w:t>3</w:t>
      </w:r>
      <w:r w:rsidRPr="00C3707B">
        <w:rPr>
          <w:noProof/>
        </w:rPr>
        <w:t>.</w:t>
      </w:r>
      <w:r w:rsidRPr="00C3707B">
        <w:rPr>
          <w:noProof/>
        </w:rPr>
        <w:tab/>
        <w:t>Digitale oplossingen</w:t>
      </w:r>
      <w:r w:rsidRPr="00C3707B">
        <w:rPr>
          <w:noProof/>
        </w:rPr>
        <w:tab/>
      </w:r>
      <w:r w:rsidRPr="00160A33">
        <w:rPr>
          <w:noProof/>
          <w:webHidden/>
        </w:rPr>
        <w:t>27</w:t>
      </w:r>
    </w:p>
    <w:p w14:paraId="250E93DC"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160A33">
        <w:rPr>
          <w:noProof/>
        </w:rPr>
        <w:t>4</w:t>
      </w:r>
      <w:r w:rsidRPr="00C3707B">
        <w:rPr>
          <w:noProof/>
        </w:rPr>
        <w:t>.</w:t>
      </w:r>
      <w:r w:rsidRPr="00C3707B">
        <w:rPr>
          <w:noProof/>
        </w:rPr>
        <w:tab/>
        <w:t>Interoperabiliteitsbeoordeling</w:t>
      </w:r>
      <w:r w:rsidRPr="00C3707B">
        <w:rPr>
          <w:noProof/>
        </w:rPr>
        <w:tab/>
      </w:r>
      <w:r w:rsidRPr="00160A33">
        <w:rPr>
          <w:noProof/>
          <w:webHidden/>
        </w:rPr>
        <w:t>27</w:t>
      </w:r>
    </w:p>
    <w:p w14:paraId="3B4B2D13" w14:textId="77777777" w:rsidR="00D37F2D" w:rsidRPr="00C3707B" w:rsidRDefault="00D37F2D" w:rsidP="00D37F2D">
      <w:pPr>
        <w:pStyle w:val="TOC2"/>
        <w:rPr>
          <w:rFonts w:asciiTheme="minorHAnsi" w:eastAsiaTheme="minorEastAsia" w:hAnsiTheme="minorHAnsi" w:cstheme="minorBidi"/>
          <w:noProof/>
          <w:kern w:val="2"/>
          <w:sz w:val="22"/>
          <w14:ligatures w14:val="standardContextual"/>
        </w:rPr>
      </w:pPr>
      <w:r w:rsidRPr="00160A33">
        <w:rPr>
          <w:noProof/>
        </w:rPr>
        <w:t>4</w:t>
      </w:r>
      <w:r w:rsidRPr="00C3707B">
        <w:rPr>
          <w:noProof/>
        </w:rPr>
        <w:t>.</w:t>
      </w:r>
      <w:r w:rsidRPr="00160A33">
        <w:rPr>
          <w:noProof/>
        </w:rPr>
        <w:t>5</w:t>
      </w:r>
      <w:r w:rsidRPr="00C3707B">
        <w:rPr>
          <w:noProof/>
        </w:rPr>
        <w:t>.</w:t>
      </w:r>
      <w:r w:rsidRPr="00C3707B">
        <w:rPr>
          <w:noProof/>
        </w:rPr>
        <w:tab/>
        <w:t>Maatregelen ter ondersteuning van de digitale uitvoering</w:t>
      </w:r>
      <w:r w:rsidRPr="00C3707B">
        <w:rPr>
          <w:noProof/>
        </w:rPr>
        <w:tab/>
      </w:r>
      <w:r w:rsidRPr="00160A33">
        <w:rPr>
          <w:noProof/>
          <w:webHidden/>
        </w:rPr>
        <w:t>28</w:t>
      </w:r>
    </w:p>
    <w:p w14:paraId="4E0CF6B0" w14:textId="77777777" w:rsidR="00D37F2D" w:rsidRPr="00C3707B" w:rsidRDefault="00D37F2D" w:rsidP="005D0E22">
      <w:pPr>
        <w:pStyle w:val="TOC1"/>
        <w:rPr>
          <w:noProof/>
        </w:rPr>
        <w:sectPr w:rsidR="00D37F2D" w:rsidRPr="00C3707B" w:rsidSect="00C21E5E">
          <w:pgSz w:w="11907" w:h="16840" w:code="9"/>
          <w:pgMar w:top="1134" w:right="1418" w:bottom="1134" w:left="1418" w:header="709" w:footer="709" w:gutter="0"/>
          <w:pgNumType w:start="1"/>
          <w:cols w:space="720"/>
          <w:docGrid w:linePitch="360"/>
        </w:sectPr>
      </w:pPr>
    </w:p>
    <w:p w14:paraId="7154A909" w14:textId="77777777" w:rsidR="00D62518" w:rsidRDefault="00D37F2D" w:rsidP="00D37F2D">
      <w:pPr>
        <w:pStyle w:val="ManualHeading1"/>
        <w:rPr>
          <w:noProof/>
        </w:rPr>
      </w:pPr>
      <w:bookmarkStart w:id="11" w:name="_Toc514938007"/>
      <w:bookmarkStart w:id="12" w:name="_Toc520485025"/>
      <w:bookmarkStart w:id="13" w:name="_Toc160804567"/>
      <w:bookmarkStart w:id="14" w:name="_Toc167220259"/>
      <w:bookmarkStart w:id="15" w:name="_Toc177548992"/>
      <w:r w:rsidRPr="00160A33">
        <w:rPr>
          <w:noProof/>
        </w:rPr>
        <w:t>1</w:t>
      </w:r>
      <w:r w:rsidRPr="00C3707B">
        <w:rPr>
          <w:noProof/>
        </w:rPr>
        <w:t>.</w:t>
      </w:r>
      <w:r w:rsidRPr="00C3707B">
        <w:rPr>
          <w:noProof/>
        </w:rPr>
        <w:tab/>
        <w:t>KADER VAN HET VOORSTEL/INITIATIEF</w:t>
      </w:r>
      <w:bookmarkEnd w:id="11"/>
      <w:bookmarkEnd w:id="12"/>
      <w:bookmarkEnd w:id="13"/>
      <w:bookmarkEnd w:id="14"/>
      <w:bookmarkEnd w:id="15"/>
    </w:p>
    <w:p w14:paraId="2D35CFC7" w14:textId="463B706C" w:rsidR="00D37F2D" w:rsidRPr="00C3707B" w:rsidRDefault="00D37F2D" w:rsidP="00D37F2D">
      <w:pPr>
        <w:pStyle w:val="ManualHeading2"/>
        <w:rPr>
          <w:noProof/>
        </w:rPr>
      </w:pPr>
      <w:bookmarkStart w:id="16" w:name="_Toc514938008"/>
      <w:bookmarkStart w:id="17" w:name="_Toc520485026"/>
      <w:bookmarkStart w:id="18" w:name="_Toc160804568"/>
      <w:bookmarkStart w:id="19" w:name="_Toc167220260"/>
      <w:bookmarkStart w:id="20" w:name="_Toc177548993"/>
      <w:r w:rsidRPr="00160A33">
        <w:rPr>
          <w:noProof/>
        </w:rPr>
        <w:t>1</w:t>
      </w:r>
      <w:r w:rsidRPr="00C3707B">
        <w:rPr>
          <w:noProof/>
        </w:rPr>
        <w:t>.</w:t>
      </w:r>
      <w:r w:rsidRPr="00160A33">
        <w:rPr>
          <w:noProof/>
        </w:rPr>
        <w:t>1</w:t>
      </w:r>
      <w:r w:rsidRPr="00C3707B">
        <w:rPr>
          <w:noProof/>
        </w:rPr>
        <w:t>.</w:t>
      </w:r>
      <w:r w:rsidRPr="00C3707B">
        <w:rPr>
          <w:noProof/>
        </w:rPr>
        <w:tab/>
        <w:t>Benaming van het voorstel/initiatief</w:t>
      </w:r>
      <w:bookmarkEnd w:id="16"/>
      <w:bookmarkEnd w:id="17"/>
      <w:bookmarkEnd w:id="18"/>
      <w:bookmarkEnd w:id="19"/>
      <w:bookmarkEnd w:id="20"/>
    </w:p>
    <w:p w14:paraId="0470DD56"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VERORDENING VAN HET EUROPEES PARLEMENT EN DE RAAD</w:t>
      </w:r>
    </w:p>
    <w:p w14:paraId="78E7F020" w14:textId="70A9EF1F"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tot vaststelling van een kader voor de vergroting van de beschikbaarheid en voorzieningszekerheid van kritieke geneesmiddelen, en van de beschikbaarheid en toegankelijkheid van geneesmiddelen van gemeenschappelijk belang, en tot wijziging van Verordening (EU) </w:t>
      </w:r>
      <w:r w:rsidRPr="00160A33">
        <w:rPr>
          <w:noProof/>
        </w:rPr>
        <w:t>2024</w:t>
      </w:r>
      <w:r w:rsidRPr="00C3707B">
        <w:rPr>
          <w:noProof/>
        </w:rPr>
        <w:t>/</w:t>
      </w:r>
      <w:r w:rsidRPr="00160A33">
        <w:rPr>
          <w:noProof/>
        </w:rPr>
        <w:t>795</w:t>
      </w:r>
    </w:p>
    <w:p w14:paraId="74F3EB31" w14:textId="42476BA7" w:rsidR="00D37F2D" w:rsidRPr="00C3707B" w:rsidRDefault="00D37F2D" w:rsidP="00D37F2D">
      <w:pPr>
        <w:pStyle w:val="ManualHeading2"/>
        <w:rPr>
          <w:i/>
          <w:noProof/>
        </w:rPr>
      </w:pPr>
      <w:bookmarkStart w:id="21" w:name="_Toc514938011"/>
      <w:bookmarkStart w:id="22" w:name="_Toc520485027"/>
      <w:bookmarkStart w:id="23" w:name="_Toc160804569"/>
      <w:bookmarkStart w:id="24" w:name="_Toc167220261"/>
      <w:bookmarkStart w:id="25" w:name="_Toc177548994"/>
      <w:r w:rsidRPr="00160A33">
        <w:rPr>
          <w:noProof/>
        </w:rPr>
        <w:t>1</w:t>
      </w:r>
      <w:r w:rsidRPr="00C3707B">
        <w:rPr>
          <w:noProof/>
        </w:rPr>
        <w:t>.</w:t>
      </w:r>
      <w:r w:rsidRPr="00160A33">
        <w:rPr>
          <w:noProof/>
        </w:rPr>
        <w:t>2</w:t>
      </w:r>
      <w:r w:rsidRPr="00C3707B">
        <w:rPr>
          <w:noProof/>
        </w:rPr>
        <w:t>.</w:t>
      </w:r>
      <w:r w:rsidRPr="00C3707B">
        <w:rPr>
          <w:noProof/>
        </w:rPr>
        <w:tab/>
        <w:t>Betrokken beleidsterreinen</w:t>
      </w:r>
      <w:bookmarkEnd w:id="21"/>
      <w:bookmarkEnd w:id="22"/>
      <w:bookmarkEnd w:id="23"/>
      <w:bookmarkEnd w:id="24"/>
      <w:bookmarkEnd w:id="25"/>
    </w:p>
    <w:p w14:paraId="4C92A279"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Rubriek </w:t>
      </w:r>
      <w:r w:rsidRPr="00160A33">
        <w:rPr>
          <w:noProof/>
        </w:rPr>
        <w:t>2</w:t>
      </w:r>
      <w:r w:rsidRPr="00C3707B">
        <w:rPr>
          <w:noProof/>
        </w:rPr>
        <w:t>: Cohesie, veerkracht en waarden</w:t>
      </w:r>
    </w:p>
    <w:p w14:paraId="306FD68C"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EU</w:t>
      </w:r>
      <w:r w:rsidRPr="00160A33">
        <w:rPr>
          <w:noProof/>
        </w:rPr>
        <w:t>4</w:t>
      </w:r>
      <w:r w:rsidRPr="00C3707B">
        <w:rPr>
          <w:noProof/>
        </w:rPr>
        <w:t>Health</w:t>
      </w:r>
    </w:p>
    <w:p w14:paraId="4D86837D" w14:textId="77777777" w:rsidR="00D37F2D" w:rsidRPr="00C3707B" w:rsidRDefault="00D37F2D" w:rsidP="00D37F2D">
      <w:pPr>
        <w:pStyle w:val="ManualHeading2"/>
        <w:rPr>
          <w:noProof/>
        </w:rPr>
      </w:pPr>
      <w:bookmarkStart w:id="26" w:name="_Toc514938015"/>
      <w:bookmarkStart w:id="27" w:name="_Toc520485029"/>
      <w:bookmarkStart w:id="28" w:name="_Toc160804571"/>
      <w:bookmarkStart w:id="29" w:name="_Toc167220263"/>
      <w:bookmarkStart w:id="30" w:name="_Toc177548995"/>
      <w:r w:rsidRPr="00160A33">
        <w:rPr>
          <w:noProof/>
        </w:rPr>
        <w:t>1</w:t>
      </w:r>
      <w:r w:rsidRPr="00C3707B">
        <w:rPr>
          <w:noProof/>
        </w:rPr>
        <w:t>.</w:t>
      </w:r>
      <w:r w:rsidRPr="00160A33">
        <w:rPr>
          <w:noProof/>
        </w:rPr>
        <w:t>3</w:t>
      </w:r>
      <w:r w:rsidRPr="00C3707B">
        <w:rPr>
          <w:noProof/>
        </w:rPr>
        <w:t>.</w:t>
      </w:r>
      <w:r w:rsidRPr="00C3707B">
        <w:rPr>
          <w:noProof/>
        </w:rPr>
        <w:tab/>
        <w:t>Doelstellingen</w:t>
      </w:r>
      <w:bookmarkEnd w:id="26"/>
      <w:bookmarkEnd w:id="27"/>
      <w:bookmarkEnd w:id="28"/>
      <w:bookmarkEnd w:id="29"/>
      <w:bookmarkEnd w:id="30"/>
    </w:p>
    <w:p w14:paraId="3C6F28F4" w14:textId="77777777" w:rsidR="00D37F2D" w:rsidRPr="00C3707B" w:rsidRDefault="00D37F2D" w:rsidP="00D37F2D">
      <w:pPr>
        <w:pStyle w:val="ManualHeading3"/>
        <w:rPr>
          <w:noProof/>
        </w:rPr>
      </w:pPr>
      <w:bookmarkStart w:id="31" w:name="_Toc514938016"/>
      <w:bookmarkStart w:id="32" w:name="_Toc520485030"/>
      <w:bookmarkStart w:id="33" w:name="_Toc160804572"/>
      <w:bookmarkStart w:id="34" w:name="_Toc167220264"/>
      <w:bookmarkStart w:id="35" w:name="_Toc177548996"/>
      <w:r w:rsidRPr="00160A33">
        <w:rPr>
          <w:noProof/>
        </w:rPr>
        <w:t>1</w:t>
      </w:r>
      <w:r w:rsidRPr="00C3707B">
        <w:rPr>
          <w:noProof/>
        </w:rPr>
        <w:t>.</w:t>
      </w:r>
      <w:r w:rsidRPr="00160A33">
        <w:rPr>
          <w:noProof/>
        </w:rPr>
        <w:t>3</w:t>
      </w:r>
      <w:r w:rsidRPr="00C3707B">
        <w:rPr>
          <w:noProof/>
        </w:rPr>
        <w:t>.</w:t>
      </w:r>
      <w:r w:rsidRPr="00160A33">
        <w:rPr>
          <w:noProof/>
        </w:rPr>
        <w:t>1</w:t>
      </w:r>
      <w:r w:rsidRPr="00C3707B">
        <w:rPr>
          <w:noProof/>
        </w:rPr>
        <w:t>.</w:t>
      </w:r>
      <w:r w:rsidRPr="00C3707B">
        <w:rPr>
          <w:noProof/>
        </w:rPr>
        <w:tab/>
        <w:t>Algemene doelstellingen</w:t>
      </w:r>
      <w:bookmarkEnd w:id="31"/>
      <w:bookmarkEnd w:id="32"/>
      <w:bookmarkEnd w:id="33"/>
      <w:bookmarkEnd w:id="34"/>
      <w:bookmarkEnd w:id="35"/>
    </w:p>
    <w:p w14:paraId="0F82EA9E"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algemene doelstelling van deze verordening is om de voorzieningszekerheid en de beschikbaarheid van kritieke geneesmiddelen in de Unie te vergroten en zo een hoog niveau van bescherming van de volksgezondheid te waarborgen en de veiligheid van de Unie te ondersteunen. Daarnaast moet de beschikbaarheid en toegankelijkheid van andere geneesmiddelen worden verbeterd wanneer de marktwerking de beschikbaarheid en toegankelijkheid van die geneesmiddelen voor patiënten anders onvoldoende zou waarborgen, waarbij grondig wordt nagegaan of ingrijpen passend is om de betaalbaarheid van geneesmiddelen te waarborgen.</w:t>
      </w:r>
    </w:p>
    <w:p w14:paraId="2C6F57F0" w14:textId="77777777" w:rsidR="00D37F2D" w:rsidRPr="00C3707B" w:rsidRDefault="00D37F2D" w:rsidP="00D37F2D">
      <w:pPr>
        <w:pStyle w:val="ManualHeading3"/>
        <w:rPr>
          <w:noProof/>
        </w:rPr>
      </w:pPr>
      <w:bookmarkStart w:id="36" w:name="_Toc514938018"/>
      <w:bookmarkStart w:id="37" w:name="_Toc520485031"/>
      <w:bookmarkStart w:id="38" w:name="_Toc160804573"/>
      <w:bookmarkStart w:id="39" w:name="_Toc167220265"/>
      <w:bookmarkStart w:id="40" w:name="_Toc177548997"/>
      <w:r w:rsidRPr="00160A33">
        <w:rPr>
          <w:noProof/>
        </w:rPr>
        <w:t>1</w:t>
      </w:r>
      <w:r w:rsidRPr="00C3707B">
        <w:rPr>
          <w:noProof/>
        </w:rPr>
        <w:t>.</w:t>
      </w:r>
      <w:r w:rsidRPr="00160A33">
        <w:rPr>
          <w:noProof/>
        </w:rPr>
        <w:t>3</w:t>
      </w:r>
      <w:r w:rsidRPr="00C3707B">
        <w:rPr>
          <w:noProof/>
        </w:rPr>
        <w:t>.</w:t>
      </w:r>
      <w:r w:rsidRPr="00160A33">
        <w:rPr>
          <w:noProof/>
        </w:rPr>
        <w:t>2</w:t>
      </w:r>
      <w:r w:rsidRPr="00C3707B">
        <w:rPr>
          <w:noProof/>
        </w:rPr>
        <w:t>.</w:t>
      </w:r>
      <w:r w:rsidRPr="00C3707B">
        <w:rPr>
          <w:noProof/>
        </w:rPr>
        <w:tab/>
        <w:t>Specifieke doelstellingen</w:t>
      </w:r>
      <w:bookmarkEnd w:id="36"/>
      <w:bookmarkEnd w:id="37"/>
      <w:bookmarkEnd w:id="38"/>
      <w:bookmarkEnd w:id="39"/>
      <w:bookmarkEnd w:id="40"/>
    </w:p>
    <w:p w14:paraId="468D4FEE"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specifieke doelstellingen van het voorstel zijn:</w:t>
      </w:r>
    </w:p>
    <w:p w14:paraId="36402AB7"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a)</w:t>
      </w:r>
      <w:r w:rsidRPr="00C3707B">
        <w:rPr>
          <w:noProof/>
        </w:rPr>
        <w:tab/>
        <w:t>investeringen in de productiecapaciteit voor kritieke geneesmiddelen en de werkzame stoffen en andere belangrijke inputs in de EU vergemakkelijken;</w:t>
      </w:r>
    </w:p>
    <w:p w14:paraId="56B36C5F"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b)</w:t>
      </w:r>
      <w:r w:rsidRPr="00C3707B">
        <w:rPr>
          <w:noProof/>
        </w:rPr>
        <w:tab/>
        <w:t>het risico op verstoringen van de voorziening verlagen en de beschikbaarheid vergroten door diversificatie van de toeleveringsketens en veerkracht in de openbare aanbestedingsprocedures voor kritieke geneesmiddelen en andere geneesmiddelen van gemeenschappelijk belang te stimuleren;</w:t>
      </w:r>
    </w:p>
    <w:p w14:paraId="3C5153B3" w14:textId="48F9B504"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c)</w:t>
      </w:r>
      <w:r w:rsidRPr="00C3707B">
        <w:rPr>
          <w:noProof/>
        </w:rPr>
        <w:tab/>
        <w:t>de geaggregeerde vraag van de geïnteresseerde lidstaten benutten via collectieve aanbestedingsprocedures;</w:t>
      </w:r>
    </w:p>
    <w:p w14:paraId="1704D60B"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w:t>
      </w:r>
      <w:r w:rsidRPr="00C3707B">
        <w:rPr>
          <w:noProof/>
        </w:rPr>
        <w:tab/>
        <w:t>de diversificatie van toeleveringsketens ondersteunen, onder meer door het aangaan van strategische partnerschappen.</w:t>
      </w:r>
    </w:p>
    <w:p w14:paraId="2F941992" w14:textId="77777777" w:rsidR="00D37F2D" w:rsidRPr="00C3707B" w:rsidRDefault="00D37F2D" w:rsidP="00D37F2D">
      <w:pPr>
        <w:pStyle w:val="ManualHeading3"/>
        <w:rPr>
          <w:noProof/>
        </w:rPr>
      </w:pPr>
      <w:bookmarkStart w:id="41" w:name="_Toc514938019"/>
      <w:bookmarkStart w:id="42" w:name="_Toc520485032"/>
      <w:bookmarkStart w:id="43" w:name="_Toc160804574"/>
      <w:bookmarkStart w:id="44" w:name="_Toc167220266"/>
      <w:bookmarkStart w:id="45" w:name="_Toc177548998"/>
      <w:r w:rsidRPr="00160A33">
        <w:rPr>
          <w:noProof/>
        </w:rPr>
        <w:t>1</w:t>
      </w:r>
      <w:r w:rsidRPr="00C3707B">
        <w:rPr>
          <w:noProof/>
        </w:rPr>
        <w:t>.</w:t>
      </w:r>
      <w:r w:rsidRPr="00160A33">
        <w:rPr>
          <w:noProof/>
        </w:rPr>
        <w:t>3</w:t>
      </w:r>
      <w:r w:rsidRPr="00C3707B">
        <w:rPr>
          <w:noProof/>
        </w:rPr>
        <w:t>.</w:t>
      </w:r>
      <w:r w:rsidRPr="00160A33">
        <w:rPr>
          <w:noProof/>
        </w:rPr>
        <w:t>3</w:t>
      </w:r>
      <w:r w:rsidRPr="00C3707B">
        <w:rPr>
          <w:noProof/>
        </w:rPr>
        <w:t>.</w:t>
      </w:r>
      <w:r w:rsidRPr="00C3707B">
        <w:rPr>
          <w:noProof/>
        </w:rPr>
        <w:tab/>
        <w:t>Verwachte resultaten en gevolgen</w:t>
      </w:r>
      <w:bookmarkEnd w:id="41"/>
      <w:bookmarkEnd w:id="42"/>
      <w:bookmarkEnd w:id="43"/>
      <w:bookmarkEnd w:id="44"/>
      <w:bookmarkEnd w:id="45"/>
    </w:p>
    <w:p w14:paraId="5FA5CB02" w14:textId="77777777" w:rsidR="00D37F2D" w:rsidRPr="00C3707B" w:rsidRDefault="00D37F2D" w:rsidP="00D37F2D">
      <w:pPr>
        <w:pStyle w:val="Text1"/>
        <w:rPr>
          <w:i/>
          <w:noProof/>
          <w:sz w:val="20"/>
        </w:rPr>
      </w:pPr>
      <w:r w:rsidRPr="00C3707B">
        <w:rPr>
          <w:i/>
          <w:noProof/>
          <w:sz w:val="20"/>
        </w:rPr>
        <w:t>Vermeld de gevolgen die het voorstel/initiatief zou moeten hebben op de begunstigden/doelgroepen.</w:t>
      </w:r>
    </w:p>
    <w:p w14:paraId="7669E4D0"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voorgestelde wetgeving zal naar verwachting de veerkracht van toeleveringsketens van geneesmiddelen in de EU versterken en bijdragen tot een betere voorzieningszekerheid. Daarnaast zullen de tekorten aan kritieke geneesmiddelen afnemen, en zullen de kwaliteit van de volksgezondheid en het vertrouwen in de gezondheidszorg toenemen. Economisch gezien zal het voorstel naar verwachting de productiebasis van kritieke geneesmiddelen en het concurrentievermogen van de farmaceutische sector versterken, onder meer door diversificatie. Op sociaal niveau zal de voorgestelde wetgeving de toegankelijkheid van kritieke geneesmiddelen en bepaalde andere geneesmiddelen voor patiënten in de EU verbeteren. Deze resultaten zullen rechtstreeks bijdragen aan de verwezenlijking van duurzameontwikkelingsdoelstelling </w:t>
      </w:r>
      <w:r w:rsidRPr="00160A33">
        <w:rPr>
          <w:noProof/>
        </w:rPr>
        <w:t>3</w:t>
      </w:r>
      <w:r w:rsidRPr="00C3707B">
        <w:rPr>
          <w:noProof/>
        </w:rPr>
        <w:t xml:space="preserve"> “Goede gezondheid en welzijn”. Naast de voordelen op het gebied van de volksgezondheid zal het voorstel naar verwachting vooral gevolgen hebben voor de farmaceutische industrie die betrokken is bij de levering van kritieke geneesmiddelen, aangezien de industrie kan profiteren van steun op het gebied van administratie en regelgeving, en van toegang tot financiering voor bepaalde strategische projecten. Daarnaast zal de voorgestelde wetgeving waarschijnlijk gevolgen hebben voor nationale bestuurslichamen en aanbesteders die actief zijn op het gebied van overheidsopdrachten voor kritieke geneesmiddelen en andere geneesmiddelen van gemeenschappelijk belang.</w:t>
      </w:r>
    </w:p>
    <w:p w14:paraId="577BFEA4" w14:textId="77777777" w:rsidR="00D37F2D" w:rsidRPr="00C3707B" w:rsidRDefault="00D37F2D" w:rsidP="00D37F2D">
      <w:pPr>
        <w:pStyle w:val="ManualHeading3"/>
        <w:rPr>
          <w:noProof/>
        </w:rPr>
      </w:pPr>
      <w:bookmarkStart w:id="46" w:name="_Toc514938023"/>
      <w:bookmarkStart w:id="47" w:name="_Toc520485033"/>
      <w:bookmarkStart w:id="48" w:name="_Toc160804575"/>
      <w:bookmarkStart w:id="49" w:name="_Toc167220267"/>
      <w:bookmarkStart w:id="50" w:name="_Toc177548999"/>
      <w:r w:rsidRPr="00160A33">
        <w:rPr>
          <w:noProof/>
        </w:rPr>
        <w:t>1</w:t>
      </w:r>
      <w:r w:rsidRPr="00C3707B">
        <w:rPr>
          <w:noProof/>
        </w:rPr>
        <w:t>.</w:t>
      </w:r>
      <w:r w:rsidRPr="00160A33">
        <w:rPr>
          <w:noProof/>
        </w:rPr>
        <w:t>3</w:t>
      </w:r>
      <w:r w:rsidRPr="00C3707B">
        <w:rPr>
          <w:noProof/>
        </w:rPr>
        <w:t>.</w:t>
      </w:r>
      <w:r w:rsidRPr="00160A33">
        <w:rPr>
          <w:noProof/>
        </w:rPr>
        <w:t>4</w:t>
      </w:r>
      <w:r w:rsidRPr="00C3707B">
        <w:rPr>
          <w:noProof/>
        </w:rPr>
        <w:t>.</w:t>
      </w:r>
      <w:r w:rsidRPr="00C3707B">
        <w:rPr>
          <w:noProof/>
        </w:rPr>
        <w:tab/>
        <w:t>Prestatie-indicatoren</w:t>
      </w:r>
      <w:bookmarkEnd w:id="46"/>
      <w:bookmarkEnd w:id="47"/>
      <w:bookmarkEnd w:id="48"/>
      <w:bookmarkEnd w:id="49"/>
      <w:bookmarkEnd w:id="50"/>
    </w:p>
    <w:p w14:paraId="4AE4B5D1" w14:textId="77777777" w:rsidR="00D37F2D" w:rsidRPr="00C3707B" w:rsidRDefault="00D37F2D" w:rsidP="00D37F2D">
      <w:pPr>
        <w:pStyle w:val="Text1"/>
        <w:rPr>
          <w:i/>
          <w:noProof/>
          <w:sz w:val="20"/>
        </w:rPr>
      </w:pPr>
      <w:r w:rsidRPr="00C3707B">
        <w:rPr>
          <w:i/>
          <w:noProof/>
          <w:sz w:val="20"/>
        </w:rPr>
        <w:t>Vermeld de indicatoren voor de monitoring van de voortgang en de beoordeling van de resultaten</w:t>
      </w:r>
    </w:p>
    <w:tbl>
      <w:tblPr>
        <w:tblW w:w="0" w:type="auto"/>
        <w:tblLayout w:type="fixed"/>
        <w:tblLook w:val="06A0" w:firstRow="1" w:lastRow="0" w:firstColumn="1" w:lastColumn="0" w:noHBand="1" w:noVBand="1"/>
      </w:tblPr>
      <w:tblGrid>
        <w:gridCol w:w="1008"/>
        <w:gridCol w:w="3468"/>
        <w:gridCol w:w="2826"/>
        <w:gridCol w:w="1759"/>
      </w:tblGrid>
      <w:tr w:rsidR="00D37F2D" w:rsidRPr="00C3707B" w14:paraId="515B0012" w14:textId="77777777">
        <w:trPr>
          <w:trHeight w:val="285"/>
        </w:trPr>
        <w:tc>
          <w:tcPr>
            <w:tcW w:w="1008" w:type="dxa"/>
            <w:tcBorders>
              <w:top w:val="single" w:sz="4" w:space="0" w:color="auto"/>
              <w:left w:val="single" w:sz="4" w:space="0" w:color="auto"/>
              <w:bottom w:val="single" w:sz="4" w:space="0" w:color="auto"/>
              <w:right w:val="single" w:sz="4" w:space="0" w:color="auto"/>
            </w:tcBorders>
            <w:shd w:val="clear" w:color="auto" w:fill="156082"/>
            <w:tcMar>
              <w:top w:w="15" w:type="dxa"/>
              <w:left w:w="15" w:type="dxa"/>
              <w:right w:w="15" w:type="dxa"/>
            </w:tcMar>
            <w:vAlign w:val="bottom"/>
          </w:tcPr>
          <w:p w14:paraId="431FDD68" w14:textId="77777777" w:rsidR="00D37F2D" w:rsidRPr="00C3707B" w:rsidRDefault="00D37F2D">
            <w:pPr>
              <w:spacing w:before="0" w:after="0"/>
              <w:jc w:val="left"/>
              <w:rPr>
                <w:rFonts w:eastAsia="Aptos Narrow"/>
                <w:b/>
                <w:noProof/>
                <w:color w:val="FFFFFF" w:themeColor="background1"/>
                <w:sz w:val="18"/>
                <w:szCs w:val="18"/>
              </w:rPr>
            </w:pPr>
            <w:r w:rsidRPr="00C3707B">
              <w:rPr>
                <w:b/>
                <w:noProof/>
                <w:color w:val="FFFFFF" w:themeColor="background1"/>
                <w:sz w:val="18"/>
              </w:rPr>
              <w:t xml:space="preserve">Doelstelling </w:t>
            </w:r>
          </w:p>
        </w:tc>
        <w:tc>
          <w:tcPr>
            <w:tcW w:w="3468" w:type="dxa"/>
            <w:tcBorders>
              <w:top w:val="single" w:sz="4" w:space="0" w:color="auto"/>
              <w:left w:val="single" w:sz="4" w:space="0" w:color="auto"/>
              <w:bottom w:val="single" w:sz="4" w:space="0" w:color="auto"/>
              <w:right w:val="single" w:sz="4" w:space="0" w:color="auto"/>
            </w:tcBorders>
            <w:shd w:val="clear" w:color="auto" w:fill="156082"/>
            <w:tcMar>
              <w:top w:w="15" w:type="dxa"/>
              <w:left w:w="15" w:type="dxa"/>
              <w:right w:w="15" w:type="dxa"/>
            </w:tcMar>
            <w:vAlign w:val="bottom"/>
          </w:tcPr>
          <w:p w14:paraId="387DA763" w14:textId="77777777" w:rsidR="00D37F2D" w:rsidRPr="00C3707B" w:rsidRDefault="00D37F2D">
            <w:pPr>
              <w:spacing w:before="0" w:after="0"/>
              <w:jc w:val="left"/>
              <w:rPr>
                <w:rFonts w:eastAsia="Aptos Narrow"/>
                <w:b/>
                <w:noProof/>
                <w:color w:val="FFFFFF" w:themeColor="background1"/>
                <w:sz w:val="18"/>
                <w:szCs w:val="18"/>
              </w:rPr>
            </w:pPr>
            <w:r w:rsidRPr="00C3707B">
              <w:rPr>
                <w:b/>
                <w:noProof/>
                <w:color w:val="FFFFFF" w:themeColor="background1"/>
                <w:sz w:val="18"/>
              </w:rPr>
              <w:t>Indicator</w:t>
            </w:r>
          </w:p>
        </w:tc>
        <w:tc>
          <w:tcPr>
            <w:tcW w:w="2826" w:type="dxa"/>
            <w:tcBorders>
              <w:top w:val="single" w:sz="4" w:space="0" w:color="auto"/>
              <w:left w:val="single" w:sz="4" w:space="0" w:color="auto"/>
              <w:bottom w:val="single" w:sz="4" w:space="0" w:color="auto"/>
              <w:right w:val="single" w:sz="4" w:space="0" w:color="auto"/>
            </w:tcBorders>
            <w:shd w:val="clear" w:color="auto" w:fill="156082"/>
            <w:tcMar>
              <w:top w:w="15" w:type="dxa"/>
              <w:left w:w="15" w:type="dxa"/>
              <w:right w:w="15" w:type="dxa"/>
            </w:tcMar>
            <w:vAlign w:val="bottom"/>
          </w:tcPr>
          <w:p w14:paraId="478B5B2E" w14:textId="77777777" w:rsidR="00D37F2D" w:rsidRPr="00C3707B" w:rsidRDefault="00D37F2D">
            <w:pPr>
              <w:spacing w:before="0" w:after="0"/>
              <w:jc w:val="left"/>
              <w:rPr>
                <w:rFonts w:eastAsia="Aptos Narrow"/>
                <w:b/>
                <w:noProof/>
                <w:color w:val="FFFFFF" w:themeColor="background1"/>
                <w:sz w:val="18"/>
                <w:szCs w:val="18"/>
              </w:rPr>
            </w:pPr>
            <w:r w:rsidRPr="00C3707B">
              <w:rPr>
                <w:b/>
                <w:noProof/>
                <w:color w:val="FFFFFF" w:themeColor="background1"/>
                <w:sz w:val="18"/>
              </w:rPr>
              <w:t>Streefdoel en uitgangssituatie</w:t>
            </w:r>
          </w:p>
        </w:tc>
        <w:tc>
          <w:tcPr>
            <w:tcW w:w="1759" w:type="dxa"/>
            <w:tcBorders>
              <w:top w:val="single" w:sz="4" w:space="0" w:color="auto"/>
              <w:left w:val="single" w:sz="4" w:space="0" w:color="auto"/>
              <w:bottom w:val="single" w:sz="4" w:space="0" w:color="auto"/>
              <w:right w:val="single" w:sz="4" w:space="0" w:color="auto"/>
            </w:tcBorders>
            <w:shd w:val="clear" w:color="auto" w:fill="156082"/>
            <w:tcMar>
              <w:top w:w="15" w:type="dxa"/>
              <w:left w:w="15" w:type="dxa"/>
              <w:right w:w="15" w:type="dxa"/>
            </w:tcMar>
            <w:vAlign w:val="bottom"/>
          </w:tcPr>
          <w:p w14:paraId="4835C1DC" w14:textId="77777777" w:rsidR="00D37F2D" w:rsidRPr="00C3707B" w:rsidRDefault="00D37F2D">
            <w:pPr>
              <w:spacing w:before="0" w:after="0"/>
              <w:jc w:val="left"/>
              <w:rPr>
                <w:rFonts w:eastAsia="Aptos Narrow"/>
                <w:b/>
                <w:noProof/>
                <w:color w:val="FFFFFF" w:themeColor="background1"/>
                <w:sz w:val="18"/>
                <w:szCs w:val="18"/>
              </w:rPr>
            </w:pPr>
            <w:r w:rsidRPr="00C3707B">
              <w:rPr>
                <w:b/>
                <w:noProof/>
                <w:color w:val="FFFFFF" w:themeColor="background1"/>
                <w:sz w:val="18"/>
              </w:rPr>
              <w:t>Bron en beschikbaarheid van gegevens</w:t>
            </w:r>
          </w:p>
        </w:tc>
      </w:tr>
      <w:tr w:rsidR="00D37F2D" w:rsidRPr="00C3707B" w14:paraId="15B292EC" w14:textId="77777777">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2B1E82A4"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C8687B9"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Aantal kritieke geneesmiddelen op de lijst van de Unie van kritieke geneesmiddelen </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60119C3F"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276</w:t>
            </w:r>
            <w:r w:rsidRPr="00C3707B">
              <w:rPr>
                <w:noProof/>
                <w:color w:val="000000" w:themeColor="text1"/>
                <w:sz w:val="18"/>
              </w:rPr>
              <w:t xml:space="preserve"> — Dit aantal zal naar verwachting aanvankelijk toenemen en dan gelijk blijven</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1EA40723"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EMA, reeds beschikbare lijst van de Unie van kritieke geneesmiddelen</w:t>
            </w:r>
          </w:p>
        </w:tc>
      </w:tr>
      <w:tr w:rsidR="00D37F2D" w:rsidRPr="00C3707B" w14:paraId="01F8EC13" w14:textId="77777777">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7EBB2CF7"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6DB8F9A3"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Aantal kritieke tekorten aan in de lijst van de Unie opgenomen kritieke geneesmiddelen dat is gemeld aan de SPOC-werkgroep</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6C4DD06F"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Het aantal gemelde tekorten aan kritieke geneesmiddelen is afhankelijk van het verslagleggingspercentage. Tekorten aan kritieke geneesmiddelen kunnen worden veroorzaakt door externe factoren (zoals een toegenomen vraag als gevolg van een nieuwe pandemie), en daarom moeten trends in dit aantal voorzichtig worden geïnterpreteerd.</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04213A9"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EMA, reeds beschikbaar</w:t>
            </w:r>
          </w:p>
        </w:tc>
      </w:tr>
      <w:tr w:rsidR="00D37F2D" w:rsidRPr="00C3707B" w14:paraId="4382E376" w14:textId="77777777">
        <w:trPr>
          <w:trHeight w:val="840"/>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58558CA"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27AC14F7"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Percentage kritieke tekorten dat aan de SPOC-werkgroep is gemeld dat betrekking heeft op een kritiek geneesmiddel dat in de lijst van de Unie is opgenomen.</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FAD083F"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Van de </w:t>
            </w:r>
            <w:r w:rsidRPr="00160A33">
              <w:rPr>
                <w:noProof/>
                <w:color w:val="000000" w:themeColor="text1"/>
                <w:sz w:val="18"/>
              </w:rPr>
              <w:t>63</w:t>
            </w:r>
            <w:r w:rsidRPr="00C3707B">
              <w:rPr>
                <w:noProof/>
                <w:color w:val="000000" w:themeColor="text1"/>
                <w:sz w:val="18"/>
              </w:rPr>
              <w:t xml:space="preserve"> INN’s waarvoor het EMA in </w:t>
            </w:r>
            <w:r w:rsidRPr="00160A33">
              <w:rPr>
                <w:noProof/>
                <w:color w:val="000000" w:themeColor="text1"/>
                <w:sz w:val="18"/>
              </w:rPr>
              <w:t>2024</w:t>
            </w:r>
            <w:r w:rsidRPr="00C3707B">
              <w:rPr>
                <w:noProof/>
                <w:color w:val="000000" w:themeColor="text1"/>
                <w:sz w:val="18"/>
              </w:rPr>
              <w:t xml:space="preserve"> uit EU/EER-landen meldingen van tekorten heeft ontvangen, hadden </w:t>
            </w:r>
            <w:r w:rsidRPr="00160A33">
              <w:rPr>
                <w:noProof/>
                <w:color w:val="000000" w:themeColor="text1"/>
                <w:sz w:val="18"/>
              </w:rPr>
              <w:t>29</w:t>
            </w:r>
            <w:r w:rsidRPr="00C3707B">
              <w:rPr>
                <w:noProof/>
                <w:color w:val="000000" w:themeColor="text1"/>
                <w:sz w:val="18"/>
              </w:rPr>
              <w:t xml:space="preserve"> (ca. </w:t>
            </w:r>
            <w:r w:rsidRPr="00160A33">
              <w:rPr>
                <w:noProof/>
                <w:color w:val="000000" w:themeColor="text1"/>
                <w:sz w:val="18"/>
              </w:rPr>
              <w:t>45</w:t>
            </w:r>
            <w:r w:rsidRPr="00C3707B">
              <w:rPr>
                <w:noProof/>
                <w:color w:val="000000" w:themeColor="text1"/>
                <w:sz w:val="18"/>
              </w:rPr>
              <w:t> %) betrekking op de kritieke geneesmiddelen in de lijst van de Unie. Dit percentage zal naar verwachting dalen.</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7C221B6B"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EMA, reeds beschikbaar</w:t>
            </w:r>
          </w:p>
        </w:tc>
      </w:tr>
      <w:tr w:rsidR="00D37F2D" w:rsidRPr="00C3707B" w14:paraId="276E9162" w14:textId="77777777">
        <w:trPr>
          <w:trHeight w:val="840"/>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F5D0EFF"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Specifieke doelstelling a) </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014FA0C"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Aantal strategische projecten waarvan is vastgesteld dat daarmee een bestaande kwetsbaarheid in de toeleveringsketens van kritieke geneesmiddelen wordt aangepakt </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FC954AF"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 </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29C28B81"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Verslaglegging door de lidstaten, zoals omschreven in artikel </w:t>
            </w:r>
            <w:r w:rsidRPr="00160A33">
              <w:rPr>
                <w:noProof/>
                <w:color w:val="000000" w:themeColor="text1"/>
                <w:sz w:val="18"/>
              </w:rPr>
              <w:t>16</w:t>
            </w:r>
          </w:p>
        </w:tc>
      </w:tr>
      <w:tr w:rsidR="00D37F2D" w:rsidRPr="00C3707B" w14:paraId="03BC2A04" w14:textId="77777777">
        <w:trPr>
          <w:trHeight w:val="840"/>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7CC14F2"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Specifieke doelstelling a)</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B4C7888"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Aantal strategische projecten voor kritieke geneesmiddelen die nationale financiële steun ontvangen</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FB8D378"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095892D"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Verslaglegging door de lidstaten, zoals omschreven in artikel </w:t>
            </w:r>
            <w:r w:rsidRPr="00160A33">
              <w:rPr>
                <w:noProof/>
                <w:color w:val="000000" w:themeColor="text1"/>
                <w:sz w:val="18"/>
              </w:rPr>
              <w:t>17</w:t>
            </w:r>
          </w:p>
        </w:tc>
      </w:tr>
      <w:tr w:rsidR="00D37F2D" w:rsidRPr="00C3707B" w14:paraId="797C4C8B" w14:textId="77777777">
        <w:trPr>
          <w:trHeight w:val="870"/>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64A48470" w14:textId="77777777" w:rsidR="00D37F2D" w:rsidRPr="00C3707B" w:rsidRDefault="00D37F2D">
            <w:pPr>
              <w:spacing w:before="0" w:after="0"/>
              <w:jc w:val="left"/>
              <w:rPr>
                <w:rFonts w:eastAsia="Calibri"/>
                <w:noProof/>
                <w:color w:val="000000" w:themeColor="text1"/>
                <w:sz w:val="18"/>
                <w:szCs w:val="18"/>
              </w:rPr>
            </w:pPr>
            <w:r w:rsidRPr="00C3707B">
              <w:rPr>
                <w:noProof/>
                <w:color w:val="000000" w:themeColor="text1"/>
                <w:sz w:val="18"/>
              </w:rPr>
              <w:t>Specifieke doelstelling a)</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1679AFBD"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Aantal strategische projecten voor kritieke geneesmiddelen die financiële steun van de Unie ontvangen</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557A13A"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1DD1176C" w14:textId="563833D9"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Verslaglegging door de lidstaten, zoals omschreven in artikel </w:t>
            </w:r>
            <w:r w:rsidRPr="00160A33">
              <w:rPr>
                <w:noProof/>
                <w:color w:val="000000" w:themeColor="text1"/>
                <w:sz w:val="18"/>
              </w:rPr>
              <w:t>17</w:t>
            </w:r>
          </w:p>
        </w:tc>
      </w:tr>
      <w:tr w:rsidR="00D37F2D" w:rsidRPr="00C3707B" w14:paraId="397E7DF9" w14:textId="77777777">
        <w:trPr>
          <w:trHeight w:val="585"/>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091672F" w14:textId="77777777" w:rsidR="00D37F2D" w:rsidRPr="00C3707B" w:rsidRDefault="00D37F2D">
            <w:pPr>
              <w:spacing w:before="0" w:after="0"/>
              <w:jc w:val="left"/>
              <w:rPr>
                <w:rFonts w:eastAsia="Calibri"/>
                <w:noProof/>
                <w:color w:val="000000" w:themeColor="text1"/>
                <w:sz w:val="18"/>
                <w:szCs w:val="18"/>
              </w:rPr>
            </w:pPr>
            <w:r w:rsidRPr="00C3707B">
              <w:rPr>
                <w:noProof/>
                <w:color w:val="000000" w:themeColor="text1"/>
                <w:sz w:val="18"/>
              </w:rPr>
              <w:t>Specifieke doelstelling a)</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530451F"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Aantal specifieke adviezen van het EMA aan projectontwikkelaars van strategische projecten met innovatieve productieprocessen</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7D8A84E"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DBD7D59"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EMA</w:t>
            </w:r>
          </w:p>
        </w:tc>
      </w:tr>
      <w:tr w:rsidR="00D37F2D" w:rsidRPr="00C3707B" w14:paraId="2EF333B4" w14:textId="77777777">
        <w:trPr>
          <w:trHeight w:val="585"/>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4B38D9A" w14:textId="77777777" w:rsidR="00D37F2D" w:rsidRPr="00C3707B" w:rsidRDefault="00D37F2D">
            <w:pPr>
              <w:spacing w:before="0" w:after="0"/>
              <w:jc w:val="left"/>
              <w:rPr>
                <w:rFonts w:eastAsia="Calibri"/>
                <w:noProof/>
                <w:color w:val="000000" w:themeColor="text1"/>
                <w:sz w:val="18"/>
                <w:szCs w:val="18"/>
              </w:rPr>
            </w:pPr>
            <w:r w:rsidRPr="00C3707B">
              <w:rPr>
                <w:noProof/>
                <w:color w:val="000000" w:themeColor="text1"/>
                <w:sz w:val="18"/>
              </w:rPr>
              <w:t>Specifieke doelstelling b)</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74C261C"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Aantal opgestarte nationale programma’s </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7F5EDFDA"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w:t>
            </w:r>
            <w:r w:rsidRPr="00160A33">
              <w:rPr>
                <w:noProof/>
                <w:color w:val="000000" w:themeColor="text1"/>
                <w:sz w:val="18"/>
              </w:rPr>
              <w:t>27</w:t>
            </w:r>
            <w:r w:rsidRPr="00C3707B">
              <w:rPr>
                <w:noProof/>
                <w:color w:val="000000" w:themeColor="text1"/>
                <w:sz w:val="18"/>
              </w:rPr>
              <w:t xml:space="preserve"> </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75BEACAC"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Verslaglegging door de lidstaten, zoals omschreven in artikel </w:t>
            </w:r>
            <w:r w:rsidRPr="00160A33">
              <w:rPr>
                <w:noProof/>
                <w:color w:val="000000" w:themeColor="text1"/>
                <w:sz w:val="18"/>
              </w:rPr>
              <w:t>19</w:t>
            </w:r>
          </w:p>
        </w:tc>
      </w:tr>
      <w:tr w:rsidR="00D37F2D" w:rsidRPr="00C3707B" w14:paraId="73E68405" w14:textId="77777777">
        <w:trPr>
          <w:trHeight w:val="585"/>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4313458D" w14:textId="77777777" w:rsidR="00D37F2D" w:rsidRPr="00C3707B" w:rsidRDefault="00D37F2D">
            <w:pPr>
              <w:spacing w:before="0" w:after="0"/>
              <w:jc w:val="left"/>
              <w:rPr>
                <w:rFonts w:eastAsia="Calibri"/>
                <w:noProof/>
                <w:color w:val="000000" w:themeColor="text1"/>
                <w:sz w:val="18"/>
                <w:szCs w:val="18"/>
              </w:rPr>
            </w:pPr>
            <w:r w:rsidRPr="00C3707B">
              <w:rPr>
                <w:noProof/>
                <w:color w:val="000000" w:themeColor="text1"/>
                <w:sz w:val="18"/>
              </w:rPr>
              <w:t>Specifieke doelstelling c)</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55FFECC"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Aantal grensoverschrijdende aanbestedingen, aanbestedingen namens lidstaten of gezamenlijke aanbestedingen van kritieke geneesmiddelen en andere geneesmiddelen van gemeenschappelijk belang </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EBECA60"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58669ECA"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Aangezien de Commissie de aanbesteding zou uitvoeren, zullen de gegevens gemakkelijk beschikbaar zijn</w:t>
            </w:r>
          </w:p>
        </w:tc>
      </w:tr>
      <w:tr w:rsidR="00D37F2D" w:rsidRPr="00C3707B" w14:paraId="67D402B7" w14:textId="77777777">
        <w:trPr>
          <w:trHeight w:val="840"/>
        </w:trPr>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6D63AF72"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Specifieke doelstelling c) </w:t>
            </w:r>
          </w:p>
        </w:tc>
        <w:tc>
          <w:tcPr>
            <w:tcW w:w="34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244E9D87"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Aantal landen waaraan grensoverschrijdende aanbestedingen, aanbestedingen namens lidstaten of gezamenlijke aanbestedingen van kritieke geneesmiddelen en andere geneesmiddelen van gemeenschappelijk belang ten goede komen</w:t>
            </w:r>
          </w:p>
        </w:tc>
        <w:tc>
          <w:tcPr>
            <w:tcW w:w="2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76FE1A48" w14:textId="77777777" w:rsidR="00D37F2D" w:rsidRPr="00C3707B" w:rsidRDefault="00D37F2D">
            <w:pPr>
              <w:spacing w:before="0" w:after="0"/>
              <w:jc w:val="left"/>
              <w:rPr>
                <w:rFonts w:eastAsia="Aptos Narrow"/>
                <w:noProof/>
                <w:color w:val="000000" w:themeColor="text1"/>
                <w:sz w:val="18"/>
                <w:szCs w:val="18"/>
              </w:rPr>
            </w:pPr>
            <w:r w:rsidRPr="00160A33">
              <w:rPr>
                <w:noProof/>
                <w:color w:val="000000" w:themeColor="text1"/>
                <w:sz w:val="18"/>
              </w:rPr>
              <w:t>0</w:t>
            </w:r>
            <w:r w:rsidRPr="00C3707B">
              <w:rPr>
                <w:noProof/>
                <w:color w:val="000000" w:themeColor="text1"/>
                <w:sz w:val="18"/>
              </w:rPr>
              <w:t xml:space="preserve"> / streefwaarde: sterk afhankelijk van de vraag</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0D433EFC" w14:textId="77777777" w:rsidR="00D37F2D" w:rsidRPr="00C3707B" w:rsidRDefault="00D37F2D">
            <w:pPr>
              <w:spacing w:before="0" w:after="0"/>
              <w:jc w:val="left"/>
              <w:rPr>
                <w:rFonts w:eastAsia="Aptos Narrow"/>
                <w:noProof/>
                <w:color w:val="000000" w:themeColor="text1"/>
                <w:sz w:val="18"/>
                <w:szCs w:val="18"/>
              </w:rPr>
            </w:pPr>
            <w:r w:rsidRPr="00C3707B">
              <w:rPr>
                <w:noProof/>
                <w:color w:val="000000" w:themeColor="text1"/>
                <w:sz w:val="18"/>
              </w:rPr>
              <w:t xml:space="preserve">Aangezien de Commissie de aanbesteding zou uitvoeren, zullen de gegevens gemakkelijk beschikbaar zijn </w:t>
            </w:r>
          </w:p>
        </w:tc>
      </w:tr>
    </w:tbl>
    <w:p w14:paraId="4B791706" w14:textId="77777777" w:rsidR="00D37F2D" w:rsidRPr="00C3707B" w:rsidRDefault="00D37F2D" w:rsidP="00D37F2D">
      <w:pPr>
        <w:pStyle w:val="Text1"/>
        <w:rPr>
          <w:i/>
          <w:noProof/>
          <w:sz w:val="20"/>
        </w:rPr>
      </w:pPr>
    </w:p>
    <w:p w14:paraId="7F751446" w14:textId="2EA24201" w:rsidR="00D37F2D" w:rsidRPr="00C3707B" w:rsidRDefault="00D37F2D" w:rsidP="00D37F2D">
      <w:pPr>
        <w:pStyle w:val="ManualHeading2"/>
        <w:rPr>
          <w:noProof/>
        </w:rPr>
      </w:pPr>
      <w:bookmarkStart w:id="51" w:name="_Toc177549000"/>
      <w:r w:rsidRPr="00160A33">
        <w:rPr>
          <w:noProof/>
        </w:rPr>
        <w:t>1</w:t>
      </w:r>
      <w:r w:rsidRPr="00C3707B">
        <w:rPr>
          <w:noProof/>
        </w:rPr>
        <w:t>.</w:t>
      </w:r>
      <w:r w:rsidRPr="00160A33">
        <w:rPr>
          <w:noProof/>
        </w:rPr>
        <w:t>4</w:t>
      </w:r>
      <w:r w:rsidRPr="00C3707B">
        <w:rPr>
          <w:noProof/>
        </w:rPr>
        <w:t>.</w:t>
      </w:r>
      <w:r w:rsidRPr="00C3707B">
        <w:rPr>
          <w:noProof/>
        </w:rPr>
        <w:tab/>
        <w:t>Het voorstel/initiatief betreft:</w:t>
      </w:r>
      <w:bookmarkEnd w:id="51"/>
    </w:p>
    <w:p w14:paraId="4997AC21" w14:textId="21CAFB41" w:rsidR="00D37F2D" w:rsidRPr="00C3707B" w:rsidRDefault="00D37F2D" w:rsidP="00D37F2D">
      <w:pPr>
        <w:pStyle w:val="Text1"/>
        <w:rPr>
          <w:noProof/>
          <w:sz w:val="22"/>
        </w:rPr>
      </w:pPr>
      <w:r w:rsidRPr="00C3707B">
        <w:rPr>
          <w:rFonts w:ascii="Wingdings" w:hAnsi="Wingdings"/>
          <w:noProof/>
          <w:sz w:val="22"/>
        </w:rPr>
        <w:t></w:t>
      </w:r>
      <w:r w:rsidRPr="00C3707B">
        <w:rPr>
          <w:i/>
          <w:noProof/>
          <w:sz w:val="22"/>
        </w:rPr>
        <w:t xml:space="preserve"> </w:t>
      </w:r>
      <w:r w:rsidRPr="00C3707B">
        <w:rPr>
          <w:noProof/>
        </w:rPr>
        <w:t>een nieuwe actie</w:t>
      </w:r>
    </w:p>
    <w:p w14:paraId="5AB33AA3" w14:textId="0315ACC2" w:rsidR="00D37F2D" w:rsidRPr="00C3707B" w:rsidRDefault="00D37F2D" w:rsidP="00D37F2D">
      <w:pPr>
        <w:pStyle w:val="Text1"/>
        <w:rPr>
          <w:noProof/>
          <w:sz w:val="22"/>
        </w:rPr>
      </w:pPr>
      <w:r w:rsidRPr="00C3707B">
        <w:rPr>
          <w:rFonts w:ascii="Wingdings" w:hAnsi="Wingdings"/>
          <w:noProof/>
          <w:sz w:val="22"/>
        </w:rPr>
        <w:t></w:t>
      </w:r>
      <w:r w:rsidRPr="00C3707B">
        <w:rPr>
          <w:i/>
          <w:noProof/>
          <w:sz w:val="22"/>
        </w:rPr>
        <w:t xml:space="preserve"> </w:t>
      </w:r>
      <w:r w:rsidRPr="00C3707B">
        <w:rPr>
          <w:noProof/>
        </w:rPr>
        <w:t>een nieuwe actie na een proefproject/voorbereidende actie</w:t>
      </w:r>
      <w:r w:rsidRPr="00C3707B">
        <w:rPr>
          <w:rStyle w:val="FootnoteReference"/>
          <w:noProof/>
        </w:rPr>
        <w:footnoteReference w:id="97"/>
      </w:r>
    </w:p>
    <w:p w14:paraId="28DD7873" w14:textId="71912E2B" w:rsidR="00D37F2D" w:rsidRPr="00C3707B" w:rsidRDefault="00D37F2D" w:rsidP="00D37F2D">
      <w:pPr>
        <w:pStyle w:val="Text1"/>
        <w:rPr>
          <w:noProof/>
          <w:sz w:val="22"/>
        </w:rPr>
      </w:pPr>
      <w:r w:rsidRPr="00C3707B">
        <w:rPr>
          <w:rFonts w:ascii="Wingdings" w:hAnsi="Wingdings"/>
          <w:noProof/>
          <w:sz w:val="22"/>
        </w:rPr>
        <w:t></w:t>
      </w:r>
      <w:r w:rsidRPr="00C3707B">
        <w:rPr>
          <w:i/>
          <w:noProof/>
          <w:sz w:val="22"/>
        </w:rPr>
        <w:t xml:space="preserve"> </w:t>
      </w:r>
      <w:r w:rsidRPr="00C3707B">
        <w:rPr>
          <w:noProof/>
        </w:rPr>
        <w:t>de verlenging van een bestaande actie</w:t>
      </w:r>
    </w:p>
    <w:p w14:paraId="5362A992" w14:textId="77777777" w:rsidR="00D37F2D" w:rsidRPr="00C3707B" w:rsidRDefault="00D37F2D" w:rsidP="00D37F2D">
      <w:pPr>
        <w:pStyle w:val="Text1"/>
        <w:rPr>
          <w:noProof/>
        </w:rPr>
      </w:pPr>
      <w:r w:rsidRPr="00C3707B">
        <w:rPr>
          <w:rFonts w:ascii="Wingdings" w:hAnsi="Wingdings"/>
          <w:noProof/>
          <w:sz w:val="22"/>
        </w:rPr>
        <w:t></w:t>
      </w:r>
      <w:r w:rsidRPr="00C3707B">
        <w:rPr>
          <w:i/>
          <w:noProof/>
          <w:sz w:val="22"/>
        </w:rPr>
        <w:t xml:space="preserve"> </w:t>
      </w:r>
      <w:r w:rsidRPr="00C3707B">
        <w:rPr>
          <w:noProof/>
        </w:rPr>
        <w:t>de samenvoeging of ombuiging van een of meer acties naar een andere/een nieuwe actie</w:t>
      </w:r>
    </w:p>
    <w:p w14:paraId="0B101F0F" w14:textId="69A52174" w:rsidR="00D37F2D" w:rsidRPr="00C3707B" w:rsidRDefault="00D37F2D" w:rsidP="00D37F2D">
      <w:pPr>
        <w:pStyle w:val="ManualHeading2"/>
        <w:rPr>
          <w:bCs/>
          <w:noProof/>
          <w:szCs w:val="24"/>
        </w:rPr>
      </w:pPr>
      <w:bookmarkStart w:id="52" w:name="_Toc514938025"/>
      <w:bookmarkStart w:id="53" w:name="_Toc520485034"/>
      <w:bookmarkStart w:id="54" w:name="_Toc160804576"/>
      <w:bookmarkStart w:id="55" w:name="_Toc167220268"/>
      <w:bookmarkStart w:id="56" w:name="_Toc177549001"/>
      <w:r w:rsidRPr="00160A33">
        <w:rPr>
          <w:noProof/>
        </w:rPr>
        <w:t>1</w:t>
      </w:r>
      <w:r w:rsidRPr="00C3707B">
        <w:rPr>
          <w:noProof/>
        </w:rPr>
        <w:t>.</w:t>
      </w:r>
      <w:r w:rsidRPr="00160A33">
        <w:rPr>
          <w:noProof/>
        </w:rPr>
        <w:t>5</w:t>
      </w:r>
      <w:r w:rsidRPr="00C3707B">
        <w:rPr>
          <w:noProof/>
        </w:rPr>
        <w:t>.</w:t>
      </w:r>
      <w:r w:rsidRPr="00C3707B">
        <w:rPr>
          <w:noProof/>
        </w:rPr>
        <w:tab/>
        <w:t>Motivering van het voorstel/initiatief</w:t>
      </w:r>
      <w:bookmarkEnd w:id="52"/>
      <w:bookmarkEnd w:id="53"/>
      <w:bookmarkEnd w:id="54"/>
      <w:bookmarkEnd w:id="55"/>
      <w:bookmarkEnd w:id="56"/>
    </w:p>
    <w:p w14:paraId="04842DD6" w14:textId="77777777" w:rsidR="00D37F2D" w:rsidRPr="00C3707B" w:rsidRDefault="00D37F2D" w:rsidP="00D37F2D">
      <w:pPr>
        <w:pStyle w:val="ManualHeading3"/>
        <w:rPr>
          <w:noProof/>
        </w:rPr>
      </w:pPr>
      <w:bookmarkStart w:id="57" w:name="_Toc514938026"/>
      <w:bookmarkStart w:id="58" w:name="_Toc520485035"/>
      <w:bookmarkStart w:id="59" w:name="_Toc160804577"/>
      <w:bookmarkStart w:id="60" w:name="_Toc167220269"/>
      <w:bookmarkStart w:id="61" w:name="_Toc177549002"/>
      <w:r w:rsidRPr="00160A33">
        <w:rPr>
          <w:noProof/>
        </w:rPr>
        <w:t>1</w:t>
      </w:r>
      <w:r w:rsidRPr="00C3707B">
        <w:rPr>
          <w:noProof/>
        </w:rPr>
        <w:t>.</w:t>
      </w:r>
      <w:r w:rsidRPr="00160A33">
        <w:rPr>
          <w:noProof/>
        </w:rPr>
        <w:t>5</w:t>
      </w:r>
      <w:r w:rsidRPr="00C3707B">
        <w:rPr>
          <w:noProof/>
        </w:rPr>
        <w:t>.</w:t>
      </w:r>
      <w:r w:rsidRPr="00160A33">
        <w:rPr>
          <w:noProof/>
        </w:rPr>
        <w:t>1</w:t>
      </w:r>
      <w:r w:rsidRPr="00C3707B">
        <w:rPr>
          <w:noProof/>
        </w:rPr>
        <w:t>.</w:t>
      </w:r>
      <w:r w:rsidRPr="00C3707B">
        <w:rPr>
          <w:noProof/>
        </w:rPr>
        <w:tab/>
        <w:t>Behoeften waarin op korte of lange termijn moet worden voorzien, met een gedetailleerd tijdschema voor de uitrol van het initiatief</w:t>
      </w:r>
      <w:bookmarkEnd w:id="57"/>
      <w:bookmarkEnd w:id="58"/>
      <w:bookmarkEnd w:id="59"/>
      <w:bookmarkEnd w:id="60"/>
      <w:bookmarkEnd w:id="61"/>
    </w:p>
    <w:p w14:paraId="5DDF24BC" w14:textId="7F015D64"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Naar verwachting zal de vaststelling in het vierde kwartaal van </w:t>
      </w:r>
      <w:r w:rsidRPr="00160A33">
        <w:rPr>
          <w:noProof/>
        </w:rPr>
        <w:t>2025</w:t>
      </w:r>
      <w:r w:rsidRPr="00C3707B">
        <w:rPr>
          <w:noProof/>
        </w:rPr>
        <w:t xml:space="preserve"> plaatsvinden en zal in </w:t>
      </w:r>
      <w:r w:rsidRPr="00160A33">
        <w:rPr>
          <w:noProof/>
        </w:rPr>
        <w:t>2026</w:t>
      </w:r>
      <w:r w:rsidRPr="00C3707B">
        <w:rPr>
          <w:noProof/>
        </w:rPr>
        <w:t xml:space="preserve"> met de uitvoering worden begonnen.</w:t>
      </w:r>
    </w:p>
    <w:p w14:paraId="549130C3" w14:textId="77777777" w:rsidR="00D37F2D" w:rsidRPr="00C3707B" w:rsidRDefault="00D37F2D" w:rsidP="00D37F2D">
      <w:pPr>
        <w:pStyle w:val="ManualHeading3"/>
        <w:rPr>
          <w:bCs/>
          <w:noProof/>
          <w:szCs w:val="24"/>
        </w:rPr>
      </w:pPr>
      <w:bookmarkStart w:id="62" w:name="_Toc514938029"/>
      <w:bookmarkStart w:id="63" w:name="_Toc520485036"/>
      <w:bookmarkStart w:id="64" w:name="_Toc160804578"/>
      <w:bookmarkStart w:id="65" w:name="_Toc167220270"/>
      <w:bookmarkStart w:id="66" w:name="_Toc177549003"/>
      <w:r w:rsidRPr="00160A33">
        <w:rPr>
          <w:noProof/>
        </w:rPr>
        <w:t>1</w:t>
      </w:r>
      <w:r w:rsidRPr="00C3707B">
        <w:rPr>
          <w:noProof/>
        </w:rPr>
        <w:t>.</w:t>
      </w:r>
      <w:r w:rsidRPr="00160A33">
        <w:rPr>
          <w:noProof/>
        </w:rPr>
        <w:t>5</w:t>
      </w:r>
      <w:r w:rsidRPr="00C3707B">
        <w:rPr>
          <w:noProof/>
        </w:rPr>
        <w:t>.</w:t>
      </w:r>
      <w:r w:rsidRPr="00160A33">
        <w:rPr>
          <w:noProof/>
        </w:rPr>
        <w:t>2</w:t>
      </w:r>
      <w:r w:rsidRPr="00C3707B">
        <w:rPr>
          <w:noProof/>
        </w:rPr>
        <w:t>.</w:t>
      </w:r>
      <w:r w:rsidRPr="00C3707B">
        <w:rPr>
          <w:noProof/>
        </w:rPr>
        <w:tab/>
        <w:t>Toegevoegde waarde van de deelname van de EU (deze kan het resultaat zijn van verschillende factoren, bijvoorbeeld coördinatiewinst, rechtszekerheid, grotere doeltreffendheid of complementariteit). Voor de toepassing van dit punt wordt onder “toegevoegde waarde van het optreden van de EU” verstaan de waarde die het optreden van de Unie oplevert boven op de waarde die door een optreden van alleen de lidstaten zou zijn gecreëerd.</w:t>
      </w:r>
      <w:bookmarkEnd w:id="62"/>
      <w:bookmarkEnd w:id="63"/>
      <w:bookmarkEnd w:id="64"/>
      <w:bookmarkEnd w:id="65"/>
      <w:bookmarkEnd w:id="66"/>
    </w:p>
    <w:p w14:paraId="61089B54" w14:textId="7268C800"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Elke lidstaat in de EU heeft in de afgelopen tien jaar te maken gehad met geneesmiddelentekorten. Hoewel een lidstaat zelf maatregelen kan nemen om de voorziening van bepaalde geneesmiddelen te verbeteren, zijn deze inspanningen versnipperd en ontoereikend om de bredere, grensoverschrijdende problemen in de toeleveringsketens, zoals de afhankelijkheid van bepaalde niet-EU-landen, te verhelpen. Om deze problemen aan te pakken en een veilige en betrouwbare voorziening van kritieke geneesmiddelen tot stand te brengen, is een gemeenschappelijke inspanning op EU-niveau nodig aan de hand van de voorgestelde handeling.</w:t>
      </w:r>
      <w:r w:rsidRPr="005D0E22">
        <w:rPr>
          <w:noProof/>
          <w:sz w:val="18"/>
        </w:rPr>
        <w:t xml:space="preserve"> </w:t>
      </w:r>
      <w:r w:rsidRPr="00C3707B">
        <w:rPr>
          <w:noProof/>
        </w:rPr>
        <w:t>Daarnaast kunnen er ook problemen bestaan wat betreft de toegang tot andere geneesmiddelen van gemeenschappelijk belang, waardoor sommige lidstaten, bijvoorbeeld die met een kleinere markt, onevenredig worden getroffen. Om de beschikbaarheid en de toegankelijkheid van deze geneesmiddelen te verbeteren, wordt in deze verordening voorgesteld om de geaggregeerde vraag van de geïnteresseerde lidstaten te benutten via collectieve aanbestedingsprocedures.</w:t>
      </w:r>
    </w:p>
    <w:p w14:paraId="223BD456" w14:textId="77777777" w:rsidR="00D37F2D" w:rsidRPr="00C3707B" w:rsidRDefault="00D37F2D" w:rsidP="00D37F2D">
      <w:pPr>
        <w:pStyle w:val="ManualHeading3"/>
        <w:rPr>
          <w:noProof/>
        </w:rPr>
      </w:pPr>
      <w:bookmarkStart w:id="67" w:name="_Toc514938030"/>
      <w:bookmarkStart w:id="68" w:name="_Toc520485037"/>
      <w:bookmarkStart w:id="69" w:name="_Toc160804579"/>
      <w:bookmarkStart w:id="70" w:name="_Toc167220271"/>
      <w:bookmarkStart w:id="71" w:name="_Toc177549004"/>
      <w:r w:rsidRPr="00160A33">
        <w:rPr>
          <w:noProof/>
        </w:rPr>
        <w:t>1</w:t>
      </w:r>
      <w:r w:rsidRPr="00C3707B">
        <w:rPr>
          <w:noProof/>
        </w:rPr>
        <w:t>.</w:t>
      </w:r>
      <w:r w:rsidRPr="00160A33">
        <w:rPr>
          <w:noProof/>
        </w:rPr>
        <w:t>5</w:t>
      </w:r>
      <w:r w:rsidRPr="00C3707B">
        <w:rPr>
          <w:noProof/>
        </w:rPr>
        <w:t>.</w:t>
      </w:r>
      <w:r w:rsidRPr="00160A33">
        <w:rPr>
          <w:noProof/>
        </w:rPr>
        <w:t>3</w:t>
      </w:r>
      <w:r w:rsidRPr="00C3707B">
        <w:rPr>
          <w:noProof/>
        </w:rPr>
        <w:t>.</w:t>
      </w:r>
      <w:r w:rsidRPr="00C3707B">
        <w:rPr>
          <w:noProof/>
        </w:rPr>
        <w:tab/>
        <w:t>Nuttige ervaring die bij soortgelijke activiteiten in het verleden is opgedaan</w:t>
      </w:r>
      <w:bookmarkEnd w:id="67"/>
      <w:bookmarkEnd w:id="68"/>
      <w:bookmarkEnd w:id="69"/>
      <w:bookmarkEnd w:id="70"/>
      <w:bookmarkEnd w:id="71"/>
    </w:p>
    <w:p w14:paraId="6C4DB384" w14:textId="5D1032E6" w:rsidR="00D37F2D" w:rsidRPr="005D0E22" w:rsidRDefault="00D37F2D" w:rsidP="005D0E22">
      <w:pPr>
        <w:pStyle w:val="Text1"/>
        <w:pBdr>
          <w:top w:val="single" w:sz="4" w:space="1" w:color="auto"/>
          <w:left w:val="single" w:sz="4" w:space="4" w:color="auto"/>
          <w:bottom w:val="single" w:sz="4" w:space="1" w:color="auto"/>
          <w:right w:val="single" w:sz="4" w:space="4" w:color="auto"/>
        </w:pBdr>
        <w:rPr>
          <w:noProof/>
        </w:rPr>
      </w:pPr>
      <w:r w:rsidRPr="00C3707B">
        <w:rPr>
          <w:noProof/>
        </w:rPr>
        <w:t>Met de lijst van de Unie van kritieke geneesmiddelen, die gezamenlijk door de lidstaten, het Europees Geneesmiddelenbureau en de Europese Commissie is opgesteld, worden de geneesmiddelen aangewezen die van cruciaal belang zijn voor de behandeling van ernstige aandoeningen en waarvoor slechts in beperkte mate alternatieve geneesmiddelen beschikbaar zijn. De lijst werd voor het eerst bekendgemaakt in december</w:t>
      </w:r>
      <w:r w:rsidR="000A2A54">
        <w:rPr>
          <w:noProof/>
        </w:rPr>
        <w:t> </w:t>
      </w:r>
      <w:r w:rsidRPr="00160A33">
        <w:rPr>
          <w:noProof/>
        </w:rPr>
        <w:t>2023</w:t>
      </w:r>
      <w:r w:rsidRPr="00C3707B">
        <w:rPr>
          <w:noProof/>
        </w:rPr>
        <w:t xml:space="preserve"> en een jaar later bijgewerkt, en bevat </w:t>
      </w:r>
      <w:r w:rsidRPr="00160A33">
        <w:rPr>
          <w:noProof/>
        </w:rPr>
        <w:t>276</w:t>
      </w:r>
      <w:r w:rsidRPr="00C3707B">
        <w:rPr>
          <w:noProof/>
        </w:rPr>
        <w:t xml:space="preserve"> werkzame stoffen. De Commissie heeft in haar analyse van de kwetsbaarheden in de toeleveringsketen voor elf respresentatieve geneesmiddelen afhankelijkheden van leveranciers van buiten de EU en risico’s op marktconcentratie vastgesteld, wat erop wijst dat er strategische interventies nodig zijn om de veerkracht te versterken door middel van gediversifieerde voorzieningsbronnen, flexibele productiecapaciteit en robuust risicomanagement.</w:t>
      </w:r>
    </w:p>
    <w:p w14:paraId="7BECCBB5" w14:textId="15CC90B2" w:rsidR="00D37F2D" w:rsidRPr="00C3707B" w:rsidRDefault="00D37F2D" w:rsidP="005D0E22">
      <w:pPr>
        <w:pStyle w:val="Text1"/>
        <w:pBdr>
          <w:top w:val="single" w:sz="4" w:space="1" w:color="auto"/>
          <w:left w:val="single" w:sz="4" w:space="4" w:color="auto"/>
          <w:bottom w:val="single" w:sz="4" w:space="1" w:color="auto"/>
          <w:right w:val="single" w:sz="4" w:space="4" w:color="auto"/>
        </w:pBdr>
        <w:rPr>
          <w:noProof/>
        </w:rPr>
      </w:pPr>
      <w:r w:rsidRPr="00C3707B">
        <w:rPr>
          <w:noProof/>
        </w:rPr>
        <w:t>Sommige lidstaten zijn betrokken geweest bij grensoverschrijdende aanbesteding van geneesmiddelen overeenkomstig de richtlijn inzake overheidsopdrachten. Hoewel dit nuttig is gebleken om kleine markten aantrekkelijk te maken voor leveranciers en zo de beschikbaarheid van geneesmiddelen te verbeteren, kost de uitvoering ervan met name in de beginfase veel tijd en middelen, hetgeen als beperkende factor wordt beschouwd. De potentiële voordelen van het benutten van de vraag van verschillende lidstaten in één aanbestedingsprocedure blijken ook uit de ervaringen met de gezamenlijke aankoop van medische tegenmaatregelen en COVID-</w:t>
      </w:r>
      <w:r w:rsidRPr="00160A33">
        <w:rPr>
          <w:noProof/>
        </w:rPr>
        <w:t>19</w:t>
      </w:r>
      <w:r w:rsidRPr="00C3707B">
        <w:rPr>
          <w:noProof/>
        </w:rPr>
        <w:t>-vaccins.</w:t>
      </w:r>
    </w:p>
    <w:p w14:paraId="464FC93A" w14:textId="77777777" w:rsidR="00D37F2D" w:rsidRPr="00C3707B" w:rsidRDefault="00D37F2D" w:rsidP="00D37F2D">
      <w:pPr>
        <w:pStyle w:val="ManualHeading3"/>
        <w:rPr>
          <w:noProof/>
        </w:rPr>
      </w:pPr>
      <w:bookmarkStart w:id="72" w:name="_Toc514938033"/>
      <w:bookmarkStart w:id="73" w:name="_Toc520485038"/>
      <w:bookmarkStart w:id="74" w:name="_Toc160804580"/>
      <w:bookmarkStart w:id="75" w:name="_Toc167220272"/>
      <w:bookmarkStart w:id="76" w:name="_Toc177549005"/>
      <w:r w:rsidRPr="00160A33">
        <w:rPr>
          <w:noProof/>
        </w:rPr>
        <w:t>1</w:t>
      </w:r>
      <w:r w:rsidRPr="00C3707B">
        <w:rPr>
          <w:noProof/>
        </w:rPr>
        <w:t>.</w:t>
      </w:r>
      <w:r w:rsidRPr="00160A33">
        <w:rPr>
          <w:noProof/>
        </w:rPr>
        <w:t>5</w:t>
      </w:r>
      <w:r w:rsidRPr="00C3707B">
        <w:rPr>
          <w:noProof/>
        </w:rPr>
        <w:t>.</w:t>
      </w:r>
      <w:r w:rsidRPr="00160A33">
        <w:rPr>
          <w:noProof/>
        </w:rPr>
        <w:t>4</w:t>
      </w:r>
      <w:r w:rsidRPr="00C3707B">
        <w:rPr>
          <w:noProof/>
        </w:rPr>
        <w:t>.</w:t>
      </w:r>
      <w:r w:rsidRPr="00C3707B">
        <w:rPr>
          <w:noProof/>
        </w:rPr>
        <w:tab/>
        <w:t>Verenigbaarheid met het meerjarig financieel kader en eventuele synergie met andere passende instrumenten</w:t>
      </w:r>
      <w:bookmarkEnd w:id="72"/>
      <w:bookmarkEnd w:id="73"/>
      <w:bookmarkEnd w:id="74"/>
      <w:bookmarkEnd w:id="75"/>
      <w:bookmarkEnd w:id="76"/>
    </w:p>
    <w:p w14:paraId="7DE79440" w14:textId="3362310E"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Voor de duur van het meerjarig financieel kader</w:t>
      </w:r>
      <w:r w:rsidR="000A2A54">
        <w:rPr>
          <w:noProof/>
        </w:rPr>
        <w:t xml:space="preserve"> </w:t>
      </w:r>
      <w:r w:rsidRPr="00160A33">
        <w:rPr>
          <w:noProof/>
        </w:rPr>
        <w:t>2021</w:t>
      </w:r>
      <w:r w:rsidRPr="00C3707B">
        <w:rPr>
          <w:noProof/>
        </w:rPr>
        <w:t>-</w:t>
      </w:r>
      <w:r w:rsidRPr="00160A33">
        <w:rPr>
          <w:noProof/>
        </w:rPr>
        <w:t>2027</w:t>
      </w:r>
      <w:r w:rsidRPr="00C3707B">
        <w:rPr>
          <w:noProof/>
        </w:rPr>
        <w:t xml:space="preserve"> kunnen de strategische projecten worden ondersteund met EU-financiering, met inbegrip van, maar niet beperkt tot, het EU</w:t>
      </w:r>
      <w:r w:rsidRPr="00160A33">
        <w:rPr>
          <w:noProof/>
        </w:rPr>
        <w:t>4</w:t>
      </w:r>
      <w:r w:rsidRPr="00C3707B">
        <w:rPr>
          <w:noProof/>
        </w:rPr>
        <w:t>Health-programma, Horizon Europa en het programma Digitaal Europa, in overeenstemming met de in de verordeningen tot vaststelling van die programma’s vastgelegde doelstellingen. De autoriteiten die verantwoordelijk zijn voor de programma’s van de Unie die onder de STEP-verordening vallen, moeten met name overwegen strategische projecten te ondersteunen waarmee kwetsbaarheid in de toeleveringsketens van kritieke geneesmiddelen wordt aangepakt. Deze projecten moeten worden geacht bij te dragen aan het STEP.</w:t>
      </w:r>
    </w:p>
    <w:p w14:paraId="382F67D1" w14:textId="77777777" w:rsidR="00D37F2D" w:rsidRPr="00C3707B" w:rsidRDefault="00D37F2D" w:rsidP="00D37F2D">
      <w:pPr>
        <w:pStyle w:val="ManualHeading3"/>
        <w:rPr>
          <w:noProof/>
        </w:rPr>
      </w:pPr>
      <w:bookmarkStart w:id="77" w:name="_Toc514938036"/>
      <w:bookmarkStart w:id="78" w:name="_Toc520485039"/>
      <w:bookmarkStart w:id="79" w:name="_Toc160804581"/>
      <w:bookmarkStart w:id="80" w:name="_Toc167220273"/>
      <w:bookmarkStart w:id="81" w:name="_Toc177549006"/>
      <w:r w:rsidRPr="00160A33">
        <w:rPr>
          <w:noProof/>
        </w:rPr>
        <w:t>1</w:t>
      </w:r>
      <w:r w:rsidRPr="00C3707B">
        <w:rPr>
          <w:noProof/>
        </w:rPr>
        <w:t>.</w:t>
      </w:r>
      <w:r w:rsidRPr="00160A33">
        <w:rPr>
          <w:noProof/>
        </w:rPr>
        <w:t>5</w:t>
      </w:r>
      <w:r w:rsidRPr="00C3707B">
        <w:rPr>
          <w:noProof/>
        </w:rPr>
        <w:t>.</w:t>
      </w:r>
      <w:r w:rsidRPr="00160A33">
        <w:rPr>
          <w:noProof/>
        </w:rPr>
        <w:t>5</w:t>
      </w:r>
      <w:r w:rsidRPr="00C3707B">
        <w:rPr>
          <w:noProof/>
        </w:rPr>
        <w:t>.</w:t>
      </w:r>
      <w:r w:rsidRPr="00C3707B">
        <w:rPr>
          <w:noProof/>
        </w:rPr>
        <w:tab/>
        <w:t>Beoordeling van de verschillende beschikbare financieringsopties, waaronder mogelijkheden voor herschikking</w:t>
      </w:r>
      <w:bookmarkEnd w:id="77"/>
      <w:bookmarkEnd w:id="78"/>
      <w:bookmarkEnd w:id="79"/>
      <w:bookmarkEnd w:id="80"/>
      <w:bookmarkEnd w:id="81"/>
    </w:p>
    <w:p w14:paraId="0DAE8D7A"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n.v.t.</w:t>
      </w:r>
    </w:p>
    <w:p w14:paraId="7C763EE8" w14:textId="77777777" w:rsidR="00D37F2D" w:rsidRPr="00C3707B" w:rsidRDefault="00D37F2D" w:rsidP="00D37F2D">
      <w:pPr>
        <w:pStyle w:val="ManualHeading2"/>
        <w:rPr>
          <w:bCs/>
          <w:noProof/>
          <w:szCs w:val="24"/>
        </w:rPr>
      </w:pPr>
      <w:r w:rsidRPr="00C3707B">
        <w:rPr>
          <w:noProof/>
        </w:rPr>
        <w:br w:type="page"/>
      </w:r>
      <w:bookmarkStart w:id="82" w:name="_Toc514938039"/>
      <w:bookmarkStart w:id="83" w:name="_Toc520485040"/>
      <w:bookmarkStart w:id="84" w:name="_Toc160804582"/>
      <w:bookmarkStart w:id="85" w:name="_Toc167220274"/>
      <w:bookmarkStart w:id="86" w:name="_Toc177549007"/>
      <w:r w:rsidRPr="00160A33">
        <w:rPr>
          <w:noProof/>
        </w:rPr>
        <w:t>1</w:t>
      </w:r>
      <w:r w:rsidRPr="00C3707B">
        <w:rPr>
          <w:noProof/>
        </w:rPr>
        <w:t>.</w:t>
      </w:r>
      <w:r w:rsidRPr="00160A33">
        <w:rPr>
          <w:noProof/>
        </w:rPr>
        <w:t>6</w:t>
      </w:r>
      <w:r w:rsidRPr="00C3707B">
        <w:rPr>
          <w:noProof/>
        </w:rPr>
        <w:t>.</w:t>
      </w:r>
      <w:r w:rsidRPr="00C3707B">
        <w:rPr>
          <w:noProof/>
        </w:rPr>
        <w:tab/>
        <w:t>Duur</w:t>
      </w:r>
      <w:bookmarkEnd w:id="82"/>
      <w:bookmarkEnd w:id="83"/>
      <w:r w:rsidRPr="00C3707B">
        <w:rPr>
          <w:noProof/>
        </w:rPr>
        <w:t xml:space="preserve"> en financiële gevolgen van het voorstel/initiatief</w:t>
      </w:r>
      <w:bookmarkEnd w:id="84"/>
      <w:bookmarkEnd w:id="85"/>
      <w:bookmarkEnd w:id="86"/>
    </w:p>
    <w:p w14:paraId="5F585652" w14:textId="63D7C69E" w:rsidR="00D37F2D" w:rsidRPr="00C3707B" w:rsidRDefault="00D37F2D" w:rsidP="00D37F2D">
      <w:pPr>
        <w:pStyle w:val="Text1"/>
        <w:rPr>
          <w:noProof/>
        </w:rPr>
      </w:pPr>
      <w:r w:rsidRPr="00C3707B">
        <w:rPr>
          <w:rFonts w:ascii="Wingdings" w:hAnsi="Wingdings"/>
          <w:noProof/>
        </w:rPr>
        <w:t></w:t>
      </w:r>
      <w:r w:rsidRPr="00C3707B">
        <w:rPr>
          <w:b/>
          <w:i/>
          <w:noProof/>
        </w:rPr>
        <w:t xml:space="preserve"> </w:t>
      </w:r>
      <w:r w:rsidRPr="00C3707B">
        <w:rPr>
          <w:b/>
          <w:noProof/>
        </w:rPr>
        <w:t>beperkte geldigheidsduur</w:t>
      </w:r>
    </w:p>
    <w:p w14:paraId="234D5F31" w14:textId="77777777" w:rsidR="00D62518" w:rsidRDefault="00D37F2D" w:rsidP="00D37F2D">
      <w:pPr>
        <w:pStyle w:val="ListDash2"/>
        <w:rPr>
          <w:noProof/>
        </w:rPr>
      </w:pPr>
      <w:r w:rsidRPr="00C3707B">
        <w:rPr>
          <w:rFonts w:ascii="Wingdings" w:hAnsi="Wingdings"/>
          <w:noProof/>
        </w:rPr>
        <w:t></w:t>
      </w:r>
      <w:r w:rsidRPr="00C3707B">
        <w:rPr>
          <w:noProof/>
        </w:rPr>
        <w:tab/>
        <w:t>van kracht van [DD/MM]JJJJ tot en met [DD/MM]JJJJ</w:t>
      </w:r>
    </w:p>
    <w:p w14:paraId="2662033F" w14:textId="77777777" w:rsidR="00D62518" w:rsidRDefault="00D37F2D" w:rsidP="00D37F2D">
      <w:pPr>
        <w:pStyle w:val="ListDash2"/>
        <w:rPr>
          <w:noProof/>
        </w:rPr>
      </w:pPr>
      <w:r w:rsidRPr="00C3707B">
        <w:rPr>
          <w:rFonts w:ascii="Wingdings" w:hAnsi="Wingdings"/>
          <w:noProof/>
        </w:rPr>
        <w:t></w:t>
      </w:r>
      <w:r w:rsidRPr="00C3707B">
        <w:rPr>
          <w:noProof/>
        </w:rPr>
        <w:tab/>
        <w:t>financiële gevolgen vanaf JJJJ tot en met JJJJ voor vastleggingskredieten en vanaf JJJJ tot en met JJJJ voor betalingskredieten.</w:t>
      </w:r>
    </w:p>
    <w:p w14:paraId="58AB79F3" w14:textId="6A49A594" w:rsidR="00D37F2D" w:rsidRPr="00C3707B" w:rsidRDefault="00D37F2D" w:rsidP="00D37F2D">
      <w:pPr>
        <w:pStyle w:val="Text1"/>
        <w:rPr>
          <w:noProof/>
        </w:rPr>
      </w:pPr>
      <w:r w:rsidRPr="00C3707B">
        <w:rPr>
          <w:rFonts w:ascii="Wingdings" w:hAnsi="Wingdings"/>
          <w:noProof/>
        </w:rPr>
        <w:t></w:t>
      </w:r>
      <w:r w:rsidRPr="00C3707B">
        <w:rPr>
          <w:b/>
          <w:i/>
          <w:noProof/>
        </w:rPr>
        <w:t xml:space="preserve"> </w:t>
      </w:r>
      <w:r w:rsidRPr="00C3707B">
        <w:rPr>
          <w:b/>
          <w:noProof/>
        </w:rPr>
        <w:t>onbeperkte geldigheidsduur</w:t>
      </w:r>
    </w:p>
    <w:p w14:paraId="45723E83" w14:textId="77777777" w:rsidR="00D37F2D" w:rsidRPr="00C3707B" w:rsidRDefault="00D37F2D" w:rsidP="00D37F2D">
      <w:pPr>
        <w:pStyle w:val="ListDash1"/>
        <w:rPr>
          <w:noProof/>
        </w:rPr>
      </w:pPr>
      <w:r w:rsidRPr="00C3707B">
        <w:rPr>
          <w:noProof/>
        </w:rPr>
        <w:t xml:space="preserve">uitvoering met een opstartperiode vanaf </w:t>
      </w:r>
      <w:r w:rsidRPr="00160A33">
        <w:rPr>
          <w:noProof/>
        </w:rPr>
        <w:t>2026</w:t>
      </w:r>
      <w:r w:rsidRPr="00C3707B">
        <w:rPr>
          <w:noProof/>
        </w:rPr>
        <w:t xml:space="preserve"> tot en met </w:t>
      </w:r>
      <w:r w:rsidRPr="00160A33">
        <w:rPr>
          <w:noProof/>
        </w:rPr>
        <w:t>2027</w:t>
      </w:r>
      <w:r w:rsidRPr="00C3707B">
        <w:rPr>
          <w:noProof/>
        </w:rPr>
        <w:t>,</w:t>
      </w:r>
    </w:p>
    <w:p w14:paraId="4AD4FC42" w14:textId="77777777" w:rsidR="00D37F2D" w:rsidRPr="00C3707B" w:rsidRDefault="00D37F2D" w:rsidP="00D37F2D">
      <w:pPr>
        <w:pStyle w:val="ListDash1"/>
        <w:rPr>
          <w:noProof/>
        </w:rPr>
      </w:pPr>
      <w:r w:rsidRPr="00C3707B">
        <w:rPr>
          <w:noProof/>
        </w:rPr>
        <w:t xml:space="preserve">gevolgd door een volledige uitvoering vanaf </w:t>
      </w:r>
      <w:r w:rsidRPr="00160A33">
        <w:rPr>
          <w:noProof/>
        </w:rPr>
        <w:t>2027</w:t>
      </w:r>
      <w:r w:rsidRPr="00C3707B">
        <w:rPr>
          <w:noProof/>
        </w:rPr>
        <w:t>.</w:t>
      </w:r>
    </w:p>
    <w:p w14:paraId="67DE538E" w14:textId="6E8B8434" w:rsidR="00D37F2D" w:rsidRPr="00C3707B" w:rsidRDefault="00D37F2D" w:rsidP="00D37F2D">
      <w:pPr>
        <w:pStyle w:val="ManualHeading2"/>
        <w:rPr>
          <w:bCs/>
          <w:noProof/>
          <w:szCs w:val="24"/>
        </w:rPr>
      </w:pPr>
      <w:bookmarkStart w:id="87" w:name="_Toc514938040"/>
      <w:bookmarkStart w:id="88" w:name="_Toc520485041"/>
      <w:bookmarkStart w:id="89" w:name="_Toc160804583"/>
      <w:bookmarkStart w:id="90" w:name="_Toc167220275"/>
      <w:bookmarkStart w:id="91" w:name="_Toc177549008"/>
      <w:r w:rsidRPr="00160A33">
        <w:rPr>
          <w:noProof/>
        </w:rPr>
        <w:t>1</w:t>
      </w:r>
      <w:r w:rsidRPr="00C3707B">
        <w:rPr>
          <w:noProof/>
        </w:rPr>
        <w:t>.</w:t>
      </w:r>
      <w:r w:rsidRPr="00160A33">
        <w:rPr>
          <w:noProof/>
        </w:rPr>
        <w:t>7</w:t>
      </w:r>
      <w:r w:rsidRPr="00C3707B">
        <w:rPr>
          <w:noProof/>
        </w:rPr>
        <w:t>.</w:t>
      </w:r>
      <w:r w:rsidRPr="00C3707B">
        <w:rPr>
          <w:noProof/>
        </w:rPr>
        <w:tab/>
        <w:t>Wijzen van uitvoering van de begroting</w:t>
      </w:r>
      <w:r w:rsidRPr="00C3707B">
        <w:rPr>
          <w:rStyle w:val="FootnoteReference"/>
          <w:noProof/>
        </w:rPr>
        <w:footnoteReference w:id="98"/>
      </w:r>
      <w:bookmarkEnd w:id="87"/>
      <w:bookmarkEnd w:id="88"/>
      <w:bookmarkEnd w:id="89"/>
      <w:bookmarkEnd w:id="90"/>
      <w:bookmarkEnd w:id="91"/>
    </w:p>
    <w:p w14:paraId="573857C9" w14:textId="77777777" w:rsidR="00D37F2D" w:rsidRPr="00C3707B" w:rsidRDefault="00D37F2D" w:rsidP="00D37F2D">
      <w:pPr>
        <w:pStyle w:val="Text1"/>
        <w:rPr>
          <w:noProof/>
        </w:rPr>
      </w:pPr>
      <w:r w:rsidRPr="00C3707B">
        <w:rPr>
          <w:rFonts w:ascii="Wingdings" w:hAnsi="Wingdings"/>
          <w:noProof/>
        </w:rPr>
        <w:t></w:t>
      </w:r>
      <w:r w:rsidRPr="00C3707B">
        <w:rPr>
          <w:i/>
          <w:noProof/>
        </w:rPr>
        <w:t xml:space="preserve"> </w:t>
      </w:r>
      <w:r w:rsidRPr="00C3707B">
        <w:rPr>
          <w:b/>
          <w:noProof/>
        </w:rPr>
        <w:t>Direct beheer</w:t>
      </w:r>
      <w:r w:rsidRPr="00C3707B">
        <w:rPr>
          <w:noProof/>
        </w:rPr>
        <w:t xml:space="preserve"> door de Commissie</w:t>
      </w:r>
    </w:p>
    <w:p w14:paraId="7AFEEA0B" w14:textId="77777777" w:rsidR="00D62518" w:rsidRDefault="00D37F2D" w:rsidP="00D37F2D">
      <w:pPr>
        <w:pStyle w:val="ListDash2"/>
        <w:rPr>
          <w:noProof/>
        </w:rPr>
      </w:pPr>
      <w:r w:rsidRPr="00C3707B">
        <w:rPr>
          <w:rFonts w:ascii="Wingdings" w:hAnsi="Wingdings"/>
          <w:noProof/>
        </w:rPr>
        <w:t></w:t>
      </w:r>
      <w:r w:rsidRPr="00C3707B">
        <w:rPr>
          <w:noProof/>
        </w:rPr>
        <w:t xml:space="preserve"> door haar diensten, waaronder het personeel in de delegaties van de Unie</w:t>
      </w:r>
    </w:p>
    <w:p w14:paraId="776E18C9" w14:textId="77777777" w:rsidR="00D62518" w:rsidRDefault="00D37F2D" w:rsidP="00D37F2D">
      <w:pPr>
        <w:pStyle w:val="ListDash2"/>
        <w:rPr>
          <w:noProof/>
        </w:rPr>
      </w:pPr>
      <w:r w:rsidRPr="00C3707B">
        <w:rPr>
          <w:rFonts w:ascii="Wingdings" w:hAnsi="Wingdings"/>
          <w:noProof/>
        </w:rPr>
        <w:t></w:t>
      </w:r>
      <w:r w:rsidRPr="00C3707B">
        <w:rPr>
          <w:noProof/>
        </w:rPr>
        <w:tab/>
        <w:t>door de uitvoerende agentschappen</w:t>
      </w:r>
    </w:p>
    <w:p w14:paraId="53F8A93F" w14:textId="77777777" w:rsidR="00D62518" w:rsidRDefault="00D37F2D" w:rsidP="00D37F2D">
      <w:pPr>
        <w:pStyle w:val="Text1"/>
        <w:rPr>
          <w:noProof/>
        </w:rPr>
      </w:pPr>
      <w:r w:rsidRPr="00C3707B">
        <w:rPr>
          <w:rFonts w:ascii="Wingdings" w:hAnsi="Wingdings"/>
          <w:noProof/>
        </w:rPr>
        <w:t></w:t>
      </w:r>
      <w:r w:rsidRPr="00C3707B">
        <w:rPr>
          <w:b/>
          <w:i/>
          <w:noProof/>
        </w:rPr>
        <w:t xml:space="preserve"> </w:t>
      </w:r>
      <w:r w:rsidRPr="00C3707B">
        <w:rPr>
          <w:b/>
          <w:noProof/>
        </w:rPr>
        <w:t>Gedeeld beheer</w:t>
      </w:r>
      <w:r w:rsidRPr="00C3707B">
        <w:rPr>
          <w:noProof/>
        </w:rPr>
        <w:t xml:space="preserve"> met de lidstaten</w:t>
      </w:r>
    </w:p>
    <w:p w14:paraId="4557C155" w14:textId="55B9CCF5" w:rsidR="00D37F2D" w:rsidRPr="00C3707B" w:rsidRDefault="00D37F2D" w:rsidP="00D37F2D">
      <w:pPr>
        <w:pStyle w:val="Text1"/>
        <w:rPr>
          <w:noProof/>
        </w:rPr>
      </w:pPr>
      <w:r w:rsidRPr="00C3707B">
        <w:rPr>
          <w:rFonts w:ascii="Wingdings" w:hAnsi="Wingdings"/>
          <w:noProof/>
        </w:rPr>
        <w:t></w:t>
      </w:r>
      <w:r w:rsidRPr="00C3707B">
        <w:rPr>
          <w:i/>
          <w:noProof/>
        </w:rPr>
        <w:t xml:space="preserve"> </w:t>
      </w:r>
      <w:r w:rsidRPr="00C3707B">
        <w:rPr>
          <w:b/>
          <w:noProof/>
        </w:rPr>
        <w:t>Indirect beheer</w:t>
      </w:r>
      <w:r w:rsidRPr="00C3707B">
        <w:rPr>
          <w:noProof/>
        </w:rPr>
        <w:t xml:space="preserve"> door begrotingsuitvoeringstaken toe te vertrouwen aan:</w:t>
      </w:r>
    </w:p>
    <w:p w14:paraId="52A0A1BC"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derde landen of de door hen aangewezen organen</w:t>
      </w:r>
    </w:p>
    <w:p w14:paraId="77698A8D"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internationale organisaties en hun agentschappen (geef aan welke)</w:t>
      </w:r>
    </w:p>
    <w:p w14:paraId="26F53A96"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de Europese Investeringsbank en het Europees Investeringsfonds</w:t>
      </w:r>
    </w:p>
    <w:p w14:paraId="28D54D9B"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de in de artikelen </w:t>
      </w:r>
      <w:r w:rsidRPr="00160A33">
        <w:rPr>
          <w:noProof/>
        </w:rPr>
        <w:t>70</w:t>
      </w:r>
      <w:r w:rsidRPr="00C3707B">
        <w:rPr>
          <w:noProof/>
        </w:rPr>
        <w:t xml:space="preserve"> en </w:t>
      </w:r>
      <w:r w:rsidRPr="00160A33">
        <w:rPr>
          <w:noProof/>
        </w:rPr>
        <w:t>71</w:t>
      </w:r>
      <w:r w:rsidRPr="00C3707B">
        <w:rPr>
          <w:noProof/>
        </w:rPr>
        <w:t xml:space="preserve"> van het Financieel Reglement bedoelde organen</w:t>
      </w:r>
    </w:p>
    <w:p w14:paraId="1A0F073B"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publiekrechtelijke organen</w:t>
      </w:r>
    </w:p>
    <w:p w14:paraId="4D9526B1"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privaatrechtelijke organen met een openbaredienstverleningstaak, voor zover zij zijn voorzien van voldoende financiële garanties</w:t>
      </w:r>
    </w:p>
    <w:p w14:paraId="6DFA4058"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privaatrechtelijke organen van een lidstaat, waaraan de uitvoering van een publiek-privaat partnerschap is toevertrouwd en die zijn voorzien van voldoende financiële garanties</w:t>
      </w:r>
    </w:p>
    <w:p w14:paraId="34836D53" w14:textId="77777777" w:rsidR="00D37F2D" w:rsidRPr="00C3707B" w:rsidRDefault="00D37F2D" w:rsidP="00D37F2D">
      <w:pPr>
        <w:pStyle w:val="ListDash2"/>
        <w:rPr>
          <w:noProof/>
        </w:rPr>
      </w:pPr>
      <w:r w:rsidRPr="00C3707B">
        <w:rPr>
          <w:rFonts w:ascii="Wingdings" w:hAnsi="Wingdings"/>
          <w:noProof/>
        </w:rPr>
        <w:t></w:t>
      </w:r>
      <w:r w:rsidRPr="00C3707B">
        <w:rPr>
          <w:noProof/>
        </w:rPr>
        <w:t xml:space="preserve"> organen waaraan of personen aan wie de uitvoering van specifieke maatregelen op het gebied van het gemeenschappelijk buitenlands en veiligheidsbeleid in het kader van titel V van het Verdrag betreffende de Europese Unie is toevertrouwd en die worden genoemd in de betrokken basishandeling</w:t>
      </w:r>
    </w:p>
    <w:p w14:paraId="3105DEA6" w14:textId="77777777" w:rsidR="00D37F2D" w:rsidRPr="00C3707B" w:rsidRDefault="00D37F2D" w:rsidP="00D37F2D">
      <w:pPr>
        <w:pStyle w:val="ListDash2"/>
        <w:rPr>
          <w:noProof/>
        </w:rPr>
      </w:pPr>
      <w:r w:rsidRPr="00C3707B">
        <w:rPr>
          <w:rFonts w:ascii="Wingdings" w:hAnsi="Wingdings"/>
          <w:noProof/>
        </w:rPr>
        <w:t></w:t>
      </w:r>
      <w:r w:rsidRPr="00C3707B">
        <w:rPr>
          <w:rFonts w:ascii="Wingdings" w:hAnsi="Wingdings"/>
          <w:noProof/>
        </w:rPr>
        <w:t></w:t>
      </w:r>
      <w:r w:rsidRPr="00C3707B">
        <w:rPr>
          <w:noProof/>
        </w:rPr>
        <w:t xml:space="preserve"> in een lidstaat gevestigde organen die onder het privaatrecht van een lidstaat of onder het Unierecht vallen en die in aanmerking komen om overeenkomstig sectorspecifieke regelgeving te worden belast met de uitvoering van middelen van de Unie of begrotingsgaranties, voor zover dergelijke organen onder zeggenschap staan van publiekrechtelijke organen of privaatrechtelijke organen met een openbaredienstverleningstaak, en beschikken over voldoende financiële garanties in de vorm van hoofdelijke aansprakelijkheid van de controlerende organen of gelijkwaardige financiële garanties, die voor elke actie beperkt kunnen blijven tot het maximumbedrag van de steun van de Unie.</w:t>
      </w:r>
    </w:p>
    <w:p w14:paraId="5BA3DFB7" w14:textId="77777777" w:rsidR="00D62518" w:rsidRDefault="00D37F2D" w:rsidP="00D37F2D">
      <w:pPr>
        <w:rPr>
          <w:noProof/>
        </w:rPr>
      </w:pPr>
      <w:r w:rsidRPr="00C3707B">
        <w:rPr>
          <w:noProof/>
        </w:rPr>
        <w:t>Opmerkingen</w:t>
      </w:r>
    </w:p>
    <w:p w14:paraId="44BBF154" w14:textId="77777777" w:rsidR="00D62518" w:rsidRDefault="00D37F2D" w:rsidP="00D37F2D">
      <w:pPr>
        <w:pStyle w:val="ManualHeading1"/>
        <w:rPr>
          <w:noProof/>
        </w:rPr>
      </w:pPr>
      <w:bookmarkStart w:id="92" w:name="_Toc514938041"/>
      <w:bookmarkStart w:id="93" w:name="_Toc520485042"/>
      <w:bookmarkStart w:id="94" w:name="_Toc160804584"/>
      <w:bookmarkStart w:id="95" w:name="_Toc167220276"/>
      <w:bookmarkStart w:id="96" w:name="_Toc177549009"/>
      <w:r w:rsidRPr="00160A33">
        <w:rPr>
          <w:noProof/>
        </w:rPr>
        <w:t>2</w:t>
      </w:r>
      <w:r w:rsidRPr="00C3707B">
        <w:rPr>
          <w:noProof/>
        </w:rPr>
        <w:t>.</w:t>
      </w:r>
      <w:r w:rsidRPr="00C3707B">
        <w:rPr>
          <w:noProof/>
        </w:rPr>
        <w:tab/>
        <w:t>BEHEERSMAATREGELEN</w:t>
      </w:r>
      <w:bookmarkEnd w:id="92"/>
      <w:bookmarkEnd w:id="93"/>
      <w:bookmarkEnd w:id="94"/>
      <w:bookmarkEnd w:id="95"/>
      <w:bookmarkEnd w:id="96"/>
    </w:p>
    <w:p w14:paraId="43DF61ED" w14:textId="77777777" w:rsidR="00D62518" w:rsidRDefault="00D37F2D" w:rsidP="00D37F2D">
      <w:pPr>
        <w:pStyle w:val="ManualHeading2"/>
        <w:rPr>
          <w:noProof/>
        </w:rPr>
      </w:pPr>
      <w:bookmarkStart w:id="97" w:name="_Toc514938042"/>
      <w:bookmarkStart w:id="98" w:name="_Toc520485043"/>
      <w:bookmarkStart w:id="99" w:name="_Toc160804585"/>
      <w:bookmarkStart w:id="100" w:name="_Toc167220277"/>
      <w:bookmarkStart w:id="101" w:name="_Toc177549010"/>
      <w:r w:rsidRPr="00160A33">
        <w:rPr>
          <w:noProof/>
        </w:rPr>
        <w:t>2</w:t>
      </w:r>
      <w:r w:rsidRPr="00C3707B">
        <w:rPr>
          <w:noProof/>
        </w:rPr>
        <w:t>.</w:t>
      </w:r>
      <w:r w:rsidRPr="00160A33">
        <w:rPr>
          <w:noProof/>
        </w:rPr>
        <w:t>1</w:t>
      </w:r>
      <w:r w:rsidRPr="00C3707B">
        <w:rPr>
          <w:noProof/>
        </w:rPr>
        <w:t>.</w:t>
      </w:r>
      <w:r w:rsidRPr="00C3707B">
        <w:rPr>
          <w:noProof/>
        </w:rPr>
        <w:tab/>
        <w:t>Regels inzake het toezicht en de verslagen</w:t>
      </w:r>
      <w:bookmarkEnd w:id="97"/>
      <w:bookmarkEnd w:id="98"/>
      <w:bookmarkEnd w:id="99"/>
      <w:bookmarkEnd w:id="100"/>
      <w:bookmarkEnd w:id="101"/>
    </w:p>
    <w:p w14:paraId="3CF581D8" w14:textId="77777777" w:rsidR="00D62518" w:rsidRDefault="00D37F2D" w:rsidP="00D37F2D">
      <w:pPr>
        <w:pStyle w:val="Text1"/>
        <w:pBdr>
          <w:top w:val="single" w:sz="4" w:space="1" w:color="auto"/>
          <w:left w:val="single" w:sz="4" w:space="1" w:color="auto"/>
          <w:bottom w:val="single" w:sz="4" w:space="1" w:color="auto"/>
          <w:right w:val="single" w:sz="4" w:space="1" w:color="auto"/>
        </w:pBdr>
        <w:rPr>
          <w:noProof/>
        </w:rPr>
      </w:pPr>
      <w:r w:rsidRPr="00C3707B">
        <w:rPr>
          <w:noProof/>
        </w:rPr>
        <w:t>Er wordt jaarlijkse monitoring van de vastgestelde indicatoren voorzien.</w:t>
      </w:r>
    </w:p>
    <w:p w14:paraId="71FA8514" w14:textId="6BBC96E3" w:rsidR="00D37F2D" w:rsidRPr="00C3707B" w:rsidRDefault="00D37F2D" w:rsidP="00D37F2D">
      <w:pPr>
        <w:pStyle w:val="Text1"/>
        <w:pBdr>
          <w:top w:val="single" w:sz="4" w:space="1" w:color="auto"/>
          <w:left w:val="single" w:sz="4" w:space="1" w:color="auto"/>
          <w:bottom w:val="single" w:sz="4" w:space="1" w:color="auto"/>
          <w:right w:val="single" w:sz="4" w:space="1" w:color="auto"/>
        </w:pBdr>
        <w:rPr>
          <w:noProof/>
        </w:rPr>
      </w:pPr>
      <w:r w:rsidRPr="00C3707B">
        <w:rPr>
          <w:noProof/>
        </w:rPr>
        <w:t>Het voorstel is gebaseerd op bestaande werkstromen binnen de Europese Commissie en het Europees Geneesmiddelenbureau, die de monitoring van verschillende indicatoren zullen vergemakkelijken. Daarvoor zullen onafgebroken gegevens/informatie beschikbaar zijn.</w:t>
      </w:r>
    </w:p>
    <w:p w14:paraId="0B9ED757" w14:textId="77777777" w:rsidR="00D62518" w:rsidRDefault="00D37F2D" w:rsidP="00D37F2D">
      <w:pPr>
        <w:pStyle w:val="ManualHeading2"/>
        <w:rPr>
          <w:noProof/>
        </w:rPr>
      </w:pPr>
      <w:bookmarkStart w:id="102" w:name="_Toc514938045"/>
      <w:bookmarkStart w:id="103" w:name="_Toc520485044"/>
      <w:bookmarkStart w:id="104" w:name="_Toc160804586"/>
      <w:bookmarkStart w:id="105" w:name="_Toc167220278"/>
      <w:bookmarkStart w:id="106" w:name="_Toc177549011"/>
      <w:r w:rsidRPr="00160A33">
        <w:rPr>
          <w:noProof/>
        </w:rPr>
        <w:t>2</w:t>
      </w:r>
      <w:r w:rsidRPr="00C3707B">
        <w:rPr>
          <w:noProof/>
        </w:rPr>
        <w:t>.</w:t>
      </w:r>
      <w:r w:rsidRPr="00160A33">
        <w:rPr>
          <w:noProof/>
        </w:rPr>
        <w:t>2</w:t>
      </w:r>
      <w:r w:rsidRPr="00C3707B">
        <w:rPr>
          <w:noProof/>
        </w:rPr>
        <w:t>.</w:t>
      </w:r>
      <w:r w:rsidRPr="00C3707B">
        <w:rPr>
          <w:noProof/>
        </w:rPr>
        <w:tab/>
        <w:t>Beheers- en controlesystemen</w:t>
      </w:r>
      <w:bookmarkEnd w:id="102"/>
      <w:bookmarkEnd w:id="103"/>
      <w:bookmarkEnd w:id="104"/>
      <w:bookmarkEnd w:id="105"/>
      <w:bookmarkEnd w:id="106"/>
    </w:p>
    <w:p w14:paraId="7B237F07" w14:textId="31830D37" w:rsidR="00D37F2D" w:rsidRPr="00C3707B" w:rsidRDefault="00D37F2D" w:rsidP="00D37F2D">
      <w:pPr>
        <w:pStyle w:val="ManualHeading3"/>
        <w:rPr>
          <w:noProof/>
        </w:rPr>
      </w:pPr>
      <w:bookmarkStart w:id="107" w:name="_Toc514938046"/>
      <w:bookmarkStart w:id="108" w:name="_Toc520485045"/>
      <w:bookmarkStart w:id="109" w:name="_Toc160804587"/>
      <w:bookmarkStart w:id="110" w:name="_Toc167220279"/>
      <w:bookmarkStart w:id="111" w:name="_Toc177549012"/>
      <w:r w:rsidRPr="00160A33">
        <w:rPr>
          <w:noProof/>
        </w:rPr>
        <w:t>2</w:t>
      </w:r>
      <w:r w:rsidRPr="00C3707B">
        <w:rPr>
          <w:noProof/>
        </w:rPr>
        <w:t>.</w:t>
      </w:r>
      <w:r w:rsidRPr="00160A33">
        <w:rPr>
          <w:noProof/>
        </w:rPr>
        <w:t>2</w:t>
      </w:r>
      <w:r w:rsidRPr="00C3707B">
        <w:rPr>
          <w:noProof/>
        </w:rPr>
        <w:t>.</w:t>
      </w:r>
      <w:r w:rsidRPr="00160A33">
        <w:rPr>
          <w:noProof/>
        </w:rPr>
        <w:t>1</w:t>
      </w:r>
      <w:r w:rsidRPr="00C3707B">
        <w:rPr>
          <w:noProof/>
        </w:rPr>
        <w:t>.</w:t>
      </w:r>
      <w:r w:rsidRPr="00C3707B">
        <w:rPr>
          <w:noProof/>
        </w:rPr>
        <w:tab/>
        <w:t>Rechtvaardiging van de voorgestelde wijzen van uitvoering van de begroting, uitvoeringsmechanismen voor financiering, betalingsvoorwaarden en controlestrategie</w:t>
      </w:r>
      <w:bookmarkEnd w:id="107"/>
      <w:bookmarkEnd w:id="108"/>
      <w:bookmarkEnd w:id="109"/>
      <w:bookmarkEnd w:id="110"/>
      <w:bookmarkEnd w:id="111"/>
    </w:p>
    <w:p w14:paraId="164D883F" w14:textId="77777777" w:rsidR="00D62518" w:rsidRDefault="00D37F2D" w:rsidP="00D37F2D">
      <w:pPr>
        <w:pStyle w:val="Text1"/>
        <w:pBdr>
          <w:top w:val="single" w:sz="4" w:space="1" w:color="auto"/>
          <w:left w:val="single" w:sz="4" w:space="1" w:color="auto"/>
          <w:bottom w:val="single" w:sz="4" w:space="1" w:color="auto"/>
          <w:right w:val="single" w:sz="4" w:space="1" w:color="auto"/>
        </w:pBdr>
        <w:rPr>
          <w:noProof/>
        </w:rPr>
      </w:pPr>
      <w:r w:rsidRPr="00C3707B">
        <w:rPr>
          <w:noProof/>
        </w:rPr>
        <w:t>De acties ter vergroting van de voorzieningszekerheid en de beschikbaarheid van kritieke geneesmiddelen in de Unie en ter verbetering van de beschikbaarheid en toegankelijkheid van andere geneesmiddelen wanneer de marktwerking de beschikbaarheid en toegankelijkheid van die geneesmiddelen voor patiënten anders onvoldoende zou waarborgen, zullen worden uitgevoerd in direct beheer, waarbij gebruik wordt gemaakt van de door het Financieel Reglement geboden uitvoeringswijzen, voornamelijk subsidies en aanbestedingen. Dankzij direct beheer kunnen subsidieovereenkomsten/contracten worden afgesloten met begunstigden/contractanten die rechtstreeks zijn betrokken bij activiteiten ter bevordering van het beleid van de Unie. De Commissie zorgt voor rechtstreekse monitoring van de resultaten van de gefinancierde acties. De betalingsvoorwaarden van de gefinancierde acties zullen worden aangepast aan de risico’s van de financiële transacties.</w:t>
      </w:r>
    </w:p>
    <w:p w14:paraId="293D691B" w14:textId="67B7EEB5" w:rsidR="00D37F2D" w:rsidRPr="00C3707B" w:rsidRDefault="00D37F2D" w:rsidP="00D37F2D">
      <w:pPr>
        <w:pStyle w:val="Text1"/>
        <w:pBdr>
          <w:top w:val="single" w:sz="4" w:space="1" w:color="auto"/>
          <w:left w:val="single" w:sz="4" w:space="1" w:color="auto"/>
          <w:bottom w:val="single" w:sz="4" w:space="1" w:color="auto"/>
          <w:right w:val="single" w:sz="4" w:space="1" w:color="auto"/>
        </w:pBdr>
        <w:rPr>
          <w:noProof/>
        </w:rPr>
      </w:pPr>
      <w:r w:rsidRPr="00C3707B">
        <w:rPr>
          <w:noProof/>
        </w:rPr>
        <w:t>Met het oog op de doeltreffendheid, doelmatigheid en zuinigheid van de controles van de Commissie zal de strategie streven naar een evenwicht tussen controles vooraf en achteraf en zich toespitsen op drie belangrijke fasen van de uitvoering van subsidieverleningen/contracten, conform het Financieel Reglement:</w:t>
      </w:r>
    </w:p>
    <w:p w14:paraId="33F5EB1B" w14:textId="77777777" w:rsidR="00D37F2D" w:rsidRPr="00C3707B" w:rsidRDefault="00D37F2D" w:rsidP="00FF677D">
      <w:pPr>
        <w:pStyle w:val="Tiret1"/>
        <w:numPr>
          <w:ilvl w:val="0"/>
          <w:numId w:val="17"/>
        </w:numPr>
        <w:pBdr>
          <w:top w:val="single" w:sz="4" w:space="1" w:color="auto"/>
          <w:left w:val="single" w:sz="4" w:space="1" w:color="auto"/>
          <w:bottom w:val="single" w:sz="4" w:space="1" w:color="auto"/>
          <w:right w:val="single" w:sz="4" w:space="1" w:color="auto"/>
        </w:pBdr>
        <w:rPr>
          <w:noProof/>
        </w:rPr>
      </w:pPr>
      <w:r w:rsidRPr="00C3707B">
        <w:rPr>
          <w:noProof/>
        </w:rPr>
        <w:t>de selectie van voorstellen die aan de beleidsdoelstellingen van de verordening beantwoorden;</w:t>
      </w:r>
    </w:p>
    <w:p w14:paraId="7C492A6B" w14:textId="77777777" w:rsidR="00D37F2D" w:rsidRPr="00C3707B" w:rsidRDefault="00D37F2D" w:rsidP="00D37F2D">
      <w:pPr>
        <w:pStyle w:val="Tiret1"/>
        <w:pBdr>
          <w:top w:val="single" w:sz="4" w:space="1" w:color="auto"/>
          <w:left w:val="single" w:sz="4" w:space="1" w:color="auto"/>
          <w:bottom w:val="single" w:sz="4" w:space="1" w:color="auto"/>
          <w:right w:val="single" w:sz="4" w:space="1" w:color="auto"/>
        </w:pBdr>
        <w:rPr>
          <w:noProof/>
        </w:rPr>
      </w:pPr>
      <w:r w:rsidRPr="00C3707B">
        <w:rPr>
          <w:noProof/>
        </w:rPr>
        <w:t>operationele, voorafgaande en monitoringcontroles van de uitvoering van projecten, overheidsopdrachten, voorschotten, tussentijdse en saldobetalingen, beheer van zekerheden; bij de begunstigden/contractanten zullen ook ter plekke controles achteraf worden uitgevoerd op een steekproef van transacties. De selectie van deze transacties is gebaseerd op een combinatie van een risicobeoordeling en een aselecte steekproef.</w:t>
      </w:r>
    </w:p>
    <w:p w14:paraId="1DED533E" w14:textId="77777777" w:rsidR="00D37F2D" w:rsidRPr="00C3707B" w:rsidRDefault="00D37F2D" w:rsidP="00D37F2D">
      <w:pPr>
        <w:pStyle w:val="ManualHeading3"/>
        <w:rPr>
          <w:bCs/>
          <w:noProof/>
          <w:szCs w:val="24"/>
        </w:rPr>
      </w:pPr>
      <w:bookmarkStart w:id="112" w:name="_Toc514938047"/>
      <w:bookmarkStart w:id="113" w:name="_Toc520485046"/>
      <w:bookmarkStart w:id="114" w:name="_Toc160804588"/>
      <w:bookmarkStart w:id="115" w:name="_Toc167220280"/>
      <w:bookmarkStart w:id="116" w:name="_Toc177549013"/>
      <w:r w:rsidRPr="00160A33">
        <w:rPr>
          <w:noProof/>
        </w:rPr>
        <w:t>2</w:t>
      </w:r>
      <w:r w:rsidRPr="00C3707B">
        <w:rPr>
          <w:noProof/>
        </w:rPr>
        <w:t>.</w:t>
      </w:r>
      <w:r w:rsidRPr="00160A33">
        <w:rPr>
          <w:noProof/>
        </w:rPr>
        <w:t>2</w:t>
      </w:r>
      <w:r w:rsidRPr="00C3707B">
        <w:rPr>
          <w:noProof/>
        </w:rPr>
        <w:t>.</w:t>
      </w:r>
      <w:r w:rsidRPr="00160A33">
        <w:rPr>
          <w:noProof/>
        </w:rPr>
        <w:t>2</w:t>
      </w:r>
      <w:r w:rsidRPr="00C3707B">
        <w:rPr>
          <w:noProof/>
        </w:rPr>
        <w:t>.</w:t>
      </w:r>
      <w:r w:rsidRPr="00C3707B">
        <w:rPr>
          <w:noProof/>
        </w:rPr>
        <w:tab/>
        <w:t>Informatie over de vastgestelde risico’s en het systeem of de systemen voor interne controle die zijn opgezet om die risico’s te beperken</w:t>
      </w:r>
      <w:bookmarkEnd w:id="112"/>
      <w:bookmarkEnd w:id="113"/>
      <w:bookmarkEnd w:id="114"/>
      <w:bookmarkEnd w:id="115"/>
      <w:bookmarkEnd w:id="116"/>
    </w:p>
    <w:p w14:paraId="349F3B7B"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Het voorstel zal worden uitgevoerd door middel van subsidies en overheidsopdrachten, rekening houdend met de financieringsmogelijkheden die worden gefaciliteerd door het platform voor strategische technologieën voor Europa (STEP) en de financieringsmogelijkheden die onder meer worden geboden door het InvestEU-programma, de herstel- en veerkrachtfaciliteit, Horizon Europa, EU</w:t>
      </w:r>
      <w:r w:rsidRPr="00160A33">
        <w:rPr>
          <w:noProof/>
        </w:rPr>
        <w:t>4</w:t>
      </w:r>
      <w:r w:rsidRPr="00C3707B">
        <w:rPr>
          <w:noProof/>
        </w:rPr>
        <w:t>Health, het programma Digitaal Europa, de programma’s van het cohesiebeleid en het instrument voor technische ondersteuning. De subsidies en opdrachten zullen voornamelijk worden toegekend en gegund aan niet-gouvernementele organisaties of bevoegde autoriteiten van de lidstaten ter ondersteuning van strategische projecten en ter ondersteuning van activiteiten.</w:t>
      </w:r>
    </w:p>
    <w:p w14:paraId="5BB99BDF"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belangrijkste risico’s zijn:</w:t>
      </w:r>
    </w:p>
    <w:p w14:paraId="7A9DB112"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onvolledige verwezenlijking van de doelstellingen van de verordening door onvoldoende toepassing of onvoldoende kwaliteit/vertragingen bij de uitvoering van de geselecteerde projecten of contracten;</w:t>
      </w:r>
    </w:p>
    <w:p w14:paraId="0E9EF16F"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inefficiënt of niet-economisch gebruik van de toegekende middelen, zowel voor subsidies (complexiteit van de financieringsvoorschriften) als aanbestedingen (een beperkt aantal economische actoren met de vereiste gespecialiseerde kennis, waardoor in sommige sectoren onvoldoende mogelijkheden bestaan om prijsoffertes te vergelijken);</w:t>
      </w:r>
    </w:p>
    <w:p w14:paraId="02A0E667"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reputatieschade voor de Commissie wanneer er fraude of criminele activiteiten worden ontdekt; de interne controlesystemen van derden kunnen geen volledige zekerheid bieden, gezien het vrij grote aantal heterogene contractanten en begunstigden, elk met een eigen controlesysteem.</w:t>
      </w:r>
    </w:p>
    <w:p w14:paraId="76EA793E" w14:textId="77777777" w:rsidR="00D62518"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Commissie heeft voor interne procedures gezorgd om de bovenstaande risico’s aan te pakken. De interne procedures zijn volledig in overeenstemming met het Financieel Reglement en omvatten kosten-batenoverwegingen en fraudebestrijdingsmaatregelen. Binnen dit kader blijft de Commissie mogelijkheden verkennen om het beheer te verbeteren en efficiëntiewinst te boeken. De voornaamste kenmerken van het controlekader zijn:</w:t>
      </w:r>
    </w:p>
    <w:p w14:paraId="01275A45" w14:textId="77777777" w:rsidR="00D62518"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controles vóór en tijdens de uitvoering van de projecten:</w:t>
      </w:r>
    </w:p>
    <w:p w14:paraId="3DC7F257" w14:textId="1C3A3C48"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er zal een passend projectbeheersysteem worden opgezet waarin de nadruk wordt gelegd op de bijdrage van die projecten en contracten aan de beleidsdoelstellingen, waarmee wordt gezorgd voor een systematische betrokkenheid van alle actoren en voor een regelmatige verslaglegging over het projectbeheer die van geval tot geval wordt aangevuld met bezoeken ter plekke en die ook risicoverslagen aan het hogere management zal omvatten, en waarmee de nodige budgettaire flexibiliteit wordt gewaarborgd;</w:t>
      </w:r>
    </w:p>
    <w:p w14:paraId="3AA8CD12"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de gebruikte modelsubsidieovereenkomsten en modeldienstencontracten worden door de Commissie ontwikkeld. Zij bevatten een aantal controlevoorzieningen zoals auditcertificaten, financiële garanties, audits ter plekke en inspecties door het OLAF. De regels inzake de subsidiabiliteit van kosten worden vereenvoudigd, bijvoorbeeld door gebruik te maken van eenheidskosten, vaste bedragen, niet aan de kosten gekoppelde bijdragen en andere mogelijkheden waarin het Financieel Reglement voorziet. Hierdoor worden de kosten van controles verminderd en komt de nadruk te liggen op controles op gebieden met een hoog risico;</w:t>
      </w:r>
    </w:p>
    <w:p w14:paraId="79F7CACB" w14:textId="77777777" w:rsidR="00D62518"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al het personeel ondertekent de code van goed administratief gedrag. Personeelsleden die bij de selectieprocedure of bij het beheer van subsidieovereenkomsten/-contracten betrokken zijn, ondertekenen (ook) een verklaring inzake de afwezigheid van belangenconflicten. Het personeel wordt regelmatig bijgeschoold en gebruikt netwerken om beste praktijken uit te wisselen;</w:t>
      </w:r>
    </w:p>
    <w:p w14:paraId="5EB8F3ED" w14:textId="5DBEC0D0"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de technische uitvoering van een project wordt regelmatig aan de hand van documenten gecontroleerd op basis van de technische voortgangsverslagen van de contractanten en begunstigden; bovendien vinden per geval vergaderingen met de contractanten/begunstigden en bezoeken ter plekke plaats;</w:t>
      </w:r>
    </w:p>
    <w:p w14:paraId="7872BDCF"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controles aan het einde van het project: er worden controles achteraf uitgevoerd op een steekproef van transacties om de subsidiabiliteit van kostenclaims ter plekke te verifiëren. Het doel van deze controles is materiële fouten in verband met de wettigheid en de regelmatigheid van de financiële transacties te voorkomen, op te sporen en te corrigeren. Om de controles een grote impact te geven, voorziet de selectie van de aan een audit te onderwerpen begunstigden in de combinatie van een risicogebaseerde selectie met een aselecte steekproef en in zoveel mogelijk aandacht voor de operationele aspecten tijdens de audit ter plekke.</w:t>
      </w:r>
    </w:p>
    <w:p w14:paraId="567A2A29" w14:textId="77777777" w:rsidR="00D62518" w:rsidRDefault="00D37F2D" w:rsidP="00D37F2D">
      <w:pPr>
        <w:pStyle w:val="ManualHeading3"/>
        <w:rPr>
          <w:noProof/>
        </w:rPr>
      </w:pPr>
      <w:bookmarkStart w:id="117" w:name="_Toc514938048"/>
      <w:bookmarkStart w:id="118" w:name="_Toc520485047"/>
      <w:bookmarkStart w:id="119" w:name="_Toc160804589"/>
      <w:bookmarkStart w:id="120" w:name="_Toc167220281"/>
      <w:bookmarkStart w:id="121" w:name="_Toc177549014"/>
      <w:r w:rsidRPr="00160A33">
        <w:rPr>
          <w:noProof/>
        </w:rPr>
        <w:t>2</w:t>
      </w:r>
      <w:r w:rsidRPr="00C3707B">
        <w:rPr>
          <w:noProof/>
        </w:rPr>
        <w:t>.</w:t>
      </w:r>
      <w:r w:rsidRPr="00160A33">
        <w:rPr>
          <w:noProof/>
        </w:rPr>
        <w:t>2</w:t>
      </w:r>
      <w:r w:rsidRPr="00C3707B">
        <w:rPr>
          <w:noProof/>
        </w:rPr>
        <w:t>.</w:t>
      </w:r>
      <w:r w:rsidRPr="00160A33">
        <w:rPr>
          <w:noProof/>
        </w:rPr>
        <w:t>3</w:t>
      </w:r>
      <w:r w:rsidRPr="00C3707B">
        <w:rPr>
          <w:noProof/>
        </w:rPr>
        <w:t>.</w:t>
      </w:r>
      <w:r w:rsidRPr="00C3707B">
        <w:rPr>
          <w:noProof/>
        </w:rPr>
        <w:tab/>
        <w:t>Raming en motivering van de kosteneffectiviteit van de controles (verhouding tussen de controlekosten en de waarde van de desbetreffende financiële middelen) en evaluatie van het verwachte foutenrisico (bij betaling en bij afsluiting)</w:t>
      </w:r>
      <w:bookmarkEnd w:id="117"/>
      <w:bookmarkEnd w:id="118"/>
      <w:bookmarkEnd w:id="119"/>
      <w:bookmarkEnd w:id="120"/>
      <w:bookmarkEnd w:id="121"/>
    </w:p>
    <w:p w14:paraId="3087D445" w14:textId="0923CE90" w:rsidR="00D62518"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De jaarlijkse kosten van het voorgestelde controleniveau in het kader van het derde gezondheidsprogramma </w:t>
      </w:r>
      <w:r w:rsidRPr="00160A33">
        <w:rPr>
          <w:noProof/>
        </w:rPr>
        <w:t>2014</w:t>
      </w:r>
      <w:r w:rsidRPr="00C3707B">
        <w:rPr>
          <w:noProof/>
        </w:rPr>
        <w:t>-</w:t>
      </w:r>
      <w:r w:rsidRPr="00160A33">
        <w:rPr>
          <w:noProof/>
        </w:rPr>
        <w:t>2020</w:t>
      </w:r>
      <w:r w:rsidRPr="00C3707B">
        <w:rPr>
          <w:noProof/>
        </w:rPr>
        <w:t xml:space="preserve"> vertegenwoordigden ongeveer </w:t>
      </w:r>
      <w:r w:rsidRPr="00160A33">
        <w:rPr>
          <w:noProof/>
        </w:rPr>
        <w:t>4</w:t>
      </w:r>
      <w:r w:rsidR="000A2A54">
        <w:rPr>
          <w:noProof/>
        </w:rPr>
        <w:t> </w:t>
      </w:r>
      <w:r w:rsidRPr="00C3707B">
        <w:rPr>
          <w:noProof/>
        </w:rPr>
        <w:t xml:space="preserve">tot </w:t>
      </w:r>
      <w:r w:rsidRPr="00160A33">
        <w:rPr>
          <w:noProof/>
        </w:rPr>
        <w:t>7</w:t>
      </w:r>
      <w:r w:rsidRPr="00C3707B">
        <w:rPr>
          <w:noProof/>
        </w:rPr>
        <w:t> % van het jaarlijkse budget van de beleidsuitgaven. Dit is gerechtvaardigd door de verscheidenheid aan te controleren transacties. Ten aanzien van gezondheid houdt direct beheer in dat een groot aantal opdrachten en subsidies voor acties van zeer kleine tot zeer grote omvang wordt toegekend en dat veel exploitatiesubsidies aan niet-gouvernementele organisaties worden uitbetaald. Het risico in verband met deze activiteiten heeft betrekking op het vermogen van (vooral) kleinere organisaties om de uitgaven daadwerkelijk te controleren.</w:t>
      </w:r>
    </w:p>
    <w:p w14:paraId="3A13B759" w14:textId="27B0465B"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Commissie is van oordeel dat de gemiddelde kosten van de controles voor de uit hoofde van deze verordening voorgestelde acties waarschijnlijk hetzelfde zijn.</w:t>
      </w:r>
    </w:p>
    <w:p w14:paraId="7180DE7A" w14:textId="77777777" w:rsidR="00D62518"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In het kader van het derde gezondheidsprogramma </w:t>
      </w:r>
      <w:r w:rsidRPr="00160A33">
        <w:rPr>
          <w:noProof/>
        </w:rPr>
        <w:t>2014</w:t>
      </w:r>
      <w:r w:rsidRPr="00C3707B">
        <w:rPr>
          <w:noProof/>
        </w:rPr>
        <w:t>-</w:t>
      </w:r>
      <w:r w:rsidRPr="00160A33">
        <w:rPr>
          <w:noProof/>
        </w:rPr>
        <w:t>2020</w:t>
      </w:r>
      <w:r w:rsidRPr="00C3707B">
        <w:rPr>
          <w:noProof/>
        </w:rPr>
        <w:t xml:space="preserve"> bedroeg, over een periode van vijf jaar, het foutenpercentage voor de audits ter plaatse van subsidies onder direct beheer </w:t>
      </w:r>
      <w:r w:rsidRPr="00160A33">
        <w:rPr>
          <w:noProof/>
        </w:rPr>
        <w:t>1</w:t>
      </w:r>
      <w:r w:rsidRPr="00C3707B">
        <w:rPr>
          <w:noProof/>
        </w:rPr>
        <w:t>,</w:t>
      </w:r>
      <w:r w:rsidRPr="00160A33">
        <w:rPr>
          <w:noProof/>
        </w:rPr>
        <w:t>8</w:t>
      </w:r>
      <w:r w:rsidRPr="00C3707B">
        <w:rPr>
          <w:noProof/>
        </w:rPr>
        <w:t xml:space="preserve"> %, en voor aanbestedingsovereenkomsten voor overheidsopdrachten minder dan </w:t>
      </w:r>
      <w:r w:rsidRPr="00160A33">
        <w:rPr>
          <w:noProof/>
        </w:rPr>
        <w:t>1</w:t>
      </w:r>
      <w:r w:rsidRPr="00C3707B">
        <w:rPr>
          <w:noProof/>
        </w:rPr>
        <w:t xml:space="preserve"> %. Deze foutenpercentages worden aanvaardbaar geacht, aangezien zij onder de foutentolerantie van </w:t>
      </w:r>
      <w:r w:rsidRPr="00160A33">
        <w:rPr>
          <w:noProof/>
        </w:rPr>
        <w:t>2</w:t>
      </w:r>
      <w:r w:rsidRPr="00C3707B">
        <w:rPr>
          <w:noProof/>
        </w:rPr>
        <w:t> % liggen.</w:t>
      </w:r>
    </w:p>
    <w:p w14:paraId="06F64C8A" w14:textId="65E73248"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De voorgestelde acties zullen geen gevolgen hebben voor de wijze waarop de kredieten worden beheerd. Het huidige controlesysteem is in staat fouten en/of onregelmatigheden te voorkomen en/of op te sporen en te corrigeren. Het zal worden aangepast om er de nieuwe acties in op te nemen en ervoor te zorgen dat de restfoutenpercentages (na correctie) onder de drempel van </w:t>
      </w:r>
      <w:r w:rsidRPr="00160A33">
        <w:rPr>
          <w:noProof/>
        </w:rPr>
        <w:t>2</w:t>
      </w:r>
      <w:r w:rsidRPr="00C3707B">
        <w:rPr>
          <w:noProof/>
        </w:rPr>
        <w:t> % blijven.</w:t>
      </w:r>
      <w:bookmarkStart w:id="122" w:name="_Toc514938049"/>
      <w:bookmarkStart w:id="123" w:name="_Toc520485048"/>
      <w:bookmarkStart w:id="124" w:name="_Toc160804590"/>
      <w:bookmarkStart w:id="125" w:name="_Toc167220282"/>
      <w:bookmarkStart w:id="126" w:name="_Toc177549015"/>
    </w:p>
    <w:p w14:paraId="7CCF8D2E" w14:textId="77777777" w:rsidR="00D62518" w:rsidRDefault="00763241" w:rsidP="00D37F2D">
      <w:pPr>
        <w:pStyle w:val="ManualHeading2"/>
        <w:rPr>
          <w:noProof/>
        </w:rPr>
      </w:pPr>
      <w:r w:rsidRPr="00160A33">
        <w:rPr>
          <w:noProof/>
        </w:rPr>
        <w:t>2</w:t>
      </w:r>
      <w:r w:rsidRPr="00C3707B">
        <w:rPr>
          <w:noProof/>
        </w:rPr>
        <w:t>.</w:t>
      </w:r>
      <w:r w:rsidRPr="00160A33">
        <w:rPr>
          <w:noProof/>
        </w:rPr>
        <w:t>3</w:t>
      </w:r>
      <w:r w:rsidRPr="00C3707B">
        <w:rPr>
          <w:noProof/>
        </w:rPr>
        <w:tab/>
        <w:t>Maatregelen ter voorkoming van fraude en onregelmatigheden</w:t>
      </w:r>
      <w:bookmarkEnd w:id="122"/>
      <w:bookmarkEnd w:id="123"/>
      <w:bookmarkEnd w:id="124"/>
      <w:bookmarkEnd w:id="125"/>
      <w:bookmarkEnd w:id="126"/>
    </w:p>
    <w:p w14:paraId="6D5E8D60" w14:textId="308D8441"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Met betrekking tot haar activiteiten onder direct beheer neemt de Commissie passende maatregelen om ervoor te zorgen dat de financiële belangen van de Europese Unie worden gevrijwaard door de toepassing van maatregelen ter voorkoming van fraude, corruptie en andere onwettige activiteiten, door doeltreffende controles en, indien er onregelmatigheden worden vastgesteld, de terugvordering van ten onrechte betaalde bedragen en, waar nodig, door doeltreffende, evenredige en afschrikkende sancties. Daartoe heeft de Commissie een fraudebestrijdingsstrategie vastgesteld, meest recentelijk bijgewerkt in april</w:t>
      </w:r>
      <w:r w:rsidR="000A2A54">
        <w:rPr>
          <w:noProof/>
        </w:rPr>
        <w:t> </w:t>
      </w:r>
      <w:r w:rsidRPr="00160A33">
        <w:rPr>
          <w:noProof/>
        </w:rPr>
        <w:t>2019</w:t>
      </w:r>
      <w:r w:rsidRPr="00C3707B">
        <w:rPr>
          <w:noProof/>
        </w:rPr>
        <w:t xml:space="preserve"> (COM(</w:t>
      </w:r>
      <w:r w:rsidRPr="00160A33">
        <w:rPr>
          <w:noProof/>
        </w:rPr>
        <w:t>2019</w:t>
      </w:r>
      <w:r w:rsidRPr="00C3707B">
        <w:rPr>
          <w:noProof/>
        </w:rPr>
        <w:t>)</w:t>
      </w:r>
      <w:r w:rsidR="000A2A54">
        <w:rPr>
          <w:noProof/>
        </w:rPr>
        <w:t xml:space="preserve"> </w:t>
      </w:r>
      <w:r w:rsidRPr="00160A33">
        <w:rPr>
          <w:noProof/>
        </w:rPr>
        <w:t>196</w:t>
      </w:r>
      <w:r w:rsidRPr="00C3707B">
        <w:rPr>
          <w:noProof/>
        </w:rPr>
        <w:t>), waarin met name de volgende preventieve, opsporings- en correctiecontroles zijn opgenomen.</w:t>
      </w:r>
    </w:p>
    <w:p w14:paraId="5F62848C"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Commissie of haar vertegenwoordigers en de Rekenkamer hebben de bevoegdheid om op basis van documenten of ter plaatse audits uit te voeren bij alle begunstigden van subsidies, contractanten en subcontractanten die middelen van de Unie hebben ontvangen. OLAF is gemachtigd om controles en verificaties ter plaatse uit te voeren bij marktdeelnemers die direct of indirect bij deze financiering betrokken zijn.</w:t>
      </w:r>
    </w:p>
    <w:p w14:paraId="6183E59E"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De Commissie past ook een aantal maatregelen toe zoals:</w:t>
      </w:r>
    </w:p>
    <w:p w14:paraId="1C0CDAC8"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besluiten, overeenkomsten en contracten die voortvloeien uit de uitvoering van de verordening zullen de Commissie, inclusief het OLAF, en de Rekenkamer uitdrukkelijk machtigen tot de uitvoering van audits, controles ter plaatse en inspecties en tot terugvordering van ten onrechte uitbetaalde bedragen en, in voorkomend geval, oplegging van administratieve sancties;</w:t>
      </w:r>
    </w:p>
    <w:p w14:paraId="3431F237"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tijdens de evaluatiefase van een oproep tot het indienen van voorstellen/aanbesteding wordt aan de hand van verklaringen en het systeem voor vroegtijdige opsporing en uitsluiting (EDES) gecontroleerd of de bekendgemaakte uitsluitingscriteria niet op de aanvragers en de inschrijvers van toepassing zijn;</w:t>
      </w:r>
    </w:p>
    <w:p w14:paraId="7B25ED5C"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de regels in verband met de subsidiabiliteit van de kosten zullen worden vereenvoudigd overeenkomstig de bepalingen van het Financieel Reglement;</w:t>
      </w:r>
    </w:p>
    <w:p w14:paraId="790FEA44"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jc w:val="left"/>
        <w:rPr>
          <w:noProof/>
        </w:rPr>
        <w:sectPr w:rsidR="00D37F2D" w:rsidRPr="00C3707B" w:rsidSect="00C21E5E">
          <w:pgSz w:w="11907" w:h="16840" w:code="9"/>
          <w:pgMar w:top="1134" w:right="1418" w:bottom="1134" w:left="1418" w:header="709" w:footer="709" w:gutter="0"/>
          <w:cols w:space="708"/>
          <w:docGrid w:linePitch="360"/>
        </w:sectPr>
      </w:pPr>
      <w:r w:rsidRPr="00C3707B">
        <w:rPr>
          <w:noProof/>
        </w:rPr>
        <w:t xml:space="preserve">— alle personeelsleden die betrokken zijn bij het contractbeheer, alsook auditors en controleurs die de verklaringen van de begunstigden ter plaatse onderzoeken, krijgen geregeld opleiding over thema’s die verband houden met fraude en onregelmatigheden. </w:t>
      </w:r>
    </w:p>
    <w:p w14:paraId="5386DDC9" w14:textId="77777777" w:rsidR="00D62518" w:rsidRDefault="00D37F2D" w:rsidP="00D37F2D">
      <w:pPr>
        <w:pStyle w:val="ManualHeading1"/>
        <w:rPr>
          <w:noProof/>
        </w:rPr>
      </w:pPr>
      <w:bookmarkStart w:id="127" w:name="_Toc514938050"/>
      <w:bookmarkStart w:id="128" w:name="_Toc520485049"/>
      <w:bookmarkStart w:id="129" w:name="_Toc160804591"/>
      <w:bookmarkStart w:id="130" w:name="_Toc167220283"/>
      <w:bookmarkStart w:id="131" w:name="_Toc177549016"/>
      <w:r w:rsidRPr="00160A33">
        <w:rPr>
          <w:noProof/>
        </w:rPr>
        <w:t>3</w:t>
      </w:r>
      <w:r w:rsidRPr="00C3707B">
        <w:rPr>
          <w:noProof/>
        </w:rPr>
        <w:t>.</w:t>
      </w:r>
      <w:r w:rsidRPr="00C3707B">
        <w:rPr>
          <w:noProof/>
        </w:rPr>
        <w:tab/>
        <w:t>GERAAMDE FINANCIËLE GEVOLGEN VAN HET VOORSTEL/INITIATIEF</w:t>
      </w:r>
      <w:bookmarkEnd w:id="127"/>
      <w:bookmarkEnd w:id="128"/>
      <w:bookmarkEnd w:id="129"/>
      <w:bookmarkEnd w:id="130"/>
      <w:bookmarkEnd w:id="131"/>
    </w:p>
    <w:p w14:paraId="66EAE0F5" w14:textId="77777777" w:rsidR="00D62518" w:rsidRDefault="00D37F2D" w:rsidP="00D37F2D">
      <w:pPr>
        <w:pStyle w:val="ManualHeading2"/>
        <w:rPr>
          <w:noProof/>
        </w:rPr>
      </w:pPr>
      <w:bookmarkStart w:id="132" w:name="_Toc514938051"/>
      <w:bookmarkStart w:id="133" w:name="_Toc520485050"/>
      <w:bookmarkStart w:id="134" w:name="_Toc160804592"/>
      <w:bookmarkStart w:id="135" w:name="_Toc167220284"/>
      <w:bookmarkStart w:id="136" w:name="_Toc177549017"/>
      <w:r w:rsidRPr="00160A33">
        <w:rPr>
          <w:noProof/>
        </w:rPr>
        <w:t>3</w:t>
      </w:r>
      <w:r w:rsidRPr="00C3707B">
        <w:rPr>
          <w:noProof/>
        </w:rPr>
        <w:t>.</w:t>
      </w:r>
      <w:r w:rsidRPr="00160A33">
        <w:rPr>
          <w:noProof/>
        </w:rPr>
        <w:t>1</w:t>
      </w:r>
      <w:r w:rsidRPr="00C3707B">
        <w:rPr>
          <w:noProof/>
        </w:rPr>
        <w:t>.</w:t>
      </w:r>
      <w:r w:rsidRPr="00C3707B">
        <w:rPr>
          <w:noProof/>
        </w:rPr>
        <w:tab/>
        <w:t>Rubrieken van het meerjarig financieel kader en betrokken begrotingsonderdelen voor uitgaven</w:t>
      </w:r>
      <w:bookmarkEnd w:id="132"/>
      <w:bookmarkEnd w:id="133"/>
      <w:bookmarkEnd w:id="134"/>
      <w:bookmarkEnd w:id="135"/>
      <w:bookmarkEnd w:id="136"/>
    </w:p>
    <w:p w14:paraId="318B6FC6" w14:textId="77777777" w:rsidR="00D62518" w:rsidRDefault="00D37F2D" w:rsidP="00D37F2D">
      <w:pPr>
        <w:pStyle w:val="ListBullet1"/>
        <w:rPr>
          <w:noProof/>
        </w:rPr>
      </w:pPr>
      <w:r w:rsidRPr="00C3707B">
        <w:rPr>
          <w:noProof/>
        </w:rPr>
        <w:t>Bestaande begrotingsonderdelen</w:t>
      </w:r>
    </w:p>
    <w:p w14:paraId="14261CED" w14:textId="5BC50CDD" w:rsidR="00D37F2D" w:rsidRPr="00C3707B" w:rsidRDefault="00D37F2D" w:rsidP="00D37F2D">
      <w:pPr>
        <w:pStyle w:val="Text1"/>
        <w:rPr>
          <w:i/>
          <w:noProof/>
        </w:rPr>
      </w:pPr>
      <w:r w:rsidRPr="00C3707B">
        <w:rPr>
          <w:i/>
          <w:noProof/>
          <w:u w:val="single"/>
        </w:rPr>
        <w:t>In volgorde</w:t>
      </w:r>
      <w:r w:rsidRPr="00C3707B">
        <w:rPr>
          <w:i/>
          <w:noProof/>
        </w:rPr>
        <w:t xml:space="preserve"> van de rubrieken van het meerjarig financieel kader en de begrotingsonderdelen.</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D37F2D" w:rsidRPr="00C3707B" w14:paraId="2F2ADB75" w14:textId="77777777">
        <w:trPr>
          <w:jc w:val="center"/>
        </w:trPr>
        <w:tc>
          <w:tcPr>
            <w:tcW w:w="1092" w:type="dxa"/>
            <w:vMerge w:val="restart"/>
            <w:vAlign w:val="center"/>
          </w:tcPr>
          <w:p w14:paraId="003A241C" w14:textId="77777777" w:rsidR="00D37F2D" w:rsidRPr="00C3707B" w:rsidRDefault="00D37F2D">
            <w:pPr>
              <w:spacing w:before="60" w:after="60"/>
              <w:jc w:val="center"/>
              <w:rPr>
                <w:noProof/>
              </w:rPr>
            </w:pPr>
            <w:r w:rsidRPr="00C3707B">
              <w:rPr>
                <w:noProof/>
                <w:sz w:val="18"/>
              </w:rPr>
              <w:t>Rubriek van het meerjarig financieel kader</w:t>
            </w:r>
          </w:p>
        </w:tc>
        <w:tc>
          <w:tcPr>
            <w:tcW w:w="4002" w:type="dxa"/>
            <w:vAlign w:val="center"/>
          </w:tcPr>
          <w:p w14:paraId="5187E51E" w14:textId="77777777" w:rsidR="00D37F2D" w:rsidRPr="00C3707B" w:rsidRDefault="00D37F2D">
            <w:pPr>
              <w:spacing w:before="60" w:after="60"/>
              <w:jc w:val="center"/>
              <w:rPr>
                <w:noProof/>
              </w:rPr>
            </w:pPr>
            <w:r w:rsidRPr="00C3707B">
              <w:rPr>
                <w:noProof/>
                <w:sz w:val="20"/>
              </w:rPr>
              <w:t>Begrotingsonderdeel</w:t>
            </w:r>
          </w:p>
        </w:tc>
        <w:tc>
          <w:tcPr>
            <w:tcW w:w="1092" w:type="dxa"/>
            <w:vAlign w:val="center"/>
          </w:tcPr>
          <w:p w14:paraId="656D8A69" w14:textId="77777777" w:rsidR="00D37F2D" w:rsidRPr="00C3707B" w:rsidRDefault="00D37F2D">
            <w:pPr>
              <w:spacing w:before="60" w:after="60"/>
              <w:jc w:val="center"/>
              <w:rPr>
                <w:noProof/>
              </w:rPr>
            </w:pPr>
            <w:r w:rsidRPr="00C3707B">
              <w:rPr>
                <w:noProof/>
                <w:sz w:val="18"/>
              </w:rPr>
              <w:t>Soort uitgave</w:t>
            </w:r>
          </w:p>
        </w:tc>
        <w:tc>
          <w:tcPr>
            <w:tcW w:w="4487" w:type="dxa"/>
            <w:gridSpan w:val="4"/>
            <w:vAlign w:val="center"/>
          </w:tcPr>
          <w:p w14:paraId="3663D68E" w14:textId="77777777" w:rsidR="00D37F2D" w:rsidRPr="00C3707B" w:rsidRDefault="00D37F2D">
            <w:pPr>
              <w:spacing w:before="60" w:after="60"/>
              <w:jc w:val="center"/>
              <w:rPr>
                <w:noProof/>
              </w:rPr>
            </w:pPr>
            <w:r w:rsidRPr="00C3707B">
              <w:rPr>
                <w:noProof/>
                <w:sz w:val="20"/>
              </w:rPr>
              <w:t xml:space="preserve">Bijdrage </w:t>
            </w:r>
          </w:p>
        </w:tc>
      </w:tr>
      <w:tr w:rsidR="00D37F2D" w:rsidRPr="00C3707B" w14:paraId="192EACB1" w14:textId="77777777">
        <w:trPr>
          <w:cantSplit/>
          <w:jc w:val="center"/>
        </w:trPr>
        <w:tc>
          <w:tcPr>
            <w:tcW w:w="1092" w:type="dxa"/>
            <w:vMerge/>
            <w:vAlign w:val="center"/>
          </w:tcPr>
          <w:p w14:paraId="1A31D120" w14:textId="77777777" w:rsidR="00D37F2D" w:rsidRPr="00C3707B" w:rsidRDefault="00D37F2D">
            <w:pPr>
              <w:jc w:val="center"/>
              <w:rPr>
                <w:noProof/>
              </w:rPr>
            </w:pPr>
          </w:p>
        </w:tc>
        <w:tc>
          <w:tcPr>
            <w:tcW w:w="4002" w:type="dxa"/>
            <w:vAlign w:val="center"/>
          </w:tcPr>
          <w:p w14:paraId="04308641" w14:textId="6829ABA0" w:rsidR="00D37F2D" w:rsidRPr="00C3707B" w:rsidRDefault="00D37F2D">
            <w:pPr>
              <w:rPr>
                <w:noProof/>
              </w:rPr>
            </w:pPr>
            <w:r w:rsidRPr="00C3707B">
              <w:rPr>
                <w:noProof/>
                <w:sz w:val="20"/>
              </w:rPr>
              <w:t xml:space="preserve">Nummer </w:t>
            </w:r>
            <w:r w:rsidRPr="00C3707B">
              <w:rPr>
                <w:noProof/>
              </w:rPr>
              <w:br/>
            </w:r>
          </w:p>
        </w:tc>
        <w:tc>
          <w:tcPr>
            <w:tcW w:w="1092" w:type="dxa"/>
            <w:vAlign w:val="center"/>
          </w:tcPr>
          <w:p w14:paraId="549B25FB" w14:textId="77777777" w:rsidR="00D37F2D" w:rsidRPr="00C3707B" w:rsidRDefault="00D37F2D">
            <w:pPr>
              <w:jc w:val="center"/>
              <w:rPr>
                <w:noProof/>
              </w:rPr>
            </w:pPr>
            <w:r w:rsidRPr="00C3707B">
              <w:rPr>
                <w:noProof/>
                <w:sz w:val="18"/>
              </w:rPr>
              <w:t>GK/NGK</w:t>
            </w:r>
            <w:r w:rsidRPr="00C3707B">
              <w:rPr>
                <w:rStyle w:val="FootnoteReference"/>
                <w:noProof/>
                <w:sz w:val="18"/>
              </w:rPr>
              <w:footnoteReference w:id="99"/>
            </w:r>
          </w:p>
        </w:tc>
        <w:tc>
          <w:tcPr>
            <w:tcW w:w="966" w:type="dxa"/>
            <w:vAlign w:val="center"/>
          </w:tcPr>
          <w:p w14:paraId="5F0CFB21" w14:textId="77777777" w:rsidR="00D37F2D" w:rsidRPr="00C3707B" w:rsidRDefault="00D37F2D">
            <w:pPr>
              <w:jc w:val="center"/>
              <w:rPr>
                <w:b/>
                <w:noProof/>
                <w:sz w:val="18"/>
              </w:rPr>
            </w:pPr>
            <w:r w:rsidRPr="00C3707B">
              <w:rPr>
                <w:noProof/>
                <w:sz w:val="18"/>
              </w:rPr>
              <w:t>van EVA-landen</w:t>
            </w:r>
            <w:r w:rsidRPr="00C3707B">
              <w:rPr>
                <w:rStyle w:val="FootnoteReference"/>
                <w:noProof/>
                <w:sz w:val="18"/>
              </w:rPr>
              <w:footnoteReference w:id="100"/>
            </w:r>
          </w:p>
        </w:tc>
        <w:tc>
          <w:tcPr>
            <w:tcW w:w="1092" w:type="dxa"/>
            <w:vAlign w:val="center"/>
          </w:tcPr>
          <w:p w14:paraId="100AFEE0" w14:textId="77777777" w:rsidR="00D37F2D" w:rsidRPr="00C3707B" w:rsidRDefault="00D37F2D">
            <w:pPr>
              <w:jc w:val="center"/>
              <w:rPr>
                <w:noProof/>
                <w:sz w:val="18"/>
              </w:rPr>
            </w:pPr>
            <w:r w:rsidRPr="00C3707B">
              <w:rPr>
                <w:noProof/>
                <w:sz w:val="18"/>
              </w:rPr>
              <w:t>van kandidaat-lidstaten en potentiële kandidaten</w:t>
            </w:r>
            <w:r w:rsidRPr="00C3707B">
              <w:rPr>
                <w:rStyle w:val="FootnoteReference"/>
                <w:noProof/>
                <w:sz w:val="18"/>
              </w:rPr>
              <w:footnoteReference w:id="101"/>
            </w:r>
          </w:p>
        </w:tc>
        <w:tc>
          <w:tcPr>
            <w:tcW w:w="966" w:type="dxa"/>
            <w:vAlign w:val="center"/>
          </w:tcPr>
          <w:p w14:paraId="10E0A1B5" w14:textId="77777777" w:rsidR="00D37F2D" w:rsidRPr="00C3707B" w:rsidRDefault="00D37F2D">
            <w:pPr>
              <w:jc w:val="center"/>
              <w:rPr>
                <w:noProof/>
                <w:sz w:val="18"/>
              </w:rPr>
            </w:pPr>
            <w:r w:rsidRPr="00C3707B">
              <w:rPr>
                <w:noProof/>
                <w:sz w:val="18"/>
              </w:rPr>
              <w:t>van andere derde landen</w:t>
            </w:r>
          </w:p>
        </w:tc>
        <w:tc>
          <w:tcPr>
            <w:tcW w:w="1463" w:type="dxa"/>
            <w:vAlign w:val="center"/>
          </w:tcPr>
          <w:p w14:paraId="14A8576D" w14:textId="77777777" w:rsidR="00D37F2D" w:rsidRPr="00C3707B" w:rsidRDefault="00D37F2D">
            <w:pPr>
              <w:jc w:val="center"/>
              <w:rPr>
                <w:noProof/>
              </w:rPr>
            </w:pPr>
            <w:r w:rsidRPr="00C3707B">
              <w:rPr>
                <w:noProof/>
                <w:sz w:val="18"/>
              </w:rPr>
              <w:t>andere bestemmingsontvangsten</w:t>
            </w:r>
          </w:p>
        </w:tc>
      </w:tr>
      <w:tr w:rsidR="00D37F2D" w:rsidRPr="00C3707B" w14:paraId="1D1D94A1" w14:textId="77777777">
        <w:trPr>
          <w:jc w:val="center"/>
        </w:trPr>
        <w:tc>
          <w:tcPr>
            <w:tcW w:w="1092" w:type="dxa"/>
            <w:vAlign w:val="center"/>
          </w:tcPr>
          <w:p w14:paraId="2EA3CFB4" w14:textId="77777777" w:rsidR="00D37F2D" w:rsidRPr="00C3707B" w:rsidRDefault="00D37F2D">
            <w:pPr>
              <w:jc w:val="center"/>
              <w:rPr>
                <w:noProof/>
              </w:rPr>
            </w:pPr>
            <w:r w:rsidRPr="00160A33">
              <w:rPr>
                <w:noProof/>
              </w:rPr>
              <w:t>2</w:t>
            </w:r>
          </w:p>
        </w:tc>
        <w:tc>
          <w:tcPr>
            <w:tcW w:w="4002" w:type="dxa"/>
            <w:vAlign w:val="center"/>
          </w:tcPr>
          <w:p w14:paraId="5D63F837" w14:textId="77777777" w:rsidR="00D37F2D" w:rsidRPr="00C3707B" w:rsidRDefault="00D37F2D">
            <w:pPr>
              <w:spacing w:before="60"/>
              <w:rPr>
                <w:noProof/>
              </w:rPr>
            </w:pPr>
            <w:r w:rsidRPr="00160A33">
              <w:rPr>
                <w:noProof/>
                <w:sz w:val="22"/>
              </w:rPr>
              <w:t>06</w:t>
            </w:r>
            <w:r w:rsidRPr="00C3707B">
              <w:rPr>
                <w:noProof/>
                <w:sz w:val="22"/>
              </w:rPr>
              <w:t xml:space="preserve"> </w:t>
            </w:r>
            <w:r w:rsidRPr="00160A33">
              <w:rPr>
                <w:noProof/>
                <w:sz w:val="22"/>
              </w:rPr>
              <w:t>06</w:t>
            </w:r>
            <w:r w:rsidRPr="00C3707B">
              <w:rPr>
                <w:noProof/>
                <w:sz w:val="22"/>
              </w:rPr>
              <w:t xml:space="preserve"> </w:t>
            </w:r>
            <w:r w:rsidRPr="00160A33">
              <w:rPr>
                <w:noProof/>
                <w:sz w:val="22"/>
              </w:rPr>
              <w:t>01</w:t>
            </w:r>
            <w:r w:rsidRPr="00C3707B">
              <w:rPr>
                <w:noProof/>
                <w:sz w:val="22"/>
              </w:rPr>
              <w:t xml:space="preserve"> — EU</w:t>
            </w:r>
            <w:r w:rsidRPr="00160A33">
              <w:rPr>
                <w:noProof/>
                <w:sz w:val="22"/>
              </w:rPr>
              <w:t>4</w:t>
            </w:r>
            <w:r w:rsidRPr="00C3707B">
              <w:rPr>
                <w:noProof/>
                <w:sz w:val="22"/>
              </w:rPr>
              <w:t>Health-programma</w:t>
            </w:r>
          </w:p>
          <w:p w14:paraId="5F364F4A" w14:textId="77777777" w:rsidR="00D37F2D" w:rsidRPr="00C3707B" w:rsidRDefault="00D37F2D">
            <w:pPr>
              <w:spacing w:after="60"/>
              <w:rPr>
                <w:noProof/>
              </w:rPr>
            </w:pPr>
          </w:p>
        </w:tc>
        <w:tc>
          <w:tcPr>
            <w:tcW w:w="1092" w:type="dxa"/>
            <w:vAlign w:val="center"/>
          </w:tcPr>
          <w:p w14:paraId="418CA6A5" w14:textId="77777777" w:rsidR="00D37F2D" w:rsidRPr="00C3707B" w:rsidRDefault="00D37F2D">
            <w:pPr>
              <w:jc w:val="center"/>
              <w:rPr>
                <w:noProof/>
                <w:color w:val="0000FF"/>
              </w:rPr>
            </w:pPr>
            <w:r w:rsidRPr="00C3707B">
              <w:rPr>
                <w:noProof/>
                <w:sz w:val="22"/>
              </w:rPr>
              <w:t>GK</w:t>
            </w:r>
          </w:p>
        </w:tc>
        <w:tc>
          <w:tcPr>
            <w:tcW w:w="966" w:type="dxa"/>
            <w:vAlign w:val="center"/>
          </w:tcPr>
          <w:p w14:paraId="4BE1DCD6" w14:textId="77777777" w:rsidR="00D37F2D" w:rsidRPr="00C3707B" w:rsidRDefault="00D37F2D">
            <w:pPr>
              <w:jc w:val="center"/>
              <w:rPr>
                <w:noProof/>
                <w:sz w:val="20"/>
                <w:szCs w:val="20"/>
              </w:rPr>
            </w:pPr>
            <w:r w:rsidRPr="00C3707B">
              <w:rPr>
                <w:noProof/>
                <w:sz w:val="20"/>
              </w:rPr>
              <w:t>JA</w:t>
            </w:r>
          </w:p>
        </w:tc>
        <w:tc>
          <w:tcPr>
            <w:tcW w:w="1092" w:type="dxa"/>
            <w:vAlign w:val="center"/>
          </w:tcPr>
          <w:p w14:paraId="32E1CFDD" w14:textId="77777777" w:rsidR="00D37F2D" w:rsidRPr="00C3707B" w:rsidRDefault="00D37F2D">
            <w:pPr>
              <w:jc w:val="center"/>
              <w:rPr>
                <w:noProof/>
                <w:sz w:val="20"/>
                <w:szCs w:val="20"/>
              </w:rPr>
            </w:pPr>
            <w:r w:rsidRPr="00C3707B">
              <w:rPr>
                <w:noProof/>
                <w:sz w:val="20"/>
              </w:rPr>
              <w:t>JA</w:t>
            </w:r>
          </w:p>
        </w:tc>
        <w:tc>
          <w:tcPr>
            <w:tcW w:w="966" w:type="dxa"/>
            <w:vAlign w:val="center"/>
          </w:tcPr>
          <w:p w14:paraId="1BF02E20" w14:textId="77777777" w:rsidR="00D37F2D" w:rsidRPr="00C3707B" w:rsidRDefault="00D37F2D">
            <w:pPr>
              <w:jc w:val="center"/>
              <w:rPr>
                <w:noProof/>
                <w:sz w:val="20"/>
                <w:szCs w:val="20"/>
              </w:rPr>
            </w:pPr>
            <w:r w:rsidRPr="00C3707B">
              <w:rPr>
                <w:noProof/>
                <w:sz w:val="20"/>
              </w:rPr>
              <w:t>JA</w:t>
            </w:r>
          </w:p>
        </w:tc>
        <w:tc>
          <w:tcPr>
            <w:tcW w:w="1463" w:type="dxa"/>
            <w:vAlign w:val="center"/>
          </w:tcPr>
          <w:p w14:paraId="6826371F" w14:textId="77777777" w:rsidR="00D37F2D" w:rsidRPr="00C3707B" w:rsidRDefault="00D37F2D">
            <w:pPr>
              <w:jc w:val="center"/>
              <w:rPr>
                <w:noProof/>
                <w:sz w:val="20"/>
                <w:szCs w:val="20"/>
              </w:rPr>
            </w:pPr>
            <w:r w:rsidRPr="00C3707B">
              <w:rPr>
                <w:noProof/>
                <w:sz w:val="20"/>
              </w:rPr>
              <w:t>NEE</w:t>
            </w:r>
          </w:p>
        </w:tc>
      </w:tr>
    </w:tbl>
    <w:p w14:paraId="12DB9B57" w14:textId="77777777" w:rsidR="00D37F2D" w:rsidRPr="00C3707B" w:rsidRDefault="00D37F2D" w:rsidP="00D37F2D">
      <w:pPr>
        <w:rPr>
          <w:noProof/>
        </w:rPr>
        <w:sectPr w:rsidR="00D37F2D" w:rsidRPr="00C3707B" w:rsidSect="00C21E5E">
          <w:pgSz w:w="11907" w:h="16840" w:code="1"/>
          <w:pgMar w:top="1134" w:right="1418" w:bottom="1134" w:left="1418" w:header="709" w:footer="709" w:gutter="0"/>
          <w:cols w:space="708"/>
          <w:docGrid w:linePitch="360"/>
        </w:sectPr>
      </w:pPr>
    </w:p>
    <w:p w14:paraId="70B3DBA7" w14:textId="77777777" w:rsidR="00D62518" w:rsidRDefault="00D37F2D" w:rsidP="00D37F2D">
      <w:pPr>
        <w:pStyle w:val="ManualHeading2"/>
        <w:rPr>
          <w:noProof/>
        </w:rPr>
      </w:pPr>
      <w:bookmarkStart w:id="137" w:name="_Toc514938052"/>
      <w:bookmarkStart w:id="138" w:name="_Toc520485051"/>
      <w:bookmarkStart w:id="139" w:name="_Toc160804593"/>
      <w:bookmarkStart w:id="140" w:name="_Toc167220285"/>
      <w:bookmarkStart w:id="141" w:name="_Toc177549018"/>
      <w:r w:rsidRPr="00160A33">
        <w:rPr>
          <w:noProof/>
        </w:rPr>
        <w:t>3</w:t>
      </w:r>
      <w:r w:rsidRPr="00C3707B">
        <w:rPr>
          <w:noProof/>
        </w:rPr>
        <w:t>.</w:t>
      </w:r>
      <w:r w:rsidRPr="00160A33">
        <w:rPr>
          <w:noProof/>
        </w:rPr>
        <w:t>2</w:t>
      </w:r>
      <w:r w:rsidRPr="00C3707B">
        <w:rPr>
          <w:noProof/>
        </w:rPr>
        <w:t>.</w:t>
      </w:r>
      <w:r w:rsidRPr="00C3707B">
        <w:rPr>
          <w:noProof/>
        </w:rPr>
        <w:tab/>
        <w:t>Geraamde financiële gevolgen van het voorstel inzake kredieten</w:t>
      </w:r>
      <w:bookmarkEnd w:id="137"/>
      <w:bookmarkEnd w:id="138"/>
      <w:bookmarkEnd w:id="139"/>
      <w:bookmarkEnd w:id="140"/>
      <w:bookmarkEnd w:id="141"/>
    </w:p>
    <w:p w14:paraId="43C34C0F" w14:textId="77777777" w:rsidR="00D62518" w:rsidRDefault="00D37F2D" w:rsidP="00D37F2D">
      <w:pPr>
        <w:pStyle w:val="ManualHeading3"/>
        <w:rPr>
          <w:noProof/>
        </w:rPr>
      </w:pPr>
      <w:bookmarkStart w:id="142" w:name="_Toc514938053"/>
      <w:bookmarkStart w:id="143" w:name="_Toc520485052"/>
      <w:bookmarkStart w:id="144" w:name="_Toc160804594"/>
      <w:bookmarkStart w:id="145" w:name="_Toc167220286"/>
      <w:bookmarkStart w:id="146" w:name="_Toc177549019"/>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C3707B">
        <w:rPr>
          <w:noProof/>
        </w:rPr>
        <w:tab/>
        <w:t>Samenvatting van de geraamde gevolgen voor de beleidskredieten</w:t>
      </w:r>
      <w:bookmarkEnd w:id="142"/>
      <w:bookmarkEnd w:id="143"/>
      <w:bookmarkEnd w:id="144"/>
      <w:bookmarkEnd w:id="145"/>
      <w:bookmarkEnd w:id="146"/>
    </w:p>
    <w:p w14:paraId="4297A242" w14:textId="77777777" w:rsidR="00D62518" w:rsidRDefault="00D37F2D" w:rsidP="00D37F2D">
      <w:pPr>
        <w:pStyle w:val="ListDash1"/>
        <w:rPr>
          <w:noProof/>
        </w:rPr>
      </w:pPr>
      <w:r w:rsidRPr="00C3707B">
        <w:rPr>
          <w:rFonts w:ascii="Wingdings" w:hAnsi="Wingdings"/>
          <w:noProof/>
        </w:rPr>
        <w:t></w:t>
      </w:r>
      <w:r w:rsidRPr="00C3707B">
        <w:rPr>
          <w:noProof/>
        </w:rPr>
        <w:tab/>
        <w:t>Voor het voorstel/initiatief zijn geen beleidskredieten nodig</w:t>
      </w:r>
    </w:p>
    <w:p w14:paraId="2C659BF5" w14:textId="3649A6FA" w:rsidR="00D37F2D" w:rsidRPr="00C3707B" w:rsidRDefault="00D37F2D" w:rsidP="00D37F2D">
      <w:pPr>
        <w:pStyle w:val="ListDash1"/>
        <w:rPr>
          <w:noProof/>
        </w:rPr>
      </w:pPr>
      <w:r w:rsidRPr="00C3707B">
        <w:rPr>
          <w:rFonts w:ascii="Wingdings" w:hAnsi="Wingdings"/>
          <w:noProof/>
        </w:rPr>
        <w:t></w:t>
      </w:r>
      <w:r w:rsidRPr="00C3707B">
        <w:rPr>
          <w:noProof/>
        </w:rPr>
        <w:tab/>
        <w:t>Voor het voorstel/initiatief zijn beleidskredieten nodig, zoals hieronder nader wordt beschreven</w:t>
      </w:r>
    </w:p>
    <w:p w14:paraId="511CCB76" w14:textId="77777777" w:rsidR="00D37F2D" w:rsidRPr="00C3707B" w:rsidRDefault="00D37F2D" w:rsidP="0032759E">
      <w:pPr>
        <w:rPr>
          <w:noProof/>
        </w:rPr>
      </w:pPr>
      <w:r w:rsidRPr="00C3707B">
        <w:rPr>
          <w:noProof/>
        </w:rPr>
        <w:t>De toewijzingen zullen binnen de bestaande middelen van het EU</w:t>
      </w:r>
      <w:r w:rsidRPr="00160A33">
        <w:rPr>
          <w:noProof/>
        </w:rPr>
        <w:t>4</w:t>
      </w:r>
      <w:r w:rsidRPr="00C3707B">
        <w:rPr>
          <w:noProof/>
        </w:rPr>
        <w:t>Health-programma worden herschikt.</w:t>
      </w:r>
    </w:p>
    <w:p w14:paraId="58B65651" w14:textId="77777777" w:rsidR="00D37F2D" w:rsidRPr="00C3707B" w:rsidRDefault="00D37F2D" w:rsidP="00D37F2D">
      <w:pPr>
        <w:pStyle w:val="ManualHeading3"/>
        <w:rPr>
          <w:noProof/>
        </w:rPr>
      </w:pPr>
      <w:bookmarkStart w:id="147" w:name="_Toc160804595"/>
      <w:bookmarkStart w:id="148" w:name="_Toc167220287"/>
      <w:bookmarkStart w:id="149" w:name="_Toc177549020"/>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160A33">
        <w:rPr>
          <w:noProof/>
        </w:rPr>
        <w:t>1</w:t>
      </w:r>
      <w:r w:rsidRPr="00C3707B">
        <w:rPr>
          <w:noProof/>
        </w:rPr>
        <w:t>.</w:t>
      </w:r>
      <w:r w:rsidRPr="00C3707B">
        <w:rPr>
          <w:noProof/>
        </w:rPr>
        <w:tab/>
        <w:t>Kredieten uit goedgekeurde begroting</w:t>
      </w:r>
      <w:bookmarkEnd w:id="147"/>
      <w:bookmarkEnd w:id="148"/>
      <w:bookmarkEnd w:id="149"/>
    </w:p>
    <w:p w14:paraId="661A4335" w14:textId="77777777" w:rsidR="00D37F2D" w:rsidRPr="00C3707B" w:rsidRDefault="00D37F2D" w:rsidP="00D37F2D">
      <w:pPr>
        <w:jc w:val="right"/>
        <w:rPr>
          <w:noProof/>
          <w:sz w:val="18"/>
          <w:szCs w:val="18"/>
        </w:rPr>
      </w:pPr>
      <w:r w:rsidRPr="00C3707B">
        <w:rPr>
          <w:noProof/>
          <w:sz w:val="18"/>
        </w:rPr>
        <w:t>in miljoenen euro’s (tot op drie decimalen)</w:t>
      </w:r>
    </w:p>
    <w:tbl>
      <w:tblPr>
        <w:tblW w:w="11635" w:type="dxa"/>
        <w:tblInd w:w="108" w:type="dxa"/>
        <w:tblLook w:val="04A0" w:firstRow="1" w:lastRow="0" w:firstColumn="1" w:lastColumn="0" w:noHBand="0" w:noVBand="1"/>
      </w:tblPr>
      <w:tblGrid>
        <w:gridCol w:w="3874"/>
        <w:gridCol w:w="1396"/>
        <w:gridCol w:w="456"/>
        <w:gridCol w:w="340"/>
        <w:gridCol w:w="1063"/>
        <w:gridCol w:w="1061"/>
        <w:gridCol w:w="1073"/>
        <w:gridCol w:w="1071"/>
        <w:gridCol w:w="1301"/>
      </w:tblGrid>
      <w:tr w:rsidR="00D37F2D" w:rsidRPr="00C3707B" w14:paraId="3F43C5B3" w14:textId="77777777">
        <w:trPr>
          <w:trHeight w:val="315"/>
        </w:trPr>
        <w:tc>
          <w:tcPr>
            <w:tcW w:w="3874" w:type="dxa"/>
            <w:tcBorders>
              <w:top w:val="nil"/>
              <w:left w:val="nil"/>
              <w:bottom w:val="nil"/>
              <w:right w:val="nil"/>
            </w:tcBorders>
            <w:shd w:val="clear" w:color="auto" w:fill="auto"/>
            <w:noWrap/>
            <w:vAlign w:val="bottom"/>
            <w:hideMark/>
          </w:tcPr>
          <w:p w14:paraId="131221AE" w14:textId="77777777" w:rsidR="00D37F2D" w:rsidRPr="00C3707B" w:rsidRDefault="00D37F2D">
            <w:pPr>
              <w:spacing w:before="0" w:after="0"/>
              <w:jc w:val="center"/>
              <w:rPr>
                <w:rFonts w:eastAsia="Times New Roman"/>
                <w:b/>
                <w:bCs/>
                <w:noProof/>
                <w:color w:val="000000"/>
                <w:sz w:val="28"/>
                <w:szCs w:val="28"/>
                <w:lang w:eastAsia="en-IE"/>
              </w:rPr>
            </w:pPr>
          </w:p>
        </w:tc>
        <w:tc>
          <w:tcPr>
            <w:tcW w:w="1396" w:type="dxa"/>
            <w:tcBorders>
              <w:top w:val="nil"/>
              <w:left w:val="nil"/>
              <w:bottom w:val="nil"/>
              <w:right w:val="nil"/>
            </w:tcBorders>
            <w:shd w:val="clear" w:color="auto" w:fill="auto"/>
            <w:noWrap/>
            <w:vAlign w:val="bottom"/>
            <w:hideMark/>
          </w:tcPr>
          <w:p w14:paraId="39A2B96C" w14:textId="77777777" w:rsidR="00D37F2D" w:rsidRPr="00C3707B" w:rsidRDefault="00D37F2D">
            <w:pPr>
              <w:spacing w:before="0" w:after="0"/>
              <w:jc w:val="left"/>
              <w:rPr>
                <w:rFonts w:eastAsia="Times New Roman"/>
                <w:noProof/>
                <w:sz w:val="20"/>
                <w:szCs w:val="20"/>
                <w:lang w:eastAsia="en-IE"/>
              </w:rPr>
            </w:pPr>
          </w:p>
        </w:tc>
        <w:tc>
          <w:tcPr>
            <w:tcW w:w="456" w:type="dxa"/>
            <w:tcBorders>
              <w:top w:val="nil"/>
              <w:left w:val="nil"/>
              <w:bottom w:val="nil"/>
              <w:right w:val="nil"/>
            </w:tcBorders>
            <w:shd w:val="clear" w:color="auto" w:fill="auto"/>
            <w:noWrap/>
            <w:vAlign w:val="bottom"/>
            <w:hideMark/>
          </w:tcPr>
          <w:p w14:paraId="32B03A54" w14:textId="77777777" w:rsidR="00D37F2D" w:rsidRPr="00C3707B" w:rsidRDefault="00D37F2D">
            <w:pPr>
              <w:spacing w:before="0" w:after="0"/>
              <w:jc w:val="left"/>
              <w:rPr>
                <w:rFonts w:eastAsia="Times New Roman"/>
                <w:noProof/>
                <w:sz w:val="20"/>
                <w:szCs w:val="20"/>
                <w:lang w:eastAsia="en-IE"/>
              </w:rPr>
            </w:pPr>
          </w:p>
        </w:tc>
        <w:tc>
          <w:tcPr>
            <w:tcW w:w="340" w:type="dxa"/>
            <w:tcBorders>
              <w:top w:val="nil"/>
              <w:left w:val="nil"/>
              <w:bottom w:val="nil"/>
              <w:right w:val="nil"/>
            </w:tcBorders>
            <w:shd w:val="clear" w:color="auto" w:fill="auto"/>
            <w:noWrap/>
            <w:vAlign w:val="bottom"/>
            <w:hideMark/>
          </w:tcPr>
          <w:p w14:paraId="2DBA770B" w14:textId="77777777" w:rsidR="00D37F2D" w:rsidRPr="00C3707B" w:rsidRDefault="00D37F2D">
            <w:pPr>
              <w:spacing w:before="0" w:after="0"/>
              <w:jc w:val="left"/>
              <w:rPr>
                <w:rFonts w:eastAsia="Times New Roman"/>
                <w:noProof/>
                <w:sz w:val="20"/>
                <w:szCs w:val="20"/>
                <w:lang w:eastAsia="en-IE"/>
              </w:rPr>
            </w:pPr>
          </w:p>
        </w:tc>
        <w:tc>
          <w:tcPr>
            <w:tcW w:w="1063" w:type="dxa"/>
            <w:tcBorders>
              <w:top w:val="nil"/>
              <w:left w:val="nil"/>
              <w:bottom w:val="nil"/>
              <w:right w:val="nil"/>
            </w:tcBorders>
            <w:shd w:val="clear" w:color="auto" w:fill="auto"/>
            <w:noWrap/>
            <w:vAlign w:val="bottom"/>
            <w:hideMark/>
          </w:tcPr>
          <w:p w14:paraId="6575A242" w14:textId="77777777" w:rsidR="00D37F2D" w:rsidRPr="00C3707B" w:rsidRDefault="00D37F2D">
            <w:pPr>
              <w:spacing w:before="0" w:after="0"/>
              <w:jc w:val="left"/>
              <w:rPr>
                <w:rFonts w:eastAsia="Times New Roman"/>
                <w:noProof/>
                <w:sz w:val="20"/>
                <w:szCs w:val="20"/>
                <w:lang w:eastAsia="en-IE"/>
              </w:rPr>
            </w:pPr>
          </w:p>
        </w:tc>
        <w:tc>
          <w:tcPr>
            <w:tcW w:w="1061" w:type="dxa"/>
            <w:tcBorders>
              <w:top w:val="nil"/>
              <w:left w:val="nil"/>
              <w:bottom w:val="nil"/>
              <w:right w:val="nil"/>
            </w:tcBorders>
            <w:shd w:val="clear" w:color="auto" w:fill="auto"/>
            <w:noWrap/>
            <w:vAlign w:val="bottom"/>
            <w:hideMark/>
          </w:tcPr>
          <w:p w14:paraId="6CDE9FD5" w14:textId="77777777" w:rsidR="00D37F2D" w:rsidRPr="00C3707B" w:rsidRDefault="00D37F2D">
            <w:pPr>
              <w:spacing w:before="0" w:after="0"/>
              <w:jc w:val="left"/>
              <w:rPr>
                <w:rFonts w:eastAsia="Times New Roman"/>
                <w:noProof/>
                <w:sz w:val="20"/>
                <w:szCs w:val="20"/>
                <w:lang w:eastAsia="en-IE"/>
              </w:rPr>
            </w:pPr>
          </w:p>
        </w:tc>
        <w:tc>
          <w:tcPr>
            <w:tcW w:w="1073" w:type="dxa"/>
            <w:tcBorders>
              <w:top w:val="nil"/>
              <w:left w:val="nil"/>
              <w:bottom w:val="nil"/>
              <w:right w:val="nil"/>
            </w:tcBorders>
            <w:shd w:val="clear" w:color="auto" w:fill="auto"/>
            <w:noWrap/>
            <w:vAlign w:val="bottom"/>
            <w:hideMark/>
          </w:tcPr>
          <w:p w14:paraId="33A690C3" w14:textId="77777777" w:rsidR="00D37F2D" w:rsidRPr="00C3707B" w:rsidRDefault="00D37F2D">
            <w:pPr>
              <w:spacing w:before="0" w:after="0"/>
              <w:jc w:val="left"/>
              <w:rPr>
                <w:rFonts w:eastAsia="Times New Roman"/>
                <w:noProof/>
                <w:sz w:val="20"/>
                <w:szCs w:val="20"/>
                <w:lang w:eastAsia="en-IE"/>
              </w:rPr>
            </w:pPr>
          </w:p>
        </w:tc>
        <w:tc>
          <w:tcPr>
            <w:tcW w:w="1071" w:type="dxa"/>
            <w:tcBorders>
              <w:top w:val="nil"/>
              <w:left w:val="nil"/>
              <w:bottom w:val="nil"/>
              <w:right w:val="nil"/>
            </w:tcBorders>
            <w:shd w:val="clear" w:color="auto" w:fill="auto"/>
            <w:noWrap/>
            <w:vAlign w:val="bottom"/>
            <w:hideMark/>
          </w:tcPr>
          <w:p w14:paraId="180C4F5A" w14:textId="77777777" w:rsidR="00D37F2D" w:rsidRPr="00C3707B" w:rsidRDefault="00D37F2D">
            <w:pPr>
              <w:spacing w:before="0" w:after="0"/>
              <w:jc w:val="left"/>
              <w:rPr>
                <w:rFonts w:eastAsia="Times New Roman"/>
                <w:noProof/>
                <w:sz w:val="20"/>
                <w:szCs w:val="20"/>
                <w:lang w:eastAsia="en-IE"/>
              </w:rPr>
            </w:pPr>
          </w:p>
        </w:tc>
        <w:tc>
          <w:tcPr>
            <w:tcW w:w="1301" w:type="dxa"/>
            <w:tcBorders>
              <w:top w:val="nil"/>
              <w:left w:val="nil"/>
              <w:bottom w:val="single" w:sz="4" w:space="0" w:color="auto"/>
              <w:right w:val="nil"/>
            </w:tcBorders>
            <w:shd w:val="clear" w:color="auto" w:fill="auto"/>
            <w:noWrap/>
            <w:vAlign w:val="bottom"/>
            <w:hideMark/>
          </w:tcPr>
          <w:p w14:paraId="2B4CE040" w14:textId="77777777" w:rsidR="00D37F2D" w:rsidRPr="00C3707B" w:rsidRDefault="00D37F2D">
            <w:pPr>
              <w:spacing w:before="0" w:after="0"/>
              <w:jc w:val="left"/>
              <w:rPr>
                <w:rFonts w:eastAsia="Times New Roman"/>
                <w:noProof/>
                <w:sz w:val="20"/>
                <w:szCs w:val="20"/>
                <w:lang w:eastAsia="en-IE"/>
              </w:rPr>
            </w:pPr>
          </w:p>
        </w:tc>
      </w:tr>
      <w:tr w:rsidR="00D37F2D" w:rsidRPr="00C3707B" w14:paraId="24AD1927" w14:textId="77777777">
        <w:trPr>
          <w:trHeight w:val="420"/>
        </w:trPr>
        <w:tc>
          <w:tcPr>
            <w:tcW w:w="6066"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60444B0" w14:textId="77777777" w:rsidR="00D37F2D" w:rsidRPr="00C3707B" w:rsidRDefault="00D37F2D">
            <w:pPr>
              <w:spacing w:before="0" w:after="0"/>
              <w:jc w:val="center"/>
              <w:rPr>
                <w:rFonts w:eastAsia="Times New Roman"/>
                <w:noProof/>
                <w:color w:val="000000"/>
                <w:sz w:val="22"/>
                <w:lang w:eastAsia="en-IE"/>
              </w:rPr>
            </w:pPr>
          </w:p>
        </w:tc>
        <w:tc>
          <w:tcPr>
            <w:tcW w:w="1063" w:type="dxa"/>
            <w:tcBorders>
              <w:top w:val="single" w:sz="8" w:space="0" w:color="auto"/>
              <w:left w:val="nil"/>
              <w:bottom w:val="single" w:sz="8" w:space="0" w:color="auto"/>
              <w:right w:val="single" w:sz="8" w:space="0" w:color="auto"/>
            </w:tcBorders>
            <w:shd w:val="clear" w:color="auto" w:fill="auto"/>
            <w:vAlign w:val="center"/>
            <w:hideMark/>
          </w:tcPr>
          <w:p w14:paraId="0CCBD38E"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14:paraId="027FAA3C"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14:paraId="76B26363"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71" w:type="dxa"/>
            <w:tcBorders>
              <w:top w:val="single" w:sz="8" w:space="0" w:color="auto"/>
              <w:left w:val="nil"/>
              <w:bottom w:val="single" w:sz="8" w:space="0" w:color="auto"/>
              <w:right w:val="single" w:sz="4" w:space="0" w:color="auto"/>
            </w:tcBorders>
            <w:shd w:val="clear" w:color="auto" w:fill="auto"/>
            <w:vAlign w:val="center"/>
            <w:hideMark/>
          </w:tcPr>
          <w:p w14:paraId="349BB186"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01" w:type="dxa"/>
            <w:vMerge w:val="restart"/>
            <w:tcBorders>
              <w:top w:val="single" w:sz="4" w:space="0" w:color="auto"/>
              <w:left w:val="single" w:sz="4" w:space="0" w:color="auto"/>
              <w:bottom w:val="single" w:sz="8" w:space="0" w:color="auto"/>
              <w:right w:val="single" w:sz="4" w:space="0" w:color="auto"/>
            </w:tcBorders>
            <w:shd w:val="clear" w:color="auto" w:fill="auto"/>
            <w:vAlign w:val="center"/>
            <w:hideMark/>
          </w:tcPr>
          <w:p w14:paraId="53F62317"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 MFK</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35A462F1" w14:textId="77777777">
        <w:trPr>
          <w:trHeight w:val="315"/>
        </w:trPr>
        <w:tc>
          <w:tcPr>
            <w:tcW w:w="6066" w:type="dxa"/>
            <w:gridSpan w:val="4"/>
            <w:vMerge/>
            <w:vAlign w:val="center"/>
            <w:hideMark/>
          </w:tcPr>
          <w:p w14:paraId="1FAAA0F2" w14:textId="77777777" w:rsidR="00D37F2D" w:rsidRPr="00C3707B" w:rsidRDefault="00D37F2D">
            <w:pPr>
              <w:spacing w:before="0" w:after="0"/>
              <w:jc w:val="left"/>
              <w:rPr>
                <w:rFonts w:eastAsia="Times New Roman"/>
                <w:noProof/>
                <w:color w:val="000000"/>
                <w:sz w:val="22"/>
                <w:lang w:eastAsia="en-IE"/>
              </w:rPr>
            </w:pPr>
          </w:p>
        </w:tc>
        <w:tc>
          <w:tcPr>
            <w:tcW w:w="1063" w:type="dxa"/>
            <w:tcBorders>
              <w:top w:val="nil"/>
              <w:left w:val="nil"/>
              <w:bottom w:val="single" w:sz="8" w:space="0" w:color="auto"/>
              <w:right w:val="single" w:sz="8" w:space="0" w:color="auto"/>
            </w:tcBorders>
            <w:shd w:val="clear" w:color="auto" w:fill="auto"/>
            <w:vAlign w:val="center"/>
            <w:hideMark/>
          </w:tcPr>
          <w:p w14:paraId="6FED2B1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1061" w:type="dxa"/>
            <w:tcBorders>
              <w:top w:val="nil"/>
              <w:left w:val="nil"/>
              <w:bottom w:val="single" w:sz="8" w:space="0" w:color="auto"/>
              <w:right w:val="single" w:sz="8" w:space="0" w:color="auto"/>
            </w:tcBorders>
            <w:shd w:val="clear" w:color="auto" w:fill="auto"/>
            <w:vAlign w:val="center"/>
            <w:hideMark/>
          </w:tcPr>
          <w:p w14:paraId="789B26FC"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1073" w:type="dxa"/>
            <w:tcBorders>
              <w:top w:val="nil"/>
              <w:left w:val="nil"/>
              <w:bottom w:val="single" w:sz="8" w:space="0" w:color="auto"/>
              <w:right w:val="single" w:sz="8" w:space="0" w:color="auto"/>
            </w:tcBorders>
            <w:shd w:val="clear" w:color="auto" w:fill="auto"/>
            <w:vAlign w:val="center"/>
            <w:hideMark/>
          </w:tcPr>
          <w:p w14:paraId="733387B5"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071" w:type="dxa"/>
            <w:tcBorders>
              <w:top w:val="nil"/>
              <w:left w:val="nil"/>
              <w:bottom w:val="single" w:sz="8" w:space="0" w:color="auto"/>
              <w:right w:val="single" w:sz="4" w:space="0" w:color="auto"/>
            </w:tcBorders>
            <w:shd w:val="clear" w:color="auto" w:fill="auto"/>
            <w:vAlign w:val="center"/>
            <w:hideMark/>
          </w:tcPr>
          <w:p w14:paraId="1AEA15D4"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301" w:type="dxa"/>
            <w:vMerge/>
            <w:tcBorders>
              <w:top w:val="single" w:sz="8" w:space="0" w:color="auto"/>
              <w:left w:val="single" w:sz="4" w:space="0" w:color="auto"/>
              <w:bottom w:val="single" w:sz="4" w:space="0" w:color="auto"/>
              <w:right w:val="single" w:sz="4" w:space="0" w:color="auto"/>
            </w:tcBorders>
            <w:vAlign w:val="center"/>
            <w:hideMark/>
          </w:tcPr>
          <w:p w14:paraId="21542F39"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580905DD" w14:textId="77777777">
        <w:trPr>
          <w:trHeight w:val="300"/>
        </w:trPr>
        <w:tc>
          <w:tcPr>
            <w:tcW w:w="11635"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7E748B18" w14:textId="77777777" w:rsidR="00D37F2D" w:rsidRPr="00C3707B" w:rsidRDefault="00D37F2D">
            <w:pPr>
              <w:spacing w:before="0" w:after="0"/>
              <w:jc w:val="left"/>
              <w:rPr>
                <w:rFonts w:eastAsia="Times New Roman"/>
                <w:noProof/>
                <w:color w:val="000000"/>
                <w:sz w:val="21"/>
                <w:szCs w:val="21"/>
              </w:rPr>
            </w:pPr>
            <w:r w:rsidRPr="00C3707B">
              <w:rPr>
                <w:noProof/>
                <w:color w:val="000000"/>
                <w:sz w:val="21"/>
              </w:rPr>
              <w:t xml:space="preserve">Beleidskredieten </w:t>
            </w:r>
          </w:p>
        </w:tc>
      </w:tr>
      <w:tr w:rsidR="00D37F2D" w:rsidRPr="00C3707B" w14:paraId="79DEF063" w14:textId="77777777">
        <w:trPr>
          <w:trHeight w:val="315"/>
        </w:trPr>
        <w:tc>
          <w:tcPr>
            <w:tcW w:w="3874"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D32C9B9" w14:textId="77777777" w:rsidR="00D37F2D" w:rsidRPr="00C3707B" w:rsidRDefault="00D37F2D">
            <w:pPr>
              <w:spacing w:before="0" w:after="0"/>
              <w:jc w:val="left"/>
              <w:rPr>
                <w:rFonts w:eastAsia="Times New Roman"/>
                <w:noProof/>
                <w:color w:val="000000"/>
                <w:sz w:val="22"/>
              </w:rPr>
            </w:pPr>
            <w:r w:rsidRPr="00160A33">
              <w:rPr>
                <w:noProof/>
                <w:color w:val="000000"/>
                <w:sz w:val="22"/>
              </w:rPr>
              <w:t>06</w:t>
            </w:r>
            <w:r w:rsidRPr="00C3707B">
              <w:rPr>
                <w:noProof/>
                <w:color w:val="000000"/>
                <w:sz w:val="22"/>
              </w:rPr>
              <w:t xml:space="preserve"> </w:t>
            </w:r>
            <w:r w:rsidRPr="00160A33">
              <w:rPr>
                <w:noProof/>
                <w:color w:val="000000"/>
                <w:sz w:val="22"/>
              </w:rPr>
              <w:t>06</w:t>
            </w:r>
            <w:r w:rsidRPr="00C3707B">
              <w:rPr>
                <w:noProof/>
                <w:color w:val="000000"/>
                <w:sz w:val="22"/>
              </w:rPr>
              <w:t xml:space="preserve"> </w:t>
            </w:r>
            <w:r w:rsidRPr="00160A33">
              <w:rPr>
                <w:noProof/>
                <w:color w:val="000000"/>
                <w:sz w:val="22"/>
              </w:rPr>
              <w:t>01</w:t>
            </w:r>
            <w:r w:rsidRPr="00C3707B">
              <w:rPr>
                <w:noProof/>
                <w:color w:val="000000"/>
                <w:sz w:val="22"/>
              </w:rPr>
              <w:t xml:space="preserve"> — EU</w:t>
            </w:r>
            <w:r w:rsidRPr="00160A33">
              <w:rPr>
                <w:noProof/>
                <w:color w:val="000000"/>
                <w:sz w:val="22"/>
              </w:rPr>
              <w:t>4</w:t>
            </w:r>
            <w:r w:rsidRPr="00C3707B">
              <w:rPr>
                <w:noProof/>
                <w:color w:val="000000"/>
                <w:sz w:val="22"/>
              </w:rPr>
              <w:t>Health-programma</w:t>
            </w:r>
          </w:p>
        </w:tc>
        <w:tc>
          <w:tcPr>
            <w:tcW w:w="1396" w:type="dxa"/>
            <w:tcBorders>
              <w:top w:val="nil"/>
              <w:left w:val="nil"/>
              <w:bottom w:val="single" w:sz="8" w:space="0" w:color="auto"/>
              <w:right w:val="single" w:sz="8" w:space="0" w:color="auto"/>
            </w:tcBorders>
            <w:shd w:val="clear" w:color="auto" w:fill="auto"/>
            <w:vAlign w:val="center"/>
            <w:hideMark/>
          </w:tcPr>
          <w:p w14:paraId="5071A143"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32446646"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1</w:t>
            </w:r>
            <w:r w:rsidRPr="00C3707B">
              <w:rPr>
                <w:noProof/>
                <w:color w:val="000000"/>
                <w:sz w:val="14"/>
              </w:rPr>
              <w:t>a)</w:t>
            </w:r>
          </w:p>
        </w:tc>
        <w:tc>
          <w:tcPr>
            <w:tcW w:w="1063" w:type="dxa"/>
            <w:tcBorders>
              <w:top w:val="nil"/>
              <w:left w:val="nil"/>
              <w:bottom w:val="single" w:sz="8" w:space="0" w:color="auto"/>
              <w:right w:val="single" w:sz="8" w:space="0" w:color="auto"/>
            </w:tcBorders>
            <w:shd w:val="clear" w:color="auto" w:fill="auto"/>
            <w:vAlign w:val="center"/>
            <w:hideMark/>
          </w:tcPr>
          <w:p w14:paraId="05146A98" w14:textId="74B4A094" w:rsidR="00D37F2D" w:rsidRPr="00C3707B" w:rsidRDefault="00D37F2D">
            <w:pPr>
              <w:spacing w:before="0" w:after="0"/>
              <w:jc w:val="right"/>
              <w:rPr>
                <w:rFonts w:eastAsia="Times New Roman"/>
                <w:noProof/>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7B49F08E" w14:textId="04A25296" w:rsidR="00D37F2D" w:rsidRPr="00C3707B" w:rsidRDefault="00D37F2D">
            <w:pPr>
              <w:spacing w:before="0" w:after="0"/>
              <w:jc w:val="right"/>
              <w:rPr>
                <w:rFonts w:eastAsia="Times New Roman"/>
                <w:noProof/>
                <w:color w:val="000000"/>
                <w:sz w:val="20"/>
                <w:szCs w:val="20"/>
              </w:rPr>
            </w:pPr>
          </w:p>
        </w:tc>
        <w:tc>
          <w:tcPr>
            <w:tcW w:w="1073" w:type="dxa"/>
            <w:tcBorders>
              <w:top w:val="nil"/>
              <w:left w:val="nil"/>
              <w:bottom w:val="single" w:sz="8" w:space="0" w:color="auto"/>
              <w:right w:val="single" w:sz="8" w:space="0" w:color="auto"/>
            </w:tcBorders>
            <w:shd w:val="clear" w:color="auto" w:fill="auto"/>
            <w:vAlign w:val="center"/>
            <w:hideMark/>
          </w:tcPr>
          <w:p w14:paraId="5E9E5F49"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40</w:t>
            </w:r>
            <w:r w:rsidRPr="00C3707B">
              <w:rPr>
                <w:noProof/>
                <w:color w:val="000000"/>
                <w:sz w:val="20"/>
              </w:rPr>
              <w:t>,</w:t>
            </w:r>
            <w:r w:rsidRPr="00160A33">
              <w:rPr>
                <w:noProof/>
                <w:color w:val="000000"/>
                <w:sz w:val="20"/>
              </w:rPr>
              <w:t>405</w:t>
            </w:r>
          </w:p>
        </w:tc>
        <w:tc>
          <w:tcPr>
            <w:tcW w:w="1071" w:type="dxa"/>
            <w:tcBorders>
              <w:top w:val="nil"/>
              <w:left w:val="nil"/>
              <w:bottom w:val="single" w:sz="8" w:space="0" w:color="auto"/>
              <w:right w:val="single" w:sz="8" w:space="0" w:color="auto"/>
            </w:tcBorders>
            <w:shd w:val="clear" w:color="auto" w:fill="auto"/>
            <w:vAlign w:val="center"/>
            <w:hideMark/>
          </w:tcPr>
          <w:p w14:paraId="7CBA5C57"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213</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14757A3B"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81</w:t>
            </w:r>
            <w:r w:rsidRPr="00C3707B">
              <w:rPr>
                <w:b/>
                <w:noProof/>
                <w:color w:val="000000"/>
                <w:sz w:val="20"/>
              </w:rPr>
              <w:t>,</w:t>
            </w:r>
            <w:r w:rsidRPr="00160A33">
              <w:rPr>
                <w:b/>
                <w:noProof/>
                <w:color w:val="000000"/>
                <w:sz w:val="20"/>
              </w:rPr>
              <w:t>618</w:t>
            </w:r>
          </w:p>
        </w:tc>
      </w:tr>
      <w:tr w:rsidR="00D37F2D" w:rsidRPr="00C3707B" w14:paraId="55B392F5" w14:textId="77777777">
        <w:trPr>
          <w:trHeight w:val="315"/>
        </w:trPr>
        <w:tc>
          <w:tcPr>
            <w:tcW w:w="3874" w:type="dxa"/>
            <w:vMerge/>
            <w:vAlign w:val="center"/>
            <w:hideMark/>
          </w:tcPr>
          <w:p w14:paraId="78B906B0" w14:textId="77777777" w:rsidR="00D37F2D" w:rsidRPr="00C3707B" w:rsidRDefault="00D37F2D">
            <w:pPr>
              <w:spacing w:before="0" w:after="0"/>
              <w:jc w:val="left"/>
              <w:rPr>
                <w:rFonts w:eastAsia="Times New Roman"/>
                <w:noProof/>
                <w:color w:val="000000"/>
                <w:sz w:val="22"/>
                <w:lang w:eastAsia="en-IE"/>
              </w:rPr>
            </w:pPr>
          </w:p>
        </w:tc>
        <w:tc>
          <w:tcPr>
            <w:tcW w:w="1396" w:type="dxa"/>
            <w:tcBorders>
              <w:top w:val="nil"/>
              <w:left w:val="nil"/>
              <w:bottom w:val="single" w:sz="8" w:space="0" w:color="auto"/>
              <w:right w:val="single" w:sz="8" w:space="0" w:color="auto"/>
            </w:tcBorders>
            <w:shd w:val="clear" w:color="auto" w:fill="auto"/>
            <w:vAlign w:val="center"/>
            <w:hideMark/>
          </w:tcPr>
          <w:p w14:paraId="6D429089"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2DAFC8B0"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2</w:t>
            </w:r>
            <w:r w:rsidRPr="00C3707B">
              <w:rPr>
                <w:noProof/>
                <w:color w:val="000000"/>
                <w:sz w:val="14"/>
              </w:rPr>
              <w:t>a)</w:t>
            </w:r>
          </w:p>
        </w:tc>
        <w:tc>
          <w:tcPr>
            <w:tcW w:w="1063" w:type="dxa"/>
            <w:tcBorders>
              <w:top w:val="nil"/>
              <w:left w:val="nil"/>
              <w:bottom w:val="single" w:sz="8" w:space="0" w:color="auto"/>
              <w:right w:val="single" w:sz="8" w:space="0" w:color="auto"/>
            </w:tcBorders>
            <w:shd w:val="clear" w:color="auto" w:fill="auto"/>
            <w:vAlign w:val="center"/>
            <w:hideMark/>
          </w:tcPr>
          <w:p w14:paraId="4BB2D796" w14:textId="4C4F175B" w:rsidR="00D37F2D" w:rsidRPr="00C3707B" w:rsidRDefault="00D37F2D">
            <w:pPr>
              <w:spacing w:before="0" w:after="0"/>
              <w:jc w:val="right"/>
              <w:rPr>
                <w:rFonts w:eastAsia="Times New Roman"/>
                <w:noProof/>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2705728E" w14:textId="1F2CBF91" w:rsidR="00D37F2D" w:rsidRPr="00C3707B" w:rsidRDefault="00D37F2D">
            <w:pPr>
              <w:spacing w:before="0" w:after="0"/>
              <w:jc w:val="right"/>
              <w:rPr>
                <w:rFonts w:eastAsia="Times New Roman"/>
                <w:noProof/>
                <w:color w:val="000000"/>
                <w:sz w:val="20"/>
                <w:szCs w:val="20"/>
              </w:rPr>
            </w:pPr>
          </w:p>
        </w:tc>
        <w:tc>
          <w:tcPr>
            <w:tcW w:w="1073" w:type="dxa"/>
            <w:tcBorders>
              <w:top w:val="nil"/>
              <w:left w:val="nil"/>
              <w:bottom w:val="single" w:sz="8" w:space="0" w:color="auto"/>
              <w:right w:val="single" w:sz="8" w:space="0" w:color="auto"/>
            </w:tcBorders>
            <w:shd w:val="clear" w:color="auto" w:fill="auto"/>
            <w:vAlign w:val="center"/>
            <w:hideMark/>
          </w:tcPr>
          <w:p w14:paraId="17087BFE"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28</w:t>
            </w:r>
            <w:r w:rsidRPr="00C3707B">
              <w:rPr>
                <w:noProof/>
                <w:color w:val="000000"/>
                <w:sz w:val="20"/>
              </w:rPr>
              <w:t>,</w:t>
            </w:r>
            <w:r w:rsidRPr="00160A33">
              <w:rPr>
                <w:noProof/>
                <w:color w:val="000000"/>
                <w:sz w:val="20"/>
              </w:rPr>
              <w:t>284</w:t>
            </w:r>
          </w:p>
        </w:tc>
        <w:tc>
          <w:tcPr>
            <w:tcW w:w="1071" w:type="dxa"/>
            <w:tcBorders>
              <w:top w:val="nil"/>
              <w:left w:val="nil"/>
              <w:bottom w:val="single" w:sz="8" w:space="0" w:color="auto"/>
              <w:right w:val="single" w:sz="8" w:space="0" w:color="auto"/>
            </w:tcBorders>
            <w:shd w:val="clear" w:color="auto" w:fill="auto"/>
            <w:vAlign w:val="center"/>
            <w:hideMark/>
          </w:tcPr>
          <w:p w14:paraId="3B8980E9"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40</w:t>
            </w:r>
            <w:r w:rsidRPr="00C3707B">
              <w:rPr>
                <w:noProof/>
                <w:color w:val="000000"/>
                <w:sz w:val="20"/>
              </w:rPr>
              <w:t>,</w:t>
            </w:r>
            <w:r w:rsidRPr="00160A33">
              <w:rPr>
                <w:noProof/>
                <w:color w:val="000000"/>
                <w:sz w:val="20"/>
              </w:rPr>
              <w:t>971</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252348FB"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69</w:t>
            </w:r>
            <w:r w:rsidRPr="00C3707B">
              <w:rPr>
                <w:b/>
                <w:noProof/>
                <w:color w:val="000000"/>
                <w:sz w:val="20"/>
              </w:rPr>
              <w:t>,</w:t>
            </w:r>
            <w:r w:rsidRPr="00160A33">
              <w:rPr>
                <w:b/>
                <w:noProof/>
                <w:color w:val="000000"/>
                <w:sz w:val="20"/>
              </w:rPr>
              <w:t>254</w:t>
            </w:r>
          </w:p>
        </w:tc>
      </w:tr>
      <w:tr w:rsidR="00D37F2D" w:rsidRPr="00C3707B" w14:paraId="0FC7D1F0" w14:textId="77777777">
        <w:trPr>
          <w:trHeight w:val="315"/>
        </w:trPr>
        <w:tc>
          <w:tcPr>
            <w:tcW w:w="3874" w:type="dxa"/>
            <w:vMerge w:val="restart"/>
            <w:tcBorders>
              <w:top w:val="nil"/>
              <w:left w:val="single" w:sz="8" w:space="0" w:color="auto"/>
              <w:bottom w:val="single" w:sz="8" w:space="0" w:color="auto"/>
              <w:right w:val="single" w:sz="8" w:space="0" w:color="auto"/>
            </w:tcBorders>
            <w:shd w:val="clear" w:color="auto" w:fill="auto"/>
            <w:vAlign w:val="center"/>
            <w:hideMark/>
          </w:tcPr>
          <w:p w14:paraId="6519AFAC" w14:textId="77777777" w:rsidR="00D37F2D" w:rsidRPr="00C3707B" w:rsidRDefault="00D37F2D">
            <w:pPr>
              <w:spacing w:before="0" w:after="0"/>
              <w:rPr>
                <w:rFonts w:eastAsia="Times New Roman"/>
                <w:noProof/>
                <w:color w:val="000000"/>
                <w:sz w:val="20"/>
                <w:szCs w:val="20"/>
              </w:rPr>
            </w:pPr>
            <w:r w:rsidRPr="00160A33">
              <w:rPr>
                <w:noProof/>
                <w:color w:val="000000"/>
                <w:sz w:val="20"/>
              </w:rPr>
              <w:t>06</w:t>
            </w:r>
            <w:r w:rsidRPr="00C3707B">
              <w:rPr>
                <w:noProof/>
                <w:color w:val="000000"/>
                <w:sz w:val="20"/>
              </w:rPr>
              <w:t xml:space="preserve"> </w:t>
            </w:r>
            <w:r w:rsidRPr="00160A33">
              <w:rPr>
                <w:noProof/>
                <w:color w:val="000000"/>
                <w:sz w:val="20"/>
              </w:rPr>
              <w:t>10</w:t>
            </w:r>
            <w:r w:rsidRPr="00C3707B">
              <w:rPr>
                <w:noProof/>
                <w:color w:val="000000"/>
                <w:sz w:val="20"/>
              </w:rPr>
              <w:t xml:space="preserve"> </w:t>
            </w:r>
            <w:r w:rsidRPr="00160A33">
              <w:rPr>
                <w:noProof/>
                <w:color w:val="000000"/>
                <w:sz w:val="20"/>
              </w:rPr>
              <w:t>03</w:t>
            </w:r>
            <w:r w:rsidRPr="00C3707B">
              <w:rPr>
                <w:noProof/>
                <w:color w:val="000000"/>
                <w:sz w:val="20"/>
              </w:rPr>
              <w:t xml:space="preserve"> Bijdrage van de Unie aan het Europees Geneesmiddelenbureau</w:t>
            </w:r>
          </w:p>
        </w:tc>
        <w:tc>
          <w:tcPr>
            <w:tcW w:w="1396" w:type="dxa"/>
            <w:tcBorders>
              <w:top w:val="nil"/>
              <w:left w:val="nil"/>
              <w:bottom w:val="single" w:sz="8" w:space="0" w:color="auto"/>
              <w:right w:val="single" w:sz="8" w:space="0" w:color="auto"/>
            </w:tcBorders>
            <w:shd w:val="clear" w:color="auto" w:fill="auto"/>
            <w:vAlign w:val="center"/>
            <w:hideMark/>
          </w:tcPr>
          <w:p w14:paraId="25753E31"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1DDF9613"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1</w:t>
            </w:r>
            <w:r w:rsidRPr="00C3707B">
              <w:rPr>
                <w:noProof/>
                <w:color w:val="000000"/>
                <w:sz w:val="14"/>
              </w:rPr>
              <w:t>b)</w:t>
            </w:r>
          </w:p>
        </w:tc>
        <w:tc>
          <w:tcPr>
            <w:tcW w:w="1063" w:type="dxa"/>
            <w:tcBorders>
              <w:top w:val="nil"/>
              <w:left w:val="nil"/>
              <w:bottom w:val="single" w:sz="8" w:space="0" w:color="auto"/>
              <w:right w:val="single" w:sz="8" w:space="0" w:color="auto"/>
            </w:tcBorders>
            <w:shd w:val="clear" w:color="auto" w:fill="auto"/>
            <w:vAlign w:val="center"/>
            <w:hideMark/>
          </w:tcPr>
          <w:p w14:paraId="258D1A31" w14:textId="58EC2375" w:rsidR="00D37F2D" w:rsidRPr="00C3707B" w:rsidRDefault="00D37F2D">
            <w:pPr>
              <w:spacing w:before="0" w:after="0"/>
              <w:jc w:val="right"/>
              <w:rPr>
                <w:rFonts w:eastAsia="Times New Roman"/>
                <w:noProof/>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313281A0" w14:textId="063E26FF" w:rsidR="00D37F2D" w:rsidRPr="00C3707B" w:rsidRDefault="00D37F2D">
            <w:pPr>
              <w:spacing w:before="0" w:after="0"/>
              <w:jc w:val="right"/>
              <w:rPr>
                <w:rFonts w:eastAsia="Times New Roman"/>
                <w:noProof/>
                <w:color w:val="000000"/>
                <w:sz w:val="20"/>
                <w:szCs w:val="20"/>
              </w:rPr>
            </w:pPr>
          </w:p>
        </w:tc>
        <w:tc>
          <w:tcPr>
            <w:tcW w:w="1073" w:type="dxa"/>
            <w:tcBorders>
              <w:top w:val="nil"/>
              <w:left w:val="nil"/>
              <w:bottom w:val="single" w:sz="8" w:space="0" w:color="auto"/>
              <w:right w:val="single" w:sz="8" w:space="0" w:color="auto"/>
            </w:tcBorders>
            <w:shd w:val="clear" w:color="auto" w:fill="auto"/>
            <w:vAlign w:val="center"/>
            <w:hideMark/>
          </w:tcPr>
          <w:p w14:paraId="79A396F6"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651</w:t>
            </w:r>
          </w:p>
        </w:tc>
        <w:tc>
          <w:tcPr>
            <w:tcW w:w="1071" w:type="dxa"/>
            <w:tcBorders>
              <w:top w:val="nil"/>
              <w:left w:val="nil"/>
              <w:bottom w:val="single" w:sz="8" w:space="0" w:color="auto"/>
              <w:right w:val="single" w:sz="8" w:space="0" w:color="auto"/>
            </w:tcBorders>
            <w:shd w:val="clear" w:color="auto" w:fill="auto"/>
            <w:vAlign w:val="center"/>
            <w:hideMark/>
          </w:tcPr>
          <w:p w14:paraId="13E3524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758</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12D851D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408</w:t>
            </w:r>
          </w:p>
        </w:tc>
      </w:tr>
      <w:tr w:rsidR="00D37F2D" w:rsidRPr="00C3707B" w14:paraId="6F995341" w14:textId="77777777">
        <w:trPr>
          <w:trHeight w:val="315"/>
        </w:trPr>
        <w:tc>
          <w:tcPr>
            <w:tcW w:w="3874" w:type="dxa"/>
            <w:vMerge/>
            <w:vAlign w:val="center"/>
            <w:hideMark/>
          </w:tcPr>
          <w:p w14:paraId="7FCDA632" w14:textId="77777777" w:rsidR="00D37F2D" w:rsidRPr="00C3707B" w:rsidRDefault="00D37F2D">
            <w:pPr>
              <w:spacing w:before="0" w:after="0"/>
              <w:jc w:val="left"/>
              <w:rPr>
                <w:rFonts w:eastAsia="Times New Roman"/>
                <w:noProof/>
                <w:color w:val="000000"/>
                <w:sz w:val="20"/>
                <w:szCs w:val="20"/>
                <w:lang w:eastAsia="en-IE"/>
              </w:rPr>
            </w:pPr>
          </w:p>
        </w:tc>
        <w:tc>
          <w:tcPr>
            <w:tcW w:w="1396" w:type="dxa"/>
            <w:tcBorders>
              <w:top w:val="nil"/>
              <w:left w:val="nil"/>
              <w:bottom w:val="single" w:sz="8" w:space="0" w:color="auto"/>
              <w:right w:val="single" w:sz="8" w:space="0" w:color="auto"/>
            </w:tcBorders>
            <w:shd w:val="clear" w:color="auto" w:fill="auto"/>
            <w:vAlign w:val="center"/>
            <w:hideMark/>
          </w:tcPr>
          <w:p w14:paraId="0F6DCD58"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026B6225"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2</w:t>
            </w:r>
            <w:r w:rsidRPr="00C3707B">
              <w:rPr>
                <w:noProof/>
                <w:color w:val="000000"/>
                <w:sz w:val="14"/>
              </w:rPr>
              <w:t>b)</w:t>
            </w:r>
          </w:p>
        </w:tc>
        <w:tc>
          <w:tcPr>
            <w:tcW w:w="1063" w:type="dxa"/>
            <w:tcBorders>
              <w:top w:val="nil"/>
              <w:left w:val="nil"/>
              <w:bottom w:val="single" w:sz="8" w:space="0" w:color="auto"/>
              <w:right w:val="single" w:sz="8" w:space="0" w:color="auto"/>
            </w:tcBorders>
            <w:shd w:val="clear" w:color="auto" w:fill="auto"/>
            <w:vAlign w:val="center"/>
            <w:hideMark/>
          </w:tcPr>
          <w:p w14:paraId="6CA0C941" w14:textId="3D16470A" w:rsidR="00D37F2D" w:rsidRPr="00C3707B" w:rsidRDefault="00D37F2D">
            <w:pPr>
              <w:spacing w:before="0" w:after="0"/>
              <w:jc w:val="right"/>
              <w:rPr>
                <w:rFonts w:eastAsia="Times New Roman"/>
                <w:noProof/>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6F55BC12" w14:textId="05D86AFC" w:rsidR="00D37F2D" w:rsidRPr="00C3707B" w:rsidRDefault="00D37F2D">
            <w:pPr>
              <w:spacing w:before="0" w:after="0"/>
              <w:jc w:val="right"/>
              <w:rPr>
                <w:rFonts w:eastAsia="Times New Roman"/>
                <w:noProof/>
                <w:color w:val="000000"/>
                <w:sz w:val="20"/>
                <w:szCs w:val="20"/>
              </w:rPr>
            </w:pPr>
          </w:p>
        </w:tc>
        <w:tc>
          <w:tcPr>
            <w:tcW w:w="1073" w:type="dxa"/>
            <w:tcBorders>
              <w:top w:val="nil"/>
              <w:left w:val="nil"/>
              <w:bottom w:val="single" w:sz="8" w:space="0" w:color="auto"/>
              <w:right w:val="single" w:sz="8" w:space="0" w:color="auto"/>
            </w:tcBorders>
            <w:shd w:val="clear" w:color="auto" w:fill="auto"/>
            <w:vAlign w:val="center"/>
            <w:hideMark/>
          </w:tcPr>
          <w:p w14:paraId="471D003D"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651</w:t>
            </w:r>
          </w:p>
        </w:tc>
        <w:tc>
          <w:tcPr>
            <w:tcW w:w="1071" w:type="dxa"/>
            <w:tcBorders>
              <w:top w:val="nil"/>
              <w:left w:val="nil"/>
              <w:bottom w:val="single" w:sz="8" w:space="0" w:color="auto"/>
              <w:right w:val="single" w:sz="8" w:space="0" w:color="auto"/>
            </w:tcBorders>
            <w:shd w:val="clear" w:color="auto" w:fill="auto"/>
            <w:vAlign w:val="center"/>
            <w:hideMark/>
          </w:tcPr>
          <w:p w14:paraId="3E9F0E2F"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758</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76EFFBBC"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408</w:t>
            </w:r>
          </w:p>
        </w:tc>
      </w:tr>
      <w:tr w:rsidR="00D37F2D" w:rsidRPr="00C3707B" w14:paraId="100C445A" w14:textId="77777777">
        <w:trPr>
          <w:trHeight w:val="315"/>
        </w:trPr>
        <w:tc>
          <w:tcPr>
            <w:tcW w:w="11635"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1BDD78" w14:textId="77777777" w:rsidR="00D37F2D" w:rsidRPr="00C3707B" w:rsidRDefault="00D37F2D">
            <w:pPr>
              <w:spacing w:before="0" w:after="0"/>
              <w:jc w:val="left"/>
              <w:rPr>
                <w:rFonts w:eastAsia="Times New Roman"/>
                <w:noProof/>
                <w:color w:val="000000"/>
                <w:sz w:val="22"/>
              </w:rPr>
            </w:pPr>
            <w:r w:rsidRPr="00C3707B">
              <w:rPr>
                <w:noProof/>
                <w:color w:val="000000"/>
                <w:sz w:val="22"/>
              </w:rPr>
              <w:t>Uit het budget van specifieke programma’s gefinancierde administratieve kredieten</w:t>
            </w:r>
          </w:p>
        </w:tc>
      </w:tr>
      <w:tr w:rsidR="00D37F2D" w:rsidRPr="00C3707B" w14:paraId="763318CC" w14:textId="77777777">
        <w:trPr>
          <w:trHeight w:val="315"/>
        </w:trPr>
        <w:tc>
          <w:tcPr>
            <w:tcW w:w="3874" w:type="dxa"/>
            <w:tcBorders>
              <w:top w:val="nil"/>
              <w:left w:val="single" w:sz="8" w:space="0" w:color="auto"/>
              <w:bottom w:val="single" w:sz="8" w:space="0" w:color="auto"/>
              <w:right w:val="single" w:sz="8" w:space="0" w:color="auto"/>
            </w:tcBorders>
            <w:shd w:val="clear" w:color="auto" w:fill="auto"/>
            <w:vAlign w:val="center"/>
            <w:hideMark/>
          </w:tcPr>
          <w:p w14:paraId="41A6D88F" w14:textId="77777777" w:rsidR="00D37F2D" w:rsidRPr="00C3707B" w:rsidRDefault="00D37F2D">
            <w:pPr>
              <w:spacing w:before="0" w:after="0"/>
              <w:rPr>
                <w:rFonts w:eastAsia="Times New Roman"/>
                <w:noProof/>
                <w:color w:val="000000"/>
                <w:sz w:val="20"/>
                <w:szCs w:val="20"/>
              </w:rPr>
            </w:pPr>
            <w:r w:rsidRPr="00C3707B">
              <w:rPr>
                <w:noProof/>
                <w:color w:val="000000"/>
                <w:sz w:val="20"/>
              </w:rPr>
              <w:t>Begrotingsonderdeel</w:t>
            </w:r>
          </w:p>
        </w:tc>
        <w:tc>
          <w:tcPr>
            <w:tcW w:w="1396" w:type="dxa"/>
            <w:tcBorders>
              <w:top w:val="nil"/>
              <w:left w:val="nil"/>
              <w:bottom w:val="single" w:sz="8" w:space="0" w:color="auto"/>
              <w:right w:val="single" w:sz="8" w:space="0" w:color="auto"/>
            </w:tcBorders>
            <w:shd w:val="clear" w:color="auto" w:fill="auto"/>
            <w:vAlign w:val="center"/>
            <w:hideMark/>
          </w:tcPr>
          <w:p w14:paraId="38CEB1B4" w14:textId="2048A2A5" w:rsidR="00D37F2D" w:rsidRPr="00C3707B" w:rsidRDefault="00D37F2D">
            <w:pPr>
              <w:spacing w:before="0" w:after="0"/>
              <w:jc w:val="right"/>
              <w:rPr>
                <w:rFonts w:eastAsia="Times New Roman"/>
                <w:noProof/>
                <w:color w:val="000000"/>
                <w:sz w:val="18"/>
                <w:szCs w:val="18"/>
              </w:rPr>
            </w:pP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6C84125E"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3</w:t>
            </w:r>
            <w:r w:rsidRPr="00C3707B">
              <w:rPr>
                <w:noProof/>
                <w:color w:val="000000"/>
                <w:sz w:val="14"/>
              </w:rPr>
              <w:t>)</w:t>
            </w:r>
          </w:p>
        </w:tc>
        <w:tc>
          <w:tcPr>
            <w:tcW w:w="1063" w:type="dxa"/>
            <w:tcBorders>
              <w:top w:val="nil"/>
              <w:left w:val="nil"/>
              <w:bottom w:val="single" w:sz="8" w:space="0" w:color="auto"/>
              <w:right w:val="single" w:sz="8" w:space="0" w:color="auto"/>
            </w:tcBorders>
            <w:shd w:val="clear" w:color="auto" w:fill="auto"/>
            <w:vAlign w:val="center"/>
            <w:hideMark/>
          </w:tcPr>
          <w:p w14:paraId="21C18108" w14:textId="1ACD0007" w:rsidR="00D37F2D" w:rsidRPr="00C3707B" w:rsidRDefault="00D37F2D">
            <w:pPr>
              <w:spacing w:before="0" w:after="0"/>
              <w:jc w:val="right"/>
              <w:rPr>
                <w:rFonts w:eastAsia="Times New Roman"/>
                <w:b/>
                <w:bCs/>
                <w:noProof/>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177FE481" w14:textId="1F522EB0" w:rsidR="00D37F2D" w:rsidRPr="00C3707B" w:rsidRDefault="00D37F2D">
            <w:pPr>
              <w:spacing w:before="0" w:after="0"/>
              <w:jc w:val="right"/>
              <w:rPr>
                <w:rFonts w:eastAsia="Times New Roman"/>
                <w:b/>
                <w:bCs/>
                <w:noProof/>
                <w:color w:val="000000"/>
                <w:sz w:val="20"/>
                <w:szCs w:val="20"/>
              </w:rPr>
            </w:pPr>
          </w:p>
        </w:tc>
        <w:tc>
          <w:tcPr>
            <w:tcW w:w="1073" w:type="dxa"/>
            <w:tcBorders>
              <w:top w:val="nil"/>
              <w:left w:val="nil"/>
              <w:bottom w:val="single" w:sz="8" w:space="0" w:color="auto"/>
              <w:right w:val="single" w:sz="8" w:space="0" w:color="auto"/>
            </w:tcBorders>
            <w:shd w:val="clear" w:color="auto" w:fill="auto"/>
            <w:vAlign w:val="center"/>
            <w:hideMark/>
          </w:tcPr>
          <w:p w14:paraId="206DDF1D" w14:textId="357914CB" w:rsidR="00D37F2D" w:rsidRPr="00C3707B" w:rsidRDefault="00D37F2D">
            <w:pPr>
              <w:spacing w:before="0" w:after="0"/>
              <w:jc w:val="right"/>
              <w:rPr>
                <w:rFonts w:eastAsia="Times New Roman"/>
                <w:b/>
                <w:bCs/>
                <w:noProof/>
                <w:color w:val="000000"/>
                <w:sz w:val="20"/>
                <w:szCs w:val="20"/>
              </w:rPr>
            </w:pPr>
          </w:p>
        </w:tc>
        <w:tc>
          <w:tcPr>
            <w:tcW w:w="1071" w:type="dxa"/>
            <w:tcBorders>
              <w:top w:val="nil"/>
              <w:left w:val="nil"/>
              <w:bottom w:val="single" w:sz="8" w:space="0" w:color="auto"/>
              <w:right w:val="single" w:sz="8" w:space="0" w:color="auto"/>
            </w:tcBorders>
            <w:shd w:val="clear" w:color="auto" w:fill="auto"/>
            <w:vAlign w:val="center"/>
            <w:hideMark/>
          </w:tcPr>
          <w:p w14:paraId="3215227E" w14:textId="4DB0FF33" w:rsidR="00D37F2D" w:rsidRPr="00C3707B" w:rsidRDefault="00D37F2D">
            <w:pPr>
              <w:spacing w:before="0" w:after="0"/>
              <w:jc w:val="right"/>
              <w:rPr>
                <w:rFonts w:eastAsia="Times New Roman"/>
                <w:b/>
                <w:bCs/>
                <w:noProof/>
                <w:color w:val="000000"/>
                <w:sz w:val="20"/>
                <w:szCs w:val="20"/>
              </w:rPr>
            </w:pP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6FD91622"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r>
      <w:tr w:rsidR="00D37F2D" w:rsidRPr="00C3707B" w14:paraId="523D30FF" w14:textId="77777777">
        <w:trPr>
          <w:trHeight w:val="315"/>
        </w:trPr>
        <w:tc>
          <w:tcPr>
            <w:tcW w:w="3874" w:type="dxa"/>
            <w:tcBorders>
              <w:top w:val="nil"/>
              <w:left w:val="single" w:sz="8" w:space="0" w:color="auto"/>
              <w:bottom w:val="single" w:sz="8" w:space="0" w:color="auto"/>
              <w:right w:val="single" w:sz="8" w:space="0" w:color="auto"/>
            </w:tcBorders>
            <w:shd w:val="clear" w:color="auto" w:fill="auto"/>
            <w:vAlign w:val="center"/>
            <w:hideMark/>
          </w:tcPr>
          <w:p w14:paraId="214B5375" w14:textId="77777777" w:rsidR="00D37F2D" w:rsidRPr="00C3707B" w:rsidRDefault="00D37F2D">
            <w:pPr>
              <w:spacing w:before="0" w:after="0"/>
              <w:jc w:val="center"/>
              <w:rPr>
                <w:rFonts w:eastAsia="Times New Roman"/>
                <w:b/>
                <w:bCs/>
                <w:noProof/>
                <w:color w:val="000000"/>
                <w:sz w:val="22"/>
              </w:rPr>
            </w:pPr>
            <w:r w:rsidRPr="00C3707B">
              <w:rPr>
                <w:b/>
                <w:noProof/>
                <w:color w:val="000000"/>
                <w:sz w:val="22"/>
              </w:rPr>
              <w:t>TOTAAL kredieten</w:t>
            </w:r>
          </w:p>
        </w:tc>
        <w:tc>
          <w:tcPr>
            <w:tcW w:w="1396" w:type="dxa"/>
            <w:tcBorders>
              <w:top w:val="nil"/>
              <w:left w:val="nil"/>
              <w:bottom w:val="single" w:sz="8" w:space="0" w:color="auto"/>
              <w:right w:val="single" w:sz="8" w:space="0" w:color="auto"/>
            </w:tcBorders>
            <w:shd w:val="clear" w:color="auto" w:fill="auto"/>
            <w:vAlign w:val="center"/>
            <w:hideMark/>
          </w:tcPr>
          <w:p w14:paraId="61CD6108"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1F104C38"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1</w:t>
            </w:r>
            <w:r w:rsidRPr="00C3707B">
              <w:rPr>
                <w:noProof/>
                <w:color w:val="000000"/>
                <w:sz w:val="14"/>
              </w:rPr>
              <w:t>a+</w:t>
            </w:r>
            <w:r w:rsidRPr="00160A33">
              <w:rPr>
                <w:noProof/>
                <w:color w:val="000000"/>
                <w:sz w:val="14"/>
              </w:rPr>
              <w:t>1</w:t>
            </w:r>
            <w:r w:rsidRPr="00C3707B">
              <w:rPr>
                <w:noProof/>
                <w:color w:val="000000"/>
                <w:sz w:val="14"/>
              </w:rPr>
              <w:t>b+</w:t>
            </w:r>
            <w:r w:rsidRPr="00160A33">
              <w:rPr>
                <w:noProof/>
                <w:color w:val="000000"/>
                <w:sz w:val="14"/>
              </w:rPr>
              <w:t>3</w:t>
            </w:r>
          </w:p>
        </w:tc>
        <w:tc>
          <w:tcPr>
            <w:tcW w:w="1063" w:type="dxa"/>
            <w:tcBorders>
              <w:top w:val="nil"/>
              <w:left w:val="nil"/>
              <w:bottom w:val="single" w:sz="8" w:space="0" w:color="auto"/>
              <w:right w:val="single" w:sz="8" w:space="0" w:color="auto"/>
            </w:tcBorders>
            <w:shd w:val="clear" w:color="auto" w:fill="D9D9D9" w:themeFill="background1" w:themeFillShade="D9"/>
            <w:vAlign w:val="center"/>
            <w:hideMark/>
          </w:tcPr>
          <w:p w14:paraId="4F48D1C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14:paraId="37A51D3B"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073" w:type="dxa"/>
            <w:tcBorders>
              <w:top w:val="nil"/>
              <w:left w:val="nil"/>
              <w:bottom w:val="single" w:sz="8" w:space="0" w:color="auto"/>
              <w:right w:val="single" w:sz="8" w:space="0" w:color="auto"/>
            </w:tcBorders>
            <w:shd w:val="clear" w:color="auto" w:fill="D9D9D9" w:themeFill="background1" w:themeFillShade="D9"/>
            <w:vAlign w:val="center"/>
            <w:hideMark/>
          </w:tcPr>
          <w:p w14:paraId="545F3B05"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056</w:t>
            </w:r>
          </w:p>
        </w:tc>
        <w:tc>
          <w:tcPr>
            <w:tcW w:w="1071" w:type="dxa"/>
            <w:tcBorders>
              <w:top w:val="nil"/>
              <w:left w:val="nil"/>
              <w:bottom w:val="single" w:sz="8" w:space="0" w:color="auto"/>
              <w:right w:val="single" w:sz="8" w:space="0" w:color="auto"/>
            </w:tcBorders>
            <w:shd w:val="clear" w:color="auto" w:fill="D9D9D9" w:themeFill="background1" w:themeFillShade="D9"/>
            <w:vAlign w:val="center"/>
            <w:hideMark/>
          </w:tcPr>
          <w:p w14:paraId="64681FC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971</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09991EBF"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83</w:t>
            </w:r>
            <w:r w:rsidRPr="00C3707B">
              <w:rPr>
                <w:b/>
                <w:noProof/>
                <w:color w:val="000000"/>
                <w:sz w:val="20"/>
              </w:rPr>
              <w:t>,</w:t>
            </w:r>
            <w:r w:rsidRPr="00160A33">
              <w:rPr>
                <w:b/>
                <w:noProof/>
                <w:color w:val="000000"/>
                <w:sz w:val="20"/>
              </w:rPr>
              <w:t>027</w:t>
            </w:r>
          </w:p>
        </w:tc>
      </w:tr>
      <w:tr w:rsidR="00D37F2D" w:rsidRPr="00C3707B" w14:paraId="4A2AC2DF" w14:textId="77777777">
        <w:trPr>
          <w:trHeight w:val="315"/>
        </w:trPr>
        <w:tc>
          <w:tcPr>
            <w:tcW w:w="3874" w:type="dxa"/>
            <w:tcBorders>
              <w:top w:val="nil"/>
              <w:left w:val="single" w:sz="8" w:space="0" w:color="auto"/>
              <w:bottom w:val="single" w:sz="8" w:space="0" w:color="auto"/>
              <w:right w:val="single" w:sz="8" w:space="0" w:color="auto"/>
            </w:tcBorders>
            <w:shd w:val="clear" w:color="auto" w:fill="auto"/>
            <w:vAlign w:val="center"/>
            <w:hideMark/>
          </w:tcPr>
          <w:p w14:paraId="108D758A" w14:textId="77777777" w:rsidR="00D37F2D" w:rsidRPr="00C3707B" w:rsidRDefault="00D37F2D">
            <w:pPr>
              <w:spacing w:before="0" w:after="0"/>
              <w:jc w:val="center"/>
              <w:rPr>
                <w:rFonts w:eastAsia="Times New Roman"/>
                <w:b/>
                <w:bCs/>
                <w:noProof/>
                <w:color w:val="000000"/>
                <w:sz w:val="22"/>
                <w:lang w:eastAsia="en-IE"/>
              </w:rPr>
            </w:pPr>
          </w:p>
        </w:tc>
        <w:tc>
          <w:tcPr>
            <w:tcW w:w="1396" w:type="dxa"/>
            <w:tcBorders>
              <w:top w:val="nil"/>
              <w:left w:val="nil"/>
              <w:bottom w:val="single" w:sz="8" w:space="0" w:color="auto"/>
              <w:right w:val="single" w:sz="8" w:space="0" w:color="auto"/>
            </w:tcBorders>
            <w:shd w:val="clear" w:color="auto" w:fill="auto"/>
            <w:vAlign w:val="center"/>
            <w:hideMark/>
          </w:tcPr>
          <w:p w14:paraId="1DE2ECE0"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796" w:type="dxa"/>
            <w:gridSpan w:val="2"/>
            <w:tcBorders>
              <w:top w:val="single" w:sz="8" w:space="0" w:color="auto"/>
              <w:left w:val="nil"/>
              <w:bottom w:val="single" w:sz="8" w:space="0" w:color="auto"/>
              <w:right w:val="single" w:sz="8" w:space="0" w:color="auto"/>
            </w:tcBorders>
            <w:shd w:val="clear" w:color="auto" w:fill="auto"/>
            <w:vAlign w:val="center"/>
            <w:hideMark/>
          </w:tcPr>
          <w:p w14:paraId="25A61AA1"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2</w:t>
            </w:r>
            <w:r w:rsidRPr="00C3707B">
              <w:rPr>
                <w:noProof/>
                <w:color w:val="000000"/>
                <w:sz w:val="14"/>
              </w:rPr>
              <w:t>a+</w:t>
            </w:r>
            <w:r w:rsidRPr="00160A33">
              <w:rPr>
                <w:noProof/>
                <w:color w:val="000000"/>
                <w:sz w:val="14"/>
              </w:rPr>
              <w:t>2</w:t>
            </w:r>
            <w:r w:rsidRPr="00C3707B">
              <w:rPr>
                <w:noProof/>
                <w:color w:val="000000"/>
                <w:sz w:val="14"/>
              </w:rPr>
              <w:t>b+</w:t>
            </w:r>
            <w:r w:rsidRPr="00160A33">
              <w:rPr>
                <w:noProof/>
                <w:color w:val="000000"/>
                <w:sz w:val="14"/>
              </w:rPr>
              <w:t>3</w:t>
            </w:r>
          </w:p>
        </w:tc>
        <w:tc>
          <w:tcPr>
            <w:tcW w:w="1063" w:type="dxa"/>
            <w:tcBorders>
              <w:top w:val="nil"/>
              <w:left w:val="nil"/>
              <w:bottom w:val="single" w:sz="8" w:space="0" w:color="auto"/>
              <w:right w:val="single" w:sz="8" w:space="0" w:color="auto"/>
            </w:tcBorders>
            <w:shd w:val="clear" w:color="auto" w:fill="D9D9D9" w:themeFill="background1" w:themeFillShade="D9"/>
            <w:vAlign w:val="center"/>
            <w:hideMark/>
          </w:tcPr>
          <w:p w14:paraId="7058506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14:paraId="0710746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073" w:type="dxa"/>
            <w:tcBorders>
              <w:top w:val="nil"/>
              <w:left w:val="nil"/>
              <w:bottom w:val="single" w:sz="8" w:space="0" w:color="auto"/>
              <w:right w:val="single" w:sz="8" w:space="0" w:color="auto"/>
            </w:tcBorders>
            <w:shd w:val="clear" w:color="auto" w:fill="D9D9D9" w:themeFill="background1" w:themeFillShade="D9"/>
            <w:vAlign w:val="center"/>
            <w:hideMark/>
          </w:tcPr>
          <w:p w14:paraId="1D4F55B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28</w:t>
            </w:r>
            <w:r w:rsidRPr="00C3707B">
              <w:rPr>
                <w:b/>
                <w:noProof/>
                <w:color w:val="000000"/>
                <w:sz w:val="20"/>
              </w:rPr>
              <w:t>,</w:t>
            </w:r>
            <w:r w:rsidRPr="00160A33">
              <w:rPr>
                <w:b/>
                <w:noProof/>
                <w:color w:val="000000"/>
                <w:sz w:val="20"/>
              </w:rPr>
              <w:t>934</w:t>
            </w:r>
          </w:p>
        </w:tc>
        <w:tc>
          <w:tcPr>
            <w:tcW w:w="1071" w:type="dxa"/>
            <w:tcBorders>
              <w:top w:val="nil"/>
              <w:left w:val="nil"/>
              <w:bottom w:val="single" w:sz="8" w:space="0" w:color="auto"/>
              <w:right w:val="single" w:sz="8" w:space="0" w:color="auto"/>
            </w:tcBorders>
            <w:shd w:val="clear" w:color="auto" w:fill="D9D9D9" w:themeFill="background1" w:themeFillShade="D9"/>
            <w:vAlign w:val="center"/>
            <w:hideMark/>
          </w:tcPr>
          <w:p w14:paraId="0796FD7C"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729</w:t>
            </w:r>
          </w:p>
        </w:tc>
        <w:tc>
          <w:tcPr>
            <w:tcW w:w="1301" w:type="dxa"/>
            <w:tcBorders>
              <w:top w:val="nil"/>
              <w:left w:val="nil"/>
              <w:bottom w:val="single" w:sz="8" w:space="0" w:color="auto"/>
              <w:right w:val="single" w:sz="8" w:space="0" w:color="auto"/>
            </w:tcBorders>
            <w:shd w:val="clear" w:color="auto" w:fill="D9D9D9" w:themeFill="background1" w:themeFillShade="D9"/>
            <w:vAlign w:val="center"/>
            <w:hideMark/>
          </w:tcPr>
          <w:p w14:paraId="4687288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70</w:t>
            </w:r>
            <w:r w:rsidRPr="00C3707B">
              <w:rPr>
                <w:b/>
                <w:noProof/>
                <w:color w:val="000000"/>
                <w:sz w:val="20"/>
              </w:rPr>
              <w:t>,</w:t>
            </w:r>
            <w:r w:rsidRPr="00160A33">
              <w:rPr>
                <w:b/>
                <w:noProof/>
                <w:color w:val="000000"/>
                <w:sz w:val="20"/>
              </w:rPr>
              <w:t>663</w:t>
            </w:r>
          </w:p>
        </w:tc>
      </w:tr>
    </w:tbl>
    <w:p w14:paraId="6582BA34" w14:textId="77777777" w:rsidR="00D37F2D" w:rsidRPr="00C3707B" w:rsidRDefault="00D37F2D" w:rsidP="00D37F2D">
      <w:pPr>
        <w:jc w:val="left"/>
        <w:rPr>
          <w:noProof/>
          <w:sz w:val="18"/>
          <w:szCs w:val="18"/>
        </w:rPr>
      </w:pPr>
    </w:p>
    <w:p w14:paraId="6456BA41" w14:textId="77777777" w:rsidR="00D37F2D" w:rsidRPr="00C3707B" w:rsidRDefault="00D37F2D" w:rsidP="00D37F2D">
      <w:pPr>
        <w:rPr>
          <w:noProof/>
          <w:sz w:val="16"/>
        </w:rPr>
      </w:pPr>
      <w:r w:rsidRPr="00C3707B">
        <w:rPr>
          <w:noProof/>
          <w:sz w:val="16"/>
        </w:rPr>
        <w:t>in miljoenen euro’s (tot op drie decimalen)</w:t>
      </w:r>
    </w:p>
    <w:tbl>
      <w:tblPr>
        <w:tblW w:w="11351" w:type="dxa"/>
        <w:tblInd w:w="118" w:type="dxa"/>
        <w:tblLook w:val="04A0" w:firstRow="1" w:lastRow="0" w:firstColumn="1" w:lastColumn="0" w:noHBand="0" w:noVBand="1"/>
      </w:tblPr>
      <w:tblGrid>
        <w:gridCol w:w="3188"/>
        <w:gridCol w:w="1256"/>
        <w:gridCol w:w="1107"/>
        <w:gridCol w:w="1111"/>
        <w:gridCol w:w="1111"/>
        <w:gridCol w:w="1113"/>
        <w:gridCol w:w="1113"/>
        <w:gridCol w:w="1352"/>
      </w:tblGrid>
      <w:tr w:rsidR="00D37F2D" w:rsidRPr="00C3707B" w14:paraId="4FA9E88A" w14:textId="77777777">
        <w:trPr>
          <w:trHeight w:val="300"/>
        </w:trPr>
        <w:tc>
          <w:tcPr>
            <w:tcW w:w="554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41B424F" w14:textId="0F499805" w:rsidR="00D37F2D" w:rsidRPr="00C3707B" w:rsidRDefault="00D37F2D">
            <w:pPr>
              <w:spacing w:before="0" w:after="0"/>
              <w:jc w:val="center"/>
              <w:rPr>
                <w:rFonts w:eastAsia="Times New Roman"/>
                <w:b/>
                <w:bCs/>
                <w:noProof/>
                <w:color w:val="000000"/>
                <w:sz w:val="22"/>
              </w:rPr>
            </w:pPr>
          </w:p>
        </w:tc>
        <w:tc>
          <w:tcPr>
            <w:tcW w:w="1113" w:type="dxa"/>
            <w:tcBorders>
              <w:top w:val="single" w:sz="8" w:space="0" w:color="auto"/>
              <w:left w:val="nil"/>
              <w:bottom w:val="single" w:sz="8" w:space="0" w:color="auto"/>
              <w:right w:val="single" w:sz="8" w:space="0" w:color="auto"/>
            </w:tcBorders>
            <w:shd w:val="clear" w:color="auto" w:fill="auto"/>
            <w:vAlign w:val="center"/>
            <w:hideMark/>
          </w:tcPr>
          <w:p w14:paraId="04CBB5EE"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3" w:type="dxa"/>
            <w:tcBorders>
              <w:top w:val="single" w:sz="8" w:space="0" w:color="auto"/>
              <w:left w:val="nil"/>
              <w:bottom w:val="single" w:sz="8" w:space="0" w:color="auto"/>
              <w:right w:val="single" w:sz="8" w:space="0" w:color="auto"/>
            </w:tcBorders>
            <w:shd w:val="clear" w:color="auto" w:fill="auto"/>
            <w:vAlign w:val="center"/>
            <w:hideMark/>
          </w:tcPr>
          <w:p w14:paraId="160F2E26"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14:paraId="5F6A349B"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14:paraId="0870FF1F"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F7EF72"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 MFK</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19C2D7C1" w14:textId="77777777">
        <w:trPr>
          <w:trHeight w:val="300"/>
        </w:trPr>
        <w:tc>
          <w:tcPr>
            <w:tcW w:w="5542" w:type="dxa"/>
            <w:gridSpan w:val="3"/>
            <w:vMerge/>
            <w:tcBorders>
              <w:top w:val="single" w:sz="8" w:space="0" w:color="auto"/>
              <w:left w:val="single" w:sz="8" w:space="0" w:color="auto"/>
              <w:bottom w:val="single" w:sz="8" w:space="0" w:color="000000"/>
              <w:right w:val="single" w:sz="8" w:space="0" w:color="000000"/>
            </w:tcBorders>
            <w:vAlign w:val="center"/>
            <w:hideMark/>
          </w:tcPr>
          <w:p w14:paraId="444AE759" w14:textId="77777777" w:rsidR="00D37F2D" w:rsidRPr="00C3707B" w:rsidRDefault="00D37F2D">
            <w:pPr>
              <w:spacing w:before="0" w:after="0"/>
              <w:jc w:val="left"/>
              <w:rPr>
                <w:rFonts w:eastAsia="Times New Roman"/>
                <w:b/>
                <w:bCs/>
                <w:noProof/>
                <w:color w:val="000000"/>
                <w:sz w:val="22"/>
                <w:lang w:eastAsia="en-IE"/>
              </w:rPr>
            </w:pPr>
          </w:p>
        </w:tc>
        <w:tc>
          <w:tcPr>
            <w:tcW w:w="1113" w:type="dxa"/>
            <w:tcBorders>
              <w:top w:val="nil"/>
              <w:left w:val="nil"/>
              <w:bottom w:val="single" w:sz="8" w:space="0" w:color="auto"/>
              <w:right w:val="single" w:sz="8" w:space="0" w:color="auto"/>
            </w:tcBorders>
            <w:shd w:val="clear" w:color="auto" w:fill="auto"/>
            <w:vAlign w:val="center"/>
            <w:hideMark/>
          </w:tcPr>
          <w:p w14:paraId="089A2CC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1113" w:type="dxa"/>
            <w:tcBorders>
              <w:top w:val="nil"/>
              <w:left w:val="nil"/>
              <w:bottom w:val="single" w:sz="8" w:space="0" w:color="auto"/>
              <w:right w:val="single" w:sz="8" w:space="0" w:color="auto"/>
            </w:tcBorders>
            <w:shd w:val="clear" w:color="auto" w:fill="auto"/>
            <w:vAlign w:val="center"/>
            <w:hideMark/>
          </w:tcPr>
          <w:p w14:paraId="1DB4BA44"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1115" w:type="dxa"/>
            <w:tcBorders>
              <w:top w:val="nil"/>
              <w:left w:val="nil"/>
              <w:bottom w:val="single" w:sz="8" w:space="0" w:color="auto"/>
              <w:right w:val="single" w:sz="8" w:space="0" w:color="auto"/>
            </w:tcBorders>
            <w:shd w:val="clear" w:color="auto" w:fill="auto"/>
            <w:vAlign w:val="center"/>
            <w:hideMark/>
          </w:tcPr>
          <w:p w14:paraId="395A92BA"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115" w:type="dxa"/>
            <w:tcBorders>
              <w:top w:val="nil"/>
              <w:left w:val="nil"/>
              <w:bottom w:val="single" w:sz="8" w:space="0" w:color="auto"/>
              <w:right w:val="single" w:sz="8" w:space="0" w:color="auto"/>
            </w:tcBorders>
            <w:shd w:val="clear" w:color="auto" w:fill="auto"/>
            <w:vAlign w:val="center"/>
            <w:hideMark/>
          </w:tcPr>
          <w:p w14:paraId="62BBC31C"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353" w:type="dxa"/>
            <w:vMerge/>
            <w:tcBorders>
              <w:top w:val="single" w:sz="8" w:space="0" w:color="auto"/>
              <w:left w:val="single" w:sz="8" w:space="0" w:color="auto"/>
              <w:bottom w:val="single" w:sz="8" w:space="0" w:color="auto"/>
              <w:right w:val="single" w:sz="8" w:space="0" w:color="auto"/>
            </w:tcBorders>
            <w:vAlign w:val="center"/>
            <w:hideMark/>
          </w:tcPr>
          <w:p w14:paraId="5838E555"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2AD95354" w14:textId="77777777">
        <w:trPr>
          <w:trHeight w:val="432"/>
        </w:trPr>
        <w:tc>
          <w:tcPr>
            <w:tcW w:w="3195" w:type="dxa"/>
            <w:vMerge w:val="restart"/>
            <w:tcBorders>
              <w:top w:val="nil"/>
              <w:left w:val="single" w:sz="8" w:space="0" w:color="auto"/>
              <w:bottom w:val="single" w:sz="8" w:space="0" w:color="auto"/>
              <w:right w:val="single" w:sz="8" w:space="0" w:color="auto"/>
            </w:tcBorders>
            <w:shd w:val="clear" w:color="auto" w:fill="auto"/>
            <w:vAlign w:val="center"/>
            <w:hideMark/>
          </w:tcPr>
          <w:p w14:paraId="62DBD3D7" w14:textId="77777777" w:rsidR="00D37F2D" w:rsidRPr="00C3707B" w:rsidRDefault="00D37F2D">
            <w:pPr>
              <w:spacing w:before="0" w:after="0"/>
              <w:rPr>
                <w:rFonts w:eastAsia="Times New Roman"/>
                <w:noProof/>
                <w:color w:val="000000"/>
                <w:sz w:val="21"/>
                <w:szCs w:val="21"/>
              </w:rPr>
            </w:pPr>
            <w:r w:rsidRPr="00C3707B">
              <w:rPr>
                <w:noProof/>
                <w:color w:val="000000"/>
                <w:sz w:val="21"/>
              </w:rPr>
              <w:t>TOTAAL beleidskredieten</w:t>
            </w:r>
            <w:r w:rsidRPr="00C3707B">
              <w:rPr>
                <w:noProof/>
                <w:color w:val="000000"/>
                <w:sz w:val="21"/>
              </w:rPr>
              <w:br/>
              <w:t>(inclusief bijdrage aan gedecentraliseerd agentschap)</w:t>
            </w:r>
          </w:p>
        </w:tc>
        <w:tc>
          <w:tcPr>
            <w:tcW w:w="1237" w:type="dxa"/>
            <w:tcBorders>
              <w:top w:val="nil"/>
              <w:left w:val="nil"/>
              <w:bottom w:val="single" w:sz="8" w:space="0" w:color="auto"/>
              <w:right w:val="single" w:sz="8" w:space="0" w:color="auto"/>
            </w:tcBorders>
            <w:shd w:val="clear" w:color="auto" w:fill="auto"/>
            <w:vAlign w:val="center"/>
            <w:hideMark/>
          </w:tcPr>
          <w:p w14:paraId="265AB8F2"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0175ED97"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4</w:t>
            </w:r>
            <w:r w:rsidRPr="00C3707B">
              <w:rPr>
                <w:noProof/>
                <w:color w:val="000000"/>
                <w:sz w:val="14"/>
              </w:rPr>
              <w:t>)</w:t>
            </w:r>
          </w:p>
        </w:tc>
        <w:tc>
          <w:tcPr>
            <w:tcW w:w="1113" w:type="dxa"/>
            <w:tcBorders>
              <w:top w:val="nil"/>
              <w:left w:val="nil"/>
              <w:bottom w:val="single" w:sz="8" w:space="0" w:color="auto"/>
              <w:right w:val="single" w:sz="8" w:space="0" w:color="auto"/>
            </w:tcBorders>
            <w:shd w:val="clear" w:color="000000" w:fill="D9D9D9"/>
            <w:vAlign w:val="center"/>
            <w:hideMark/>
          </w:tcPr>
          <w:p w14:paraId="24286CE2"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3DE5E854"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380EB5C5"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056</w:t>
            </w:r>
          </w:p>
        </w:tc>
        <w:tc>
          <w:tcPr>
            <w:tcW w:w="1115" w:type="dxa"/>
            <w:tcBorders>
              <w:top w:val="nil"/>
              <w:left w:val="nil"/>
              <w:bottom w:val="single" w:sz="8" w:space="0" w:color="auto"/>
              <w:right w:val="single" w:sz="8" w:space="0" w:color="auto"/>
            </w:tcBorders>
            <w:shd w:val="clear" w:color="000000" w:fill="D9D9D9"/>
            <w:vAlign w:val="center"/>
            <w:hideMark/>
          </w:tcPr>
          <w:p w14:paraId="2760213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971</w:t>
            </w:r>
          </w:p>
        </w:tc>
        <w:tc>
          <w:tcPr>
            <w:tcW w:w="1353" w:type="dxa"/>
            <w:tcBorders>
              <w:top w:val="nil"/>
              <w:left w:val="nil"/>
              <w:bottom w:val="single" w:sz="8" w:space="0" w:color="auto"/>
              <w:right w:val="single" w:sz="8" w:space="0" w:color="auto"/>
            </w:tcBorders>
            <w:shd w:val="clear" w:color="000000" w:fill="D9D9D9"/>
            <w:vAlign w:val="center"/>
            <w:hideMark/>
          </w:tcPr>
          <w:p w14:paraId="2DE7A60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83</w:t>
            </w:r>
            <w:r w:rsidRPr="00C3707B">
              <w:rPr>
                <w:b/>
                <w:noProof/>
                <w:color w:val="000000"/>
                <w:sz w:val="20"/>
              </w:rPr>
              <w:t>,</w:t>
            </w:r>
            <w:r w:rsidRPr="00160A33">
              <w:rPr>
                <w:b/>
                <w:noProof/>
                <w:color w:val="000000"/>
                <w:sz w:val="20"/>
              </w:rPr>
              <w:t>027</w:t>
            </w:r>
          </w:p>
        </w:tc>
      </w:tr>
      <w:tr w:rsidR="00D37F2D" w:rsidRPr="00C3707B" w14:paraId="4A0127EB" w14:textId="77777777">
        <w:trPr>
          <w:trHeight w:val="458"/>
        </w:trPr>
        <w:tc>
          <w:tcPr>
            <w:tcW w:w="3195" w:type="dxa"/>
            <w:vMerge/>
            <w:tcBorders>
              <w:top w:val="nil"/>
              <w:left w:val="single" w:sz="8" w:space="0" w:color="auto"/>
              <w:bottom w:val="single" w:sz="8" w:space="0" w:color="auto"/>
              <w:right w:val="single" w:sz="8" w:space="0" w:color="auto"/>
            </w:tcBorders>
            <w:vAlign w:val="center"/>
            <w:hideMark/>
          </w:tcPr>
          <w:p w14:paraId="6E5E8FDC" w14:textId="77777777" w:rsidR="00D37F2D" w:rsidRPr="00C3707B" w:rsidRDefault="00D37F2D">
            <w:pPr>
              <w:spacing w:before="0" w:after="0"/>
              <w:jc w:val="left"/>
              <w:rPr>
                <w:rFonts w:eastAsia="Times New Roman"/>
                <w:noProof/>
                <w:color w:val="000000"/>
                <w:sz w:val="21"/>
                <w:szCs w:val="21"/>
                <w:lang w:eastAsia="en-IE"/>
              </w:rPr>
            </w:pPr>
          </w:p>
        </w:tc>
        <w:tc>
          <w:tcPr>
            <w:tcW w:w="1237" w:type="dxa"/>
            <w:tcBorders>
              <w:top w:val="nil"/>
              <w:left w:val="nil"/>
              <w:bottom w:val="single" w:sz="8" w:space="0" w:color="auto"/>
              <w:right w:val="single" w:sz="8" w:space="0" w:color="auto"/>
            </w:tcBorders>
            <w:shd w:val="clear" w:color="auto" w:fill="auto"/>
            <w:vAlign w:val="center"/>
            <w:hideMark/>
          </w:tcPr>
          <w:p w14:paraId="3CC1DCAA"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743B3567"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5</w:t>
            </w:r>
            <w:r w:rsidRPr="00C3707B">
              <w:rPr>
                <w:noProof/>
                <w:color w:val="000000"/>
                <w:sz w:val="14"/>
              </w:rPr>
              <w:t>)</w:t>
            </w:r>
          </w:p>
        </w:tc>
        <w:tc>
          <w:tcPr>
            <w:tcW w:w="1113" w:type="dxa"/>
            <w:tcBorders>
              <w:top w:val="nil"/>
              <w:left w:val="nil"/>
              <w:bottom w:val="single" w:sz="8" w:space="0" w:color="auto"/>
              <w:right w:val="single" w:sz="8" w:space="0" w:color="auto"/>
            </w:tcBorders>
            <w:shd w:val="clear" w:color="000000" w:fill="D9D9D9"/>
            <w:vAlign w:val="center"/>
            <w:hideMark/>
          </w:tcPr>
          <w:p w14:paraId="1E7CB3D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310C3006"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3B9B25C1"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28</w:t>
            </w:r>
            <w:r w:rsidRPr="00C3707B">
              <w:rPr>
                <w:noProof/>
                <w:color w:val="000000"/>
                <w:sz w:val="20"/>
              </w:rPr>
              <w:t>,</w:t>
            </w:r>
            <w:r w:rsidRPr="00160A33">
              <w:rPr>
                <w:noProof/>
                <w:color w:val="000000"/>
                <w:sz w:val="20"/>
              </w:rPr>
              <w:t>934</w:t>
            </w:r>
          </w:p>
        </w:tc>
        <w:tc>
          <w:tcPr>
            <w:tcW w:w="1115" w:type="dxa"/>
            <w:tcBorders>
              <w:top w:val="nil"/>
              <w:left w:val="nil"/>
              <w:bottom w:val="single" w:sz="8" w:space="0" w:color="auto"/>
              <w:right w:val="single" w:sz="8" w:space="0" w:color="auto"/>
            </w:tcBorders>
            <w:shd w:val="clear" w:color="000000" w:fill="D9D9D9"/>
            <w:vAlign w:val="center"/>
            <w:hideMark/>
          </w:tcPr>
          <w:p w14:paraId="4A043335"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729</w:t>
            </w:r>
          </w:p>
        </w:tc>
        <w:tc>
          <w:tcPr>
            <w:tcW w:w="1353" w:type="dxa"/>
            <w:tcBorders>
              <w:top w:val="nil"/>
              <w:left w:val="nil"/>
              <w:bottom w:val="single" w:sz="8" w:space="0" w:color="auto"/>
              <w:right w:val="single" w:sz="8" w:space="0" w:color="auto"/>
            </w:tcBorders>
            <w:shd w:val="clear" w:color="000000" w:fill="D9D9D9"/>
            <w:vAlign w:val="center"/>
            <w:hideMark/>
          </w:tcPr>
          <w:p w14:paraId="1E2D46C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70</w:t>
            </w:r>
            <w:r w:rsidRPr="00C3707B">
              <w:rPr>
                <w:b/>
                <w:noProof/>
                <w:color w:val="000000"/>
                <w:sz w:val="20"/>
              </w:rPr>
              <w:t>,</w:t>
            </w:r>
            <w:r w:rsidRPr="00160A33">
              <w:rPr>
                <w:b/>
                <w:noProof/>
                <w:color w:val="000000"/>
                <w:sz w:val="20"/>
              </w:rPr>
              <w:t>663</w:t>
            </w:r>
          </w:p>
        </w:tc>
      </w:tr>
      <w:tr w:rsidR="00D37F2D" w:rsidRPr="00C3707B" w14:paraId="1D600E9C" w14:textId="77777777">
        <w:trPr>
          <w:trHeight w:val="923"/>
        </w:trPr>
        <w:tc>
          <w:tcPr>
            <w:tcW w:w="44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965443B" w14:textId="77777777" w:rsidR="00D37F2D" w:rsidRPr="00C3707B" w:rsidRDefault="00D37F2D">
            <w:pPr>
              <w:spacing w:before="0" w:after="0"/>
              <w:rPr>
                <w:rFonts w:eastAsia="Times New Roman"/>
                <w:noProof/>
                <w:color w:val="000000"/>
                <w:sz w:val="21"/>
                <w:szCs w:val="21"/>
              </w:rPr>
            </w:pPr>
            <w:r w:rsidRPr="00C3707B">
              <w:rPr>
                <w:noProof/>
                <w:color w:val="000000"/>
                <w:sz w:val="21"/>
              </w:rPr>
              <w:t xml:space="preserve">TOTAAL uit het budget van specifieke programma’s gefinancierde administratieve kredieten </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CF74774"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6</w:t>
            </w:r>
            <w:r w:rsidRPr="00C3707B">
              <w:rPr>
                <w:noProof/>
                <w:color w:val="000000"/>
                <w:sz w:val="14"/>
              </w:rPr>
              <w:t>)</w:t>
            </w:r>
          </w:p>
        </w:tc>
        <w:tc>
          <w:tcPr>
            <w:tcW w:w="1113" w:type="dxa"/>
            <w:tcBorders>
              <w:top w:val="nil"/>
              <w:left w:val="nil"/>
              <w:bottom w:val="single" w:sz="8" w:space="0" w:color="auto"/>
              <w:right w:val="single" w:sz="8" w:space="0" w:color="auto"/>
            </w:tcBorders>
            <w:shd w:val="clear" w:color="000000" w:fill="D9D9D9"/>
            <w:vAlign w:val="center"/>
            <w:hideMark/>
          </w:tcPr>
          <w:p w14:paraId="257CF393"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45991E5A"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1E2E3545"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6DBE51FC"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353" w:type="dxa"/>
            <w:tcBorders>
              <w:top w:val="nil"/>
              <w:left w:val="nil"/>
              <w:bottom w:val="single" w:sz="8" w:space="0" w:color="auto"/>
              <w:right w:val="single" w:sz="8" w:space="0" w:color="auto"/>
            </w:tcBorders>
            <w:shd w:val="clear" w:color="000000" w:fill="D9D9D9"/>
            <w:vAlign w:val="center"/>
            <w:hideMark/>
          </w:tcPr>
          <w:p w14:paraId="395C1A0C"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r>
      <w:tr w:rsidR="00D37F2D" w:rsidRPr="00C3707B" w14:paraId="31F330BA" w14:textId="77777777">
        <w:trPr>
          <w:trHeight w:val="585"/>
        </w:trPr>
        <w:tc>
          <w:tcPr>
            <w:tcW w:w="3195" w:type="dxa"/>
            <w:tcBorders>
              <w:top w:val="nil"/>
              <w:left w:val="single" w:sz="8" w:space="0" w:color="auto"/>
              <w:bottom w:val="nil"/>
              <w:right w:val="single" w:sz="8" w:space="0" w:color="auto"/>
            </w:tcBorders>
            <w:shd w:val="thinDiagStripe" w:color="C0C0C0" w:fill="F1F1F1"/>
            <w:vAlign w:val="center"/>
            <w:hideMark/>
          </w:tcPr>
          <w:p w14:paraId="091D3EC2" w14:textId="77777777" w:rsidR="00D37F2D" w:rsidRPr="00C3707B" w:rsidRDefault="00D37F2D">
            <w:pPr>
              <w:spacing w:before="0" w:after="0"/>
              <w:jc w:val="center"/>
              <w:rPr>
                <w:rFonts w:eastAsia="Times New Roman"/>
                <w:b/>
                <w:bCs/>
                <w:noProof/>
                <w:color w:val="000000"/>
                <w:sz w:val="22"/>
              </w:rPr>
            </w:pPr>
            <w:r w:rsidRPr="00C3707B">
              <w:rPr>
                <w:b/>
                <w:noProof/>
                <w:color w:val="000000"/>
                <w:sz w:val="22"/>
              </w:rPr>
              <w:t>TOTAAL kredieten</w:t>
            </w:r>
            <w:r w:rsidRPr="00C3707B">
              <w:rPr>
                <w:noProof/>
              </w:rPr>
              <w:t xml:space="preserve"> </w:t>
            </w:r>
            <w:r w:rsidRPr="00C3707B">
              <w:rPr>
                <w:noProof/>
              </w:rPr>
              <w:br/>
            </w:r>
            <w:r w:rsidRPr="00C3707B">
              <w:rPr>
                <w:b/>
                <w:noProof/>
                <w:color w:val="000000"/>
                <w:sz w:val="22"/>
              </w:rPr>
              <w:t>onder rubriek </w:t>
            </w:r>
            <w:r w:rsidRPr="00160A33">
              <w:rPr>
                <w:b/>
                <w:noProof/>
                <w:color w:val="000000"/>
                <w:sz w:val="22"/>
              </w:rPr>
              <w:t>2</w:t>
            </w:r>
          </w:p>
        </w:tc>
        <w:tc>
          <w:tcPr>
            <w:tcW w:w="1237" w:type="dxa"/>
            <w:tcBorders>
              <w:top w:val="nil"/>
              <w:left w:val="nil"/>
              <w:bottom w:val="single" w:sz="8" w:space="0" w:color="auto"/>
              <w:right w:val="single" w:sz="8" w:space="0" w:color="auto"/>
            </w:tcBorders>
            <w:shd w:val="clear" w:color="auto" w:fill="auto"/>
            <w:vAlign w:val="center"/>
            <w:hideMark/>
          </w:tcPr>
          <w:p w14:paraId="41FD41EA"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BD672A5"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4</w:t>
            </w:r>
            <w:r w:rsidRPr="00C3707B">
              <w:rPr>
                <w:noProof/>
                <w:color w:val="000000"/>
                <w:sz w:val="14"/>
              </w:rPr>
              <w:t>+</w:t>
            </w:r>
            <w:r w:rsidRPr="00160A33">
              <w:rPr>
                <w:noProof/>
                <w:color w:val="000000"/>
                <w:sz w:val="14"/>
              </w:rPr>
              <w:t>6</w:t>
            </w:r>
          </w:p>
        </w:tc>
        <w:tc>
          <w:tcPr>
            <w:tcW w:w="1113" w:type="dxa"/>
            <w:tcBorders>
              <w:top w:val="nil"/>
              <w:left w:val="nil"/>
              <w:bottom w:val="single" w:sz="8" w:space="0" w:color="auto"/>
              <w:right w:val="single" w:sz="8" w:space="0" w:color="auto"/>
            </w:tcBorders>
            <w:shd w:val="clear" w:color="000000" w:fill="D9D9D9"/>
            <w:vAlign w:val="center"/>
            <w:hideMark/>
          </w:tcPr>
          <w:p w14:paraId="5CF8E61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53A05C32"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49FDC175"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056</w:t>
            </w:r>
          </w:p>
        </w:tc>
        <w:tc>
          <w:tcPr>
            <w:tcW w:w="1115" w:type="dxa"/>
            <w:tcBorders>
              <w:top w:val="nil"/>
              <w:left w:val="nil"/>
              <w:bottom w:val="single" w:sz="8" w:space="0" w:color="auto"/>
              <w:right w:val="single" w:sz="8" w:space="0" w:color="auto"/>
            </w:tcBorders>
            <w:shd w:val="clear" w:color="000000" w:fill="D9D9D9"/>
            <w:vAlign w:val="center"/>
            <w:hideMark/>
          </w:tcPr>
          <w:p w14:paraId="26F3706F"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971</w:t>
            </w:r>
          </w:p>
        </w:tc>
        <w:tc>
          <w:tcPr>
            <w:tcW w:w="1353" w:type="dxa"/>
            <w:tcBorders>
              <w:top w:val="nil"/>
              <w:left w:val="nil"/>
              <w:bottom w:val="single" w:sz="8" w:space="0" w:color="auto"/>
              <w:right w:val="single" w:sz="8" w:space="0" w:color="auto"/>
            </w:tcBorders>
            <w:shd w:val="clear" w:color="000000" w:fill="D9D9D9"/>
            <w:vAlign w:val="center"/>
            <w:hideMark/>
          </w:tcPr>
          <w:p w14:paraId="642D1E6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83</w:t>
            </w:r>
            <w:r w:rsidRPr="00C3707B">
              <w:rPr>
                <w:b/>
                <w:noProof/>
                <w:color w:val="000000"/>
                <w:sz w:val="20"/>
              </w:rPr>
              <w:t>,</w:t>
            </w:r>
            <w:r w:rsidRPr="00160A33">
              <w:rPr>
                <w:b/>
                <w:noProof/>
                <w:color w:val="000000"/>
                <w:sz w:val="20"/>
              </w:rPr>
              <w:t>027</w:t>
            </w:r>
          </w:p>
        </w:tc>
      </w:tr>
      <w:tr w:rsidR="00D37F2D" w:rsidRPr="00C3707B" w14:paraId="696A9D35" w14:textId="77777777">
        <w:trPr>
          <w:trHeight w:val="529"/>
        </w:trPr>
        <w:tc>
          <w:tcPr>
            <w:tcW w:w="3195" w:type="dxa"/>
            <w:tcBorders>
              <w:top w:val="nil"/>
              <w:left w:val="single" w:sz="8" w:space="0" w:color="auto"/>
              <w:bottom w:val="single" w:sz="8" w:space="0" w:color="auto"/>
              <w:right w:val="single" w:sz="8" w:space="0" w:color="auto"/>
            </w:tcBorders>
            <w:shd w:val="thinDiagStripe" w:color="C0C0C0" w:fill="F1F1F1"/>
            <w:vAlign w:val="center"/>
            <w:hideMark/>
          </w:tcPr>
          <w:p w14:paraId="59A11FF8" w14:textId="77777777" w:rsidR="00D37F2D" w:rsidRPr="00C3707B" w:rsidRDefault="00D37F2D">
            <w:pPr>
              <w:spacing w:before="0" w:after="0"/>
              <w:jc w:val="center"/>
              <w:rPr>
                <w:rFonts w:eastAsia="Times New Roman"/>
                <w:noProof/>
                <w:color w:val="000000"/>
                <w:sz w:val="22"/>
              </w:rPr>
            </w:pPr>
            <w:r w:rsidRPr="00C3707B">
              <w:rPr>
                <w:noProof/>
                <w:color w:val="000000"/>
                <w:sz w:val="22"/>
              </w:rPr>
              <w:t>van het meerjarig financieel kader</w:t>
            </w:r>
          </w:p>
        </w:tc>
        <w:tc>
          <w:tcPr>
            <w:tcW w:w="1237" w:type="dxa"/>
            <w:tcBorders>
              <w:top w:val="nil"/>
              <w:left w:val="nil"/>
              <w:bottom w:val="single" w:sz="8" w:space="0" w:color="auto"/>
              <w:right w:val="single" w:sz="8" w:space="0" w:color="auto"/>
            </w:tcBorders>
            <w:shd w:val="clear" w:color="auto" w:fill="auto"/>
            <w:vAlign w:val="center"/>
            <w:hideMark/>
          </w:tcPr>
          <w:p w14:paraId="1554431D"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5C9F7717"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5</w:t>
            </w:r>
            <w:r w:rsidRPr="00C3707B">
              <w:rPr>
                <w:noProof/>
                <w:color w:val="000000"/>
                <w:sz w:val="14"/>
              </w:rPr>
              <w:t>+</w:t>
            </w:r>
            <w:r w:rsidRPr="00160A33">
              <w:rPr>
                <w:noProof/>
                <w:color w:val="000000"/>
                <w:sz w:val="14"/>
              </w:rPr>
              <w:t>6</w:t>
            </w:r>
          </w:p>
        </w:tc>
        <w:tc>
          <w:tcPr>
            <w:tcW w:w="1113" w:type="dxa"/>
            <w:tcBorders>
              <w:top w:val="nil"/>
              <w:left w:val="nil"/>
              <w:bottom w:val="single" w:sz="8" w:space="0" w:color="auto"/>
              <w:right w:val="single" w:sz="8" w:space="0" w:color="auto"/>
            </w:tcBorders>
            <w:shd w:val="clear" w:color="000000" w:fill="D9D9D9"/>
            <w:vAlign w:val="center"/>
            <w:hideMark/>
          </w:tcPr>
          <w:p w14:paraId="6CA8991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1B065BE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5" w:type="dxa"/>
            <w:tcBorders>
              <w:top w:val="nil"/>
              <w:left w:val="nil"/>
              <w:bottom w:val="single" w:sz="8" w:space="0" w:color="auto"/>
              <w:right w:val="single" w:sz="8" w:space="0" w:color="auto"/>
            </w:tcBorders>
            <w:shd w:val="clear" w:color="000000" w:fill="D9D9D9"/>
            <w:vAlign w:val="center"/>
            <w:hideMark/>
          </w:tcPr>
          <w:p w14:paraId="5E01791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28</w:t>
            </w:r>
            <w:r w:rsidRPr="00C3707B">
              <w:rPr>
                <w:b/>
                <w:noProof/>
                <w:color w:val="000000"/>
                <w:sz w:val="20"/>
              </w:rPr>
              <w:t>,</w:t>
            </w:r>
            <w:r w:rsidRPr="00160A33">
              <w:rPr>
                <w:b/>
                <w:noProof/>
                <w:color w:val="000000"/>
                <w:sz w:val="20"/>
              </w:rPr>
              <w:t>934</w:t>
            </w:r>
          </w:p>
        </w:tc>
        <w:tc>
          <w:tcPr>
            <w:tcW w:w="1115" w:type="dxa"/>
            <w:tcBorders>
              <w:top w:val="nil"/>
              <w:left w:val="nil"/>
              <w:bottom w:val="single" w:sz="8" w:space="0" w:color="auto"/>
              <w:right w:val="single" w:sz="8" w:space="0" w:color="auto"/>
            </w:tcBorders>
            <w:shd w:val="clear" w:color="000000" w:fill="D9D9D9"/>
            <w:vAlign w:val="center"/>
            <w:hideMark/>
          </w:tcPr>
          <w:p w14:paraId="798EAFE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729</w:t>
            </w:r>
          </w:p>
        </w:tc>
        <w:tc>
          <w:tcPr>
            <w:tcW w:w="1353" w:type="dxa"/>
            <w:tcBorders>
              <w:top w:val="nil"/>
              <w:left w:val="nil"/>
              <w:bottom w:val="single" w:sz="8" w:space="0" w:color="auto"/>
              <w:right w:val="single" w:sz="8" w:space="0" w:color="auto"/>
            </w:tcBorders>
            <w:shd w:val="clear" w:color="000000" w:fill="D9D9D9"/>
            <w:vAlign w:val="center"/>
            <w:hideMark/>
          </w:tcPr>
          <w:p w14:paraId="71FF4799"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70</w:t>
            </w:r>
            <w:r w:rsidRPr="00C3707B">
              <w:rPr>
                <w:b/>
                <w:noProof/>
                <w:color w:val="000000"/>
                <w:sz w:val="20"/>
              </w:rPr>
              <w:t>,</w:t>
            </w:r>
            <w:r w:rsidRPr="00160A33">
              <w:rPr>
                <w:b/>
                <w:noProof/>
                <w:color w:val="000000"/>
                <w:sz w:val="20"/>
              </w:rPr>
              <w:t>663</w:t>
            </w:r>
          </w:p>
        </w:tc>
      </w:tr>
    </w:tbl>
    <w:p w14:paraId="3A1DF85C" w14:textId="77777777" w:rsidR="00D37F2D" w:rsidRPr="00C3707B" w:rsidRDefault="00D37F2D" w:rsidP="00D37F2D">
      <w:pPr>
        <w:rPr>
          <w:noProof/>
          <w:sz w:val="16"/>
        </w:rPr>
      </w:pPr>
      <w:r w:rsidRPr="00C3707B">
        <w:rPr>
          <w:noProof/>
          <w:sz w:val="16"/>
        </w:rPr>
        <w:t>in miljoenen euro’s (tot op drie decimalen)</w:t>
      </w:r>
    </w:p>
    <w:tbl>
      <w:tblPr>
        <w:tblW w:w="11351" w:type="dxa"/>
        <w:tblInd w:w="118" w:type="dxa"/>
        <w:tblLook w:val="04A0" w:firstRow="1" w:lastRow="0" w:firstColumn="1" w:lastColumn="0" w:noHBand="0" w:noVBand="1"/>
      </w:tblPr>
      <w:tblGrid>
        <w:gridCol w:w="3188"/>
        <w:gridCol w:w="1256"/>
        <w:gridCol w:w="1107"/>
        <w:gridCol w:w="1111"/>
        <w:gridCol w:w="1111"/>
        <w:gridCol w:w="1113"/>
        <w:gridCol w:w="1113"/>
        <w:gridCol w:w="1352"/>
      </w:tblGrid>
      <w:tr w:rsidR="00D37F2D" w:rsidRPr="00C3707B" w14:paraId="5D082DDE" w14:textId="77777777">
        <w:trPr>
          <w:trHeight w:val="300"/>
        </w:trPr>
        <w:tc>
          <w:tcPr>
            <w:tcW w:w="55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DFECD" w14:textId="77777777" w:rsidR="00D37F2D" w:rsidRPr="00C3707B" w:rsidRDefault="00D37F2D">
            <w:pPr>
              <w:spacing w:before="0" w:after="0"/>
              <w:jc w:val="center"/>
              <w:rPr>
                <w:rFonts w:eastAsia="Times New Roman"/>
                <w:noProof/>
                <w:color w:val="000000"/>
                <w:sz w:val="22"/>
                <w:lang w:eastAsia="en-IE"/>
              </w:rPr>
            </w:pPr>
          </w:p>
        </w:tc>
        <w:tc>
          <w:tcPr>
            <w:tcW w:w="1113" w:type="dxa"/>
            <w:tcBorders>
              <w:top w:val="single" w:sz="8" w:space="0" w:color="auto"/>
              <w:left w:val="single" w:sz="4" w:space="0" w:color="auto"/>
              <w:bottom w:val="nil"/>
              <w:right w:val="single" w:sz="8" w:space="0" w:color="auto"/>
            </w:tcBorders>
            <w:shd w:val="clear" w:color="auto" w:fill="auto"/>
            <w:vAlign w:val="center"/>
            <w:hideMark/>
          </w:tcPr>
          <w:p w14:paraId="7284C234"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3" w:type="dxa"/>
            <w:tcBorders>
              <w:top w:val="single" w:sz="8" w:space="0" w:color="auto"/>
              <w:left w:val="nil"/>
              <w:bottom w:val="nil"/>
              <w:right w:val="single" w:sz="8" w:space="0" w:color="auto"/>
            </w:tcBorders>
            <w:shd w:val="clear" w:color="auto" w:fill="auto"/>
            <w:vAlign w:val="center"/>
            <w:hideMark/>
          </w:tcPr>
          <w:p w14:paraId="6A1B4CE2"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5" w:type="dxa"/>
            <w:tcBorders>
              <w:top w:val="single" w:sz="8" w:space="0" w:color="auto"/>
              <w:left w:val="nil"/>
              <w:bottom w:val="nil"/>
              <w:right w:val="single" w:sz="8" w:space="0" w:color="auto"/>
            </w:tcBorders>
            <w:shd w:val="clear" w:color="auto" w:fill="auto"/>
            <w:vAlign w:val="center"/>
            <w:hideMark/>
          </w:tcPr>
          <w:p w14:paraId="34616E04"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5" w:type="dxa"/>
            <w:tcBorders>
              <w:top w:val="single" w:sz="8" w:space="0" w:color="auto"/>
              <w:left w:val="nil"/>
              <w:bottom w:val="nil"/>
              <w:right w:val="single" w:sz="8" w:space="0" w:color="auto"/>
            </w:tcBorders>
            <w:shd w:val="clear" w:color="auto" w:fill="auto"/>
            <w:vAlign w:val="center"/>
            <w:hideMark/>
          </w:tcPr>
          <w:p w14:paraId="18C66938"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3"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0EBF540D"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 MFK</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266DCA1A" w14:textId="77777777">
        <w:trPr>
          <w:trHeight w:val="315"/>
        </w:trPr>
        <w:tc>
          <w:tcPr>
            <w:tcW w:w="5542" w:type="dxa"/>
            <w:gridSpan w:val="3"/>
            <w:vMerge/>
            <w:tcBorders>
              <w:top w:val="single" w:sz="8" w:space="0" w:color="000000" w:themeColor="text1"/>
              <w:left w:val="single" w:sz="4" w:space="0" w:color="auto"/>
              <w:bottom w:val="single" w:sz="4" w:space="0" w:color="auto"/>
              <w:right w:val="single" w:sz="4" w:space="0" w:color="auto"/>
            </w:tcBorders>
            <w:vAlign w:val="center"/>
            <w:hideMark/>
          </w:tcPr>
          <w:p w14:paraId="1DD491DD" w14:textId="77777777" w:rsidR="00D37F2D" w:rsidRPr="00C3707B" w:rsidRDefault="00D37F2D">
            <w:pPr>
              <w:spacing w:before="0" w:after="0"/>
              <w:jc w:val="left"/>
              <w:rPr>
                <w:rFonts w:eastAsia="Times New Roman"/>
                <w:noProof/>
                <w:color w:val="000000"/>
                <w:sz w:val="22"/>
                <w:lang w:eastAsia="en-IE"/>
              </w:rPr>
            </w:pPr>
          </w:p>
        </w:tc>
        <w:tc>
          <w:tcPr>
            <w:tcW w:w="1113" w:type="dxa"/>
            <w:tcBorders>
              <w:top w:val="nil"/>
              <w:left w:val="single" w:sz="4" w:space="0" w:color="auto"/>
              <w:bottom w:val="single" w:sz="8" w:space="0" w:color="auto"/>
              <w:right w:val="single" w:sz="8" w:space="0" w:color="auto"/>
            </w:tcBorders>
            <w:shd w:val="clear" w:color="auto" w:fill="auto"/>
            <w:vAlign w:val="center"/>
            <w:hideMark/>
          </w:tcPr>
          <w:p w14:paraId="7EEC9A8E"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1113" w:type="dxa"/>
            <w:tcBorders>
              <w:top w:val="nil"/>
              <w:left w:val="nil"/>
              <w:bottom w:val="single" w:sz="8" w:space="0" w:color="auto"/>
              <w:right w:val="single" w:sz="8" w:space="0" w:color="auto"/>
            </w:tcBorders>
            <w:shd w:val="clear" w:color="auto" w:fill="auto"/>
            <w:vAlign w:val="center"/>
            <w:hideMark/>
          </w:tcPr>
          <w:p w14:paraId="55F2408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1115" w:type="dxa"/>
            <w:tcBorders>
              <w:top w:val="nil"/>
              <w:left w:val="nil"/>
              <w:bottom w:val="single" w:sz="8" w:space="0" w:color="auto"/>
              <w:right w:val="single" w:sz="8" w:space="0" w:color="auto"/>
            </w:tcBorders>
            <w:shd w:val="clear" w:color="auto" w:fill="auto"/>
            <w:vAlign w:val="center"/>
            <w:hideMark/>
          </w:tcPr>
          <w:p w14:paraId="49A2807D"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115" w:type="dxa"/>
            <w:tcBorders>
              <w:top w:val="nil"/>
              <w:left w:val="nil"/>
              <w:bottom w:val="single" w:sz="8" w:space="0" w:color="auto"/>
              <w:right w:val="single" w:sz="8" w:space="0" w:color="auto"/>
            </w:tcBorders>
            <w:shd w:val="clear" w:color="auto" w:fill="auto"/>
            <w:vAlign w:val="center"/>
            <w:hideMark/>
          </w:tcPr>
          <w:p w14:paraId="7A282881"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353" w:type="dxa"/>
            <w:vMerge/>
            <w:vAlign w:val="center"/>
            <w:hideMark/>
          </w:tcPr>
          <w:p w14:paraId="71A6C8AF"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5CB01A5B" w14:textId="77777777">
        <w:trPr>
          <w:trHeight w:val="315"/>
        </w:trPr>
        <w:tc>
          <w:tcPr>
            <w:tcW w:w="3195"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5CEF09E8" w14:textId="77777777" w:rsidR="00D37F2D" w:rsidRPr="00C3707B" w:rsidRDefault="00D37F2D">
            <w:pPr>
              <w:spacing w:before="0" w:after="0"/>
              <w:rPr>
                <w:rFonts w:eastAsia="Times New Roman"/>
                <w:noProof/>
                <w:color w:val="000000"/>
                <w:sz w:val="21"/>
                <w:szCs w:val="21"/>
              </w:rPr>
            </w:pPr>
            <w:r w:rsidRPr="00C3707B">
              <w:rPr>
                <w:noProof/>
                <w:color w:val="000000"/>
                <w:sz w:val="21"/>
              </w:rPr>
              <w:t>• TOTAAL beleidskredieten (alle beleidsrubrieken)</w:t>
            </w:r>
          </w:p>
        </w:tc>
        <w:tc>
          <w:tcPr>
            <w:tcW w:w="1237" w:type="dxa"/>
            <w:tcBorders>
              <w:top w:val="single" w:sz="4" w:space="0" w:color="auto"/>
              <w:left w:val="nil"/>
              <w:bottom w:val="single" w:sz="8" w:space="0" w:color="auto"/>
              <w:right w:val="single" w:sz="8" w:space="0" w:color="auto"/>
            </w:tcBorders>
            <w:shd w:val="clear" w:color="auto" w:fill="auto"/>
            <w:vAlign w:val="center"/>
            <w:hideMark/>
          </w:tcPr>
          <w:p w14:paraId="595BE78A"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1110" w:type="dxa"/>
            <w:tcBorders>
              <w:top w:val="single" w:sz="4" w:space="0" w:color="auto"/>
              <w:left w:val="nil"/>
              <w:bottom w:val="single" w:sz="8" w:space="0" w:color="auto"/>
              <w:right w:val="single" w:sz="8" w:space="0" w:color="000000" w:themeColor="text1"/>
            </w:tcBorders>
            <w:shd w:val="clear" w:color="auto" w:fill="auto"/>
            <w:vAlign w:val="center"/>
            <w:hideMark/>
          </w:tcPr>
          <w:p w14:paraId="35CE864E"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4</w:t>
            </w:r>
            <w:r w:rsidRPr="00C3707B">
              <w:rPr>
                <w:noProof/>
                <w:color w:val="000000"/>
                <w:sz w:val="14"/>
              </w:rPr>
              <w:t>)</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4F032AC3"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478C5F2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6F2BD6C6"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056</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7FDB682E"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971</w:t>
            </w:r>
          </w:p>
        </w:tc>
        <w:tc>
          <w:tcPr>
            <w:tcW w:w="1353" w:type="dxa"/>
            <w:tcBorders>
              <w:top w:val="nil"/>
              <w:left w:val="nil"/>
              <w:bottom w:val="single" w:sz="8" w:space="0" w:color="auto"/>
              <w:right w:val="single" w:sz="8" w:space="0" w:color="auto"/>
            </w:tcBorders>
            <w:shd w:val="clear" w:color="auto" w:fill="D9D9D9" w:themeFill="background1" w:themeFillShade="D9"/>
            <w:vAlign w:val="center"/>
            <w:hideMark/>
          </w:tcPr>
          <w:p w14:paraId="1F38AF77"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83</w:t>
            </w:r>
            <w:r w:rsidRPr="00C3707B">
              <w:rPr>
                <w:b/>
                <w:noProof/>
                <w:color w:val="000000"/>
                <w:sz w:val="20"/>
              </w:rPr>
              <w:t>,</w:t>
            </w:r>
            <w:r w:rsidRPr="00160A33">
              <w:rPr>
                <w:b/>
                <w:noProof/>
                <w:color w:val="000000"/>
                <w:sz w:val="20"/>
              </w:rPr>
              <w:t>027</w:t>
            </w:r>
          </w:p>
        </w:tc>
      </w:tr>
      <w:tr w:rsidR="00D37F2D" w:rsidRPr="00C3707B" w14:paraId="3F0303DB" w14:textId="77777777">
        <w:trPr>
          <w:trHeight w:val="315"/>
        </w:trPr>
        <w:tc>
          <w:tcPr>
            <w:tcW w:w="3195" w:type="dxa"/>
            <w:vMerge/>
            <w:vAlign w:val="center"/>
            <w:hideMark/>
          </w:tcPr>
          <w:p w14:paraId="6AF002C0" w14:textId="77777777" w:rsidR="00D37F2D" w:rsidRPr="00C3707B" w:rsidRDefault="00D37F2D">
            <w:pPr>
              <w:spacing w:before="0" w:after="0"/>
              <w:jc w:val="left"/>
              <w:rPr>
                <w:rFonts w:eastAsia="Times New Roman"/>
                <w:noProof/>
                <w:color w:val="000000"/>
                <w:sz w:val="21"/>
                <w:szCs w:val="21"/>
                <w:lang w:eastAsia="en-IE"/>
              </w:rPr>
            </w:pPr>
          </w:p>
        </w:tc>
        <w:tc>
          <w:tcPr>
            <w:tcW w:w="1237" w:type="dxa"/>
            <w:tcBorders>
              <w:top w:val="nil"/>
              <w:left w:val="nil"/>
              <w:bottom w:val="single" w:sz="8" w:space="0" w:color="auto"/>
              <w:right w:val="single" w:sz="8" w:space="0" w:color="auto"/>
            </w:tcBorders>
            <w:shd w:val="clear" w:color="auto" w:fill="auto"/>
            <w:vAlign w:val="center"/>
            <w:hideMark/>
          </w:tcPr>
          <w:p w14:paraId="14A67CF5"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1110" w:type="dxa"/>
            <w:tcBorders>
              <w:top w:val="single" w:sz="8" w:space="0" w:color="auto"/>
              <w:left w:val="nil"/>
              <w:bottom w:val="single" w:sz="8" w:space="0" w:color="auto"/>
              <w:right w:val="single" w:sz="8" w:space="0" w:color="000000" w:themeColor="text1"/>
            </w:tcBorders>
            <w:shd w:val="clear" w:color="auto" w:fill="auto"/>
            <w:vAlign w:val="center"/>
            <w:hideMark/>
          </w:tcPr>
          <w:p w14:paraId="52148A8F"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5</w:t>
            </w:r>
            <w:r w:rsidRPr="00C3707B">
              <w:rPr>
                <w:noProof/>
                <w:color w:val="000000"/>
                <w:sz w:val="14"/>
              </w:rPr>
              <w:t>)</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79147BB1"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21DA3D26"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4C689A6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28</w:t>
            </w:r>
            <w:r w:rsidRPr="00C3707B">
              <w:rPr>
                <w:noProof/>
                <w:color w:val="000000"/>
                <w:sz w:val="20"/>
              </w:rPr>
              <w:t>,</w:t>
            </w:r>
            <w:r w:rsidRPr="00160A33">
              <w:rPr>
                <w:noProof/>
                <w:color w:val="000000"/>
                <w:sz w:val="20"/>
              </w:rPr>
              <w:t>934</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63F8DCE0"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41</w:t>
            </w:r>
            <w:r w:rsidRPr="00C3707B">
              <w:rPr>
                <w:noProof/>
                <w:color w:val="000000"/>
                <w:sz w:val="20"/>
              </w:rPr>
              <w:t>,</w:t>
            </w:r>
            <w:r w:rsidRPr="00160A33">
              <w:rPr>
                <w:noProof/>
                <w:color w:val="000000"/>
                <w:sz w:val="20"/>
              </w:rPr>
              <w:t>729</w:t>
            </w:r>
          </w:p>
        </w:tc>
        <w:tc>
          <w:tcPr>
            <w:tcW w:w="1353" w:type="dxa"/>
            <w:tcBorders>
              <w:top w:val="nil"/>
              <w:left w:val="nil"/>
              <w:bottom w:val="single" w:sz="8" w:space="0" w:color="auto"/>
              <w:right w:val="single" w:sz="8" w:space="0" w:color="auto"/>
            </w:tcBorders>
            <w:shd w:val="clear" w:color="auto" w:fill="D9D9D9" w:themeFill="background1" w:themeFillShade="D9"/>
            <w:vAlign w:val="center"/>
            <w:hideMark/>
          </w:tcPr>
          <w:p w14:paraId="5D3E6DB1"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70</w:t>
            </w:r>
            <w:r w:rsidRPr="00C3707B">
              <w:rPr>
                <w:b/>
                <w:noProof/>
                <w:color w:val="000000"/>
                <w:sz w:val="20"/>
              </w:rPr>
              <w:t>,</w:t>
            </w:r>
            <w:r w:rsidRPr="00160A33">
              <w:rPr>
                <w:b/>
                <w:noProof/>
                <w:color w:val="000000"/>
                <w:sz w:val="20"/>
              </w:rPr>
              <w:t>663</w:t>
            </w:r>
          </w:p>
        </w:tc>
      </w:tr>
      <w:tr w:rsidR="00D37F2D" w:rsidRPr="00C3707B" w14:paraId="26883128" w14:textId="77777777">
        <w:trPr>
          <w:trHeight w:val="990"/>
        </w:trPr>
        <w:tc>
          <w:tcPr>
            <w:tcW w:w="4432"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71B7B941" w14:textId="77777777" w:rsidR="00D37F2D" w:rsidRPr="00C3707B" w:rsidRDefault="00D37F2D">
            <w:pPr>
              <w:spacing w:before="0" w:after="0"/>
              <w:rPr>
                <w:rFonts w:eastAsia="Times New Roman"/>
                <w:noProof/>
                <w:color w:val="000000"/>
                <w:sz w:val="21"/>
                <w:szCs w:val="21"/>
              </w:rPr>
            </w:pPr>
            <w:r w:rsidRPr="00C3707B">
              <w:rPr>
                <w:noProof/>
                <w:color w:val="000000"/>
                <w:sz w:val="21"/>
              </w:rPr>
              <w:t>• TOTAAL uit het budget van specifieke programma’s gefinancierde administratieve kredieten (alle beleidsrubrieken)</w:t>
            </w:r>
          </w:p>
        </w:tc>
        <w:tc>
          <w:tcPr>
            <w:tcW w:w="1110" w:type="dxa"/>
            <w:tcBorders>
              <w:top w:val="single" w:sz="8" w:space="0" w:color="auto"/>
              <w:left w:val="nil"/>
              <w:bottom w:val="single" w:sz="8" w:space="0" w:color="auto"/>
              <w:right w:val="single" w:sz="8" w:space="0" w:color="000000" w:themeColor="text1"/>
            </w:tcBorders>
            <w:shd w:val="clear" w:color="auto" w:fill="auto"/>
            <w:vAlign w:val="center"/>
            <w:hideMark/>
          </w:tcPr>
          <w:p w14:paraId="304AE481" w14:textId="77777777" w:rsidR="00D37F2D" w:rsidRPr="00C3707B" w:rsidRDefault="00D37F2D">
            <w:pPr>
              <w:spacing w:before="0" w:after="0"/>
              <w:jc w:val="center"/>
              <w:rPr>
                <w:rFonts w:eastAsia="Times New Roman"/>
                <w:noProof/>
                <w:color w:val="000000"/>
                <w:sz w:val="14"/>
                <w:szCs w:val="14"/>
              </w:rPr>
            </w:pPr>
            <w:r w:rsidRPr="00160A33">
              <w:rPr>
                <w:noProof/>
                <w:color w:val="000000"/>
                <w:sz w:val="14"/>
              </w:rPr>
              <w:t>6</w:t>
            </w:r>
            <w:r w:rsidRPr="00C3707B">
              <w:rPr>
                <w:noProof/>
                <w:color w:val="000000"/>
                <w:sz w:val="14"/>
              </w:rPr>
              <w:t>)</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442D064D"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0E577EDC"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4DAA6AF4"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1DD5F2DA"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1353" w:type="dxa"/>
            <w:tcBorders>
              <w:top w:val="nil"/>
              <w:left w:val="nil"/>
              <w:bottom w:val="single" w:sz="8" w:space="0" w:color="auto"/>
              <w:right w:val="single" w:sz="8" w:space="0" w:color="auto"/>
            </w:tcBorders>
            <w:shd w:val="clear" w:color="auto" w:fill="D9D9D9" w:themeFill="background1" w:themeFillShade="D9"/>
            <w:vAlign w:val="center"/>
            <w:hideMark/>
          </w:tcPr>
          <w:p w14:paraId="33D2515D"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r>
      <w:tr w:rsidR="00D37F2D" w:rsidRPr="00C3707B" w14:paraId="1642B219" w14:textId="77777777">
        <w:trPr>
          <w:trHeight w:val="585"/>
        </w:trPr>
        <w:tc>
          <w:tcPr>
            <w:tcW w:w="3195" w:type="dxa"/>
            <w:tcBorders>
              <w:top w:val="nil"/>
              <w:left w:val="single" w:sz="8" w:space="0" w:color="auto"/>
              <w:bottom w:val="nil"/>
              <w:right w:val="single" w:sz="8" w:space="0" w:color="auto"/>
            </w:tcBorders>
            <w:shd w:val="clear" w:color="auto" w:fill="F1F1F1"/>
            <w:vAlign w:val="center"/>
            <w:hideMark/>
          </w:tcPr>
          <w:p w14:paraId="51D2933D" w14:textId="77777777" w:rsidR="00D37F2D" w:rsidRPr="00C3707B" w:rsidRDefault="00D37F2D">
            <w:pPr>
              <w:spacing w:before="0" w:after="0"/>
              <w:jc w:val="center"/>
              <w:rPr>
                <w:rFonts w:eastAsia="Times New Roman"/>
                <w:b/>
                <w:bCs/>
                <w:noProof/>
                <w:color w:val="000000"/>
                <w:sz w:val="22"/>
              </w:rPr>
            </w:pPr>
            <w:r w:rsidRPr="00C3707B">
              <w:rPr>
                <w:b/>
                <w:noProof/>
                <w:color w:val="000000"/>
                <w:sz w:val="22"/>
              </w:rPr>
              <w:t>TOTAAL kredieten</w:t>
            </w:r>
            <w:r w:rsidRPr="00C3707B">
              <w:rPr>
                <w:noProof/>
              </w:rPr>
              <w:t xml:space="preserve"> </w:t>
            </w:r>
            <w:r w:rsidRPr="00C3707B">
              <w:rPr>
                <w:noProof/>
              </w:rPr>
              <w:br/>
            </w:r>
            <w:r w:rsidRPr="00C3707B">
              <w:rPr>
                <w:b/>
                <w:noProof/>
                <w:color w:val="000000"/>
                <w:sz w:val="22"/>
              </w:rPr>
              <w:t>onder de rubrieken </w:t>
            </w:r>
            <w:r w:rsidRPr="00160A33">
              <w:rPr>
                <w:b/>
                <w:noProof/>
                <w:color w:val="000000"/>
                <w:sz w:val="22"/>
              </w:rPr>
              <w:t>1</w:t>
            </w:r>
            <w:r w:rsidRPr="00C3707B">
              <w:rPr>
                <w:b/>
                <w:noProof/>
                <w:color w:val="000000"/>
                <w:sz w:val="22"/>
              </w:rPr>
              <w:t xml:space="preserve"> tot en met </w:t>
            </w:r>
            <w:r w:rsidRPr="00160A33">
              <w:rPr>
                <w:b/>
                <w:noProof/>
                <w:color w:val="000000"/>
                <w:sz w:val="22"/>
              </w:rPr>
              <w:t>6</w:t>
            </w:r>
          </w:p>
        </w:tc>
        <w:tc>
          <w:tcPr>
            <w:tcW w:w="1237" w:type="dxa"/>
            <w:tcBorders>
              <w:top w:val="nil"/>
              <w:left w:val="nil"/>
              <w:bottom w:val="nil"/>
              <w:right w:val="single" w:sz="8" w:space="0" w:color="auto"/>
            </w:tcBorders>
            <w:shd w:val="clear" w:color="auto" w:fill="auto"/>
            <w:vAlign w:val="center"/>
            <w:hideMark/>
          </w:tcPr>
          <w:p w14:paraId="16675E7C"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1110" w:type="dxa"/>
            <w:tcBorders>
              <w:top w:val="single" w:sz="8" w:space="0" w:color="auto"/>
              <w:left w:val="nil"/>
              <w:bottom w:val="nil"/>
              <w:right w:val="single" w:sz="8" w:space="0" w:color="000000" w:themeColor="text1"/>
            </w:tcBorders>
            <w:shd w:val="clear" w:color="auto" w:fill="auto"/>
            <w:vAlign w:val="center"/>
            <w:hideMark/>
          </w:tcPr>
          <w:p w14:paraId="16A06DED"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4</w:t>
            </w:r>
            <w:r w:rsidRPr="00C3707B">
              <w:rPr>
                <w:noProof/>
                <w:color w:val="000000"/>
                <w:sz w:val="14"/>
              </w:rPr>
              <w:t>+</w:t>
            </w:r>
            <w:r w:rsidRPr="00160A33">
              <w:rPr>
                <w:noProof/>
                <w:color w:val="000000"/>
                <w:sz w:val="14"/>
              </w:rPr>
              <w:t>6</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23A5DD6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2D2AF2F6"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63B7929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056</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147FB926"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971</w:t>
            </w:r>
          </w:p>
        </w:tc>
        <w:tc>
          <w:tcPr>
            <w:tcW w:w="1353" w:type="dxa"/>
            <w:tcBorders>
              <w:top w:val="nil"/>
              <w:left w:val="nil"/>
              <w:bottom w:val="single" w:sz="8" w:space="0" w:color="auto"/>
              <w:right w:val="single" w:sz="8" w:space="0" w:color="auto"/>
            </w:tcBorders>
            <w:shd w:val="clear" w:color="auto" w:fill="D9D9D9" w:themeFill="background1" w:themeFillShade="D9"/>
            <w:vAlign w:val="center"/>
            <w:hideMark/>
          </w:tcPr>
          <w:p w14:paraId="02EE97D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83</w:t>
            </w:r>
            <w:r w:rsidRPr="00C3707B">
              <w:rPr>
                <w:b/>
                <w:noProof/>
                <w:color w:val="000000"/>
                <w:sz w:val="20"/>
              </w:rPr>
              <w:t>,</w:t>
            </w:r>
            <w:r w:rsidRPr="00160A33">
              <w:rPr>
                <w:b/>
                <w:noProof/>
                <w:color w:val="000000"/>
                <w:sz w:val="20"/>
              </w:rPr>
              <w:t>027</w:t>
            </w:r>
          </w:p>
        </w:tc>
      </w:tr>
      <w:tr w:rsidR="00D37F2D" w:rsidRPr="00C3707B" w14:paraId="726DA456" w14:textId="77777777">
        <w:trPr>
          <w:trHeight w:val="589"/>
        </w:trPr>
        <w:tc>
          <w:tcPr>
            <w:tcW w:w="3195" w:type="dxa"/>
            <w:tcBorders>
              <w:top w:val="nil"/>
              <w:left w:val="single" w:sz="8" w:space="0" w:color="auto"/>
              <w:bottom w:val="single" w:sz="8" w:space="0" w:color="auto"/>
              <w:right w:val="single" w:sz="8" w:space="0" w:color="auto"/>
            </w:tcBorders>
            <w:shd w:val="clear" w:color="auto" w:fill="F1F1F1"/>
            <w:vAlign w:val="center"/>
            <w:hideMark/>
          </w:tcPr>
          <w:p w14:paraId="17B73105"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van het meerjarig financieel kader</w:t>
            </w:r>
            <w:r w:rsidRPr="00C3707B">
              <w:rPr>
                <w:noProof/>
              </w:rPr>
              <w:t xml:space="preserve"> </w:t>
            </w:r>
            <w:r w:rsidRPr="00C3707B">
              <w:rPr>
                <w:noProof/>
              </w:rPr>
              <w:br/>
            </w:r>
            <w:r w:rsidRPr="00C3707B">
              <w:rPr>
                <w:noProof/>
                <w:color w:val="000000"/>
                <w:sz w:val="20"/>
              </w:rPr>
              <w:t>(referentiebedrag)</w:t>
            </w:r>
          </w:p>
        </w:tc>
        <w:tc>
          <w:tcPr>
            <w:tcW w:w="1237" w:type="dxa"/>
            <w:tcBorders>
              <w:top w:val="nil"/>
              <w:left w:val="nil"/>
              <w:bottom w:val="single" w:sz="8" w:space="0" w:color="auto"/>
              <w:right w:val="single" w:sz="8" w:space="0" w:color="auto"/>
            </w:tcBorders>
            <w:shd w:val="clear" w:color="auto" w:fill="auto"/>
            <w:vAlign w:val="center"/>
            <w:hideMark/>
          </w:tcPr>
          <w:p w14:paraId="69E03F51"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1110" w:type="dxa"/>
            <w:tcBorders>
              <w:top w:val="single" w:sz="8" w:space="0" w:color="auto"/>
              <w:left w:val="nil"/>
              <w:bottom w:val="single" w:sz="8" w:space="0" w:color="auto"/>
              <w:right w:val="single" w:sz="8" w:space="0" w:color="000000" w:themeColor="text1"/>
            </w:tcBorders>
            <w:shd w:val="clear" w:color="auto" w:fill="auto"/>
            <w:vAlign w:val="center"/>
            <w:hideMark/>
          </w:tcPr>
          <w:p w14:paraId="5AE9F099" w14:textId="77777777" w:rsidR="00D37F2D" w:rsidRPr="00C3707B" w:rsidRDefault="00D37F2D">
            <w:pPr>
              <w:spacing w:before="0" w:after="0"/>
              <w:jc w:val="center"/>
              <w:rPr>
                <w:rFonts w:eastAsia="Times New Roman"/>
                <w:noProof/>
                <w:color w:val="000000"/>
                <w:sz w:val="14"/>
                <w:szCs w:val="14"/>
              </w:rPr>
            </w:pPr>
            <w:r w:rsidRPr="00C3707B">
              <w:rPr>
                <w:noProof/>
                <w:color w:val="000000"/>
                <w:sz w:val="14"/>
              </w:rPr>
              <w:t>=</w:t>
            </w:r>
            <w:r w:rsidRPr="00160A33">
              <w:rPr>
                <w:noProof/>
                <w:color w:val="000000"/>
                <w:sz w:val="14"/>
              </w:rPr>
              <w:t>5</w:t>
            </w:r>
            <w:r w:rsidRPr="00C3707B">
              <w:rPr>
                <w:noProof/>
                <w:color w:val="000000"/>
                <w:sz w:val="14"/>
              </w:rPr>
              <w:t>+</w:t>
            </w:r>
            <w:r w:rsidRPr="00160A33">
              <w:rPr>
                <w:noProof/>
                <w:color w:val="000000"/>
                <w:sz w:val="14"/>
              </w:rPr>
              <w:t>6</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5BC0062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auto" w:fill="D9D9D9" w:themeFill="background1" w:themeFillShade="D9"/>
            <w:vAlign w:val="center"/>
            <w:hideMark/>
          </w:tcPr>
          <w:p w14:paraId="70BA026D"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2AFC0922"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28</w:t>
            </w:r>
            <w:r w:rsidRPr="00C3707B">
              <w:rPr>
                <w:b/>
                <w:noProof/>
                <w:color w:val="000000"/>
                <w:sz w:val="20"/>
              </w:rPr>
              <w:t>,</w:t>
            </w:r>
            <w:r w:rsidRPr="00160A33">
              <w:rPr>
                <w:b/>
                <w:noProof/>
                <w:color w:val="000000"/>
                <w:sz w:val="20"/>
              </w:rPr>
              <w:t>934</w:t>
            </w:r>
          </w:p>
        </w:tc>
        <w:tc>
          <w:tcPr>
            <w:tcW w:w="1115" w:type="dxa"/>
            <w:tcBorders>
              <w:top w:val="nil"/>
              <w:left w:val="nil"/>
              <w:bottom w:val="single" w:sz="8" w:space="0" w:color="auto"/>
              <w:right w:val="single" w:sz="8" w:space="0" w:color="auto"/>
            </w:tcBorders>
            <w:shd w:val="clear" w:color="auto" w:fill="D9D9D9" w:themeFill="background1" w:themeFillShade="D9"/>
            <w:vAlign w:val="center"/>
            <w:hideMark/>
          </w:tcPr>
          <w:p w14:paraId="21F728C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41</w:t>
            </w:r>
            <w:r w:rsidRPr="00C3707B">
              <w:rPr>
                <w:b/>
                <w:noProof/>
                <w:color w:val="000000"/>
                <w:sz w:val="20"/>
              </w:rPr>
              <w:t>,</w:t>
            </w:r>
            <w:r w:rsidRPr="00160A33">
              <w:rPr>
                <w:b/>
                <w:noProof/>
                <w:color w:val="000000"/>
                <w:sz w:val="20"/>
              </w:rPr>
              <w:t>729</w:t>
            </w:r>
          </w:p>
        </w:tc>
        <w:tc>
          <w:tcPr>
            <w:tcW w:w="1353" w:type="dxa"/>
            <w:tcBorders>
              <w:top w:val="nil"/>
              <w:left w:val="nil"/>
              <w:bottom w:val="single" w:sz="8" w:space="0" w:color="auto"/>
              <w:right w:val="single" w:sz="8" w:space="0" w:color="auto"/>
            </w:tcBorders>
            <w:shd w:val="clear" w:color="auto" w:fill="D9D9D9" w:themeFill="background1" w:themeFillShade="D9"/>
            <w:vAlign w:val="center"/>
            <w:hideMark/>
          </w:tcPr>
          <w:p w14:paraId="21E53D4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70</w:t>
            </w:r>
            <w:r w:rsidRPr="00C3707B">
              <w:rPr>
                <w:b/>
                <w:noProof/>
                <w:color w:val="000000"/>
                <w:sz w:val="20"/>
              </w:rPr>
              <w:t>,</w:t>
            </w:r>
            <w:r w:rsidRPr="00160A33">
              <w:rPr>
                <w:b/>
                <w:noProof/>
                <w:color w:val="000000"/>
                <w:sz w:val="20"/>
              </w:rPr>
              <w:t>663</w:t>
            </w:r>
          </w:p>
        </w:tc>
      </w:tr>
    </w:tbl>
    <w:p w14:paraId="734670A0" w14:textId="77777777" w:rsidR="00D37F2D" w:rsidRPr="00C3707B" w:rsidRDefault="00D37F2D" w:rsidP="00D37F2D">
      <w:pPr>
        <w:rPr>
          <w:noProof/>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D37F2D" w:rsidRPr="00C3707B" w14:paraId="2C053327" w14:textId="77777777">
        <w:trPr>
          <w:jc w:val="center"/>
        </w:trPr>
        <w:tc>
          <w:tcPr>
            <w:tcW w:w="1739" w:type="pct"/>
            <w:shd w:val="thinDiagStripe" w:color="C0C0C0" w:fill="auto"/>
            <w:vAlign w:val="center"/>
          </w:tcPr>
          <w:p w14:paraId="035DDB69" w14:textId="77777777" w:rsidR="00D37F2D" w:rsidRPr="00C3707B" w:rsidRDefault="00D37F2D">
            <w:pPr>
              <w:spacing w:before="60" w:after="60"/>
              <w:jc w:val="center"/>
              <w:rPr>
                <w:b/>
                <w:noProof/>
              </w:rPr>
            </w:pPr>
            <w:r w:rsidRPr="00C3707B">
              <w:rPr>
                <w:noProof/>
              </w:rPr>
              <w:br w:type="page"/>
            </w:r>
            <w:r w:rsidRPr="00C3707B">
              <w:rPr>
                <w:b/>
                <w:noProof/>
                <w:sz w:val="22"/>
              </w:rPr>
              <w:t xml:space="preserve">Rubriek van het meerjarig financieel kader </w:t>
            </w:r>
          </w:p>
        </w:tc>
        <w:tc>
          <w:tcPr>
            <w:tcW w:w="396" w:type="pct"/>
            <w:shd w:val="thinDiagStripe" w:color="C0C0C0" w:fill="auto"/>
            <w:vAlign w:val="center"/>
          </w:tcPr>
          <w:p w14:paraId="42B6FE52" w14:textId="77777777" w:rsidR="00D37F2D" w:rsidRPr="00C3707B" w:rsidRDefault="00D37F2D">
            <w:pPr>
              <w:spacing w:before="60" w:after="60"/>
              <w:jc w:val="center"/>
              <w:rPr>
                <w:noProof/>
              </w:rPr>
            </w:pPr>
            <w:r w:rsidRPr="00160A33">
              <w:rPr>
                <w:b/>
                <w:noProof/>
                <w:sz w:val="22"/>
              </w:rPr>
              <w:t>7</w:t>
            </w:r>
          </w:p>
        </w:tc>
        <w:tc>
          <w:tcPr>
            <w:tcW w:w="2865" w:type="pct"/>
            <w:vAlign w:val="center"/>
          </w:tcPr>
          <w:p w14:paraId="01476BF4" w14:textId="77777777" w:rsidR="00D37F2D" w:rsidRPr="00C3707B" w:rsidRDefault="00D37F2D">
            <w:pPr>
              <w:spacing w:before="60" w:after="60"/>
              <w:rPr>
                <w:noProof/>
              </w:rPr>
            </w:pPr>
            <w:r w:rsidRPr="00C3707B">
              <w:rPr>
                <w:noProof/>
                <w:sz w:val="22"/>
              </w:rPr>
              <w:t>“Administratieve uitgaven”</w:t>
            </w:r>
            <w:r w:rsidRPr="00C3707B">
              <w:rPr>
                <w:rStyle w:val="FootnoteReference"/>
                <w:noProof/>
                <w:sz w:val="22"/>
              </w:rPr>
              <w:footnoteReference w:id="102"/>
            </w:r>
          </w:p>
        </w:tc>
      </w:tr>
    </w:tbl>
    <w:p w14:paraId="5E882BE5" w14:textId="77777777" w:rsidR="00D37F2D" w:rsidRPr="00C3707B" w:rsidRDefault="00D37F2D" w:rsidP="00D37F2D">
      <w:pPr>
        <w:jc w:val="left"/>
        <w:rPr>
          <w:noProof/>
          <w:sz w:val="18"/>
          <w:szCs w:val="18"/>
        </w:rPr>
      </w:pPr>
      <w:r w:rsidRPr="00C3707B">
        <w:rPr>
          <w:noProof/>
          <w:sz w:val="18"/>
        </w:rPr>
        <w:t>in miljoenen euro’s (tot op drie decimalen)</w:t>
      </w:r>
    </w:p>
    <w:tbl>
      <w:tblPr>
        <w:tblW w:w="11793" w:type="dxa"/>
        <w:tblInd w:w="118" w:type="dxa"/>
        <w:tblLook w:val="04A0" w:firstRow="1" w:lastRow="0" w:firstColumn="1" w:lastColumn="0" w:noHBand="0" w:noVBand="1"/>
      </w:tblPr>
      <w:tblGrid>
        <w:gridCol w:w="3431"/>
        <w:gridCol w:w="2009"/>
        <w:gridCol w:w="608"/>
        <w:gridCol w:w="608"/>
        <w:gridCol w:w="983"/>
        <w:gridCol w:w="983"/>
        <w:gridCol w:w="983"/>
        <w:gridCol w:w="983"/>
        <w:gridCol w:w="1225"/>
      </w:tblGrid>
      <w:tr w:rsidR="00D37F2D" w:rsidRPr="00C3707B" w14:paraId="19219C31" w14:textId="77777777">
        <w:trPr>
          <w:trHeight w:val="289"/>
        </w:trPr>
        <w:tc>
          <w:tcPr>
            <w:tcW w:w="6636"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908D589" w14:textId="77777777" w:rsidR="00D37F2D" w:rsidRPr="00C3707B" w:rsidRDefault="00D37F2D">
            <w:pPr>
              <w:spacing w:before="0" w:after="0"/>
              <w:jc w:val="center"/>
              <w:rPr>
                <w:rFonts w:eastAsia="Times New Roman"/>
                <w:noProof/>
                <w:color w:val="000000"/>
                <w:lang w:eastAsia="en-IE"/>
              </w:rPr>
            </w:pPr>
          </w:p>
        </w:tc>
        <w:tc>
          <w:tcPr>
            <w:tcW w:w="983" w:type="dxa"/>
            <w:tcBorders>
              <w:top w:val="single" w:sz="8" w:space="0" w:color="auto"/>
              <w:left w:val="nil"/>
              <w:bottom w:val="nil"/>
              <w:right w:val="single" w:sz="8" w:space="0" w:color="auto"/>
            </w:tcBorders>
            <w:shd w:val="clear" w:color="auto" w:fill="auto"/>
            <w:vAlign w:val="center"/>
            <w:hideMark/>
          </w:tcPr>
          <w:p w14:paraId="52F4A2C3"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83" w:type="dxa"/>
            <w:tcBorders>
              <w:top w:val="single" w:sz="8" w:space="0" w:color="auto"/>
              <w:left w:val="nil"/>
              <w:bottom w:val="nil"/>
              <w:right w:val="single" w:sz="8" w:space="0" w:color="auto"/>
            </w:tcBorders>
            <w:shd w:val="clear" w:color="auto" w:fill="auto"/>
            <w:vAlign w:val="center"/>
            <w:hideMark/>
          </w:tcPr>
          <w:p w14:paraId="0E150350"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83" w:type="dxa"/>
            <w:tcBorders>
              <w:top w:val="single" w:sz="8" w:space="0" w:color="auto"/>
              <w:left w:val="nil"/>
              <w:bottom w:val="nil"/>
              <w:right w:val="single" w:sz="8" w:space="0" w:color="auto"/>
            </w:tcBorders>
            <w:shd w:val="clear" w:color="auto" w:fill="auto"/>
            <w:vAlign w:val="center"/>
            <w:hideMark/>
          </w:tcPr>
          <w:p w14:paraId="572CB9D3"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83" w:type="dxa"/>
            <w:tcBorders>
              <w:top w:val="single" w:sz="8" w:space="0" w:color="auto"/>
              <w:left w:val="nil"/>
              <w:bottom w:val="nil"/>
              <w:right w:val="single" w:sz="8" w:space="0" w:color="auto"/>
            </w:tcBorders>
            <w:shd w:val="clear" w:color="auto" w:fill="auto"/>
            <w:vAlign w:val="center"/>
            <w:hideMark/>
          </w:tcPr>
          <w:p w14:paraId="69E1C278"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225"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14EE683D"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 MFK</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39A48051" w14:textId="77777777">
        <w:trPr>
          <w:trHeight w:val="300"/>
        </w:trPr>
        <w:tc>
          <w:tcPr>
            <w:tcW w:w="6636" w:type="dxa"/>
            <w:gridSpan w:val="4"/>
            <w:vMerge/>
            <w:vAlign w:val="center"/>
            <w:hideMark/>
          </w:tcPr>
          <w:p w14:paraId="3971C7D6" w14:textId="77777777" w:rsidR="00D37F2D" w:rsidRPr="00C3707B" w:rsidRDefault="00D37F2D">
            <w:pPr>
              <w:spacing w:before="0" w:after="0"/>
              <w:jc w:val="left"/>
              <w:rPr>
                <w:rFonts w:eastAsia="Times New Roman"/>
                <w:noProof/>
                <w:color w:val="000000"/>
                <w:szCs w:val="24"/>
                <w:lang w:eastAsia="en-IE"/>
              </w:rPr>
            </w:pPr>
          </w:p>
        </w:tc>
        <w:tc>
          <w:tcPr>
            <w:tcW w:w="983" w:type="dxa"/>
            <w:tcBorders>
              <w:top w:val="nil"/>
              <w:left w:val="nil"/>
              <w:bottom w:val="single" w:sz="8" w:space="0" w:color="auto"/>
              <w:right w:val="single" w:sz="8" w:space="0" w:color="auto"/>
            </w:tcBorders>
            <w:shd w:val="clear" w:color="auto" w:fill="auto"/>
            <w:vAlign w:val="center"/>
            <w:hideMark/>
          </w:tcPr>
          <w:p w14:paraId="5D0C33E2"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983" w:type="dxa"/>
            <w:tcBorders>
              <w:top w:val="nil"/>
              <w:left w:val="nil"/>
              <w:bottom w:val="single" w:sz="8" w:space="0" w:color="auto"/>
              <w:right w:val="single" w:sz="8" w:space="0" w:color="auto"/>
            </w:tcBorders>
            <w:shd w:val="clear" w:color="auto" w:fill="auto"/>
            <w:vAlign w:val="center"/>
            <w:hideMark/>
          </w:tcPr>
          <w:p w14:paraId="382F4875"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983" w:type="dxa"/>
            <w:tcBorders>
              <w:top w:val="nil"/>
              <w:left w:val="nil"/>
              <w:bottom w:val="single" w:sz="8" w:space="0" w:color="auto"/>
              <w:right w:val="single" w:sz="8" w:space="0" w:color="auto"/>
            </w:tcBorders>
            <w:shd w:val="clear" w:color="auto" w:fill="auto"/>
            <w:vAlign w:val="center"/>
            <w:hideMark/>
          </w:tcPr>
          <w:p w14:paraId="08FB84CD"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983" w:type="dxa"/>
            <w:tcBorders>
              <w:top w:val="nil"/>
              <w:left w:val="nil"/>
              <w:bottom w:val="single" w:sz="8" w:space="0" w:color="auto"/>
              <w:right w:val="single" w:sz="8" w:space="0" w:color="auto"/>
            </w:tcBorders>
            <w:shd w:val="clear" w:color="auto" w:fill="auto"/>
            <w:vAlign w:val="center"/>
            <w:hideMark/>
          </w:tcPr>
          <w:p w14:paraId="34226D36"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225" w:type="dxa"/>
            <w:vMerge/>
            <w:vAlign w:val="center"/>
            <w:hideMark/>
          </w:tcPr>
          <w:p w14:paraId="27C4880F"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0788D67B" w14:textId="77777777">
        <w:trPr>
          <w:trHeight w:val="315"/>
        </w:trPr>
        <w:tc>
          <w:tcPr>
            <w:tcW w:w="663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6DB673C" w14:textId="77777777" w:rsidR="00D37F2D" w:rsidRPr="00C3707B" w:rsidRDefault="00D37F2D">
            <w:pPr>
              <w:spacing w:before="0" w:after="0"/>
              <w:jc w:val="left"/>
              <w:rPr>
                <w:rFonts w:eastAsia="Times New Roman"/>
                <w:noProof/>
                <w:color w:val="000000"/>
                <w:sz w:val="22"/>
              </w:rPr>
            </w:pPr>
            <w:r w:rsidRPr="00C3707B">
              <w:rPr>
                <w:noProof/>
                <w:color w:val="000000"/>
                <w:sz w:val="22"/>
              </w:rPr>
              <w:t xml:space="preserve">Personele middelen </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5A145165"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58837F69"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47BBB251"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1</w:t>
            </w:r>
            <w:r w:rsidRPr="00C3707B">
              <w:rPr>
                <w:noProof/>
                <w:color w:val="000000"/>
                <w:sz w:val="20"/>
              </w:rPr>
              <w:t>,</w:t>
            </w:r>
            <w:r w:rsidRPr="00160A33">
              <w:rPr>
                <w:noProof/>
                <w:color w:val="000000"/>
                <w:sz w:val="20"/>
              </w:rPr>
              <w:t>793</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06B498BC"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3</w:t>
            </w:r>
            <w:r w:rsidRPr="00C3707B">
              <w:rPr>
                <w:noProof/>
                <w:color w:val="000000"/>
                <w:sz w:val="20"/>
              </w:rPr>
              <w:t>,</w:t>
            </w:r>
            <w:r w:rsidRPr="00160A33">
              <w:rPr>
                <w:noProof/>
                <w:color w:val="000000"/>
                <w:sz w:val="20"/>
              </w:rPr>
              <w:t>586</w:t>
            </w:r>
          </w:p>
        </w:tc>
        <w:tc>
          <w:tcPr>
            <w:tcW w:w="1225" w:type="dxa"/>
            <w:tcBorders>
              <w:top w:val="nil"/>
              <w:left w:val="nil"/>
              <w:bottom w:val="single" w:sz="8" w:space="0" w:color="auto"/>
              <w:right w:val="single" w:sz="8" w:space="0" w:color="auto"/>
            </w:tcBorders>
            <w:shd w:val="clear" w:color="auto" w:fill="D9D9D9" w:themeFill="background1" w:themeFillShade="D9"/>
            <w:vAlign w:val="center"/>
            <w:hideMark/>
          </w:tcPr>
          <w:p w14:paraId="59540677"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5</w:t>
            </w:r>
            <w:r w:rsidRPr="00C3707B">
              <w:rPr>
                <w:b/>
                <w:noProof/>
                <w:color w:val="000000"/>
                <w:sz w:val="20"/>
              </w:rPr>
              <w:t>,</w:t>
            </w:r>
            <w:r w:rsidRPr="00160A33">
              <w:rPr>
                <w:b/>
                <w:noProof/>
                <w:color w:val="000000"/>
                <w:sz w:val="20"/>
              </w:rPr>
              <w:t>379</w:t>
            </w:r>
          </w:p>
        </w:tc>
      </w:tr>
      <w:tr w:rsidR="00D37F2D" w:rsidRPr="00C3707B" w14:paraId="52052C64" w14:textId="77777777">
        <w:trPr>
          <w:trHeight w:val="315"/>
        </w:trPr>
        <w:tc>
          <w:tcPr>
            <w:tcW w:w="663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798D898" w14:textId="77777777" w:rsidR="00D37F2D" w:rsidRPr="00C3707B" w:rsidRDefault="00D37F2D">
            <w:pPr>
              <w:spacing w:before="0" w:after="0"/>
              <w:jc w:val="left"/>
              <w:rPr>
                <w:rFonts w:eastAsia="Times New Roman"/>
                <w:noProof/>
                <w:color w:val="000000"/>
                <w:sz w:val="22"/>
              </w:rPr>
            </w:pPr>
            <w:r w:rsidRPr="00C3707B">
              <w:rPr>
                <w:noProof/>
                <w:color w:val="000000"/>
                <w:sz w:val="22"/>
              </w:rPr>
              <w:t xml:space="preserve">Andere administratieve uitgaven </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2DBA03A1"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542A0B1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6BF8FFE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035</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4A7ED6E7"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070</w:t>
            </w:r>
          </w:p>
        </w:tc>
        <w:tc>
          <w:tcPr>
            <w:tcW w:w="1225" w:type="dxa"/>
            <w:tcBorders>
              <w:top w:val="nil"/>
              <w:left w:val="nil"/>
              <w:bottom w:val="single" w:sz="8" w:space="0" w:color="auto"/>
              <w:right w:val="single" w:sz="8" w:space="0" w:color="auto"/>
            </w:tcBorders>
            <w:shd w:val="clear" w:color="auto" w:fill="D9D9D9" w:themeFill="background1" w:themeFillShade="D9"/>
            <w:vAlign w:val="center"/>
            <w:hideMark/>
          </w:tcPr>
          <w:p w14:paraId="7F07318F"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105</w:t>
            </w:r>
          </w:p>
        </w:tc>
      </w:tr>
      <w:tr w:rsidR="00D37F2D" w:rsidRPr="00C3707B" w14:paraId="0D6F63A1" w14:textId="77777777">
        <w:trPr>
          <w:trHeight w:val="315"/>
        </w:trPr>
        <w:tc>
          <w:tcPr>
            <w:tcW w:w="3431" w:type="dxa"/>
            <w:tcBorders>
              <w:top w:val="nil"/>
              <w:left w:val="single" w:sz="8" w:space="0" w:color="auto"/>
              <w:bottom w:val="single" w:sz="8" w:space="0" w:color="auto"/>
              <w:right w:val="single" w:sz="8" w:space="0" w:color="auto"/>
            </w:tcBorders>
            <w:shd w:val="clear" w:color="auto" w:fill="auto"/>
            <w:vAlign w:val="center"/>
            <w:hideMark/>
          </w:tcPr>
          <w:p w14:paraId="2B84D278" w14:textId="77777777" w:rsidR="00D37F2D" w:rsidRPr="00C3707B" w:rsidRDefault="00D37F2D">
            <w:pPr>
              <w:spacing w:before="0" w:after="0"/>
              <w:jc w:val="center"/>
              <w:rPr>
                <w:rFonts w:eastAsia="Times New Roman"/>
                <w:noProof/>
                <w:color w:val="000000"/>
                <w:sz w:val="22"/>
              </w:rPr>
            </w:pPr>
            <w:r w:rsidRPr="00C3707B">
              <w:rPr>
                <w:noProof/>
                <w:color w:val="000000"/>
                <w:sz w:val="22"/>
              </w:rPr>
              <w:t>Totaal</w:t>
            </w:r>
          </w:p>
        </w:tc>
        <w:tc>
          <w:tcPr>
            <w:tcW w:w="3205" w:type="dxa"/>
            <w:gridSpan w:val="3"/>
            <w:tcBorders>
              <w:top w:val="single" w:sz="8" w:space="0" w:color="auto"/>
              <w:left w:val="nil"/>
              <w:bottom w:val="single" w:sz="8" w:space="0" w:color="auto"/>
              <w:right w:val="single" w:sz="8" w:space="0" w:color="auto"/>
            </w:tcBorders>
            <w:shd w:val="clear" w:color="auto" w:fill="auto"/>
            <w:vAlign w:val="center"/>
            <w:hideMark/>
          </w:tcPr>
          <w:p w14:paraId="218B0CC7"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Kredieten </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6E75F732"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3E992F4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15B68E4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828</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14:paraId="177D2671"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3</w:t>
            </w:r>
            <w:r w:rsidRPr="00C3707B">
              <w:rPr>
                <w:b/>
                <w:noProof/>
                <w:color w:val="000000"/>
                <w:sz w:val="20"/>
              </w:rPr>
              <w:t>,</w:t>
            </w:r>
            <w:r w:rsidRPr="00160A33">
              <w:rPr>
                <w:b/>
                <w:noProof/>
                <w:color w:val="000000"/>
                <w:sz w:val="20"/>
              </w:rPr>
              <w:t>656</w:t>
            </w:r>
          </w:p>
        </w:tc>
        <w:tc>
          <w:tcPr>
            <w:tcW w:w="1225" w:type="dxa"/>
            <w:tcBorders>
              <w:top w:val="nil"/>
              <w:left w:val="nil"/>
              <w:bottom w:val="single" w:sz="8" w:space="0" w:color="auto"/>
              <w:right w:val="single" w:sz="8" w:space="0" w:color="auto"/>
            </w:tcBorders>
            <w:shd w:val="clear" w:color="auto" w:fill="D9D9D9" w:themeFill="background1" w:themeFillShade="D9"/>
            <w:vAlign w:val="center"/>
            <w:hideMark/>
          </w:tcPr>
          <w:p w14:paraId="37387F10"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5</w:t>
            </w:r>
            <w:r w:rsidRPr="00C3707B">
              <w:rPr>
                <w:b/>
                <w:noProof/>
                <w:color w:val="000000"/>
                <w:sz w:val="20"/>
              </w:rPr>
              <w:t>,</w:t>
            </w:r>
            <w:r w:rsidRPr="00160A33">
              <w:rPr>
                <w:b/>
                <w:noProof/>
                <w:color w:val="000000"/>
                <w:sz w:val="20"/>
              </w:rPr>
              <w:t>484</w:t>
            </w:r>
          </w:p>
        </w:tc>
      </w:tr>
      <w:tr w:rsidR="00D37F2D" w:rsidRPr="00C3707B" w14:paraId="0BBACB6A" w14:textId="77777777">
        <w:trPr>
          <w:trHeight w:val="300"/>
        </w:trPr>
        <w:tc>
          <w:tcPr>
            <w:tcW w:w="3431" w:type="dxa"/>
            <w:tcBorders>
              <w:top w:val="nil"/>
              <w:left w:val="nil"/>
              <w:bottom w:val="nil"/>
              <w:right w:val="nil"/>
            </w:tcBorders>
            <w:shd w:val="clear" w:color="auto" w:fill="auto"/>
            <w:noWrap/>
            <w:vAlign w:val="bottom"/>
            <w:hideMark/>
          </w:tcPr>
          <w:p w14:paraId="054DD0AA" w14:textId="77777777" w:rsidR="00D37F2D" w:rsidRPr="00C3707B" w:rsidRDefault="00D37F2D">
            <w:pPr>
              <w:spacing w:before="0" w:after="0"/>
              <w:jc w:val="right"/>
              <w:rPr>
                <w:rFonts w:eastAsia="Times New Roman"/>
                <w:b/>
                <w:bCs/>
                <w:noProof/>
                <w:color w:val="000000"/>
                <w:sz w:val="20"/>
                <w:szCs w:val="20"/>
                <w:lang w:eastAsia="en-IE"/>
              </w:rPr>
            </w:pPr>
          </w:p>
        </w:tc>
        <w:tc>
          <w:tcPr>
            <w:tcW w:w="2009" w:type="dxa"/>
            <w:tcBorders>
              <w:top w:val="nil"/>
              <w:left w:val="nil"/>
              <w:bottom w:val="nil"/>
              <w:right w:val="nil"/>
            </w:tcBorders>
            <w:shd w:val="clear" w:color="auto" w:fill="auto"/>
            <w:noWrap/>
            <w:vAlign w:val="bottom"/>
            <w:hideMark/>
          </w:tcPr>
          <w:p w14:paraId="154AAD94" w14:textId="77777777" w:rsidR="00D37F2D" w:rsidRPr="00C3707B" w:rsidRDefault="00D37F2D">
            <w:pPr>
              <w:spacing w:before="0" w:after="0"/>
              <w:jc w:val="left"/>
              <w:rPr>
                <w:rFonts w:eastAsia="Times New Roman"/>
                <w:noProof/>
                <w:sz w:val="20"/>
                <w:szCs w:val="20"/>
                <w:lang w:eastAsia="en-IE"/>
              </w:rPr>
            </w:pPr>
          </w:p>
        </w:tc>
        <w:tc>
          <w:tcPr>
            <w:tcW w:w="598" w:type="dxa"/>
            <w:tcBorders>
              <w:top w:val="nil"/>
              <w:left w:val="nil"/>
              <w:bottom w:val="nil"/>
              <w:right w:val="nil"/>
            </w:tcBorders>
            <w:shd w:val="clear" w:color="auto" w:fill="auto"/>
            <w:noWrap/>
            <w:vAlign w:val="bottom"/>
            <w:hideMark/>
          </w:tcPr>
          <w:p w14:paraId="6CF1B37F" w14:textId="77777777" w:rsidR="00D37F2D" w:rsidRPr="00C3707B" w:rsidRDefault="00D37F2D">
            <w:pPr>
              <w:spacing w:before="0" w:after="0"/>
              <w:jc w:val="left"/>
              <w:rPr>
                <w:rFonts w:eastAsia="Times New Roman"/>
                <w:noProof/>
                <w:sz w:val="20"/>
                <w:szCs w:val="20"/>
                <w:lang w:eastAsia="en-IE"/>
              </w:rPr>
            </w:pPr>
          </w:p>
        </w:tc>
        <w:tc>
          <w:tcPr>
            <w:tcW w:w="598" w:type="dxa"/>
            <w:tcBorders>
              <w:top w:val="nil"/>
              <w:left w:val="nil"/>
              <w:bottom w:val="nil"/>
              <w:right w:val="nil"/>
            </w:tcBorders>
            <w:shd w:val="clear" w:color="auto" w:fill="auto"/>
            <w:noWrap/>
            <w:vAlign w:val="bottom"/>
            <w:hideMark/>
          </w:tcPr>
          <w:p w14:paraId="0F7FF9D7"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3BA05365"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10AC1C91"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35D0961B"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1E1B62D3" w14:textId="77777777" w:rsidR="00D37F2D" w:rsidRPr="00C3707B" w:rsidRDefault="00D37F2D">
            <w:pPr>
              <w:spacing w:before="0" w:after="0"/>
              <w:jc w:val="left"/>
              <w:rPr>
                <w:rFonts w:eastAsia="Times New Roman"/>
                <w:noProof/>
                <w:sz w:val="20"/>
                <w:szCs w:val="20"/>
                <w:lang w:eastAsia="en-IE"/>
              </w:rPr>
            </w:pPr>
          </w:p>
        </w:tc>
        <w:tc>
          <w:tcPr>
            <w:tcW w:w="1225" w:type="dxa"/>
            <w:tcBorders>
              <w:top w:val="nil"/>
              <w:left w:val="nil"/>
              <w:bottom w:val="nil"/>
              <w:right w:val="nil"/>
            </w:tcBorders>
            <w:shd w:val="clear" w:color="auto" w:fill="auto"/>
            <w:noWrap/>
            <w:vAlign w:val="bottom"/>
            <w:hideMark/>
          </w:tcPr>
          <w:p w14:paraId="1BAB0A67" w14:textId="77777777" w:rsidR="00D37F2D" w:rsidRPr="00C3707B" w:rsidRDefault="00D37F2D">
            <w:pPr>
              <w:spacing w:before="0" w:after="0"/>
              <w:jc w:val="left"/>
              <w:rPr>
                <w:rFonts w:eastAsia="Times New Roman"/>
                <w:noProof/>
                <w:sz w:val="20"/>
                <w:szCs w:val="20"/>
                <w:lang w:eastAsia="en-IE"/>
              </w:rPr>
            </w:pPr>
          </w:p>
        </w:tc>
      </w:tr>
      <w:tr w:rsidR="00D37F2D" w:rsidRPr="00C3707B" w14:paraId="628EAB4B" w14:textId="77777777">
        <w:trPr>
          <w:trHeight w:val="315"/>
        </w:trPr>
        <w:tc>
          <w:tcPr>
            <w:tcW w:w="3431" w:type="dxa"/>
            <w:tcBorders>
              <w:top w:val="nil"/>
              <w:left w:val="nil"/>
              <w:bottom w:val="nil"/>
              <w:right w:val="nil"/>
            </w:tcBorders>
            <w:shd w:val="clear" w:color="auto" w:fill="auto"/>
            <w:noWrap/>
            <w:vAlign w:val="bottom"/>
            <w:hideMark/>
          </w:tcPr>
          <w:p w14:paraId="181A6B9D" w14:textId="77777777" w:rsidR="00D37F2D" w:rsidRPr="00C3707B" w:rsidRDefault="00D37F2D">
            <w:pPr>
              <w:spacing w:before="0" w:after="0"/>
              <w:jc w:val="left"/>
              <w:rPr>
                <w:rFonts w:eastAsia="Times New Roman"/>
                <w:noProof/>
                <w:sz w:val="20"/>
                <w:szCs w:val="20"/>
                <w:lang w:eastAsia="en-IE"/>
              </w:rPr>
            </w:pPr>
          </w:p>
        </w:tc>
        <w:tc>
          <w:tcPr>
            <w:tcW w:w="2009" w:type="dxa"/>
            <w:tcBorders>
              <w:top w:val="nil"/>
              <w:left w:val="nil"/>
              <w:bottom w:val="nil"/>
              <w:right w:val="nil"/>
            </w:tcBorders>
            <w:shd w:val="clear" w:color="auto" w:fill="auto"/>
            <w:noWrap/>
            <w:vAlign w:val="bottom"/>
            <w:hideMark/>
          </w:tcPr>
          <w:p w14:paraId="489F3229" w14:textId="77777777" w:rsidR="00D37F2D" w:rsidRPr="00C3707B" w:rsidRDefault="00D37F2D">
            <w:pPr>
              <w:spacing w:before="0" w:after="0"/>
              <w:jc w:val="left"/>
              <w:rPr>
                <w:rFonts w:eastAsia="Times New Roman"/>
                <w:noProof/>
                <w:sz w:val="20"/>
                <w:szCs w:val="20"/>
                <w:lang w:eastAsia="en-IE"/>
              </w:rPr>
            </w:pPr>
          </w:p>
        </w:tc>
        <w:tc>
          <w:tcPr>
            <w:tcW w:w="598" w:type="dxa"/>
            <w:tcBorders>
              <w:top w:val="nil"/>
              <w:left w:val="nil"/>
              <w:bottom w:val="nil"/>
              <w:right w:val="nil"/>
            </w:tcBorders>
            <w:shd w:val="clear" w:color="auto" w:fill="auto"/>
            <w:noWrap/>
            <w:vAlign w:val="bottom"/>
            <w:hideMark/>
          </w:tcPr>
          <w:p w14:paraId="1E543DB7" w14:textId="77777777" w:rsidR="00D37F2D" w:rsidRPr="00C3707B" w:rsidRDefault="00D37F2D">
            <w:pPr>
              <w:spacing w:before="0" w:after="0"/>
              <w:jc w:val="left"/>
              <w:rPr>
                <w:rFonts w:eastAsia="Times New Roman"/>
                <w:noProof/>
                <w:sz w:val="20"/>
                <w:szCs w:val="20"/>
                <w:lang w:eastAsia="en-IE"/>
              </w:rPr>
            </w:pPr>
          </w:p>
        </w:tc>
        <w:tc>
          <w:tcPr>
            <w:tcW w:w="598" w:type="dxa"/>
            <w:tcBorders>
              <w:top w:val="nil"/>
              <w:left w:val="nil"/>
              <w:bottom w:val="nil"/>
              <w:right w:val="nil"/>
            </w:tcBorders>
            <w:shd w:val="clear" w:color="auto" w:fill="auto"/>
            <w:noWrap/>
            <w:vAlign w:val="bottom"/>
            <w:hideMark/>
          </w:tcPr>
          <w:p w14:paraId="20D061C2"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754325DE"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2C10A00C"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14D8C381" w14:textId="77777777" w:rsidR="00D37F2D" w:rsidRPr="00C3707B" w:rsidRDefault="00D37F2D">
            <w:pPr>
              <w:spacing w:before="0" w:after="0"/>
              <w:jc w:val="left"/>
              <w:rPr>
                <w:rFonts w:eastAsia="Times New Roman"/>
                <w:noProof/>
                <w:sz w:val="20"/>
                <w:szCs w:val="20"/>
                <w:lang w:eastAsia="en-IE"/>
              </w:rPr>
            </w:pPr>
          </w:p>
        </w:tc>
        <w:tc>
          <w:tcPr>
            <w:tcW w:w="983" w:type="dxa"/>
            <w:tcBorders>
              <w:top w:val="nil"/>
              <w:left w:val="nil"/>
              <w:bottom w:val="nil"/>
              <w:right w:val="nil"/>
            </w:tcBorders>
            <w:shd w:val="clear" w:color="auto" w:fill="auto"/>
            <w:noWrap/>
            <w:vAlign w:val="bottom"/>
            <w:hideMark/>
          </w:tcPr>
          <w:p w14:paraId="5AD0E8DB" w14:textId="77777777" w:rsidR="00D37F2D" w:rsidRPr="00C3707B" w:rsidRDefault="00D37F2D">
            <w:pPr>
              <w:spacing w:before="0" w:after="0"/>
              <w:jc w:val="left"/>
              <w:rPr>
                <w:rFonts w:eastAsia="Times New Roman"/>
                <w:noProof/>
                <w:sz w:val="20"/>
                <w:szCs w:val="20"/>
                <w:lang w:eastAsia="en-IE"/>
              </w:rPr>
            </w:pPr>
          </w:p>
        </w:tc>
        <w:tc>
          <w:tcPr>
            <w:tcW w:w="1225" w:type="dxa"/>
            <w:tcBorders>
              <w:top w:val="nil"/>
              <w:left w:val="nil"/>
              <w:bottom w:val="nil"/>
              <w:right w:val="nil"/>
            </w:tcBorders>
            <w:shd w:val="clear" w:color="auto" w:fill="auto"/>
            <w:noWrap/>
            <w:vAlign w:val="bottom"/>
            <w:hideMark/>
          </w:tcPr>
          <w:p w14:paraId="1B81EDDB" w14:textId="77777777" w:rsidR="00D37F2D" w:rsidRPr="00C3707B" w:rsidRDefault="00D37F2D">
            <w:pPr>
              <w:spacing w:before="0" w:after="0"/>
              <w:jc w:val="left"/>
              <w:rPr>
                <w:rFonts w:eastAsia="Times New Roman"/>
                <w:noProof/>
                <w:sz w:val="20"/>
                <w:szCs w:val="20"/>
                <w:lang w:eastAsia="en-IE"/>
              </w:rPr>
            </w:pPr>
          </w:p>
        </w:tc>
      </w:tr>
      <w:tr w:rsidR="00D37F2D" w:rsidRPr="00C3707B" w14:paraId="1F6FA24D" w14:textId="77777777">
        <w:trPr>
          <w:trHeight w:val="900"/>
        </w:trPr>
        <w:tc>
          <w:tcPr>
            <w:tcW w:w="5440" w:type="dxa"/>
            <w:gridSpan w:val="2"/>
            <w:tcBorders>
              <w:top w:val="single" w:sz="8" w:space="0" w:color="auto"/>
              <w:left w:val="single" w:sz="8" w:space="0" w:color="auto"/>
              <w:bottom w:val="single" w:sz="8" w:space="0" w:color="auto"/>
              <w:right w:val="single" w:sz="8" w:space="0" w:color="auto"/>
            </w:tcBorders>
            <w:shd w:val="clear" w:color="auto" w:fill="F1F1F1"/>
            <w:vAlign w:val="center"/>
            <w:hideMark/>
          </w:tcPr>
          <w:p w14:paraId="164E5A0E" w14:textId="77777777" w:rsidR="00D37F2D" w:rsidRPr="00C3707B" w:rsidRDefault="00D37F2D">
            <w:pPr>
              <w:spacing w:before="0" w:after="0"/>
              <w:jc w:val="center"/>
              <w:rPr>
                <w:rFonts w:eastAsia="Times New Roman"/>
                <w:b/>
                <w:bCs/>
                <w:noProof/>
                <w:color w:val="000000"/>
                <w:sz w:val="22"/>
              </w:rPr>
            </w:pPr>
            <w:r w:rsidRPr="00C3707B">
              <w:rPr>
                <w:b/>
                <w:noProof/>
                <w:color w:val="000000"/>
                <w:sz w:val="22"/>
              </w:rPr>
              <w:t>TOTAAL kredieten</w:t>
            </w:r>
            <w:r w:rsidRPr="00C3707B">
              <w:rPr>
                <w:noProof/>
              </w:rPr>
              <w:t xml:space="preserve"> </w:t>
            </w:r>
            <w:r w:rsidRPr="00C3707B">
              <w:rPr>
                <w:noProof/>
              </w:rPr>
              <w:br/>
            </w:r>
            <w:r w:rsidRPr="00C3707B">
              <w:rPr>
                <w:b/>
                <w:noProof/>
                <w:color w:val="000000"/>
                <w:sz w:val="22"/>
              </w:rPr>
              <w:t>onder rubriek </w:t>
            </w:r>
            <w:r w:rsidRPr="00160A33">
              <w:rPr>
                <w:b/>
                <w:noProof/>
                <w:color w:val="000000"/>
                <w:sz w:val="22"/>
              </w:rPr>
              <w:t>7</w:t>
            </w:r>
            <w:r w:rsidRPr="00C3707B">
              <w:rPr>
                <w:noProof/>
              </w:rPr>
              <w:t xml:space="preserve"> </w:t>
            </w:r>
            <w:r w:rsidRPr="00C3707B">
              <w:rPr>
                <w:noProof/>
              </w:rPr>
              <w:br/>
            </w:r>
            <w:r w:rsidRPr="00C3707B">
              <w:rPr>
                <w:b/>
                <w:noProof/>
                <w:color w:val="000000"/>
                <w:sz w:val="22"/>
              </w:rPr>
              <w:t xml:space="preserve">van het meerjarig financieel kader </w:t>
            </w:r>
          </w:p>
        </w:tc>
        <w:tc>
          <w:tcPr>
            <w:tcW w:w="1196" w:type="dxa"/>
            <w:gridSpan w:val="2"/>
            <w:tcBorders>
              <w:top w:val="single" w:sz="8" w:space="0" w:color="auto"/>
              <w:left w:val="nil"/>
              <w:bottom w:val="single" w:sz="8" w:space="0" w:color="auto"/>
              <w:right w:val="single" w:sz="8" w:space="0" w:color="auto"/>
            </w:tcBorders>
            <w:shd w:val="clear" w:color="auto" w:fill="auto"/>
            <w:vAlign w:val="center"/>
            <w:hideMark/>
          </w:tcPr>
          <w:p w14:paraId="56E17D96"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(totaal vastleggingen = totaal betalingen)</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39BCDAB"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2DDB5C"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94521C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828</w:t>
            </w:r>
          </w:p>
        </w:tc>
        <w:tc>
          <w:tcPr>
            <w:tcW w:w="9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2DA27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3</w:t>
            </w:r>
            <w:r w:rsidRPr="00C3707B">
              <w:rPr>
                <w:b/>
                <w:noProof/>
                <w:color w:val="000000"/>
                <w:sz w:val="20"/>
              </w:rPr>
              <w:t>,</w:t>
            </w:r>
            <w:r w:rsidRPr="00160A33">
              <w:rPr>
                <w:b/>
                <w:noProof/>
                <w:color w:val="000000"/>
                <w:sz w:val="20"/>
              </w:rPr>
              <w:t>656</w:t>
            </w:r>
          </w:p>
        </w:tc>
        <w:tc>
          <w:tcPr>
            <w:tcW w:w="1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DBE7A8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5</w:t>
            </w:r>
            <w:r w:rsidRPr="00C3707B">
              <w:rPr>
                <w:b/>
                <w:noProof/>
                <w:color w:val="000000"/>
                <w:sz w:val="20"/>
              </w:rPr>
              <w:t>,</w:t>
            </w:r>
            <w:r w:rsidRPr="00160A33">
              <w:rPr>
                <w:b/>
                <w:noProof/>
                <w:color w:val="000000"/>
                <w:sz w:val="20"/>
              </w:rPr>
              <w:t>484</w:t>
            </w:r>
          </w:p>
        </w:tc>
      </w:tr>
    </w:tbl>
    <w:p w14:paraId="18B23739" w14:textId="77777777" w:rsidR="00D37F2D" w:rsidRPr="00C3707B" w:rsidRDefault="00D37F2D" w:rsidP="00D37F2D">
      <w:pPr>
        <w:jc w:val="left"/>
        <w:rPr>
          <w:noProof/>
        </w:rPr>
      </w:pPr>
    </w:p>
    <w:p w14:paraId="07FD319E" w14:textId="77777777" w:rsidR="00D37F2D" w:rsidRPr="00C3707B" w:rsidRDefault="00D37F2D" w:rsidP="00D37F2D">
      <w:pPr>
        <w:jc w:val="right"/>
        <w:rPr>
          <w:noProof/>
          <w:sz w:val="18"/>
          <w:szCs w:val="18"/>
        </w:rPr>
      </w:pPr>
      <w:r w:rsidRPr="00C3707B">
        <w:rPr>
          <w:noProof/>
          <w:sz w:val="18"/>
        </w:rPr>
        <w:t>in miljoenen euro’s (tot op drie decimalen)</w:t>
      </w:r>
    </w:p>
    <w:tbl>
      <w:tblPr>
        <w:tblW w:w="11356" w:type="dxa"/>
        <w:tblInd w:w="118" w:type="dxa"/>
        <w:tblLook w:val="04A0" w:firstRow="1" w:lastRow="0" w:firstColumn="1" w:lastColumn="0" w:noHBand="0" w:noVBand="1"/>
      </w:tblPr>
      <w:tblGrid>
        <w:gridCol w:w="4310"/>
        <w:gridCol w:w="1256"/>
        <w:gridCol w:w="1108"/>
        <w:gridCol w:w="1108"/>
        <w:gridCol w:w="1112"/>
        <w:gridCol w:w="1112"/>
        <w:gridCol w:w="1350"/>
      </w:tblGrid>
      <w:tr w:rsidR="00D37F2D" w:rsidRPr="00C3707B" w14:paraId="27AC2608" w14:textId="77777777">
        <w:trPr>
          <w:trHeight w:val="289"/>
        </w:trPr>
        <w:tc>
          <w:tcPr>
            <w:tcW w:w="555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7653ED0" w14:textId="2B005495" w:rsidR="00D37F2D" w:rsidRPr="00C3707B" w:rsidRDefault="00D37F2D">
            <w:pPr>
              <w:spacing w:before="0" w:after="0"/>
              <w:jc w:val="center"/>
              <w:rPr>
                <w:rFonts w:eastAsia="Times New Roman"/>
                <w:noProof/>
                <w:color w:val="000000"/>
                <w:szCs w:val="24"/>
              </w:rPr>
            </w:pPr>
          </w:p>
        </w:tc>
        <w:tc>
          <w:tcPr>
            <w:tcW w:w="1110" w:type="dxa"/>
            <w:tcBorders>
              <w:top w:val="single" w:sz="8" w:space="0" w:color="auto"/>
              <w:left w:val="nil"/>
              <w:bottom w:val="nil"/>
              <w:right w:val="single" w:sz="8" w:space="0" w:color="auto"/>
            </w:tcBorders>
            <w:shd w:val="clear" w:color="auto" w:fill="auto"/>
            <w:vAlign w:val="center"/>
            <w:hideMark/>
          </w:tcPr>
          <w:p w14:paraId="22275ED2"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0" w:type="dxa"/>
            <w:tcBorders>
              <w:top w:val="single" w:sz="8" w:space="0" w:color="auto"/>
              <w:left w:val="nil"/>
              <w:bottom w:val="nil"/>
              <w:right w:val="single" w:sz="8" w:space="0" w:color="auto"/>
            </w:tcBorders>
            <w:shd w:val="clear" w:color="auto" w:fill="auto"/>
            <w:vAlign w:val="center"/>
            <w:hideMark/>
          </w:tcPr>
          <w:p w14:paraId="5B6D6D0A"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3" w:type="dxa"/>
            <w:tcBorders>
              <w:top w:val="single" w:sz="8" w:space="0" w:color="auto"/>
              <w:left w:val="nil"/>
              <w:bottom w:val="nil"/>
              <w:right w:val="single" w:sz="8" w:space="0" w:color="auto"/>
            </w:tcBorders>
            <w:shd w:val="clear" w:color="auto" w:fill="auto"/>
            <w:vAlign w:val="center"/>
            <w:hideMark/>
          </w:tcPr>
          <w:p w14:paraId="0FFCEECE"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113" w:type="dxa"/>
            <w:tcBorders>
              <w:top w:val="single" w:sz="8" w:space="0" w:color="auto"/>
              <w:left w:val="nil"/>
              <w:bottom w:val="nil"/>
              <w:right w:val="single" w:sz="8" w:space="0" w:color="auto"/>
            </w:tcBorders>
            <w:shd w:val="clear" w:color="auto" w:fill="auto"/>
            <w:vAlign w:val="center"/>
            <w:hideMark/>
          </w:tcPr>
          <w:p w14:paraId="756203F7"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3EFE3C"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 MFK</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7B954FE7" w14:textId="77777777">
        <w:trPr>
          <w:trHeight w:val="300"/>
        </w:trPr>
        <w:tc>
          <w:tcPr>
            <w:tcW w:w="5559" w:type="dxa"/>
            <w:gridSpan w:val="2"/>
            <w:vMerge/>
            <w:tcBorders>
              <w:top w:val="single" w:sz="8" w:space="0" w:color="auto"/>
              <w:left w:val="single" w:sz="8" w:space="0" w:color="auto"/>
              <w:bottom w:val="single" w:sz="8" w:space="0" w:color="auto"/>
              <w:right w:val="single" w:sz="8" w:space="0" w:color="auto"/>
            </w:tcBorders>
            <w:vAlign w:val="center"/>
            <w:hideMark/>
          </w:tcPr>
          <w:p w14:paraId="123BB968" w14:textId="77777777" w:rsidR="00D37F2D" w:rsidRPr="00C3707B" w:rsidRDefault="00D37F2D">
            <w:pPr>
              <w:spacing w:before="0" w:after="0"/>
              <w:jc w:val="left"/>
              <w:rPr>
                <w:rFonts w:eastAsia="Times New Roman"/>
                <w:noProof/>
                <w:color w:val="000000"/>
                <w:szCs w:val="24"/>
                <w:lang w:eastAsia="en-IE"/>
              </w:rPr>
            </w:pPr>
          </w:p>
        </w:tc>
        <w:tc>
          <w:tcPr>
            <w:tcW w:w="1110" w:type="dxa"/>
            <w:tcBorders>
              <w:top w:val="nil"/>
              <w:left w:val="nil"/>
              <w:bottom w:val="single" w:sz="8" w:space="0" w:color="auto"/>
              <w:right w:val="single" w:sz="8" w:space="0" w:color="auto"/>
            </w:tcBorders>
            <w:shd w:val="clear" w:color="auto" w:fill="auto"/>
            <w:vAlign w:val="center"/>
            <w:hideMark/>
          </w:tcPr>
          <w:p w14:paraId="18447C9C"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1110" w:type="dxa"/>
            <w:tcBorders>
              <w:top w:val="nil"/>
              <w:left w:val="nil"/>
              <w:bottom w:val="single" w:sz="8" w:space="0" w:color="auto"/>
              <w:right w:val="single" w:sz="8" w:space="0" w:color="auto"/>
            </w:tcBorders>
            <w:shd w:val="clear" w:color="auto" w:fill="auto"/>
            <w:vAlign w:val="center"/>
            <w:hideMark/>
          </w:tcPr>
          <w:p w14:paraId="166D3E7F"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1113" w:type="dxa"/>
            <w:tcBorders>
              <w:top w:val="nil"/>
              <w:left w:val="nil"/>
              <w:bottom w:val="single" w:sz="8" w:space="0" w:color="auto"/>
              <w:right w:val="single" w:sz="8" w:space="0" w:color="auto"/>
            </w:tcBorders>
            <w:shd w:val="clear" w:color="auto" w:fill="auto"/>
            <w:vAlign w:val="center"/>
            <w:hideMark/>
          </w:tcPr>
          <w:p w14:paraId="78034F19"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113" w:type="dxa"/>
            <w:tcBorders>
              <w:top w:val="nil"/>
              <w:left w:val="nil"/>
              <w:bottom w:val="single" w:sz="8" w:space="0" w:color="auto"/>
              <w:right w:val="single" w:sz="8" w:space="0" w:color="auto"/>
            </w:tcBorders>
            <w:shd w:val="clear" w:color="auto" w:fill="auto"/>
            <w:vAlign w:val="center"/>
            <w:hideMark/>
          </w:tcPr>
          <w:p w14:paraId="31FE5E6E"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06796E9E"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7A058009" w14:textId="77777777">
        <w:trPr>
          <w:trHeight w:val="563"/>
        </w:trPr>
        <w:tc>
          <w:tcPr>
            <w:tcW w:w="4322"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2A274D13" w14:textId="77777777" w:rsidR="00D37F2D" w:rsidRPr="00C3707B" w:rsidRDefault="00D37F2D">
            <w:pPr>
              <w:spacing w:before="0" w:after="0"/>
              <w:jc w:val="center"/>
              <w:rPr>
                <w:rFonts w:eastAsia="Times New Roman"/>
                <w:b/>
                <w:bCs/>
                <w:noProof/>
                <w:color w:val="000000"/>
                <w:sz w:val="22"/>
              </w:rPr>
            </w:pPr>
            <w:r w:rsidRPr="00C3707B">
              <w:rPr>
                <w:b/>
                <w:noProof/>
                <w:color w:val="000000"/>
                <w:sz w:val="22"/>
              </w:rPr>
              <w:t>TOTAAL kredieten</w:t>
            </w:r>
            <w:r w:rsidRPr="00C3707B">
              <w:rPr>
                <w:noProof/>
              </w:rPr>
              <w:t xml:space="preserve"> </w:t>
            </w:r>
            <w:r w:rsidRPr="00C3707B">
              <w:rPr>
                <w:noProof/>
              </w:rPr>
              <w:br/>
            </w:r>
            <w:r w:rsidRPr="00C3707B">
              <w:rPr>
                <w:b/>
                <w:noProof/>
                <w:color w:val="000000"/>
                <w:sz w:val="22"/>
              </w:rPr>
              <w:t>onder de rubrieken </w:t>
            </w:r>
            <w:r w:rsidRPr="00160A33">
              <w:rPr>
                <w:b/>
                <w:noProof/>
                <w:color w:val="000000"/>
                <w:sz w:val="22"/>
              </w:rPr>
              <w:t>1</w:t>
            </w:r>
            <w:r w:rsidRPr="00C3707B">
              <w:rPr>
                <w:b/>
                <w:noProof/>
                <w:color w:val="000000"/>
                <w:sz w:val="22"/>
              </w:rPr>
              <w:t xml:space="preserve"> tot en met </w:t>
            </w:r>
            <w:r w:rsidRPr="00160A33">
              <w:rPr>
                <w:b/>
                <w:noProof/>
                <w:color w:val="000000"/>
                <w:sz w:val="22"/>
              </w:rPr>
              <w:t>7</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14:paraId="40C4AAFE" w14:textId="77777777" w:rsidR="00D37F2D" w:rsidRPr="00C3707B" w:rsidRDefault="00D37F2D">
            <w:pPr>
              <w:spacing w:before="0" w:after="0"/>
              <w:rPr>
                <w:rFonts w:eastAsia="Times New Roman"/>
                <w:noProof/>
                <w:color w:val="000000"/>
                <w:sz w:val="18"/>
                <w:szCs w:val="18"/>
              </w:rPr>
            </w:pPr>
            <w:r w:rsidRPr="00C3707B">
              <w:rPr>
                <w:noProof/>
                <w:color w:val="000000"/>
                <w:sz w:val="18"/>
              </w:rPr>
              <w:t>Vastleggingen</w:t>
            </w:r>
          </w:p>
        </w:tc>
        <w:tc>
          <w:tcPr>
            <w:tcW w:w="1110" w:type="dxa"/>
            <w:tcBorders>
              <w:top w:val="nil"/>
              <w:left w:val="nil"/>
              <w:bottom w:val="single" w:sz="8" w:space="0" w:color="auto"/>
              <w:right w:val="single" w:sz="8" w:space="0" w:color="auto"/>
            </w:tcBorders>
            <w:shd w:val="clear" w:color="000000" w:fill="D9D9D9"/>
            <w:vAlign w:val="center"/>
            <w:hideMark/>
          </w:tcPr>
          <w:p w14:paraId="53E0AAFD"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0" w:type="dxa"/>
            <w:tcBorders>
              <w:top w:val="nil"/>
              <w:left w:val="nil"/>
              <w:bottom w:val="single" w:sz="8" w:space="0" w:color="auto"/>
              <w:right w:val="single" w:sz="8" w:space="0" w:color="auto"/>
            </w:tcBorders>
            <w:shd w:val="clear" w:color="000000" w:fill="D9D9D9"/>
            <w:vAlign w:val="center"/>
            <w:hideMark/>
          </w:tcPr>
          <w:p w14:paraId="6D0C8825"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14CFE449"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42</w:t>
            </w:r>
            <w:r w:rsidRPr="00C3707B">
              <w:rPr>
                <w:b/>
                <w:noProof/>
                <w:color w:val="000000"/>
                <w:sz w:val="20"/>
              </w:rPr>
              <w:t>,</w:t>
            </w:r>
            <w:r w:rsidRPr="00160A33">
              <w:rPr>
                <w:b/>
                <w:noProof/>
                <w:color w:val="000000"/>
                <w:sz w:val="20"/>
              </w:rPr>
              <w:t>884</w:t>
            </w:r>
          </w:p>
        </w:tc>
        <w:tc>
          <w:tcPr>
            <w:tcW w:w="1113" w:type="dxa"/>
            <w:tcBorders>
              <w:top w:val="nil"/>
              <w:left w:val="nil"/>
              <w:bottom w:val="single" w:sz="8" w:space="0" w:color="auto"/>
              <w:right w:val="single" w:sz="8" w:space="0" w:color="auto"/>
            </w:tcBorders>
            <w:shd w:val="clear" w:color="000000" w:fill="D9D9D9"/>
            <w:vAlign w:val="center"/>
            <w:hideMark/>
          </w:tcPr>
          <w:p w14:paraId="06758D47"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45</w:t>
            </w:r>
            <w:r w:rsidRPr="00C3707B">
              <w:rPr>
                <w:b/>
                <w:noProof/>
                <w:color w:val="000000"/>
                <w:sz w:val="20"/>
              </w:rPr>
              <w:t>,</w:t>
            </w:r>
            <w:r w:rsidRPr="00160A33">
              <w:rPr>
                <w:b/>
                <w:noProof/>
                <w:color w:val="000000"/>
                <w:sz w:val="20"/>
              </w:rPr>
              <w:t>627</w:t>
            </w:r>
          </w:p>
        </w:tc>
        <w:tc>
          <w:tcPr>
            <w:tcW w:w="1351" w:type="dxa"/>
            <w:tcBorders>
              <w:top w:val="nil"/>
              <w:left w:val="nil"/>
              <w:bottom w:val="single" w:sz="8" w:space="0" w:color="auto"/>
              <w:right w:val="single" w:sz="8" w:space="0" w:color="auto"/>
            </w:tcBorders>
            <w:shd w:val="clear" w:color="000000" w:fill="D9D9D9"/>
            <w:vAlign w:val="center"/>
            <w:hideMark/>
          </w:tcPr>
          <w:p w14:paraId="66B99E94"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88</w:t>
            </w:r>
            <w:r w:rsidRPr="00C3707B">
              <w:rPr>
                <w:b/>
                <w:noProof/>
                <w:color w:val="000000"/>
                <w:sz w:val="20"/>
              </w:rPr>
              <w:t>,</w:t>
            </w:r>
            <w:r w:rsidRPr="00160A33">
              <w:rPr>
                <w:b/>
                <w:noProof/>
                <w:color w:val="000000"/>
                <w:sz w:val="20"/>
              </w:rPr>
              <w:t>511</w:t>
            </w:r>
          </w:p>
        </w:tc>
      </w:tr>
      <w:tr w:rsidR="00D37F2D" w:rsidRPr="00C3707B" w14:paraId="1658FBE9" w14:textId="77777777">
        <w:trPr>
          <w:trHeight w:val="540"/>
        </w:trPr>
        <w:tc>
          <w:tcPr>
            <w:tcW w:w="4322"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400DC52B" w14:textId="77777777" w:rsidR="00D37F2D" w:rsidRPr="00C3707B" w:rsidRDefault="00D37F2D">
            <w:pPr>
              <w:spacing w:before="0" w:after="0"/>
              <w:jc w:val="center"/>
              <w:rPr>
                <w:rFonts w:eastAsia="Times New Roman"/>
                <w:noProof/>
                <w:color w:val="000000"/>
                <w:sz w:val="22"/>
              </w:rPr>
            </w:pPr>
            <w:r w:rsidRPr="00C3707B">
              <w:rPr>
                <w:noProof/>
                <w:color w:val="000000"/>
                <w:sz w:val="22"/>
              </w:rPr>
              <w:t>van het meerjarig financieel kader</w:t>
            </w:r>
            <w:r w:rsidRPr="00C3707B">
              <w:rPr>
                <w:b/>
                <w:noProof/>
                <w:color w:val="000000"/>
                <w:sz w:val="22"/>
              </w:rPr>
              <w:t xml:space="preserve"> </w:t>
            </w:r>
          </w:p>
        </w:tc>
        <w:tc>
          <w:tcPr>
            <w:tcW w:w="1237" w:type="dxa"/>
            <w:tcBorders>
              <w:top w:val="single" w:sz="8" w:space="0" w:color="auto"/>
              <w:left w:val="nil"/>
              <w:bottom w:val="single" w:sz="8" w:space="0" w:color="auto"/>
              <w:right w:val="single" w:sz="8" w:space="0" w:color="auto"/>
            </w:tcBorders>
            <w:shd w:val="clear" w:color="auto" w:fill="auto"/>
            <w:vAlign w:val="center"/>
            <w:hideMark/>
          </w:tcPr>
          <w:p w14:paraId="6B51CBAD" w14:textId="77777777" w:rsidR="00D37F2D" w:rsidRPr="00C3707B" w:rsidRDefault="00D37F2D">
            <w:pPr>
              <w:spacing w:before="0" w:after="0"/>
              <w:rPr>
                <w:rFonts w:eastAsia="Times New Roman"/>
                <w:noProof/>
                <w:color w:val="000000"/>
                <w:sz w:val="18"/>
                <w:szCs w:val="18"/>
              </w:rPr>
            </w:pPr>
            <w:r w:rsidRPr="00C3707B">
              <w:rPr>
                <w:noProof/>
                <w:color w:val="000000"/>
                <w:sz w:val="18"/>
              </w:rPr>
              <w:t>Betalingen</w:t>
            </w:r>
          </w:p>
        </w:tc>
        <w:tc>
          <w:tcPr>
            <w:tcW w:w="1110" w:type="dxa"/>
            <w:tcBorders>
              <w:top w:val="nil"/>
              <w:left w:val="nil"/>
              <w:bottom w:val="single" w:sz="8" w:space="0" w:color="auto"/>
              <w:right w:val="single" w:sz="8" w:space="0" w:color="auto"/>
            </w:tcBorders>
            <w:shd w:val="clear" w:color="000000" w:fill="D9D9D9"/>
            <w:vAlign w:val="center"/>
            <w:hideMark/>
          </w:tcPr>
          <w:p w14:paraId="3BFF8982"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0" w:type="dxa"/>
            <w:tcBorders>
              <w:top w:val="nil"/>
              <w:left w:val="nil"/>
              <w:bottom w:val="single" w:sz="8" w:space="0" w:color="auto"/>
              <w:right w:val="single" w:sz="8" w:space="0" w:color="auto"/>
            </w:tcBorders>
            <w:shd w:val="clear" w:color="000000" w:fill="D9D9D9"/>
            <w:vAlign w:val="center"/>
            <w:hideMark/>
          </w:tcPr>
          <w:p w14:paraId="554B1C2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1113" w:type="dxa"/>
            <w:tcBorders>
              <w:top w:val="nil"/>
              <w:left w:val="nil"/>
              <w:bottom w:val="single" w:sz="8" w:space="0" w:color="auto"/>
              <w:right w:val="single" w:sz="8" w:space="0" w:color="auto"/>
            </w:tcBorders>
            <w:shd w:val="clear" w:color="000000" w:fill="D9D9D9"/>
            <w:vAlign w:val="center"/>
            <w:hideMark/>
          </w:tcPr>
          <w:p w14:paraId="3D844C3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30</w:t>
            </w:r>
            <w:r w:rsidRPr="00C3707B">
              <w:rPr>
                <w:b/>
                <w:noProof/>
                <w:color w:val="000000"/>
                <w:sz w:val="20"/>
              </w:rPr>
              <w:t>,</w:t>
            </w:r>
            <w:r w:rsidRPr="00160A33">
              <w:rPr>
                <w:b/>
                <w:noProof/>
                <w:color w:val="000000"/>
                <w:sz w:val="20"/>
              </w:rPr>
              <w:t>762</w:t>
            </w:r>
          </w:p>
        </w:tc>
        <w:tc>
          <w:tcPr>
            <w:tcW w:w="1113" w:type="dxa"/>
            <w:tcBorders>
              <w:top w:val="nil"/>
              <w:left w:val="nil"/>
              <w:bottom w:val="single" w:sz="8" w:space="0" w:color="auto"/>
              <w:right w:val="single" w:sz="8" w:space="0" w:color="auto"/>
            </w:tcBorders>
            <w:shd w:val="clear" w:color="000000" w:fill="D9D9D9"/>
            <w:vAlign w:val="center"/>
            <w:hideMark/>
          </w:tcPr>
          <w:p w14:paraId="176D262A"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45</w:t>
            </w:r>
            <w:r w:rsidRPr="00C3707B">
              <w:rPr>
                <w:b/>
                <w:noProof/>
                <w:color w:val="000000"/>
                <w:sz w:val="20"/>
              </w:rPr>
              <w:t>,</w:t>
            </w:r>
            <w:r w:rsidRPr="00160A33">
              <w:rPr>
                <w:b/>
                <w:noProof/>
                <w:color w:val="000000"/>
                <w:sz w:val="20"/>
              </w:rPr>
              <w:t>385</w:t>
            </w:r>
          </w:p>
        </w:tc>
        <w:tc>
          <w:tcPr>
            <w:tcW w:w="1351" w:type="dxa"/>
            <w:tcBorders>
              <w:top w:val="nil"/>
              <w:left w:val="nil"/>
              <w:bottom w:val="single" w:sz="8" w:space="0" w:color="auto"/>
              <w:right w:val="single" w:sz="8" w:space="0" w:color="auto"/>
            </w:tcBorders>
            <w:shd w:val="clear" w:color="000000" w:fill="D9D9D9"/>
            <w:vAlign w:val="center"/>
            <w:hideMark/>
          </w:tcPr>
          <w:p w14:paraId="515DCB9C"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76</w:t>
            </w:r>
            <w:r w:rsidRPr="00C3707B">
              <w:rPr>
                <w:b/>
                <w:noProof/>
                <w:color w:val="000000"/>
                <w:sz w:val="20"/>
              </w:rPr>
              <w:t>,</w:t>
            </w:r>
            <w:r w:rsidRPr="00160A33">
              <w:rPr>
                <w:b/>
                <w:noProof/>
                <w:color w:val="000000"/>
                <w:sz w:val="20"/>
              </w:rPr>
              <w:t>147</w:t>
            </w:r>
          </w:p>
        </w:tc>
      </w:tr>
    </w:tbl>
    <w:p w14:paraId="6EC4E41F" w14:textId="77777777" w:rsidR="00D37F2D" w:rsidRPr="00C3707B" w:rsidRDefault="00D37F2D" w:rsidP="00D37F2D">
      <w:pPr>
        <w:jc w:val="left"/>
        <w:rPr>
          <w:noProof/>
        </w:rPr>
      </w:pPr>
    </w:p>
    <w:p w14:paraId="1270683C" w14:textId="77777777" w:rsidR="00D37F2D" w:rsidRPr="00C3707B" w:rsidRDefault="00D37F2D" w:rsidP="00D37F2D">
      <w:pPr>
        <w:pStyle w:val="ManualHeading3"/>
        <w:rPr>
          <w:noProof/>
        </w:rPr>
      </w:pPr>
      <w:bookmarkStart w:id="150" w:name="_Toc160804596"/>
      <w:bookmarkStart w:id="151" w:name="_Toc167220288"/>
      <w:bookmarkStart w:id="152" w:name="_Toc177549021"/>
      <w:bookmarkStart w:id="153" w:name="_Hlk189401494"/>
      <w:r w:rsidRPr="00160A33">
        <w:rPr>
          <w:noProof/>
        </w:rPr>
        <w:t>3</w:t>
      </w:r>
      <w:r w:rsidRPr="00C3707B">
        <w:rPr>
          <w:noProof/>
        </w:rPr>
        <w:t>.</w:t>
      </w:r>
      <w:r w:rsidRPr="00160A33">
        <w:rPr>
          <w:noProof/>
        </w:rPr>
        <w:t>2</w:t>
      </w:r>
      <w:r w:rsidRPr="00C3707B">
        <w:rPr>
          <w:noProof/>
        </w:rPr>
        <w:t>.</w:t>
      </w:r>
      <w:r w:rsidRPr="00160A33">
        <w:rPr>
          <w:noProof/>
        </w:rPr>
        <w:t>1</w:t>
      </w:r>
      <w:r w:rsidRPr="00C3707B">
        <w:rPr>
          <w:noProof/>
        </w:rPr>
        <w:t>.</w:t>
      </w:r>
      <w:r w:rsidRPr="00160A33">
        <w:rPr>
          <w:noProof/>
        </w:rPr>
        <w:t>2</w:t>
      </w:r>
      <w:r w:rsidRPr="00C3707B">
        <w:rPr>
          <w:noProof/>
        </w:rPr>
        <w:t>.</w:t>
      </w:r>
      <w:r w:rsidRPr="00C3707B">
        <w:rPr>
          <w:noProof/>
        </w:rPr>
        <w:tab/>
        <w:t>Kredieten uit externe bestemmingsontvangsten</w:t>
      </w:r>
      <w:bookmarkEnd w:id="150"/>
      <w:bookmarkEnd w:id="151"/>
      <w:bookmarkEnd w:id="152"/>
    </w:p>
    <w:bookmarkEnd w:id="153"/>
    <w:p w14:paraId="7D5B79B8" w14:textId="77777777" w:rsidR="00D37F2D" w:rsidRPr="00C3707B" w:rsidRDefault="00D37F2D" w:rsidP="00D37F2D">
      <w:pPr>
        <w:pStyle w:val="Text1"/>
        <w:rPr>
          <w:noProof/>
        </w:rPr>
      </w:pPr>
      <w:r w:rsidRPr="00C3707B">
        <w:rPr>
          <w:noProof/>
        </w:rPr>
        <w:t>n.v.t.</w:t>
      </w:r>
    </w:p>
    <w:p w14:paraId="39598354" w14:textId="77777777" w:rsidR="00D37F2D" w:rsidRPr="00C3707B" w:rsidRDefault="00D37F2D" w:rsidP="00D37F2D">
      <w:pPr>
        <w:pStyle w:val="ManualHeading3"/>
        <w:rPr>
          <w:noProof/>
        </w:rPr>
      </w:pPr>
      <w:bookmarkStart w:id="154" w:name="_Toc514938054"/>
      <w:bookmarkStart w:id="155" w:name="_Toc520485053"/>
      <w:bookmarkStart w:id="156" w:name="_Toc160804597"/>
      <w:bookmarkStart w:id="157" w:name="_Toc167220289"/>
      <w:bookmarkStart w:id="158" w:name="_Toc177549022"/>
      <w:r w:rsidRPr="00160A33">
        <w:rPr>
          <w:noProof/>
        </w:rPr>
        <w:t>3</w:t>
      </w:r>
      <w:r w:rsidRPr="00C3707B">
        <w:rPr>
          <w:noProof/>
        </w:rPr>
        <w:t>.</w:t>
      </w:r>
      <w:r w:rsidRPr="00160A33">
        <w:rPr>
          <w:noProof/>
        </w:rPr>
        <w:t>2</w:t>
      </w:r>
      <w:r w:rsidRPr="00C3707B">
        <w:rPr>
          <w:noProof/>
        </w:rPr>
        <w:t>.</w:t>
      </w:r>
      <w:r w:rsidRPr="00160A33">
        <w:rPr>
          <w:noProof/>
        </w:rPr>
        <w:t>2</w:t>
      </w:r>
      <w:r w:rsidRPr="00C3707B">
        <w:rPr>
          <w:noProof/>
        </w:rPr>
        <w:t>.</w:t>
      </w:r>
      <w:r w:rsidRPr="00C3707B">
        <w:rPr>
          <w:noProof/>
        </w:rPr>
        <w:tab/>
        <w:t>Geraamde output, gefinancierd uit beleidskredieten</w:t>
      </w:r>
      <w:bookmarkEnd w:id="154"/>
      <w:bookmarkEnd w:id="155"/>
      <w:bookmarkEnd w:id="156"/>
      <w:bookmarkEnd w:id="157"/>
      <w:bookmarkEnd w:id="158"/>
    </w:p>
    <w:tbl>
      <w:tblPr>
        <w:tblW w:w="12187" w:type="dxa"/>
        <w:tblInd w:w="-548" w:type="dxa"/>
        <w:tblLook w:val="04A0" w:firstRow="1" w:lastRow="0" w:firstColumn="1" w:lastColumn="0" w:noHBand="0" w:noVBand="1"/>
      </w:tblPr>
      <w:tblGrid>
        <w:gridCol w:w="2492"/>
        <w:gridCol w:w="3205"/>
        <w:gridCol w:w="927"/>
        <w:gridCol w:w="696"/>
        <w:gridCol w:w="1257"/>
        <w:gridCol w:w="696"/>
        <w:gridCol w:w="1257"/>
        <w:gridCol w:w="696"/>
        <w:gridCol w:w="1258"/>
      </w:tblGrid>
      <w:tr w:rsidR="00D37F2D" w:rsidRPr="00C3707B" w14:paraId="286B5C1B" w14:textId="77777777">
        <w:trPr>
          <w:trHeight w:val="295"/>
        </w:trPr>
        <w:tc>
          <w:tcPr>
            <w:tcW w:w="24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14:paraId="3A0FEE2E" w14:textId="7FD6BB6F" w:rsidR="00D37F2D" w:rsidRPr="00C3707B" w:rsidRDefault="00D37F2D">
            <w:pPr>
              <w:spacing w:before="0" w:after="0"/>
              <w:jc w:val="left"/>
              <w:rPr>
                <w:rFonts w:eastAsia="Times New Roman"/>
                <w:b/>
                <w:bCs/>
                <w:noProof/>
                <w:color w:val="000000"/>
                <w:sz w:val="18"/>
                <w:szCs w:val="18"/>
              </w:rPr>
            </w:pPr>
            <w:r w:rsidRPr="00C3707B">
              <w:rPr>
                <w:b/>
                <w:noProof/>
                <w:color w:val="000000"/>
                <w:sz w:val="18"/>
              </w:rPr>
              <w:t>Vermeld doelstellingen en outputs</w:t>
            </w:r>
          </w:p>
        </w:tc>
        <w:tc>
          <w:tcPr>
            <w:tcW w:w="3205" w:type="dxa"/>
            <w:tcBorders>
              <w:top w:val="single" w:sz="8" w:space="0" w:color="000000"/>
              <w:left w:val="nil"/>
              <w:bottom w:val="single" w:sz="4" w:space="0" w:color="000000"/>
              <w:right w:val="single" w:sz="4" w:space="0" w:color="000000"/>
            </w:tcBorders>
            <w:shd w:val="clear" w:color="auto" w:fill="auto"/>
            <w:noWrap/>
            <w:vAlign w:val="bottom"/>
            <w:hideMark/>
          </w:tcPr>
          <w:p w14:paraId="10312B30" w14:textId="4BD3BE7E" w:rsidR="00D37F2D" w:rsidRPr="00C3707B" w:rsidRDefault="00D37F2D">
            <w:pPr>
              <w:spacing w:before="0" w:after="0"/>
              <w:jc w:val="left"/>
              <w:rPr>
                <w:rFonts w:eastAsia="Times New Roman"/>
                <w:noProof/>
                <w:color w:val="000000"/>
                <w:sz w:val="18"/>
                <w:szCs w:val="18"/>
              </w:rPr>
            </w:pPr>
          </w:p>
        </w:tc>
        <w:tc>
          <w:tcPr>
            <w:tcW w:w="927" w:type="dxa"/>
            <w:tcBorders>
              <w:top w:val="single" w:sz="8" w:space="0" w:color="000000"/>
              <w:left w:val="nil"/>
              <w:bottom w:val="single" w:sz="4" w:space="0" w:color="000000"/>
              <w:right w:val="single" w:sz="4" w:space="0" w:color="000000"/>
            </w:tcBorders>
            <w:shd w:val="clear" w:color="auto" w:fill="auto"/>
            <w:noWrap/>
            <w:vAlign w:val="bottom"/>
            <w:hideMark/>
          </w:tcPr>
          <w:p w14:paraId="4952870F" w14:textId="26D12581" w:rsidR="00D37F2D" w:rsidRPr="00C3707B" w:rsidRDefault="00D37F2D">
            <w:pPr>
              <w:spacing w:before="0" w:after="0"/>
              <w:jc w:val="left"/>
              <w:rPr>
                <w:rFonts w:eastAsia="Times New Roman"/>
                <w:noProof/>
                <w:color w:val="000000"/>
                <w:sz w:val="18"/>
                <w:szCs w:val="18"/>
              </w:rPr>
            </w:pPr>
          </w:p>
        </w:tc>
        <w:tc>
          <w:tcPr>
            <w:tcW w:w="1854" w:type="dxa"/>
            <w:gridSpan w:val="2"/>
            <w:tcBorders>
              <w:top w:val="single" w:sz="8" w:space="0" w:color="000000"/>
              <w:left w:val="nil"/>
              <w:bottom w:val="single" w:sz="4" w:space="0" w:color="000000"/>
              <w:right w:val="single" w:sz="4" w:space="0" w:color="000000"/>
            </w:tcBorders>
            <w:shd w:val="clear" w:color="auto" w:fill="auto"/>
            <w:vAlign w:val="center"/>
            <w:hideMark/>
          </w:tcPr>
          <w:p w14:paraId="7E14343F"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Jaar</w:t>
            </w:r>
          </w:p>
        </w:tc>
        <w:tc>
          <w:tcPr>
            <w:tcW w:w="1854" w:type="dxa"/>
            <w:gridSpan w:val="2"/>
            <w:tcBorders>
              <w:top w:val="single" w:sz="8" w:space="0" w:color="000000"/>
              <w:left w:val="nil"/>
              <w:bottom w:val="single" w:sz="4" w:space="0" w:color="000000"/>
              <w:right w:val="single" w:sz="4" w:space="0" w:color="000000"/>
            </w:tcBorders>
            <w:shd w:val="clear" w:color="auto" w:fill="auto"/>
            <w:vAlign w:val="center"/>
            <w:hideMark/>
          </w:tcPr>
          <w:p w14:paraId="68254102"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Jaar</w:t>
            </w:r>
          </w:p>
        </w:tc>
        <w:tc>
          <w:tcPr>
            <w:tcW w:w="1855"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83BC7C2"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160A33">
              <w:rPr>
                <w:b/>
                <w:noProof/>
                <w:color w:val="000000"/>
                <w:sz w:val="18"/>
              </w:rPr>
              <w:t>2021</w:t>
            </w:r>
            <w:r w:rsidRPr="00C3707B">
              <w:rPr>
                <w:b/>
                <w:noProof/>
                <w:color w:val="000000"/>
                <w:sz w:val="18"/>
              </w:rPr>
              <w:t>-</w:t>
            </w:r>
            <w:r w:rsidRPr="00160A33">
              <w:rPr>
                <w:b/>
                <w:noProof/>
                <w:color w:val="000000"/>
                <w:sz w:val="18"/>
              </w:rPr>
              <w:t>2027</w:t>
            </w:r>
          </w:p>
        </w:tc>
      </w:tr>
      <w:tr w:rsidR="00D37F2D" w:rsidRPr="00C3707B" w14:paraId="4F87DF9A" w14:textId="77777777">
        <w:trPr>
          <w:trHeight w:val="295"/>
        </w:trPr>
        <w:tc>
          <w:tcPr>
            <w:tcW w:w="2492" w:type="dxa"/>
            <w:tcBorders>
              <w:top w:val="nil"/>
              <w:left w:val="single" w:sz="8" w:space="0" w:color="000000"/>
              <w:bottom w:val="single" w:sz="4" w:space="0" w:color="000000"/>
              <w:right w:val="single" w:sz="4" w:space="0" w:color="000000"/>
            </w:tcBorders>
            <w:shd w:val="clear" w:color="auto" w:fill="auto"/>
            <w:noWrap/>
            <w:vAlign w:val="bottom"/>
            <w:hideMark/>
          </w:tcPr>
          <w:p w14:paraId="39B950C0" w14:textId="77777777" w:rsidR="00D37F2D" w:rsidRPr="00C3707B" w:rsidRDefault="00D37F2D">
            <w:pPr>
              <w:spacing w:before="0" w:after="0"/>
              <w:jc w:val="center"/>
              <w:rPr>
                <w:rFonts w:ascii="Wingdings" w:eastAsia="Times New Roman" w:hAnsi="Wingdings" w:cs="Calibri"/>
                <w:noProof/>
                <w:color w:val="000000"/>
                <w:sz w:val="18"/>
                <w:szCs w:val="18"/>
              </w:rPr>
            </w:pPr>
            <w:r w:rsidRPr="00C3707B">
              <w:rPr>
                <w:rFonts w:ascii="Wingdings" w:hAnsi="Wingdings"/>
                <w:noProof/>
                <w:color w:val="000000"/>
                <w:sz w:val="18"/>
              </w:rPr>
              <w:t></w:t>
            </w:r>
          </w:p>
        </w:tc>
        <w:tc>
          <w:tcPr>
            <w:tcW w:w="3205" w:type="dxa"/>
            <w:tcBorders>
              <w:top w:val="nil"/>
              <w:left w:val="nil"/>
              <w:bottom w:val="single" w:sz="4" w:space="0" w:color="000000"/>
              <w:right w:val="single" w:sz="4" w:space="0" w:color="000000"/>
            </w:tcBorders>
            <w:shd w:val="clear" w:color="auto" w:fill="auto"/>
            <w:noWrap/>
            <w:vAlign w:val="bottom"/>
            <w:hideMark/>
          </w:tcPr>
          <w:p w14:paraId="155BA088" w14:textId="1069FAAA" w:rsidR="00D37F2D" w:rsidRPr="00C3707B" w:rsidRDefault="00D37F2D">
            <w:pPr>
              <w:spacing w:before="0" w:after="0"/>
              <w:jc w:val="left"/>
              <w:rPr>
                <w:rFonts w:ascii="Calibri" w:eastAsia="Times New Roman" w:hAnsi="Calibri" w:cs="Calibri"/>
                <w:noProof/>
                <w:color w:val="000000"/>
                <w:sz w:val="22"/>
              </w:rPr>
            </w:pPr>
          </w:p>
        </w:tc>
        <w:tc>
          <w:tcPr>
            <w:tcW w:w="927" w:type="dxa"/>
            <w:tcBorders>
              <w:top w:val="nil"/>
              <w:left w:val="nil"/>
              <w:bottom w:val="single" w:sz="4" w:space="0" w:color="000000"/>
              <w:right w:val="single" w:sz="4" w:space="0" w:color="000000"/>
            </w:tcBorders>
            <w:shd w:val="clear" w:color="auto" w:fill="auto"/>
            <w:noWrap/>
            <w:vAlign w:val="bottom"/>
            <w:hideMark/>
          </w:tcPr>
          <w:p w14:paraId="772A3F85" w14:textId="4FEC0DB5" w:rsidR="00D37F2D" w:rsidRPr="00C3707B" w:rsidRDefault="00D37F2D">
            <w:pPr>
              <w:spacing w:before="0" w:after="0"/>
              <w:jc w:val="left"/>
              <w:rPr>
                <w:rFonts w:ascii="Calibri" w:eastAsia="Times New Roman" w:hAnsi="Calibri" w:cs="Calibri"/>
                <w:noProof/>
                <w:color w:val="000000"/>
                <w:sz w:val="22"/>
              </w:rPr>
            </w:pPr>
          </w:p>
        </w:tc>
        <w:tc>
          <w:tcPr>
            <w:tcW w:w="1854" w:type="dxa"/>
            <w:gridSpan w:val="2"/>
            <w:tcBorders>
              <w:top w:val="single" w:sz="4" w:space="0" w:color="000000"/>
              <w:left w:val="nil"/>
              <w:bottom w:val="single" w:sz="4" w:space="0" w:color="000000"/>
              <w:right w:val="single" w:sz="4" w:space="0" w:color="000000"/>
            </w:tcBorders>
            <w:shd w:val="clear" w:color="auto" w:fill="auto"/>
            <w:vAlign w:val="center"/>
            <w:hideMark/>
          </w:tcPr>
          <w:p w14:paraId="2AD3C169"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854" w:type="dxa"/>
            <w:gridSpan w:val="2"/>
            <w:tcBorders>
              <w:top w:val="single" w:sz="4" w:space="0" w:color="000000"/>
              <w:left w:val="nil"/>
              <w:bottom w:val="single" w:sz="4" w:space="0" w:color="000000"/>
              <w:right w:val="single" w:sz="4" w:space="0" w:color="000000"/>
            </w:tcBorders>
            <w:shd w:val="clear" w:color="auto" w:fill="auto"/>
            <w:vAlign w:val="center"/>
            <w:hideMark/>
          </w:tcPr>
          <w:p w14:paraId="18AFA8CC"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855" w:type="dxa"/>
            <w:gridSpan w:val="2"/>
            <w:vMerge/>
            <w:tcBorders>
              <w:top w:val="single" w:sz="8" w:space="0" w:color="000000"/>
              <w:left w:val="single" w:sz="4" w:space="0" w:color="000000"/>
              <w:bottom w:val="single" w:sz="4" w:space="0" w:color="000000"/>
              <w:right w:val="single" w:sz="4" w:space="0" w:color="000000"/>
            </w:tcBorders>
            <w:vAlign w:val="center"/>
            <w:hideMark/>
          </w:tcPr>
          <w:p w14:paraId="25EB50CF" w14:textId="77777777" w:rsidR="00D37F2D" w:rsidRPr="00C3707B" w:rsidRDefault="00D37F2D">
            <w:pPr>
              <w:spacing w:before="0" w:after="0"/>
              <w:jc w:val="left"/>
              <w:rPr>
                <w:rFonts w:eastAsia="Times New Roman"/>
                <w:b/>
                <w:bCs/>
                <w:noProof/>
                <w:color w:val="000000"/>
                <w:sz w:val="18"/>
                <w:szCs w:val="18"/>
                <w:lang w:eastAsia="en-IE"/>
              </w:rPr>
            </w:pPr>
          </w:p>
        </w:tc>
      </w:tr>
      <w:tr w:rsidR="00D37F2D" w:rsidRPr="00C3707B" w14:paraId="6C6A2D06" w14:textId="77777777">
        <w:trPr>
          <w:trHeight w:val="591"/>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2A99FEF3" w14:textId="77777777" w:rsidR="00D37F2D" w:rsidRPr="00C3707B" w:rsidRDefault="00D37F2D">
            <w:pPr>
              <w:spacing w:before="0" w:after="0"/>
              <w:jc w:val="left"/>
              <w:rPr>
                <w:rFonts w:ascii="Calibri" w:eastAsia="Times New Roman" w:hAnsi="Calibri" w:cs="Calibri"/>
                <w:noProof/>
                <w:color w:val="000000"/>
                <w:sz w:val="22"/>
              </w:rPr>
            </w:pPr>
            <w:r w:rsidRPr="00160A33">
              <w:rPr>
                <w:rFonts w:ascii="Calibri" w:hAnsi="Calibri"/>
                <w:noProof/>
                <w:color w:val="000000"/>
                <w:sz w:val="22"/>
              </w:rPr>
              <w:t>06</w:t>
            </w:r>
            <w:r w:rsidRPr="00C3707B">
              <w:rPr>
                <w:rFonts w:ascii="Calibri" w:hAnsi="Calibri"/>
                <w:noProof/>
                <w:color w:val="000000"/>
                <w:sz w:val="22"/>
              </w:rPr>
              <w:t xml:space="preserve"> </w:t>
            </w:r>
            <w:r w:rsidRPr="00160A33">
              <w:rPr>
                <w:rFonts w:ascii="Calibri" w:hAnsi="Calibri"/>
                <w:noProof/>
                <w:color w:val="000000"/>
                <w:sz w:val="22"/>
              </w:rPr>
              <w:t>06</w:t>
            </w:r>
            <w:r w:rsidRPr="00C3707B">
              <w:rPr>
                <w:rFonts w:ascii="Calibri" w:hAnsi="Calibri"/>
                <w:noProof/>
                <w:color w:val="000000"/>
                <w:sz w:val="22"/>
              </w:rPr>
              <w:t xml:space="preserve"> </w:t>
            </w:r>
            <w:r w:rsidRPr="00160A33">
              <w:rPr>
                <w:rFonts w:ascii="Calibri" w:hAnsi="Calibri"/>
                <w:noProof/>
                <w:color w:val="000000"/>
                <w:sz w:val="22"/>
              </w:rPr>
              <w:t>01</w:t>
            </w:r>
            <w:r w:rsidRPr="00C3707B">
              <w:rPr>
                <w:rFonts w:ascii="Calibri" w:hAnsi="Calibri"/>
                <w:noProof/>
                <w:color w:val="000000"/>
                <w:sz w:val="22"/>
              </w:rPr>
              <w:t xml:space="preserve"> — EU</w:t>
            </w:r>
            <w:r w:rsidRPr="00160A33">
              <w:rPr>
                <w:rFonts w:ascii="Calibri" w:hAnsi="Calibri"/>
                <w:noProof/>
                <w:color w:val="000000"/>
                <w:sz w:val="22"/>
              </w:rPr>
              <w:t>4</w:t>
            </w:r>
            <w:r w:rsidRPr="00C3707B">
              <w:rPr>
                <w:rFonts w:ascii="Calibri" w:hAnsi="Calibri"/>
                <w:noProof/>
                <w:color w:val="000000"/>
                <w:sz w:val="22"/>
              </w:rPr>
              <w:t>Health-programma</w:t>
            </w:r>
          </w:p>
        </w:tc>
        <w:tc>
          <w:tcPr>
            <w:tcW w:w="9695"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70D6683F" w14:textId="77777777" w:rsidR="00D37F2D" w:rsidRPr="00C3707B" w:rsidRDefault="00D37F2D">
            <w:pPr>
              <w:spacing w:before="0" w:after="0"/>
              <w:jc w:val="left"/>
              <w:rPr>
                <w:rFonts w:eastAsia="Times New Roman"/>
                <w:b/>
                <w:bCs/>
                <w:noProof/>
                <w:color w:val="000000"/>
                <w:sz w:val="18"/>
                <w:szCs w:val="18"/>
              </w:rPr>
            </w:pPr>
            <w:r w:rsidRPr="00C3707B">
              <w:rPr>
                <w:b/>
                <w:noProof/>
                <w:color w:val="000000"/>
                <w:sz w:val="18"/>
              </w:rPr>
              <w:t>OUTPUTS</w:t>
            </w:r>
          </w:p>
        </w:tc>
      </w:tr>
      <w:tr w:rsidR="00D37F2D" w:rsidRPr="00C3707B" w14:paraId="311335F6" w14:textId="77777777">
        <w:trPr>
          <w:trHeight w:val="473"/>
        </w:trPr>
        <w:tc>
          <w:tcPr>
            <w:tcW w:w="2492" w:type="dxa"/>
            <w:tcBorders>
              <w:top w:val="nil"/>
              <w:left w:val="single" w:sz="8" w:space="0" w:color="000000"/>
              <w:bottom w:val="nil"/>
              <w:right w:val="single" w:sz="4" w:space="0" w:color="000000"/>
            </w:tcBorders>
            <w:shd w:val="clear" w:color="auto" w:fill="auto"/>
            <w:noWrap/>
            <w:vAlign w:val="bottom"/>
            <w:hideMark/>
          </w:tcPr>
          <w:p w14:paraId="404E2E00" w14:textId="30D9B730" w:rsidR="00D37F2D" w:rsidRPr="00C3707B" w:rsidRDefault="00D37F2D">
            <w:pPr>
              <w:spacing w:before="0" w:after="0"/>
              <w:jc w:val="left"/>
              <w:rPr>
                <w:rFonts w:ascii="Calibri" w:eastAsia="Times New Roman" w:hAnsi="Calibri" w:cs="Calibri"/>
                <w:noProof/>
                <w:color w:val="000000"/>
                <w:sz w:val="22"/>
              </w:rPr>
            </w:pPr>
          </w:p>
        </w:tc>
        <w:tc>
          <w:tcPr>
            <w:tcW w:w="3205" w:type="dxa"/>
            <w:tcBorders>
              <w:top w:val="nil"/>
              <w:left w:val="nil"/>
              <w:bottom w:val="nil"/>
              <w:right w:val="single" w:sz="4" w:space="0" w:color="000000"/>
            </w:tcBorders>
            <w:shd w:val="clear" w:color="auto" w:fill="auto"/>
            <w:noWrap/>
            <w:vAlign w:val="center"/>
            <w:hideMark/>
          </w:tcPr>
          <w:p w14:paraId="1247825B" w14:textId="77777777" w:rsidR="00D37F2D" w:rsidRPr="00C3707B" w:rsidRDefault="00D37F2D">
            <w:pPr>
              <w:spacing w:before="0" w:after="0"/>
              <w:jc w:val="center"/>
              <w:rPr>
                <w:rFonts w:eastAsia="Times New Roman"/>
                <w:noProof/>
                <w:color w:val="000000"/>
                <w:sz w:val="18"/>
                <w:szCs w:val="18"/>
              </w:rPr>
            </w:pPr>
            <w:bookmarkStart w:id="159" w:name="RANGE!C5"/>
            <w:r w:rsidRPr="00C3707B">
              <w:rPr>
                <w:noProof/>
                <w:color w:val="000000"/>
                <w:sz w:val="18"/>
              </w:rPr>
              <w:t>Soort</w:t>
            </w:r>
            <w:bookmarkEnd w:id="159"/>
          </w:p>
        </w:tc>
        <w:tc>
          <w:tcPr>
            <w:tcW w:w="927" w:type="dxa"/>
            <w:tcBorders>
              <w:top w:val="nil"/>
              <w:left w:val="nil"/>
              <w:bottom w:val="nil"/>
              <w:right w:val="single" w:sz="4" w:space="0" w:color="000000"/>
            </w:tcBorders>
            <w:shd w:val="clear" w:color="auto" w:fill="auto"/>
            <w:vAlign w:val="center"/>
            <w:hideMark/>
          </w:tcPr>
          <w:p w14:paraId="5C60940E"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Gem. kosten</w:t>
            </w:r>
          </w:p>
        </w:tc>
        <w:tc>
          <w:tcPr>
            <w:tcW w:w="597" w:type="dxa"/>
            <w:tcBorders>
              <w:top w:val="nil"/>
              <w:left w:val="nil"/>
              <w:bottom w:val="nil"/>
              <w:right w:val="single" w:sz="4" w:space="0" w:color="000000"/>
            </w:tcBorders>
            <w:shd w:val="clear" w:color="auto" w:fill="auto"/>
            <w:noWrap/>
            <w:vAlign w:val="center"/>
            <w:hideMark/>
          </w:tcPr>
          <w:p w14:paraId="001CC35E"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257" w:type="dxa"/>
            <w:tcBorders>
              <w:top w:val="nil"/>
              <w:left w:val="nil"/>
              <w:bottom w:val="nil"/>
              <w:right w:val="single" w:sz="4" w:space="0" w:color="000000"/>
            </w:tcBorders>
            <w:shd w:val="clear" w:color="auto" w:fill="auto"/>
            <w:noWrap/>
            <w:vAlign w:val="center"/>
            <w:hideMark/>
          </w:tcPr>
          <w:p w14:paraId="6A7F9E4D"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c>
          <w:tcPr>
            <w:tcW w:w="597" w:type="dxa"/>
            <w:tcBorders>
              <w:top w:val="nil"/>
              <w:left w:val="nil"/>
              <w:bottom w:val="nil"/>
              <w:right w:val="single" w:sz="4" w:space="0" w:color="000000"/>
            </w:tcBorders>
            <w:shd w:val="clear" w:color="auto" w:fill="auto"/>
            <w:noWrap/>
            <w:vAlign w:val="center"/>
            <w:hideMark/>
          </w:tcPr>
          <w:p w14:paraId="3CE8CFCF"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257" w:type="dxa"/>
            <w:tcBorders>
              <w:top w:val="nil"/>
              <w:left w:val="nil"/>
              <w:bottom w:val="nil"/>
              <w:right w:val="single" w:sz="4" w:space="0" w:color="000000"/>
            </w:tcBorders>
            <w:shd w:val="clear" w:color="auto" w:fill="auto"/>
            <w:noWrap/>
            <w:vAlign w:val="center"/>
            <w:hideMark/>
          </w:tcPr>
          <w:p w14:paraId="4A790646"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c>
          <w:tcPr>
            <w:tcW w:w="597" w:type="dxa"/>
            <w:tcBorders>
              <w:top w:val="nil"/>
              <w:left w:val="nil"/>
              <w:bottom w:val="nil"/>
              <w:right w:val="single" w:sz="4" w:space="0" w:color="000000"/>
            </w:tcBorders>
            <w:shd w:val="clear" w:color="auto" w:fill="auto"/>
            <w:noWrap/>
            <w:vAlign w:val="center"/>
            <w:hideMark/>
          </w:tcPr>
          <w:p w14:paraId="1FF28F9C"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258" w:type="dxa"/>
            <w:tcBorders>
              <w:top w:val="nil"/>
              <w:left w:val="nil"/>
              <w:bottom w:val="nil"/>
              <w:right w:val="single" w:sz="4" w:space="0" w:color="000000"/>
            </w:tcBorders>
            <w:shd w:val="clear" w:color="auto" w:fill="auto"/>
            <w:noWrap/>
            <w:vAlign w:val="center"/>
            <w:hideMark/>
          </w:tcPr>
          <w:p w14:paraId="377C27E4"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r>
      <w:tr w:rsidR="00D37F2D" w:rsidRPr="00C3707B" w14:paraId="1EC5F7F4" w14:textId="77777777">
        <w:trPr>
          <w:trHeight w:val="266"/>
        </w:trPr>
        <w:tc>
          <w:tcPr>
            <w:tcW w:w="12187" w:type="dxa"/>
            <w:gridSpan w:val="9"/>
            <w:tcBorders>
              <w:top w:val="single" w:sz="4" w:space="0" w:color="000000"/>
              <w:left w:val="single" w:sz="8" w:space="0" w:color="000000"/>
              <w:bottom w:val="single" w:sz="4" w:space="0" w:color="000000"/>
              <w:right w:val="nil"/>
            </w:tcBorders>
            <w:shd w:val="clear" w:color="auto" w:fill="auto"/>
            <w:noWrap/>
            <w:vAlign w:val="bottom"/>
            <w:hideMark/>
          </w:tcPr>
          <w:p w14:paraId="4909F9EE" w14:textId="77777777" w:rsidR="00D37F2D" w:rsidRPr="00C3707B" w:rsidRDefault="00D37F2D">
            <w:pPr>
              <w:spacing w:before="0" w:after="0"/>
              <w:jc w:val="left"/>
              <w:rPr>
                <w:rFonts w:eastAsia="Times New Roman"/>
                <w:noProof/>
                <w:color w:val="000000"/>
                <w:sz w:val="18"/>
                <w:szCs w:val="18"/>
              </w:rPr>
            </w:pPr>
            <w:bookmarkStart w:id="160" w:name="RANGE!B6"/>
            <w:r w:rsidRPr="00C3707B">
              <w:rPr>
                <w:noProof/>
                <w:color w:val="000000"/>
                <w:sz w:val="18"/>
              </w:rPr>
              <w:t>DOELSTELLING nr. </w:t>
            </w:r>
            <w:r w:rsidRPr="00160A33">
              <w:rPr>
                <w:noProof/>
                <w:color w:val="000000"/>
                <w:sz w:val="18"/>
              </w:rPr>
              <w:t>1</w:t>
            </w:r>
            <w:r w:rsidRPr="00C3707B">
              <w:rPr>
                <w:noProof/>
                <w:color w:val="000000"/>
                <w:sz w:val="18"/>
              </w:rPr>
              <w:t>: Voorzieningszekerheid en beschikbaarheid van kritieke geneesmiddelen</w:t>
            </w:r>
            <w:bookmarkEnd w:id="160"/>
          </w:p>
        </w:tc>
      </w:tr>
      <w:tr w:rsidR="00D37F2D" w:rsidRPr="00C3707B" w14:paraId="059D7A96" w14:textId="77777777">
        <w:trPr>
          <w:trHeight w:val="754"/>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2BC612F9"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A. Het faciliteren van investeringen in productiecapaciteit </w:t>
            </w:r>
          </w:p>
        </w:tc>
        <w:tc>
          <w:tcPr>
            <w:tcW w:w="3205" w:type="dxa"/>
            <w:tcBorders>
              <w:top w:val="nil"/>
              <w:left w:val="nil"/>
              <w:bottom w:val="single" w:sz="4" w:space="0" w:color="000000"/>
              <w:right w:val="single" w:sz="4" w:space="0" w:color="000000"/>
            </w:tcBorders>
            <w:shd w:val="clear" w:color="auto" w:fill="auto"/>
            <w:noWrap/>
            <w:vAlign w:val="bottom"/>
            <w:hideMark/>
          </w:tcPr>
          <w:p w14:paraId="68D2B14C"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Subsidies </w:t>
            </w:r>
          </w:p>
        </w:tc>
        <w:tc>
          <w:tcPr>
            <w:tcW w:w="927" w:type="dxa"/>
            <w:tcBorders>
              <w:top w:val="nil"/>
              <w:left w:val="nil"/>
              <w:bottom w:val="single" w:sz="4" w:space="0" w:color="000000"/>
              <w:right w:val="single" w:sz="4" w:space="0" w:color="000000"/>
            </w:tcBorders>
            <w:shd w:val="clear" w:color="auto" w:fill="auto"/>
            <w:noWrap/>
            <w:vAlign w:val="bottom"/>
            <w:hideMark/>
          </w:tcPr>
          <w:p w14:paraId="75E89E74" w14:textId="58B50866"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7813ACEB" w14:textId="244FD90C"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25DD990D"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40</w:t>
            </w:r>
            <w:r w:rsidRPr="00C3707B">
              <w:rPr>
                <w:noProof/>
                <w:color w:val="000000"/>
                <w:sz w:val="18"/>
              </w:rPr>
              <w:t>,</w:t>
            </w:r>
            <w:r w:rsidRPr="00160A33">
              <w:rPr>
                <w:noProof/>
                <w:color w:val="000000"/>
                <w:sz w:val="18"/>
              </w:rPr>
              <w:t>000</w:t>
            </w:r>
          </w:p>
        </w:tc>
        <w:tc>
          <w:tcPr>
            <w:tcW w:w="597" w:type="dxa"/>
            <w:tcBorders>
              <w:top w:val="nil"/>
              <w:left w:val="nil"/>
              <w:bottom w:val="single" w:sz="4" w:space="0" w:color="000000"/>
              <w:right w:val="single" w:sz="4" w:space="0" w:color="000000"/>
            </w:tcBorders>
            <w:shd w:val="clear" w:color="auto" w:fill="auto"/>
            <w:noWrap/>
            <w:vAlign w:val="bottom"/>
            <w:hideMark/>
          </w:tcPr>
          <w:p w14:paraId="41454DEE" w14:textId="23234B05"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1ACB84DF"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40</w:t>
            </w:r>
            <w:r w:rsidRPr="00C3707B">
              <w:rPr>
                <w:noProof/>
                <w:color w:val="000000"/>
                <w:sz w:val="18"/>
              </w:rPr>
              <w:t>,</w:t>
            </w:r>
            <w:r w:rsidRPr="00160A33">
              <w:rPr>
                <w:noProof/>
                <w:color w:val="000000"/>
                <w:sz w:val="18"/>
              </w:rPr>
              <w:t>800</w:t>
            </w:r>
          </w:p>
        </w:tc>
        <w:tc>
          <w:tcPr>
            <w:tcW w:w="597" w:type="dxa"/>
            <w:tcBorders>
              <w:top w:val="nil"/>
              <w:left w:val="nil"/>
              <w:bottom w:val="single" w:sz="4" w:space="0" w:color="000000"/>
              <w:right w:val="single" w:sz="4" w:space="0" w:color="000000"/>
            </w:tcBorders>
            <w:shd w:val="clear" w:color="000000" w:fill="F2F2F2"/>
            <w:noWrap/>
            <w:vAlign w:val="bottom"/>
            <w:hideMark/>
          </w:tcPr>
          <w:p w14:paraId="0CB51796"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1A568E4A"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80</w:t>
            </w:r>
            <w:r w:rsidRPr="00C3707B">
              <w:rPr>
                <w:b/>
                <w:noProof/>
                <w:color w:val="000000"/>
                <w:sz w:val="18"/>
              </w:rPr>
              <w:t>,</w:t>
            </w:r>
            <w:r w:rsidRPr="00160A33">
              <w:rPr>
                <w:b/>
                <w:noProof/>
                <w:color w:val="000000"/>
                <w:sz w:val="18"/>
              </w:rPr>
              <w:t>800</w:t>
            </w:r>
          </w:p>
        </w:tc>
      </w:tr>
      <w:tr w:rsidR="00D37F2D" w:rsidRPr="00C3707B" w14:paraId="22C724ED" w14:textId="77777777">
        <w:trPr>
          <w:trHeight w:val="754"/>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05748DD5"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A. Het faciliteren van investeringen in productiecapaciteit </w:t>
            </w:r>
          </w:p>
        </w:tc>
        <w:tc>
          <w:tcPr>
            <w:tcW w:w="3205" w:type="dxa"/>
            <w:tcBorders>
              <w:top w:val="nil"/>
              <w:left w:val="nil"/>
              <w:bottom w:val="single" w:sz="4" w:space="0" w:color="000000"/>
              <w:right w:val="single" w:sz="4" w:space="0" w:color="000000"/>
            </w:tcBorders>
            <w:shd w:val="clear" w:color="auto" w:fill="auto"/>
            <w:noWrap/>
            <w:vAlign w:val="bottom"/>
            <w:hideMark/>
          </w:tcPr>
          <w:p w14:paraId="6371E6D7"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23B1A45E" w14:textId="59B231D0"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70FB70F4" w14:textId="47BF6FD6"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7929336D"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597" w:type="dxa"/>
            <w:tcBorders>
              <w:top w:val="nil"/>
              <w:left w:val="nil"/>
              <w:bottom w:val="single" w:sz="4" w:space="0" w:color="000000"/>
              <w:right w:val="single" w:sz="4" w:space="0" w:color="000000"/>
            </w:tcBorders>
            <w:shd w:val="clear" w:color="auto" w:fill="auto"/>
            <w:noWrap/>
            <w:vAlign w:val="bottom"/>
            <w:hideMark/>
          </w:tcPr>
          <w:p w14:paraId="3CA6E74A" w14:textId="4DCB01D5"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6A03E41D"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597" w:type="dxa"/>
            <w:tcBorders>
              <w:top w:val="nil"/>
              <w:left w:val="nil"/>
              <w:bottom w:val="single" w:sz="4" w:space="0" w:color="000000"/>
              <w:right w:val="single" w:sz="4" w:space="0" w:color="000000"/>
            </w:tcBorders>
            <w:shd w:val="clear" w:color="000000" w:fill="F2F2F2"/>
            <w:noWrap/>
            <w:vAlign w:val="bottom"/>
            <w:hideMark/>
          </w:tcPr>
          <w:p w14:paraId="32530B6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36E8F9E2"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439F491A" w14:textId="77777777">
        <w:trPr>
          <w:trHeight w:val="591"/>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4CE0590F"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B. Nationale aanbestedingscriteria</w:t>
            </w:r>
          </w:p>
        </w:tc>
        <w:tc>
          <w:tcPr>
            <w:tcW w:w="3205" w:type="dxa"/>
            <w:tcBorders>
              <w:top w:val="nil"/>
              <w:left w:val="nil"/>
              <w:bottom w:val="single" w:sz="4" w:space="0" w:color="000000"/>
              <w:right w:val="single" w:sz="4" w:space="0" w:color="000000"/>
            </w:tcBorders>
            <w:shd w:val="clear" w:color="auto" w:fill="auto"/>
            <w:noWrap/>
            <w:vAlign w:val="bottom"/>
            <w:hideMark/>
          </w:tcPr>
          <w:p w14:paraId="55C580CB"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14EADE9D" w14:textId="406B11E8"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116AF1F9" w14:textId="41CA3682"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4ED19521"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597" w:type="dxa"/>
            <w:tcBorders>
              <w:top w:val="nil"/>
              <w:left w:val="nil"/>
              <w:bottom w:val="single" w:sz="4" w:space="0" w:color="000000"/>
              <w:right w:val="single" w:sz="4" w:space="0" w:color="000000"/>
            </w:tcBorders>
            <w:shd w:val="clear" w:color="auto" w:fill="auto"/>
            <w:noWrap/>
            <w:vAlign w:val="bottom"/>
            <w:hideMark/>
          </w:tcPr>
          <w:p w14:paraId="5952EB41" w14:textId="0564B3AF"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5D17F567"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597" w:type="dxa"/>
            <w:tcBorders>
              <w:top w:val="nil"/>
              <w:left w:val="nil"/>
              <w:bottom w:val="single" w:sz="4" w:space="0" w:color="000000"/>
              <w:right w:val="single" w:sz="4" w:space="0" w:color="000000"/>
            </w:tcBorders>
            <w:shd w:val="clear" w:color="000000" w:fill="F2F2F2"/>
            <w:noWrap/>
            <w:vAlign w:val="bottom"/>
            <w:hideMark/>
          </w:tcPr>
          <w:p w14:paraId="7B2E539F"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3B4AE77C"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7A920378" w14:textId="77777777">
        <w:trPr>
          <w:trHeight w:val="887"/>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50C4481B"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C. Collectieve aanbestedingsprocedures</w:t>
            </w:r>
          </w:p>
        </w:tc>
        <w:tc>
          <w:tcPr>
            <w:tcW w:w="3205" w:type="dxa"/>
            <w:tcBorders>
              <w:top w:val="nil"/>
              <w:left w:val="nil"/>
              <w:bottom w:val="single" w:sz="4" w:space="0" w:color="000000"/>
              <w:right w:val="single" w:sz="4" w:space="0" w:color="000000"/>
            </w:tcBorders>
            <w:shd w:val="clear" w:color="auto" w:fill="auto"/>
            <w:noWrap/>
            <w:vAlign w:val="bottom"/>
            <w:hideMark/>
          </w:tcPr>
          <w:p w14:paraId="150F0F99" w14:textId="4DE011DA"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7DD6279C" w14:textId="7C9CC779"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1BBA935F" w14:textId="279343E3"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5FB45530"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597" w:type="dxa"/>
            <w:tcBorders>
              <w:top w:val="nil"/>
              <w:left w:val="nil"/>
              <w:bottom w:val="single" w:sz="4" w:space="0" w:color="000000"/>
              <w:right w:val="single" w:sz="4" w:space="0" w:color="000000"/>
            </w:tcBorders>
            <w:shd w:val="clear" w:color="auto" w:fill="auto"/>
            <w:noWrap/>
            <w:vAlign w:val="bottom"/>
            <w:hideMark/>
          </w:tcPr>
          <w:p w14:paraId="2434FCB0" w14:textId="02732340"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1FCEB525"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597" w:type="dxa"/>
            <w:tcBorders>
              <w:top w:val="nil"/>
              <w:left w:val="nil"/>
              <w:bottom w:val="single" w:sz="4" w:space="0" w:color="000000"/>
              <w:right w:val="single" w:sz="4" w:space="0" w:color="000000"/>
            </w:tcBorders>
            <w:shd w:val="clear" w:color="000000" w:fill="F2F2F2"/>
            <w:noWrap/>
            <w:vAlign w:val="bottom"/>
            <w:hideMark/>
          </w:tcPr>
          <w:p w14:paraId="580811A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489AED64"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7EC452EF" w14:textId="77777777">
        <w:trPr>
          <w:trHeight w:val="591"/>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4E9C133F"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D. Internationale samenwerking</w:t>
            </w:r>
          </w:p>
        </w:tc>
        <w:tc>
          <w:tcPr>
            <w:tcW w:w="3205" w:type="dxa"/>
            <w:tcBorders>
              <w:top w:val="nil"/>
              <w:left w:val="nil"/>
              <w:bottom w:val="single" w:sz="4" w:space="0" w:color="000000"/>
              <w:right w:val="single" w:sz="4" w:space="0" w:color="000000"/>
            </w:tcBorders>
            <w:shd w:val="clear" w:color="auto" w:fill="auto"/>
            <w:noWrap/>
            <w:vAlign w:val="bottom"/>
            <w:hideMark/>
          </w:tcPr>
          <w:p w14:paraId="549B2D14"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601D4642" w14:textId="717AA49C"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5E1D44B1" w14:textId="10BA6077"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23E117AA"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597" w:type="dxa"/>
            <w:tcBorders>
              <w:top w:val="nil"/>
              <w:left w:val="nil"/>
              <w:bottom w:val="single" w:sz="4" w:space="0" w:color="000000"/>
              <w:right w:val="single" w:sz="4" w:space="0" w:color="000000"/>
            </w:tcBorders>
            <w:shd w:val="clear" w:color="auto" w:fill="auto"/>
            <w:noWrap/>
            <w:vAlign w:val="bottom"/>
            <w:hideMark/>
          </w:tcPr>
          <w:p w14:paraId="0D5594AD" w14:textId="4754DF03"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27356201"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597" w:type="dxa"/>
            <w:tcBorders>
              <w:top w:val="nil"/>
              <w:left w:val="nil"/>
              <w:bottom w:val="single" w:sz="4" w:space="0" w:color="000000"/>
              <w:right w:val="single" w:sz="4" w:space="0" w:color="000000"/>
            </w:tcBorders>
            <w:shd w:val="clear" w:color="000000" w:fill="F2F2F2"/>
            <w:noWrap/>
            <w:vAlign w:val="bottom"/>
            <w:hideMark/>
          </w:tcPr>
          <w:p w14:paraId="45FD79D5" w14:textId="2B1570BD" w:rsidR="00D37F2D" w:rsidRPr="00C3707B" w:rsidRDefault="00D37F2D">
            <w:pPr>
              <w:spacing w:before="0" w:after="0"/>
              <w:jc w:val="left"/>
              <w:rPr>
                <w:rFonts w:eastAsia="Times New Roman"/>
                <w:b/>
                <w:bCs/>
                <w:noProof/>
                <w:color w:val="000000"/>
                <w:sz w:val="18"/>
                <w:szCs w:val="18"/>
              </w:rPr>
            </w:pPr>
          </w:p>
        </w:tc>
        <w:tc>
          <w:tcPr>
            <w:tcW w:w="1258" w:type="dxa"/>
            <w:tcBorders>
              <w:top w:val="nil"/>
              <w:left w:val="nil"/>
              <w:bottom w:val="single" w:sz="4" w:space="0" w:color="000000"/>
              <w:right w:val="single" w:sz="4" w:space="0" w:color="000000"/>
            </w:tcBorders>
            <w:shd w:val="clear" w:color="000000" w:fill="F2F2F2"/>
            <w:noWrap/>
            <w:vAlign w:val="bottom"/>
            <w:hideMark/>
          </w:tcPr>
          <w:p w14:paraId="2837C66F"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5F40B383" w14:textId="77777777">
        <w:trPr>
          <w:trHeight w:val="295"/>
        </w:trPr>
        <w:tc>
          <w:tcPr>
            <w:tcW w:w="6624" w:type="dxa"/>
            <w:gridSpan w:val="3"/>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4CAE8705"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Subtotaal voor doelstelling nr. </w:t>
            </w:r>
            <w:r w:rsidRPr="00160A33">
              <w:rPr>
                <w:noProof/>
                <w:color w:val="000000"/>
                <w:sz w:val="18"/>
              </w:rPr>
              <w:t>1</w:t>
            </w:r>
          </w:p>
        </w:tc>
        <w:tc>
          <w:tcPr>
            <w:tcW w:w="597" w:type="dxa"/>
            <w:tcBorders>
              <w:top w:val="nil"/>
              <w:left w:val="nil"/>
              <w:bottom w:val="single" w:sz="4" w:space="0" w:color="000000"/>
              <w:right w:val="single" w:sz="4" w:space="0" w:color="000000"/>
            </w:tcBorders>
            <w:shd w:val="clear" w:color="000000" w:fill="F2F2F2"/>
            <w:noWrap/>
            <w:vAlign w:val="bottom"/>
            <w:hideMark/>
          </w:tcPr>
          <w:p w14:paraId="5E7EAFBE"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4" w:space="0" w:color="000000"/>
              <w:right w:val="single" w:sz="4" w:space="0" w:color="000000"/>
            </w:tcBorders>
            <w:shd w:val="clear" w:color="000000" w:fill="F2F2F2"/>
            <w:noWrap/>
            <w:vAlign w:val="bottom"/>
            <w:hideMark/>
          </w:tcPr>
          <w:p w14:paraId="3D28FF90"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40</w:t>
            </w:r>
            <w:r w:rsidRPr="00C3707B">
              <w:rPr>
                <w:b/>
                <w:noProof/>
                <w:color w:val="000000"/>
                <w:sz w:val="18"/>
              </w:rPr>
              <w:t>,</w:t>
            </w:r>
            <w:r w:rsidRPr="00160A33">
              <w:rPr>
                <w:b/>
                <w:noProof/>
                <w:color w:val="000000"/>
                <w:sz w:val="18"/>
              </w:rPr>
              <w:t>108</w:t>
            </w:r>
          </w:p>
        </w:tc>
        <w:tc>
          <w:tcPr>
            <w:tcW w:w="597" w:type="dxa"/>
            <w:tcBorders>
              <w:top w:val="nil"/>
              <w:left w:val="nil"/>
              <w:bottom w:val="single" w:sz="4" w:space="0" w:color="000000"/>
              <w:right w:val="single" w:sz="4" w:space="0" w:color="000000"/>
            </w:tcBorders>
            <w:shd w:val="clear" w:color="000000" w:fill="F2F2F2"/>
            <w:noWrap/>
            <w:vAlign w:val="bottom"/>
            <w:hideMark/>
          </w:tcPr>
          <w:p w14:paraId="68E11499"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4" w:space="0" w:color="000000"/>
              <w:right w:val="single" w:sz="4" w:space="0" w:color="000000"/>
            </w:tcBorders>
            <w:shd w:val="clear" w:color="000000" w:fill="F2F2F2"/>
            <w:noWrap/>
            <w:vAlign w:val="bottom"/>
            <w:hideMark/>
          </w:tcPr>
          <w:p w14:paraId="1DE010E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40</w:t>
            </w:r>
            <w:r w:rsidRPr="00C3707B">
              <w:rPr>
                <w:b/>
                <w:noProof/>
                <w:color w:val="000000"/>
                <w:sz w:val="18"/>
              </w:rPr>
              <w:t>,</w:t>
            </w:r>
            <w:r w:rsidRPr="00160A33">
              <w:rPr>
                <w:b/>
                <w:noProof/>
                <w:color w:val="000000"/>
                <w:sz w:val="18"/>
              </w:rPr>
              <w:t>910</w:t>
            </w:r>
          </w:p>
        </w:tc>
        <w:tc>
          <w:tcPr>
            <w:tcW w:w="597" w:type="dxa"/>
            <w:tcBorders>
              <w:top w:val="nil"/>
              <w:left w:val="nil"/>
              <w:bottom w:val="single" w:sz="4" w:space="0" w:color="000000"/>
              <w:right w:val="single" w:sz="4" w:space="0" w:color="000000"/>
            </w:tcBorders>
            <w:shd w:val="clear" w:color="000000" w:fill="F2F2F2"/>
            <w:noWrap/>
            <w:vAlign w:val="bottom"/>
            <w:hideMark/>
          </w:tcPr>
          <w:p w14:paraId="37F4D677"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46D472B0"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81</w:t>
            </w:r>
            <w:r w:rsidRPr="00C3707B">
              <w:rPr>
                <w:b/>
                <w:noProof/>
                <w:color w:val="000000"/>
                <w:sz w:val="18"/>
              </w:rPr>
              <w:t>,</w:t>
            </w:r>
            <w:r w:rsidRPr="00160A33">
              <w:rPr>
                <w:b/>
                <w:noProof/>
                <w:color w:val="000000"/>
                <w:sz w:val="18"/>
              </w:rPr>
              <w:t>018</w:t>
            </w:r>
          </w:p>
        </w:tc>
      </w:tr>
      <w:tr w:rsidR="00D37F2D" w:rsidRPr="00C3707B" w14:paraId="62BAEC28" w14:textId="77777777">
        <w:trPr>
          <w:trHeight w:val="295"/>
        </w:trPr>
        <w:tc>
          <w:tcPr>
            <w:tcW w:w="12187" w:type="dxa"/>
            <w:gridSpan w:val="9"/>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50337FCE"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DOELSTELLING nr. </w:t>
            </w:r>
            <w:r w:rsidRPr="00160A33">
              <w:rPr>
                <w:noProof/>
                <w:color w:val="000000"/>
                <w:sz w:val="18"/>
              </w:rPr>
              <w:t>2</w:t>
            </w:r>
            <w:r w:rsidRPr="00C3707B">
              <w:rPr>
                <w:noProof/>
                <w:color w:val="000000"/>
                <w:sz w:val="18"/>
              </w:rPr>
              <w:t xml:space="preserve"> Beschikbaarheid en toegankelijkheid van bepaalde andere geneesmiddelen</w:t>
            </w:r>
          </w:p>
        </w:tc>
      </w:tr>
      <w:tr w:rsidR="00D37F2D" w:rsidRPr="00C3707B" w14:paraId="06F1696D" w14:textId="77777777">
        <w:trPr>
          <w:trHeight w:val="488"/>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3802B112"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B. Nationale aanbestedingscriteria</w:t>
            </w:r>
          </w:p>
        </w:tc>
        <w:tc>
          <w:tcPr>
            <w:tcW w:w="3205" w:type="dxa"/>
            <w:tcBorders>
              <w:top w:val="nil"/>
              <w:left w:val="nil"/>
              <w:bottom w:val="single" w:sz="4" w:space="0" w:color="000000"/>
              <w:right w:val="single" w:sz="4" w:space="0" w:color="000000"/>
            </w:tcBorders>
            <w:shd w:val="clear" w:color="auto" w:fill="auto"/>
            <w:noWrap/>
            <w:vAlign w:val="bottom"/>
            <w:hideMark/>
          </w:tcPr>
          <w:p w14:paraId="5A4FC0A7" w14:textId="1096AE14"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409E9A97" w14:textId="5D916E35"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1F9D571E" w14:textId="70335714"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7223DF94"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597" w:type="dxa"/>
            <w:tcBorders>
              <w:top w:val="nil"/>
              <w:left w:val="nil"/>
              <w:bottom w:val="single" w:sz="4" w:space="0" w:color="000000"/>
              <w:right w:val="single" w:sz="4" w:space="0" w:color="000000"/>
            </w:tcBorders>
            <w:shd w:val="clear" w:color="auto" w:fill="auto"/>
            <w:noWrap/>
            <w:vAlign w:val="bottom"/>
            <w:hideMark/>
          </w:tcPr>
          <w:p w14:paraId="65452E1E" w14:textId="563763F4"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2A0730C2"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597" w:type="dxa"/>
            <w:tcBorders>
              <w:top w:val="nil"/>
              <w:left w:val="nil"/>
              <w:bottom w:val="single" w:sz="4" w:space="0" w:color="000000"/>
              <w:right w:val="single" w:sz="4" w:space="0" w:color="000000"/>
            </w:tcBorders>
            <w:shd w:val="clear" w:color="000000" w:fill="F2F2F2"/>
            <w:noWrap/>
            <w:vAlign w:val="bottom"/>
            <w:hideMark/>
          </w:tcPr>
          <w:p w14:paraId="70E63F9E"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4C2372A1"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2A747EA2" w14:textId="77777777">
        <w:trPr>
          <w:trHeight w:val="488"/>
        </w:trPr>
        <w:tc>
          <w:tcPr>
            <w:tcW w:w="2492" w:type="dxa"/>
            <w:tcBorders>
              <w:top w:val="nil"/>
              <w:left w:val="single" w:sz="8" w:space="0" w:color="000000"/>
              <w:bottom w:val="single" w:sz="4" w:space="0" w:color="000000"/>
              <w:right w:val="single" w:sz="4" w:space="0" w:color="000000"/>
            </w:tcBorders>
            <w:shd w:val="clear" w:color="auto" w:fill="auto"/>
            <w:vAlign w:val="bottom"/>
            <w:hideMark/>
          </w:tcPr>
          <w:p w14:paraId="76663364"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C. Collectieve aanbestedingsprocedures</w:t>
            </w:r>
          </w:p>
        </w:tc>
        <w:tc>
          <w:tcPr>
            <w:tcW w:w="3205" w:type="dxa"/>
            <w:tcBorders>
              <w:top w:val="nil"/>
              <w:left w:val="nil"/>
              <w:bottom w:val="single" w:sz="4" w:space="0" w:color="000000"/>
              <w:right w:val="single" w:sz="4" w:space="0" w:color="000000"/>
            </w:tcBorders>
            <w:shd w:val="clear" w:color="auto" w:fill="auto"/>
            <w:noWrap/>
            <w:vAlign w:val="bottom"/>
            <w:hideMark/>
          </w:tcPr>
          <w:p w14:paraId="49CE7764" w14:textId="06F50AA1"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927" w:type="dxa"/>
            <w:tcBorders>
              <w:top w:val="nil"/>
              <w:left w:val="nil"/>
              <w:bottom w:val="single" w:sz="4" w:space="0" w:color="000000"/>
              <w:right w:val="single" w:sz="4" w:space="0" w:color="000000"/>
            </w:tcBorders>
            <w:shd w:val="clear" w:color="auto" w:fill="auto"/>
            <w:noWrap/>
            <w:vAlign w:val="bottom"/>
            <w:hideMark/>
          </w:tcPr>
          <w:p w14:paraId="10C71F1B" w14:textId="547E6ECB" w:rsidR="00D37F2D" w:rsidRPr="00C3707B" w:rsidRDefault="00D37F2D">
            <w:pPr>
              <w:spacing w:before="0" w:after="0"/>
              <w:jc w:val="left"/>
              <w:rPr>
                <w:rFonts w:eastAsia="Times New Roman"/>
                <w:noProof/>
                <w:color w:val="000000"/>
                <w:sz w:val="18"/>
                <w:szCs w:val="18"/>
              </w:rPr>
            </w:pPr>
          </w:p>
        </w:tc>
        <w:tc>
          <w:tcPr>
            <w:tcW w:w="597" w:type="dxa"/>
            <w:tcBorders>
              <w:top w:val="nil"/>
              <w:left w:val="nil"/>
              <w:bottom w:val="single" w:sz="4" w:space="0" w:color="000000"/>
              <w:right w:val="single" w:sz="4" w:space="0" w:color="000000"/>
            </w:tcBorders>
            <w:shd w:val="clear" w:color="auto" w:fill="auto"/>
            <w:noWrap/>
            <w:vAlign w:val="bottom"/>
            <w:hideMark/>
          </w:tcPr>
          <w:p w14:paraId="4201183D" w14:textId="306AB3FF"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3F0BB64D"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270</w:t>
            </w:r>
          </w:p>
        </w:tc>
        <w:tc>
          <w:tcPr>
            <w:tcW w:w="597" w:type="dxa"/>
            <w:tcBorders>
              <w:top w:val="nil"/>
              <w:left w:val="nil"/>
              <w:bottom w:val="single" w:sz="4" w:space="0" w:color="000000"/>
              <w:right w:val="single" w:sz="4" w:space="0" w:color="000000"/>
            </w:tcBorders>
            <w:shd w:val="clear" w:color="auto" w:fill="auto"/>
            <w:noWrap/>
            <w:vAlign w:val="bottom"/>
            <w:hideMark/>
          </w:tcPr>
          <w:p w14:paraId="3F5D6F28" w14:textId="4CE0B9B5" w:rsidR="00D37F2D" w:rsidRPr="00C3707B" w:rsidRDefault="00D37F2D">
            <w:pPr>
              <w:spacing w:before="0" w:after="0"/>
              <w:jc w:val="left"/>
              <w:rPr>
                <w:rFonts w:eastAsia="Times New Roman"/>
                <w:noProof/>
                <w:color w:val="000000"/>
                <w:sz w:val="18"/>
                <w:szCs w:val="18"/>
              </w:rPr>
            </w:pPr>
          </w:p>
        </w:tc>
        <w:tc>
          <w:tcPr>
            <w:tcW w:w="1257" w:type="dxa"/>
            <w:tcBorders>
              <w:top w:val="nil"/>
              <w:left w:val="nil"/>
              <w:bottom w:val="single" w:sz="4" w:space="0" w:color="000000"/>
              <w:right w:val="single" w:sz="4" w:space="0" w:color="000000"/>
            </w:tcBorders>
            <w:shd w:val="clear" w:color="auto" w:fill="auto"/>
            <w:noWrap/>
            <w:vAlign w:val="bottom"/>
            <w:hideMark/>
          </w:tcPr>
          <w:p w14:paraId="7E7E1A6F"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275</w:t>
            </w:r>
          </w:p>
        </w:tc>
        <w:tc>
          <w:tcPr>
            <w:tcW w:w="597" w:type="dxa"/>
            <w:tcBorders>
              <w:top w:val="nil"/>
              <w:left w:val="nil"/>
              <w:bottom w:val="single" w:sz="4" w:space="0" w:color="000000"/>
              <w:right w:val="single" w:sz="4" w:space="0" w:color="000000"/>
            </w:tcBorders>
            <w:shd w:val="clear" w:color="000000" w:fill="F2F2F2"/>
            <w:noWrap/>
            <w:vAlign w:val="bottom"/>
            <w:hideMark/>
          </w:tcPr>
          <w:p w14:paraId="46C90A69"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29A1422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545</w:t>
            </w:r>
          </w:p>
        </w:tc>
      </w:tr>
      <w:tr w:rsidR="00D37F2D" w:rsidRPr="00C3707B" w14:paraId="48AD0262" w14:textId="77777777">
        <w:trPr>
          <w:trHeight w:val="295"/>
        </w:trPr>
        <w:tc>
          <w:tcPr>
            <w:tcW w:w="6624" w:type="dxa"/>
            <w:gridSpan w:val="3"/>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522ACEDD"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Subtotaal voor doelstelling nr. </w:t>
            </w:r>
            <w:r w:rsidRPr="00160A33">
              <w:rPr>
                <w:noProof/>
                <w:color w:val="000000"/>
                <w:sz w:val="18"/>
              </w:rPr>
              <w:t>2</w:t>
            </w:r>
          </w:p>
        </w:tc>
        <w:tc>
          <w:tcPr>
            <w:tcW w:w="597" w:type="dxa"/>
            <w:tcBorders>
              <w:top w:val="nil"/>
              <w:left w:val="nil"/>
              <w:bottom w:val="single" w:sz="4" w:space="0" w:color="000000"/>
              <w:right w:val="single" w:sz="4" w:space="0" w:color="000000"/>
            </w:tcBorders>
            <w:shd w:val="clear" w:color="000000" w:fill="F2F2F2"/>
            <w:noWrap/>
            <w:vAlign w:val="bottom"/>
            <w:hideMark/>
          </w:tcPr>
          <w:p w14:paraId="4F4ECF19"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4" w:space="0" w:color="000000"/>
              <w:right w:val="single" w:sz="4" w:space="0" w:color="000000"/>
            </w:tcBorders>
            <w:shd w:val="clear" w:color="000000" w:fill="F2F2F2"/>
            <w:noWrap/>
            <w:vAlign w:val="bottom"/>
            <w:hideMark/>
          </w:tcPr>
          <w:p w14:paraId="1D6BD19E"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297</w:t>
            </w:r>
          </w:p>
        </w:tc>
        <w:tc>
          <w:tcPr>
            <w:tcW w:w="597" w:type="dxa"/>
            <w:tcBorders>
              <w:top w:val="nil"/>
              <w:left w:val="nil"/>
              <w:bottom w:val="single" w:sz="4" w:space="0" w:color="000000"/>
              <w:right w:val="single" w:sz="4" w:space="0" w:color="000000"/>
            </w:tcBorders>
            <w:shd w:val="clear" w:color="000000" w:fill="F2F2F2"/>
            <w:noWrap/>
            <w:vAlign w:val="bottom"/>
            <w:hideMark/>
          </w:tcPr>
          <w:p w14:paraId="4C556494"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4" w:space="0" w:color="000000"/>
              <w:right w:val="single" w:sz="4" w:space="0" w:color="000000"/>
            </w:tcBorders>
            <w:shd w:val="clear" w:color="000000" w:fill="F2F2F2"/>
            <w:noWrap/>
            <w:vAlign w:val="bottom"/>
            <w:hideMark/>
          </w:tcPr>
          <w:p w14:paraId="030054D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303</w:t>
            </w:r>
          </w:p>
        </w:tc>
        <w:tc>
          <w:tcPr>
            <w:tcW w:w="597" w:type="dxa"/>
            <w:tcBorders>
              <w:top w:val="nil"/>
              <w:left w:val="nil"/>
              <w:bottom w:val="single" w:sz="4" w:space="0" w:color="000000"/>
              <w:right w:val="single" w:sz="4" w:space="0" w:color="000000"/>
            </w:tcBorders>
            <w:shd w:val="clear" w:color="000000" w:fill="F2F2F2"/>
            <w:noWrap/>
            <w:vAlign w:val="bottom"/>
            <w:hideMark/>
          </w:tcPr>
          <w:p w14:paraId="3EC4669F"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4" w:space="0" w:color="000000"/>
              <w:right w:val="single" w:sz="4" w:space="0" w:color="000000"/>
            </w:tcBorders>
            <w:shd w:val="clear" w:color="000000" w:fill="F2F2F2"/>
            <w:noWrap/>
            <w:vAlign w:val="bottom"/>
            <w:hideMark/>
          </w:tcPr>
          <w:p w14:paraId="0FA1AE6B"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600</w:t>
            </w:r>
          </w:p>
        </w:tc>
      </w:tr>
      <w:tr w:rsidR="00D37F2D" w:rsidRPr="00C3707B" w14:paraId="74E63F00" w14:textId="77777777">
        <w:trPr>
          <w:trHeight w:val="310"/>
        </w:trPr>
        <w:tc>
          <w:tcPr>
            <w:tcW w:w="6624" w:type="dxa"/>
            <w:gridSpan w:val="3"/>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30413654" w14:textId="77777777" w:rsidR="00D37F2D" w:rsidRPr="00C3707B" w:rsidRDefault="00D37F2D">
            <w:pPr>
              <w:spacing w:before="0" w:after="0"/>
              <w:jc w:val="left"/>
              <w:rPr>
                <w:rFonts w:eastAsia="Times New Roman"/>
                <w:b/>
                <w:bCs/>
                <w:noProof/>
                <w:color w:val="000000"/>
                <w:sz w:val="18"/>
                <w:szCs w:val="18"/>
              </w:rPr>
            </w:pPr>
            <w:r w:rsidRPr="00C3707B">
              <w:rPr>
                <w:b/>
                <w:noProof/>
                <w:color w:val="000000"/>
                <w:sz w:val="18"/>
              </w:rPr>
              <w:t>TOTAAL</w:t>
            </w:r>
          </w:p>
        </w:tc>
        <w:tc>
          <w:tcPr>
            <w:tcW w:w="597" w:type="dxa"/>
            <w:tcBorders>
              <w:top w:val="nil"/>
              <w:left w:val="nil"/>
              <w:bottom w:val="single" w:sz="8" w:space="0" w:color="000000"/>
              <w:right w:val="single" w:sz="4" w:space="0" w:color="000000"/>
            </w:tcBorders>
            <w:shd w:val="clear" w:color="000000" w:fill="F2F2F2"/>
            <w:noWrap/>
            <w:vAlign w:val="bottom"/>
            <w:hideMark/>
          </w:tcPr>
          <w:p w14:paraId="50CE0E5B"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8" w:space="0" w:color="000000"/>
              <w:right w:val="single" w:sz="4" w:space="0" w:color="000000"/>
            </w:tcBorders>
            <w:shd w:val="clear" w:color="000000" w:fill="F2F2F2"/>
            <w:noWrap/>
            <w:vAlign w:val="bottom"/>
            <w:hideMark/>
          </w:tcPr>
          <w:p w14:paraId="0C098ABC"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40</w:t>
            </w:r>
            <w:r w:rsidRPr="00C3707B">
              <w:rPr>
                <w:b/>
                <w:noProof/>
                <w:color w:val="000000"/>
                <w:sz w:val="18"/>
              </w:rPr>
              <w:t>,</w:t>
            </w:r>
            <w:r w:rsidRPr="00160A33">
              <w:rPr>
                <w:b/>
                <w:noProof/>
                <w:color w:val="000000"/>
                <w:sz w:val="18"/>
              </w:rPr>
              <w:t>405</w:t>
            </w:r>
          </w:p>
        </w:tc>
        <w:tc>
          <w:tcPr>
            <w:tcW w:w="597" w:type="dxa"/>
            <w:tcBorders>
              <w:top w:val="nil"/>
              <w:left w:val="nil"/>
              <w:bottom w:val="single" w:sz="8" w:space="0" w:color="000000"/>
              <w:right w:val="single" w:sz="4" w:space="0" w:color="000000"/>
            </w:tcBorders>
            <w:shd w:val="clear" w:color="000000" w:fill="F2F2F2"/>
            <w:noWrap/>
            <w:vAlign w:val="bottom"/>
            <w:hideMark/>
          </w:tcPr>
          <w:p w14:paraId="651C0152"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7" w:type="dxa"/>
            <w:tcBorders>
              <w:top w:val="nil"/>
              <w:left w:val="nil"/>
              <w:bottom w:val="single" w:sz="8" w:space="0" w:color="000000"/>
              <w:right w:val="single" w:sz="4" w:space="0" w:color="000000"/>
            </w:tcBorders>
            <w:shd w:val="clear" w:color="000000" w:fill="F2F2F2"/>
            <w:noWrap/>
            <w:vAlign w:val="bottom"/>
            <w:hideMark/>
          </w:tcPr>
          <w:p w14:paraId="7E6B9B60"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41</w:t>
            </w:r>
            <w:r w:rsidRPr="00C3707B">
              <w:rPr>
                <w:b/>
                <w:noProof/>
                <w:color w:val="000000"/>
                <w:sz w:val="18"/>
              </w:rPr>
              <w:t>,</w:t>
            </w:r>
            <w:r w:rsidRPr="00160A33">
              <w:rPr>
                <w:b/>
                <w:noProof/>
                <w:color w:val="000000"/>
                <w:sz w:val="18"/>
              </w:rPr>
              <w:t>213</w:t>
            </w:r>
          </w:p>
        </w:tc>
        <w:tc>
          <w:tcPr>
            <w:tcW w:w="597" w:type="dxa"/>
            <w:tcBorders>
              <w:top w:val="nil"/>
              <w:left w:val="nil"/>
              <w:bottom w:val="single" w:sz="8" w:space="0" w:color="000000"/>
              <w:right w:val="single" w:sz="4" w:space="0" w:color="000000"/>
            </w:tcBorders>
            <w:shd w:val="clear" w:color="000000" w:fill="F2F2F2"/>
            <w:noWrap/>
            <w:vAlign w:val="bottom"/>
            <w:hideMark/>
          </w:tcPr>
          <w:p w14:paraId="0134A3FF"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258" w:type="dxa"/>
            <w:tcBorders>
              <w:top w:val="nil"/>
              <w:left w:val="nil"/>
              <w:bottom w:val="single" w:sz="8" w:space="0" w:color="000000"/>
              <w:right w:val="single" w:sz="4" w:space="0" w:color="000000"/>
            </w:tcBorders>
            <w:shd w:val="clear" w:color="000000" w:fill="F2F2F2"/>
            <w:noWrap/>
            <w:vAlign w:val="bottom"/>
            <w:hideMark/>
          </w:tcPr>
          <w:p w14:paraId="5B841353"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81</w:t>
            </w:r>
            <w:r w:rsidRPr="00C3707B">
              <w:rPr>
                <w:b/>
                <w:noProof/>
                <w:color w:val="000000"/>
                <w:sz w:val="18"/>
              </w:rPr>
              <w:t>,</w:t>
            </w:r>
            <w:r w:rsidRPr="00160A33">
              <w:rPr>
                <w:b/>
                <w:noProof/>
                <w:color w:val="000000"/>
                <w:sz w:val="18"/>
              </w:rPr>
              <w:t>618</w:t>
            </w:r>
          </w:p>
        </w:tc>
      </w:tr>
    </w:tbl>
    <w:p w14:paraId="400BE53A" w14:textId="77777777" w:rsidR="00D37F2D" w:rsidRPr="00C3707B" w:rsidRDefault="00D37F2D" w:rsidP="005D0E22">
      <w:pPr>
        <w:pStyle w:val="Text1"/>
        <w:rPr>
          <w:noProof/>
        </w:rPr>
      </w:pPr>
    </w:p>
    <w:p w14:paraId="2365B039" w14:textId="77777777" w:rsidR="00D37F2D" w:rsidRPr="00C3707B" w:rsidRDefault="00D37F2D" w:rsidP="00D37F2D">
      <w:pPr>
        <w:jc w:val="right"/>
        <w:rPr>
          <w:noProof/>
          <w:sz w:val="18"/>
          <w:szCs w:val="18"/>
        </w:rPr>
      </w:pPr>
      <w:r w:rsidRPr="00C3707B">
        <w:rPr>
          <w:noProof/>
          <w:sz w:val="18"/>
        </w:rPr>
        <w:t>in miljoenen euro’s (tot op drie decimalen)</w:t>
      </w:r>
    </w:p>
    <w:tbl>
      <w:tblPr>
        <w:tblW w:w="12059" w:type="dxa"/>
        <w:tblInd w:w="118" w:type="dxa"/>
        <w:tblLook w:val="04A0" w:firstRow="1" w:lastRow="0" w:firstColumn="1" w:lastColumn="0" w:noHBand="0" w:noVBand="1"/>
      </w:tblPr>
      <w:tblGrid>
        <w:gridCol w:w="2997"/>
        <w:gridCol w:w="1456"/>
        <w:gridCol w:w="1115"/>
        <w:gridCol w:w="795"/>
        <w:gridCol w:w="1434"/>
        <w:gridCol w:w="795"/>
        <w:gridCol w:w="1434"/>
        <w:gridCol w:w="795"/>
        <w:gridCol w:w="1434"/>
      </w:tblGrid>
      <w:tr w:rsidR="00D37F2D" w:rsidRPr="00C3707B" w14:paraId="2E381E84" w14:textId="77777777">
        <w:trPr>
          <w:trHeight w:val="331"/>
        </w:trPr>
        <w:tc>
          <w:tcPr>
            <w:tcW w:w="2997"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14:paraId="0F263F7F" w14:textId="77777777" w:rsidR="00D37F2D" w:rsidRPr="00C3707B" w:rsidRDefault="00D37F2D">
            <w:pPr>
              <w:spacing w:before="0" w:after="0"/>
              <w:jc w:val="left"/>
              <w:rPr>
                <w:rFonts w:eastAsia="Times New Roman"/>
                <w:b/>
                <w:bCs/>
                <w:noProof/>
                <w:color w:val="000000"/>
                <w:sz w:val="18"/>
                <w:szCs w:val="18"/>
              </w:rPr>
            </w:pPr>
            <w:r w:rsidRPr="00C3707B">
              <w:rPr>
                <w:b/>
                <w:noProof/>
                <w:color w:val="000000"/>
                <w:sz w:val="18"/>
              </w:rPr>
              <w:t>Vermeld doelstellingen en outputs</w:t>
            </w:r>
          </w:p>
        </w:tc>
        <w:tc>
          <w:tcPr>
            <w:tcW w:w="1254" w:type="dxa"/>
            <w:tcBorders>
              <w:top w:val="single" w:sz="8" w:space="0" w:color="000000"/>
              <w:left w:val="nil"/>
              <w:bottom w:val="single" w:sz="4" w:space="0" w:color="000000"/>
              <w:right w:val="single" w:sz="4" w:space="0" w:color="000000"/>
            </w:tcBorders>
            <w:shd w:val="clear" w:color="auto" w:fill="auto"/>
            <w:noWrap/>
            <w:vAlign w:val="bottom"/>
            <w:hideMark/>
          </w:tcPr>
          <w:p w14:paraId="495E94DF" w14:textId="74605F9D" w:rsidR="00D37F2D" w:rsidRPr="00C3707B" w:rsidRDefault="00D37F2D">
            <w:pPr>
              <w:spacing w:before="0" w:after="0"/>
              <w:jc w:val="left"/>
              <w:rPr>
                <w:rFonts w:eastAsia="Times New Roman"/>
                <w:noProof/>
                <w:color w:val="000000"/>
                <w:sz w:val="18"/>
                <w:szCs w:val="18"/>
              </w:rPr>
            </w:pPr>
          </w:p>
        </w:tc>
        <w:tc>
          <w:tcPr>
            <w:tcW w:w="1115" w:type="dxa"/>
            <w:tcBorders>
              <w:top w:val="single" w:sz="8" w:space="0" w:color="000000"/>
              <w:left w:val="nil"/>
              <w:bottom w:val="single" w:sz="4" w:space="0" w:color="000000"/>
              <w:right w:val="single" w:sz="4" w:space="0" w:color="000000"/>
            </w:tcBorders>
            <w:shd w:val="clear" w:color="auto" w:fill="auto"/>
            <w:noWrap/>
            <w:vAlign w:val="bottom"/>
            <w:hideMark/>
          </w:tcPr>
          <w:p w14:paraId="4C820F85" w14:textId="317C253E" w:rsidR="00D37F2D" w:rsidRPr="00C3707B" w:rsidRDefault="00D37F2D">
            <w:pPr>
              <w:spacing w:before="0" w:after="0"/>
              <w:jc w:val="left"/>
              <w:rPr>
                <w:rFonts w:eastAsia="Times New Roman"/>
                <w:noProof/>
                <w:color w:val="000000"/>
                <w:sz w:val="18"/>
                <w:szCs w:val="18"/>
              </w:rPr>
            </w:pPr>
          </w:p>
        </w:tc>
        <w:tc>
          <w:tcPr>
            <w:tcW w:w="2230" w:type="dxa"/>
            <w:gridSpan w:val="2"/>
            <w:tcBorders>
              <w:top w:val="single" w:sz="8" w:space="0" w:color="000000"/>
              <w:left w:val="nil"/>
              <w:bottom w:val="single" w:sz="4" w:space="0" w:color="000000"/>
              <w:right w:val="single" w:sz="4" w:space="0" w:color="000000"/>
            </w:tcBorders>
            <w:shd w:val="clear" w:color="auto" w:fill="auto"/>
            <w:vAlign w:val="center"/>
            <w:hideMark/>
          </w:tcPr>
          <w:p w14:paraId="349A395C"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Jaar</w:t>
            </w:r>
          </w:p>
        </w:tc>
        <w:tc>
          <w:tcPr>
            <w:tcW w:w="2230" w:type="dxa"/>
            <w:gridSpan w:val="2"/>
            <w:tcBorders>
              <w:top w:val="single" w:sz="8" w:space="0" w:color="000000"/>
              <w:left w:val="nil"/>
              <w:bottom w:val="single" w:sz="4" w:space="0" w:color="000000"/>
              <w:right w:val="single" w:sz="4" w:space="0" w:color="000000"/>
            </w:tcBorders>
            <w:shd w:val="clear" w:color="auto" w:fill="auto"/>
            <w:vAlign w:val="center"/>
            <w:hideMark/>
          </w:tcPr>
          <w:p w14:paraId="1B97424F"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Jaar</w:t>
            </w:r>
          </w:p>
        </w:tc>
        <w:tc>
          <w:tcPr>
            <w:tcW w:w="223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4D799E8"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160A33">
              <w:rPr>
                <w:b/>
                <w:noProof/>
                <w:color w:val="000000"/>
                <w:sz w:val="18"/>
              </w:rPr>
              <w:t>2021</w:t>
            </w:r>
            <w:r w:rsidRPr="00C3707B">
              <w:rPr>
                <w:b/>
                <w:noProof/>
                <w:color w:val="000000"/>
                <w:sz w:val="18"/>
              </w:rPr>
              <w:t>-</w:t>
            </w:r>
            <w:r w:rsidRPr="00160A33">
              <w:rPr>
                <w:b/>
                <w:noProof/>
                <w:color w:val="000000"/>
                <w:sz w:val="18"/>
              </w:rPr>
              <w:t>2027</w:t>
            </w:r>
          </w:p>
        </w:tc>
      </w:tr>
      <w:tr w:rsidR="00D37F2D" w:rsidRPr="00C3707B" w14:paraId="60FC2E18" w14:textId="77777777">
        <w:trPr>
          <w:trHeight w:val="331"/>
        </w:trPr>
        <w:tc>
          <w:tcPr>
            <w:tcW w:w="2997" w:type="dxa"/>
            <w:tcBorders>
              <w:top w:val="nil"/>
              <w:left w:val="single" w:sz="8" w:space="0" w:color="000000"/>
              <w:bottom w:val="single" w:sz="4" w:space="0" w:color="000000"/>
              <w:right w:val="single" w:sz="4" w:space="0" w:color="000000"/>
            </w:tcBorders>
            <w:shd w:val="clear" w:color="auto" w:fill="auto"/>
            <w:noWrap/>
            <w:vAlign w:val="bottom"/>
            <w:hideMark/>
          </w:tcPr>
          <w:p w14:paraId="39F78180" w14:textId="77777777" w:rsidR="00D37F2D" w:rsidRPr="00C3707B" w:rsidRDefault="00D37F2D">
            <w:pPr>
              <w:spacing w:before="0" w:after="0"/>
              <w:jc w:val="center"/>
              <w:rPr>
                <w:rFonts w:ascii="Wingdings" w:eastAsia="Times New Roman" w:hAnsi="Wingdings" w:cs="Calibri"/>
                <w:noProof/>
                <w:color w:val="000000"/>
                <w:sz w:val="18"/>
                <w:szCs w:val="18"/>
              </w:rPr>
            </w:pPr>
            <w:r w:rsidRPr="00C3707B">
              <w:rPr>
                <w:rFonts w:ascii="Wingdings" w:hAnsi="Wingdings"/>
                <w:noProof/>
                <w:color w:val="000000"/>
                <w:sz w:val="18"/>
              </w:rPr>
              <w:t></w:t>
            </w:r>
          </w:p>
        </w:tc>
        <w:tc>
          <w:tcPr>
            <w:tcW w:w="1254" w:type="dxa"/>
            <w:tcBorders>
              <w:top w:val="nil"/>
              <w:left w:val="nil"/>
              <w:bottom w:val="single" w:sz="4" w:space="0" w:color="000000"/>
              <w:right w:val="single" w:sz="4" w:space="0" w:color="000000"/>
            </w:tcBorders>
            <w:shd w:val="clear" w:color="auto" w:fill="auto"/>
            <w:noWrap/>
            <w:vAlign w:val="bottom"/>
            <w:hideMark/>
          </w:tcPr>
          <w:p w14:paraId="672FD347" w14:textId="145DADF9" w:rsidR="00D37F2D" w:rsidRPr="00C3707B" w:rsidRDefault="00D37F2D">
            <w:pPr>
              <w:spacing w:before="0" w:after="0"/>
              <w:jc w:val="left"/>
              <w:rPr>
                <w:rFonts w:ascii="Calibri" w:eastAsia="Times New Roman" w:hAnsi="Calibri" w:cs="Calibri"/>
                <w:noProof/>
                <w:color w:val="000000"/>
                <w:sz w:val="22"/>
              </w:rPr>
            </w:pPr>
          </w:p>
        </w:tc>
        <w:tc>
          <w:tcPr>
            <w:tcW w:w="1115" w:type="dxa"/>
            <w:tcBorders>
              <w:top w:val="nil"/>
              <w:left w:val="nil"/>
              <w:bottom w:val="single" w:sz="4" w:space="0" w:color="000000"/>
              <w:right w:val="single" w:sz="4" w:space="0" w:color="000000"/>
            </w:tcBorders>
            <w:shd w:val="clear" w:color="auto" w:fill="auto"/>
            <w:noWrap/>
            <w:vAlign w:val="bottom"/>
            <w:hideMark/>
          </w:tcPr>
          <w:p w14:paraId="30C94B72" w14:textId="1142A439" w:rsidR="00D37F2D" w:rsidRPr="00C3707B" w:rsidRDefault="00D37F2D">
            <w:pPr>
              <w:spacing w:before="0" w:after="0"/>
              <w:jc w:val="left"/>
              <w:rPr>
                <w:rFonts w:ascii="Calibri" w:eastAsia="Times New Roman" w:hAnsi="Calibri" w:cs="Calibri"/>
                <w:noProof/>
                <w:color w:val="000000"/>
                <w:sz w:val="22"/>
              </w:rPr>
            </w:pPr>
          </w:p>
        </w:tc>
        <w:tc>
          <w:tcPr>
            <w:tcW w:w="2230" w:type="dxa"/>
            <w:gridSpan w:val="2"/>
            <w:tcBorders>
              <w:top w:val="single" w:sz="4" w:space="0" w:color="000000"/>
              <w:left w:val="nil"/>
              <w:bottom w:val="single" w:sz="4" w:space="0" w:color="000000"/>
              <w:right w:val="single" w:sz="4" w:space="0" w:color="000000"/>
            </w:tcBorders>
            <w:shd w:val="clear" w:color="auto" w:fill="auto"/>
            <w:vAlign w:val="center"/>
            <w:hideMark/>
          </w:tcPr>
          <w:p w14:paraId="35602989"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2230" w:type="dxa"/>
            <w:gridSpan w:val="2"/>
            <w:tcBorders>
              <w:top w:val="single" w:sz="4" w:space="0" w:color="000000"/>
              <w:left w:val="nil"/>
              <w:bottom w:val="single" w:sz="4" w:space="0" w:color="000000"/>
              <w:right w:val="single" w:sz="4" w:space="0" w:color="000000"/>
            </w:tcBorders>
            <w:shd w:val="clear" w:color="auto" w:fill="auto"/>
            <w:vAlign w:val="center"/>
            <w:hideMark/>
          </w:tcPr>
          <w:p w14:paraId="45262D6F"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2230" w:type="dxa"/>
            <w:gridSpan w:val="2"/>
            <w:vMerge/>
            <w:tcBorders>
              <w:top w:val="single" w:sz="8" w:space="0" w:color="000000"/>
              <w:left w:val="single" w:sz="4" w:space="0" w:color="000000"/>
              <w:bottom w:val="single" w:sz="4" w:space="0" w:color="000000"/>
              <w:right w:val="single" w:sz="4" w:space="0" w:color="000000"/>
            </w:tcBorders>
            <w:vAlign w:val="center"/>
            <w:hideMark/>
          </w:tcPr>
          <w:p w14:paraId="64A9CBCC" w14:textId="77777777" w:rsidR="00D37F2D" w:rsidRPr="00C3707B" w:rsidRDefault="00D37F2D">
            <w:pPr>
              <w:spacing w:before="0" w:after="0"/>
              <w:jc w:val="left"/>
              <w:rPr>
                <w:rFonts w:eastAsia="Times New Roman"/>
                <w:b/>
                <w:bCs/>
                <w:noProof/>
                <w:color w:val="000000"/>
                <w:sz w:val="18"/>
                <w:szCs w:val="18"/>
                <w:lang w:eastAsia="en-IE"/>
              </w:rPr>
            </w:pPr>
          </w:p>
        </w:tc>
      </w:tr>
      <w:tr w:rsidR="00D37F2D" w:rsidRPr="00C3707B" w14:paraId="117612DE" w14:textId="77777777">
        <w:trPr>
          <w:trHeight w:val="1324"/>
        </w:trPr>
        <w:tc>
          <w:tcPr>
            <w:tcW w:w="2997" w:type="dxa"/>
            <w:tcBorders>
              <w:top w:val="nil"/>
              <w:left w:val="single" w:sz="8" w:space="0" w:color="000000"/>
              <w:bottom w:val="single" w:sz="4" w:space="0" w:color="000000"/>
              <w:right w:val="single" w:sz="4" w:space="0" w:color="000000"/>
            </w:tcBorders>
            <w:shd w:val="clear" w:color="auto" w:fill="auto"/>
            <w:vAlign w:val="bottom"/>
            <w:hideMark/>
          </w:tcPr>
          <w:p w14:paraId="45813884" w14:textId="77777777" w:rsidR="00D37F2D" w:rsidRPr="00C3707B" w:rsidRDefault="00D37F2D">
            <w:pPr>
              <w:spacing w:before="0" w:after="0"/>
              <w:jc w:val="left"/>
              <w:rPr>
                <w:rFonts w:ascii="Calibri" w:eastAsia="Times New Roman" w:hAnsi="Calibri" w:cs="Calibri"/>
                <w:noProof/>
                <w:color w:val="000000"/>
                <w:sz w:val="22"/>
              </w:rPr>
            </w:pPr>
            <w:r w:rsidRPr="00160A33">
              <w:rPr>
                <w:rFonts w:ascii="Calibri" w:hAnsi="Calibri"/>
                <w:noProof/>
                <w:color w:val="000000"/>
                <w:sz w:val="22"/>
              </w:rPr>
              <w:t>06</w:t>
            </w:r>
            <w:r w:rsidRPr="00C3707B">
              <w:rPr>
                <w:rFonts w:ascii="Calibri" w:hAnsi="Calibri"/>
                <w:noProof/>
                <w:color w:val="000000"/>
                <w:sz w:val="22"/>
              </w:rPr>
              <w:t xml:space="preserve"> </w:t>
            </w:r>
            <w:r w:rsidRPr="00160A33">
              <w:rPr>
                <w:rFonts w:ascii="Calibri" w:hAnsi="Calibri"/>
                <w:noProof/>
                <w:color w:val="000000"/>
                <w:sz w:val="22"/>
              </w:rPr>
              <w:t>10</w:t>
            </w:r>
            <w:r w:rsidRPr="00C3707B">
              <w:rPr>
                <w:rFonts w:ascii="Calibri" w:hAnsi="Calibri"/>
                <w:noProof/>
                <w:color w:val="000000"/>
                <w:sz w:val="22"/>
              </w:rPr>
              <w:t xml:space="preserve"> </w:t>
            </w:r>
            <w:r w:rsidRPr="00160A33">
              <w:rPr>
                <w:rFonts w:ascii="Calibri" w:hAnsi="Calibri"/>
                <w:noProof/>
                <w:color w:val="000000"/>
                <w:sz w:val="22"/>
              </w:rPr>
              <w:t>03</w:t>
            </w:r>
            <w:r w:rsidRPr="00C3707B">
              <w:rPr>
                <w:rFonts w:ascii="Calibri" w:hAnsi="Calibri"/>
                <w:noProof/>
                <w:color w:val="000000"/>
                <w:sz w:val="22"/>
              </w:rPr>
              <w:t xml:space="preserve"> Bijdrage van de Unie aan het Europees Geneesmiddelenbureau</w:t>
            </w:r>
          </w:p>
        </w:tc>
        <w:tc>
          <w:tcPr>
            <w:tcW w:w="9062"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09620C14" w14:textId="77777777" w:rsidR="00D37F2D" w:rsidRPr="00C3707B" w:rsidRDefault="00D37F2D">
            <w:pPr>
              <w:spacing w:before="0" w:after="0"/>
              <w:jc w:val="left"/>
              <w:rPr>
                <w:rFonts w:eastAsia="Times New Roman"/>
                <w:b/>
                <w:bCs/>
                <w:noProof/>
                <w:color w:val="000000"/>
                <w:sz w:val="18"/>
                <w:szCs w:val="18"/>
              </w:rPr>
            </w:pPr>
            <w:r w:rsidRPr="00C3707B">
              <w:rPr>
                <w:b/>
                <w:noProof/>
                <w:color w:val="000000"/>
                <w:sz w:val="18"/>
              </w:rPr>
              <w:t>OUTPUTS</w:t>
            </w:r>
          </w:p>
        </w:tc>
      </w:tr>
      <w:tr w:rsidR="00D37F2D" w:rsidRPr="00C3707B" w14:paraId="14E5D01B" w14:textId="77777777">
        <w:trPr>
          <w:trHeight w:val="529"/>
        </w:trPr>
        <w:tc>
          <w:tcPr>
            <w:tcW w:w="2997" w:type="dxa"/>
            <w:tcBorders>
              <w:top w:val="nil"/>
              <w:left w:val="single" w:sz="8" w:space="0" w:color="000000"/>
              <w:bottom w:val="nil"/>
              <w:right w:val="single" w:sz="4" w:space="0" w:color="000000"/>
            </w:tcBorders>
            <w:shd w:val="clear" w:color="auto" w:fill="auto"/>
            <w:noWrap/>
            <w:vAlign w:val="bottom"/>
            <w:hideMark/>
          </w:tcPr>
          <w:p w14:paraId="79BE7994" w14:textId="32E3F8B0" w:rsidR="00D37F2D" w:rsidRPr="00C3707B" w:rsidRDefault="00D37F2D">
            <w:pPr>
              <w:spacing w:before="0" w:after="0"/>
              <w:jc w:val="left"/>
              <w:rPr>
                <w:rFonts w:ascii="Calibri" w:eastAsia="Times New Roman" w:hAnsi="Calibri" w:cs="Calibri"/>
                <w:noProof/>
                <w:color w:val="000000"/>
                <w:sz w:val="22"/>
              </w:rPr>
            </w:pPr>
          </w:p>
        </w:tc>
        <w:tc>
          <w:tcPr>
            <w:tcW w:w="1254" w:type="dxa"/>
            <w:tcBorders>
              <w:top w:val="nil"/>
              <w:left w:val="nil"/>
              <w:bottom w:val="nil"/>
              <w:right w:val="single" w:sz="4" w:space="0" w:color="000000"/>
            </w:tcBorders>
            <w:shd w:val="clear" w:color="auto" w:fill="auto"/>
            <w:noWrap/>
            <w:vAlign w:val="center"/>
            <w:hideMark/>
          </w:tcPr>
          <w:p w14:paraId="1B4B260B"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Soort</w:t>
            </w:r>
          </w:p>
        </w:tc>
        <w:tc>
          <w:tcPr>
            <w:tcW w:w="1115" w:type="dxa"/>
            <w:tcBorders>
              <w:top w:val="nil"/>
              <w:left w:val="nil"/>
              <w:bottom w:val="nil"/>
              <w:right w:val="single" w:sz="4" w:space="0" w:color="000000"/>
            </w:tcBorders>
            <w:shd w:val="clear" w:color="auto" w:fill="auto"/>
            <w:vAlign w:val="center"/>
            <w:hideMark/>
          </w:tcPr>
          <w:p w14:paraId="2CFF3077"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Gem. kosten</w:t>
            </w:r>
          </w:p>
        </w:tc>
        <w:tc>
          <w:tcPr>
            <w:tcW w:w="795" w:type="dxa"/>
            <w:tcBorders>
              <w:top w:val="nil"/>
              <w:left w:val="nil"/>
              <w:bottom w:val="nil"/>
              <w:right w:val="single" w:sz="4" w:space="0" w:color="000000"/>
            </w:tcBorders>
            <w:shd w:val="clear" w:color="auto" w:fill="auto"/>
            <w:noWrap/>
            <w:vAlign w:val="center"/>
            <w:hideMark/>
          </w:tcPr>
          <w:p w14:paraId="54F30F1C"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434" w:type="dxa"/>
            <w:tcBorders>
              <w:top w:val="nil"/>
              <w:left w:val="nil"/>
              <w:bottom w:val="nil"/>
              <w:right w:val="single" w:sz="4" w:space="0" w:color="000000"/>
            </w:tcBorders>
            <w:shd w:val="clear" w:color="auto" w:fill="auto"/>
            <w:noWrap/>
            <w:vAlign w:val="center"/>
            <w:hideMark/>
          </w:tcPr>
          <w:p w14:paraId="0B9782C3"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c>
          <w:tcPr>
            <w:tcW w:w="795" w:type="dxa"/>
            <w:tcBorders>
              <w:top w:val="nil"/>
              <w:left w:val="nil"/>
              <w:bottom w:val="nil"/>
              <w:right w:val="single" w:sz="4" w:space="0" w:color="000000"/>
            </w:tcBorders>
            <w:shd w:val="clear" w:color="auto" w:fill="auto"/>
            <w:noWrap/>
            <w:vAlign w:val="center"/>
            <w:hideMark/>
          </w:tcPr>
          <w:p w14:paraId="4E80214B"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434" w:type="dxa"/>
            <w:tcBorders>
              <w:top w:val="nil"/>
              <w:left w:val="nil"/>
              <w:bottom w:val="nil"/>
              <w:right w:val="single" w:sz="4" w:space="0" w:color="000000"/>
            </w:tcBorders>
            <w:shd w:val="clear" w:color="auto" w:fill="auto"/>
            <w:noWrap/>
            <w:vAlign w:val="center"/>
            <w:hideMark/>
          </w:tcPr>
          <w:p w14:paraId="248A2BC4"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c>
          <w:tcPr>
            <w:tcW w:w="795" w:type="dxa"/>
            <w:tcBorders>
              <w:top w:val="nil"/>
              <w:left w:val="nil"/>
              <w:bottom w:val="nil"/>
              <w:right w:val="single" w:sz="4" w:space="0" w:color="000000"/>
            </w:tcBorders>
            <w:shd w:val="clear" w:color="auto" w:fill="auto"/>
            <w:noWrap/>
            <w:vAlign w:val="center"/>
            <w:hideMark/>
          </w:tcPr>
          <w:p w14:paraId="63BDB8CC"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Aantal</w:t>
            </w:r>
          </w:p>
        </w:tc>
        <w:tc>
          <w:tcPr>
            <w:tcW w:w="1434" w:type="dxa"/>
            <w:tcBorders>
              <w:top w:val="nil"/>
              <w:left w:val="nil"/>
              <w:bottom w:val="nil"/>
              <w:right w:val="single" w:sz="4" w:space="0" w:color="000000"/>
            </w:tcBorders>
            <w:shd w:val="clear" w:color="auto" w:fill="auto"/>
            <w:noWrap/>
            <w:vAlign w:val="center"/>
            <w:hideMark/>
          </w:tcPr>
          <w:p w14:paraId="0067459A"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Kosten</w:t>
            </w:r>
          </w:p>
        </w:tc>
      </w:tr>
      <w:tr w:rsidR="00D37F2D" w:rsidRPr="00C3707B" w14:paraId="331F5A2D" w14:textId="77777777">
        <w:trPr>
          <w:trHeight w:val="331"/>
        </w:trPr>
        <w:tc>
          <w:tcPr>
            <w:tcW w:w="12059" w:type="dxa"/>
            <w:gridSpan w:val="9"/>
            <w:tcBorders>
              <w:top w:val="single" w:sz="4" w:space="0" w:color="000000"/>
              <w:left w:val="single" w:sz="8" w:space="0" w:color="000000"/>
              <w:bottom w:val="single" w:sz="4" w:space="0" w:color="000000"/>
              <w:right w:val="nil"/>
            </w:tcBorders>
            <w:shd w:val="clear" w:color="auto" w:fill="auto"/>
            <w:noWrap/>
            <w:vAlign w:val="bottom"/>
            <w:hideMark/>
          </w:tcPr>
          <w:p w14:paraId="4F6D6743"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DOELSTELLING nr. </w:t>
            </w:r>
            <w:r w:rsidRPr="00160A33">
              <w:rPr>
                <w:noProof/>
                <w:color w:val="000000"/>
                <w:sz w:val="18"/>
              </w:rPr>
              <w:t>1</w:t>
            </w:r>
            <w:r w:rsidRPr="00C3707B">
              <w:rPr>
                <w:noProof/>
                <w:color w:val="000000"/>
                <w:sz w:val="18"/>
              </w:rPr>
              <w:t>: Voorzieningszekerheid en beschikbaarheid van kritieke geneesmiddelen</w:t>
            </w:r>
          </w:p>
        </w:tc>
      </w:tr>
      <w:tr w:rsidR="00D37F2D" w:rsidRPr="00C3707B" w14:paraId="20DE3616" w14:textId="77777777">
        <w:trPr>
          <w:trHeight w:val="546"/>
        </w:trPr>
        <w:tc>
          <w:tcPr>
            <w:tcW w:w="2997" w:type="dxa"/>
            <w:tcBorders>
              <w:top w:val="nil"/>
              <w:left w:val="single" w:sz="8" w:space="0" w:color="000000"/>
              <w:bottom w:val="single" w:sz="4" w:space="0" w:color="000000"/>
              <w:right w:val="single" w:sz="4" w:space="0" w:color="000000"/>
            </w:tcBorders>
            <w:shd w:val="clear" w:color="auto" w:fill="auto"/>
            <w:vAlign w:val="bottom"/>
            <w:hideMark/>
          </w:tcPr>
          <w:p w14:paraId="54D33E6C"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A. Het faciliteren van investeringen in productiecapaciteit </w:t>
            </w:r>
          </w:p>
        </w:tc>
        <w:tc>
          <w:tcPr>
            <w:tcW w:w="1254" w:type="dxa"/>
            <w:tcBorders>
              <w:top w:val="nil"/>
              <w:left w:val="single" w:sz="8" w:space="0" w:color="000000"/>
              <w:bottom w:val="single" w:sz="4" w:space="0" w:color="000000"/>
              <w:right w:val="single" w:sz="4" w:space="0" w:color="000000"/>
            </w:tcBorders>
            <w:shd w:val="clear" w:color="auto" w:fill="auto"/>
            <w:vAlign w:val="bottom"/>
            <w:hideMark/>
          </w:tcPr>
          <w:p w14:paraId="470E996A"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Personeelskosten EMA</w:t>
            </w:r>
          </w:p>
        </w:tc>
        <w:tc>
          <w:tcPr>
            <w:tcW w:w="1115" w:type="dxa"/>
            <w:tcBorders>
              <w:top w:val="nil"/>
              <w:left w:val="nil"/>
              <w:bottom w:val="single" w:sz="4" w:space="0" w:color="000000"/>
              <w:right w:val="single" w:sz="4" w:space="0" w:color="000000"/>
            </w:tcBorders>
            <w:shd w:val="clear" w:color="auto" w:fill="auto"/>
            <w:noWrap/>
            <w:vAlign w:val="bottom"/>
            <w:hideMark/>
          </w:tcPr>
          <w:p w14:paraId="16204BBB" w14:textId="206FD1FE" w:rsidR="00D37F2D" w:rsidRPr="00C3707B" w:rsidRDefault="00D37F2D">
            <w:pPr>
              <w:spacing w:before="0" w:after="0"/>
              <w:jc w:val="left"/>
              <w:rPr>
                <w:rFonts w:eastAsia="Times New Roman"/>
                <w:noProof/>
                <w:color w:val="000000"/>
                <w:sz w:val="18"/>
                <w:szCs w:val="18"/>
              </w:rPr>
            </w:pPr>
          </w:p>
        </w:tc>
        <w:tc>
          <w:tcPr>
            <w:tcW w:w="795" w:type="dxa"/>
            <w:tcBorders>
              <w:top w:val="nil"/>
              <w:left w:val="nil"/>
              <w:bottom w:val="single" w:sz="4" w:space="0" w:color="000000"/>
              <w:right w:val="single" w:sz="4" w:space="0" w:color="000000"/>
            </w:tcBorders>
            <w:shd w:val="clear" w:color="auto" w:fill="auto"/>
            <w:noWrap/>
            <w:vAlign w:val="bottom"/>
            <w:hideMark/>
          </w:tcPr>
          <w:p w14:paraId="7005FEB3" w14:textId="49C218B0"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31091AF4"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524</w:t>
            </w:r>
          </w:p>
        </w:tc>
        <w:tc>
          <w:tcPr>
            <w:tcW w:w="795" w:type="dxa"/>
            <w:tcBorders>
              <w:top w:val="nil"/>
              <w:left w:val="nil"/>
              <w:bottom w:val="single" w:sz="4" w:space="0" w:color="000000"/>
              <w:right w:val="single" w:sz="4" w:space="0" w:color="000000"/>
            </w:tcBorders>
            <w:shd w:val="clear" w:color="auto" w:fill="auto"/>
            <w:noWrap/>
            <w:vAlign w:val="bottom"/>
            <w:hideMark/>
          </w:tcPr>
          <w:p w14:paraId="455BDB48" w14:textId="25FCFAEF"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6FF82E6C"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628</w:t>
            </w:r>
          </w:p>
        </w:tc>
        <w:tc>
          <w:tcPr>
            <w:tcW w:w="795" w:type="dxa"/>
            <w:tcBorders>
              <w:top w:val="nil"/>
              <w:left w:val="nil"/>
              <w:bottom w:val="single" w:sz="4" w:space="0" w:color="000000"/>
              <w:right w:val="single" w:sz="4" w:space="0" w:color="000000"/>
            </w:tcBorders>
            <w:shd w:val="clear" w:color="000000" w:fill="F2F2F2"/>
            <w:noWrap/>
            <w:vAlign w:val="bottom"/>
            <w:hideMark/>
          </w:tcPr>
          <w:p w14:paraId="1F19DA33"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3DD49ED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1</w:t>
            </w:r>
            <w:r w:rsidRPr="00C3707B">
              <w:rPr>
                <w:b/>
                <w:noProof/>
                <w:color w:val="000000"/>
                <w:sz w:val="18"/>
              </w:rPr>
              <w:t>,</w:t>
            </w:r>
            <w:r w:rsidRPr="00160A33">
              <w:rPr>
                <w:b/>
                <w:noProof/>
                <w:color w:val="000000"/>
                <w:sz w:val="18"/>
              </w:rPr>
              <w:t>152</w:t>
            </w:r>
          </w:p>
        </w:tc>
      </w:tr>
      <w:tr w:rsidR="00D37F2D" w:rsidRPr="00C3707B" w14:paraId="1B3356DA" w14:textId="77777777">
        <w:trPr>
          <w:trHeight w:val="546"/>
        </w:trPr>
        <w:tc>
          <w:tcPr>
            <w:tcW w:w="2997" w:type="dxa"/>
            <w:tcBorders>
              <w:top w:val="nil"/>
              <w:left w:val="single" w:sz="8" w:space="0" w:color="000000"/>
              <w:bottom w:val="single" w:sz="4" w:space="0" w:color="000000"/>
              <w:right w:val="single" w:sz="4" w:space="0" w:color="000000"/>
            </w:tcBorders>
            <w:shd w:val="clear" w:color="auto" w:fill="auto"/>
            <w:vAlign w:val="bottom"/>
            <w:hideMark/>
          </w:tcPr>
          <w:p w14:paraId="07CDA244"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A. Het faciliteren van investeringen in productiecapaciteit</w:t>
            </w:r>
          </w:p>
        </w:tc>
        <w:tc>
          <w:tcPr>
            <w:tcW w:w="1254" w:type="dxa"/>
            <w:tcBorders>
              <w:top w:val="nil"/>
              <w:left w:val="nil"/>
              <w:bottom w:val="single" w:sz="4" w:space="0" w:color="000000"/>
              <w:right w:val="single" w:sz="4" w:space="0" w:color="000000"/>
            </w:tcBorders>
            <w:shd w:val="clear" w:color="auto" w:fill="auto"/>
            <w:noWrap/>
            <w:vAlign w:val="bottom"/>
            <w:hideMark/>
          </w:tcPr>
          <w:p w14:paraId="76D6CDFC"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IT</w:t>
            </w:r>
          </w:p>
        </w:tc>
        <w:tc>
          <w:tcPr>
            <w:tcW w:w="1115" w:type="dxa"/>
            <w:tcBorders>
              <w:top w:val="nil"/>
              <w:left w:val="nil"/>
              <w:bottom w:val="single" w:sz="4" w:space="0" w:color="000000"/>
              <w:right w:val="single" w:sz="4" w:space="0" w:color="000000"/>
            </w:tcBorders>
            <w:shd w:val="clear" w:color="auto" w:fill="auto"/>
            <w:noWrap/>
            <w:vAlign w:val="bottom"/>
            <w:hideMark/>
          </w:tcPr>
          <w:p w14:paraId="29A94119" w14:textId="713CF4A0" w:rsidR="00D37F2D" w:rsidRPr="00C3707B" w:rsidRDefault="00D37F2D">
            <w:pPr>
              <w:spacing w:before="0" w:after="0"/>
              <w:jc w:val="left"/>
              <w:rPr>
                <w:rFonts w:eastAsia="Times New Roman"/>
                <w:noProof/>
                <w:color w:val="000000"/>
                <w:sz w:val="18"/>
                <w:szCs w:val="18"/>
              </w:rPr>
            </w:pPr>
          </w:p>
        </w:tc>
        <w:tc>
          <w:tcPr>
            <w:tcW w:w="795" w:type="dxa"/>
            <w:tcBorders>
              <w:top w:val="nil"/>
              <w:left w:val="nil"/>
              <w:bottom w:val="single" w:sz="4" w:space="0" w:color="000000"/>
              <w:right w:val="single" w:sz="4" w:space="0" w:color="000000"/>
            </w:tcBorders>
            <w:shd w:val="clear" w:color="auto" w:fill="auto"/>
            <w:noWrap/>
            <w:vAlign w:val="bottom"/>
            <w:hideMark/>
          </w:tcPr>
          <w:p w14:paraId="5D331BFF" w14:textId="15E14698"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0CC5DD28"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100</w:t>
            </w:r>
          </w:p>
        </w:tc>
        <w:tc>
          <w:tcPr>
            <w:tcW w:w="795" w:type="dxa"/>
            <w:tcBorders>
              <w:top w:val="nil"/>
              <w:left w:val="nil"/>
              <w:bottom w:val="single" w:sz="4" w:space="0" w:color="000000"/>
              <w:right w:val="single" w:sz="4" w:space="0" w:color="000000"/>
            </w:tcBorders>
            <w:shd w:val="clear" w:color="auto" w:fill="auto"/>
            <w:noWrap/>
            <w:vAlign w:val="bottom"/>
            <w:hideMark/>
          </w:tcPr>
          <w:p w14:paraId="1DC20101" w14:textId="7EADAE05"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36AD430E"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102</w:t>
            </w:r>
          </w:p>
        </w:tc>
        <w:tc>
          <w:tcPr>
            <w:tcW w:w="795" w:type="dxa"/>
            <w:tcBorders>
              <w:top w:val="nil"/>
              <w:left w:val="nil"/>
              <w:bottom w:val="single" w:sz="4" w:space="0" w:color="000000"/>
              <w:right w:val="single" w:sz="4" w:space="0" w:color="000000"/>
            </w:tcBorders>
            <w:shd w:val="clear" w:color="000000" w:fill="F2F2F2"/>
            <w:noWrap/>
            <w:vAlign w:val="bottom"/>
            <w:hideMark/>
          </w:tcPr>
          <w:p w14:paraId="2FF232B3"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798FC2DB"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202</w:t>
            </w:r>
          </w:p>
        </w:tc>
      </w:tr>
      <w:tr w:rsidR="00D37F2D" w:rsidRPr="00C3707B" w14:paraId="6A8B8F91" w14:textId="77777777">
        <w:trPr>
          <w:trHeight w:val="546"/>
        </w:trPr>
        <w:tc>
          <w:tcPr>
            <w:tcW w:w="2997" w:type="dxa"/>
            <w:tcBorders>
              <w:top w:val="nil"/>
              <w:left w:val="single" w:sz="8" w:space="0" w:color="000000"/>
              <w:bottom w:val="single" w:sz="4" w:space="0" w:color="000000"/>
              <w:right w:val="single" w:sz="4" w:space="0" w:color="000000"/>
            </w:tcBorders>
            <w:shd w:val="clear" w:color="auto" w:fill="auto"/>
            <w:vAlign w:val="bottom"/>
            <w:hideMark/>
          </w:tcPr>
          <w:p w14:paraId="1B97B673"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 xml:space="preserve">A. Het faciliteren van investeringen in productiecapaciteit </w:t>
            </w:r>
          </w:p>
        </w:tc>
        <w:tc>
          <w:tcPr>
            <w:tcW w:w="1254" w:type="dxa"/>
            <w:tcBorders>
              <w:top w:val="nil"/>
              <w:left w:val="nil"/>
              <w:bottom w:val="single" w:sz="4" w:space="0" w:color="000000"/>
              <w:right w:val="single" w:sz="4" w:space="0" w:color="000000"/>
            </w:tcBorders>
            <w:shd w:val="clear" w:color="auto" w:fill="auto"/>
            <w:noWrap/>
            <w:vAlign w:val="bottom"/>
            <w:hideMark/>
          </w:tcPr>
          <w:p w14:paraId="263F17AC" w14:textId="13B711AE" w:rsidR="00D37F2D" w:rsidRPr="00C3707B" w:rsidRDefault="00D37F2D">
            <w:pPr>
              <w:spacing w:before="0" w:after="0"/>
              <w:jc w:val="left"/>
              <w:rPr>
                <w:rFonts w:eastAsia="Times New Roman"/>
                <w:noProof/>
                <w:color w:val="000000"/>
                <w:sz w:val="18"/>
                <w:szCs w:val="18"/>
              </w:rPr>
            </w:pPr>
            <w:r w:rsidRPr="00C3707B">
              <w:rPr>
                <w:noProof/>
                <w:color w:val="000000"/>
                <w:sz w:val="18"/>
              </w:rPr>
              <w:t>Vergaderingen</w:t>
            </w:r>
          </w:p>
        </w:tc>
        <w:tc>
          <w:tcPr>
            <w:tcW w:w="1115" w:type="dxa"/>
            <w:tcBorders>
              <w:top w:val="nil"/>
              <w:left w:val="nil"/>
              <w:bottom w:val="single" w:sz="4" w:space="0" w:color="000000"/>
              <w:right w:val="single" w:sz="4" w:space="0" w:color="000000"/>
            </w:tcBorders>
            <w:shd w:val="clear" w:color="auto" w:fill="auto"/>
            <w:noWrap/>
            <w:vAlign w:val="bottom"/>
            <w:hideMark/>
          </w:tcPr>
          <w:p w14:paraId="5D7BD64F" w14:textId="3BCC7514" w:rsidR="00D37F2D" w:rsidRPr="00C3707B" w:rsidRDefault="00D37F2D">
            <w:pPr>
              <w:spacing w:before="0" w:after="0"/>
              <w:jc w:val="left"/>
              <w:rPr>
                <w:rFonts w:eastAsia="Times New Roman"/>
                <w:noProof/>
                <w:color w:val="000000"/>
                <w:sz w:val="18"/>
                <w:szCs w:val="18"/>
              </w:rPr>
            </w:pPr>
          </w:p>
        </w:tc>
        <w:tc>
          <w:tcPr>
            <w:tcW w:w="795" w:type="dxa"/>
            <w:tcBorders>
              <w:top w:val="nil"/>
              <w:left w:val="nil"/>
              <w:bottom w:val="single" w:sz="4" w:space="0" w:color="000000"/>
              <w:right w:val="single" w:sz="4" w:space="0" w:color="000000"/>
            </w:tcBorders>
            <w:shd w:val="clear" w:color="auto" w:fill="auto"/>
            <w:noWrap/>
            <w:vAlign w:val="bottom"/>
            <w:hideMark/>
          </w:tcPr>
          <w:p w14:paraId="72D970B5" w14:textId="7F1F183D"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1AC5D20F"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027</w:t>
            </w:r>
          </w:p>
        </w:tc>
        <w:tc>
          <w:tcPr>
            <w:tcW w:w="795" w:type="dxa"/>
            <w:tcBorders>
              <w:top w:val="nil"/>
              <w:left w:val="nil"/>
              <w:bottom w:val="single" w:sz="4" w:space="0" w:color="000000"/>
              <w:right w:val="single" w:sz="4" w:space="0" w:color="000000"/>
            </w:tcBorders>
            <w:shd w:val="clear" w:color="auto" w:fill="auto"/>
            <w:noWrap/>
            <w:vAlign w:val="bottom"/>
            <w:hideMark/>
          </w:tcPr>
          <w:p w14:paraId="32183821" w14:textId="7FF1EF7F" w:rsidR="00D37F2D" w:rsidRPr="00C3707B" w:rsidRDefault="00D37F2D">
            <w:pPr>
              <w:spacing w:before="0" w:after="0"/>
              <w:jc w:val="left"/>
              <w:rPr>
                <w:rFonts w:eastAsia="Times New Roman"/>
                <w:noProof/>
                <w:color w:val="000000"/>
                <w:sz w:val="18"/>
                <w:szCs w:val="18"/>
              </w:rPr>
            </w:pPr>
          </w:p>
        </w:tc>
        <w:tc>
          <w:tcPr>
            <w:tcW w:w="1434" w:type="dxa"/>
            <w:tcBorders>
              <w:top w:val="nil"/>
              <w:left w:val="nil"/>
              <w:bottom w:val="single" w:sz="4" w:space="0" w:color="000000"/>
              <w:right w:val="single" w:sz="4" w:space="0" w:color="000000"/>
            </w:tcBorders>
            <w:shd w:val="clear" w:color="auto" w:fill="auto"/>
            <w:noWrap/>
            <w:vAlign w:val="bottom"/>
            <w:hideMark/>
          </w:tcPr>
          <w:p w14:paraId="662E2A0B" w14:textId="77777777" w:rsidR="00D37F2D" w:rsidRPr="00C3707B" w:rsidRDefault="00D37F2D">
            <w:pPr>
              <w:spacing w:before="0" w:after="0"/>
              <w:jc w:val="right"/>
              <w:rPr>
                <w:rFonts w:eastAsia="Times New Roman"/>
                <w:noProof/>
                <w:color w:val="000000"/>
                <w:sz w:val="18"/>
                <w:szCs w:val="18"/>
              </w:rPr>
            </w:pPr>
            <w:r w:rsidRPr="00160A33">
              <w:rPr>
                <w:noProof/>
                <w:color w:val="000000"/>
                <w:sz w:val="18"/>
              </w:rPr>
              <w:t>0</w:t>
            </w:r>
            <w:r w:rsidRPr="00C3707B">
              <w:rPr>
                <w:noProof/>
                <w:color w:val="000000"/>
                <w:sz w:val="18"/>
              </w:rPr>
              <w:t>,</w:t>
            </w:r>
            <w:r w:rsidRPr="00160A33">
              <w:rPr>
                <w:noProof/>
                <w:color w:val="000000"/>
                <w:sz w:val="18"/>
              </w:rPr>
              <w:t>028</w:t>
            </w:r>
          </w:p>
        </w:tc>
        <w:tc>
          <w:tcPr>
            <w:tcW w:w="795" w:type="dxa"/>
            <w:tcBorders>
              <w:top w:val="nil"/>
              <w:left w:val="nil"/>
              <w:bottom w:val="single" w:sz="4" w:space="0" w:color="000000"/>
              <w:right w:val="single" w:sz="4" w:space="0" w:color="000000"/>
            </w:tcBorders>
            <w:shd w:val="clear" w:color="000000" w:fill="F2F2F2"/>
            <w:noWrap/>
            <w:vAlign w:val="bottom"/>
            <w:hideMark/>
          </w:tcPr>
          <w:p w14:paraId="140FE2F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40828741"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055</w:t>
            </w:r>
          </w:p>
        </w:tc>
      </w:tr>
      <w:tr w:rsidR="00D37F2D" w:rsidRPr="00C3707B" w14:paraId="4BCF9A53" w14:textId="77777777">
        <w:trPr>
          <w:trHeight w:val="331"/>
        </w:trPr>
        <w:tc>
          <w:tcPr>
            <w:tcW w:w="5367" w:type="dxa"/>
            <w:gridSpan w:val="3"/>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070FAE68" w14:textId="77777777" w:rsidR="00D37F2D" w:rsidRPr="00C3707B" w:rsidRDefault="00D37F2D">
            <w:pPr>
              <w:spacing w:before="0" w:after="0"/>
              <w:jc w:val="left"/>
              <w:rPr>
                <w:rFonts w:eastAsia="Times New Roman"/>
                <w:noProof/>
                <w:color w:val="000000"/>
                <w:sz w:val="18"/>
                <w:szCs w:val="18"/>
              </w:rPr>
            </w:pPr>
            <w:r w:rsidRPr="00C3707B">
              <w:rPr>
                <w:noProof/>
                <w:color w:val="000000"/>
                <w:sz w:val="18"/>
              </w:rPr>
              <w:t>Subtotaal voor doelstelling nr. </w:t>
            </w:r>
            <w:r w:rsidRPr="00160A33">
              <w:rPr>
                <w:noProof/>
                <w:color w:val="000000"/>
                <w:sz w:val="18"/>
              </w:rPr>
              <w:t>1</w:t>
            </w:r>
          </w:p>
        </w:tc>
        <w:tc>
          <w:tcPr>
            <w:tcW w:w="795" w:type="dxa"/>
            <w:tcBorders>
              <w:top w:val="nil"/>
              <w:left w:val="nil"/>
              <w:bottom w:val="single" w:sz="4" w:space="0" w:color="000000"/>
              <w:right w:val="single" w:sz="4" w:space="0" w:color="000000"/>
            </w:tcBorders>
            <w:shd w:val="clear" w:color="000000" w:fill="F2F2F2"/>
            <w:noWrap/>
            <w:vAlign w:val="bottom"/>
            <w:hideMark/>
          </w:tcPr>
          <w:p w14:paraId="7FA28180"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184F14C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651</w:t>
            </w:r>
          </w:p>
        </w:tc>
        <w:tc>
          <w:tcPr>
            <w:tcW w:w="795" w:type="dxa"/>
            <w:tcBorders>
              <w:top w:val="nil"/>
              <w:left w:val="nil"/>
              <w:bottom w:val="single" w:sz="4" w:space="0" w:color="000000"/>
              <w:right w:val="single" w:sz="4" w:space="0" w:color="000000"/>
            </w:tcBorders>
            <w:shd w:val="clear" w:color="000000" w:fill="F2F2F2"/>
            <w:noWrap/>
            <w:vAlign w:val="bottom"/>
            <w:hideMark/>
          </w:tcPr>
          <w:p w14:paraId="2CDC9A6A"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261CADF9"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758</w:t>
            </w:r>
          </w:p>
        </w:tc>
        <w:tc>
          <w:tcPr>
            <w:tcW w:w="795" w:type="dxa"/>
            <w:tcBorders>
              <w:top w:val="nil"/>
              <w:left w:val="nil"/>
              <w:bottom w:val="single" w:sz="4" w:space="0" w:color="000000"/>
              <w:right w:val="single" w:sz="4" w:space="0" w:color="000000"/>
            </w:tcBorders>
            <w:shd w:val="clear" w:color="000000" w:fill="F2F2F2"/>
            <w:noWrap/>
            <w:vAlign w:val="bottom"/>
            <w:hideMark/>
          </w:tcPr>
          <w:p w14:paraId="354AFEA7"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4" w:space="0" w:color="000000"/>
              <w:right w:val="single" w:sz="4" w:space="0" w:color="000000"/>
            </w:tcBorders>
            <w:shd w:val="clear" w:color="000000" w:fill="F2F2F2"/>
            <w:noWrap/>
            <w:vAlign w:val="bottom"/>
            <w:hideMark/>
          </w:tcPr>
          <w:p w14:paraId="1918144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1</w:t>
            </w:r>
            <w:r w:rsidRPr="00C3707B">
              <w:rPr>
                <w:b/>
                <w:noProof/>
                <w:color w:val="000000"/>
                <w:sz w:val="18"/>
              </w:rPr>
              <w:t>,</w:t>
            </w:r>
            <w:r w:rsidRPr="00160A33">
              <w:rPr>
                <w:b/>
                <w:noProof/>
                <w:color w:val="000000"/>
                <w:sz w:val="18"/>
              </w:rPr>
              <w:t>408</w:t>
            </w:r>
          </w:p>
        </w:tc>
      </w:tr>
      <w:tr w:rsidR="00D37F2D" w:rsidRPr="00C3707B" w14:paraId="7FA53D46" w14:textId="77777777">
        <w:trPr>
          <w:trHeight w:val="347"/>
        </w:trPr>
        <w:tc>
          <w:tcPr>
            <w:tcW w:w="5367" w:type="dxa"/>
            <w:gridSpan w:val="3"/>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76603F83" w14:textId="77777777" w:rsidR="00D37F2D" w:rsidRPr="00C3707B" w:rsidRDefault="00D37F2D">
            <w:pPr>
              <w:spacing w:before="0" w:after="0"/>
              <w:jc w:val="left"/>
              <w:rPr>
                <w:rFonts w:eastAsia="Times New Roman"/>
                <w:b/>
                <w:bCs/>
                <w:noProof/>
                <w:color w:val="000000"/>
                <w:sz w:val="18"/>
                <w:szCs w:val="18"/>
              </w:rPr>
            </w:pPr>
            <w:r w:rsidRPr="00C3707B">
              <w:rPr>
                <w:b/>
                <w:noProof/>
                <w:color w:val="000000"/>
                <w:sz w:val="18"/>
              </w:rPr>
              <w:t>TOTAAL</w:t>
            </w:r>
          </w:p>
        </w:tc>
        <w:tc>
          <w:tcPr>
            <w:tcW w:w="795" w:type="dxa"/>
            <w:tcBorders>
              <w:top w:val="nil"/>
              <w:left w:val="nil"/>
              <w:bottom w:val="single" w:sz="8" w:space="0" w:color="000000"/>
              <w:right w:val="single" w:sz="4" w:space="0" w:color="000000"/>
            </w:tcBorders>
            <w:shd w:val="clear" w:color="000000" w:fill="F2F2F2"/>
            <w:noWrap/>
            <w:vAlign w:val="bottom"/>
            <w:hideMark/>
          </w:tcPr>
          <w:p w14:paraId="65716AD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8" w:space="0" w:color="000000"/>
              <w:right w:val="single" w:sz="4" w:space="0" w:color="000000"/>
            </w:tcBorders>
            <w:shd w:val="clear" w:color="000000" w:fill="F2F2F2"/>
            <w:noWrap/>
            <w:vAlign w:val="bottom"/>
            <w:hideMark/>
          </w:tcPr>
          <w:p w14:paraId="4B1D9E3D"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651</w:t>
            </w:r>
          </w:p>
        </w:tc>
        <w:tc>
          <w:tcPr>
            <w:tcW w:w="795" w:type="dxa"/>
            <w:tcBorders>
              <w:top w:val="nil"/>
              <w:left w:val="nil"/>
              <w:bottom w:val="single" w:sz="8" w:space="0" w:color="000000"/>
              <w:right w:val="single" w:sz="4" w:space="0" w:color="000000"/>
            </w:tcBorders>
            <w:shd w:val="clear" w:color="000000" w:fill="F2F2F2"/>
            <w:noWrap/>
            <w:vAlign w:val="bottom"/>
            <w:hideMark/>
          </w:tcPr>
          <w:p w14:paraId="4A4C70F6"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8" w:space="0" w:color="000000"/>
              <w:right w:val="single" w:sz="4" w:space="0" w:color="000000"/>
            </w:tcBorders>
            <w:shd w:val="clear" w:color="000000" w:fill="F2F2F2"/>
            <w:noWrap/>
            <w:vAlign w:val="bottom"/>
            <w:hideMark/>
          </w:tcPr>
          <w:p w14:paraId="71966F4C"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r w:rsidRPr="00C3707B">
              <w:rPr>
                <w:b/>
                <w:noProof/>
                <w:color w:val="000000"/>
                <w:sz w:val="18"/>
              </w:rPr>
              <w:t>,</w:t>
            </w:r>
            <w:r w:rsidRPr="00160A33">
              <w:rPr>
                <w:b/>
                <w:noProof/>
                <w:color w:val="000000"/>
                <w:sz w:val="18"/>
              </w:rPr>
              <w:t>758</w:t>
            </w:r>
          </w:p>
        </w:tc>
        <w:tc>
          <w:tcPr>
            <w:tcW w:w="795" w:type="dxa"/>
            <w:tcBorders>
              <w:top w:val="nil"/>
              <w:left w:val="nil"/>
              <w:bottom w:val="single" w:sz="8" w:space="0" w:color="000000"/>
              <w:right w:val="single" w:sz="4" w:space="0" w:color="000000"/>
            </w:tcBorders>
            <w:shd w:val="clear" w:color="000000" w:fill="F2F2F2"/>
            <w:noWrap/>
            <w:vAlign w:val="bottom"/>
            <w:hideMark/>
          </w:tcPr>
          <w:p w14:paraId="33389FF6"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0</w:t>
            </w:r>
          </w:p>
        </w:tc>
        <w:tc>
          <w:tcPr>
            <w:tcW w:w="1434" w:type="dxa"/>
            <w:tcBorders>
              <w:top w:val="nil"/>
              <w:left w:val="nil"/>
              <w:bottom w:val="single" w:sz="8" w:space="0" w:color="000000"/>
              <w:right w:val="single" w:sz="4" w:space="0" w:color="000000"/>
            </w:tcBorders>
            <w:shd w:val="clear" w:color="000000" w:fill="F2F2F2"/>
            <w:noWrap/>
            <w:vAlign w:val="bottom"/>
            <w:hideMark/>
          </w:tcPr>
          <w:p w14:paraId="1E5D62D5" w14:textId="77777777" w:rsidR="00D37F2D" w:rsidRPr="00C3707B" w:rsidRDefault="00D37F2D">
            <w:pPr>
              <w:spacing w:before="0" w:after="0"/>
              <w:jc w:val="right"/>
              <w:rPr>
                <w:rFonts w:eastAsia="Times New Roman"/>
                <w:b/>
                <w:bCs/>
                <w:noProof/>
                <w:color w:val="000000"/>
                <w:sz w:val="18"/>
                <w:szCs w:val="18"/>
              </w:rPr>
            </w:pPr>
            <w:r w:rsidRPr="00160A33">
              <w:rPr>
                <w:b/>
                <w:noProof/>
                <w:color w:val="000000"/>
                <w:sz w:val="18"/>
              </w:rPr>
              <w:t>1</w:t>
            </w:r>
            <w:r w:rsidRPr="00C3707B">
              <w:rPr>
                <w:b/>
                <w:noProof/>
                <w:color w:val="000000"/>
                <w:sz w:val="18"/>
              </w:rPr>
              <w:t>,</w:t>
            </w:r>
            <w:r w:rsidRPr="00160A33">
              <w:rPr>
                <w:b/>
                <w:noProof/>
                <w:color w:val="000000"/>
                <w:sz w:val="18"/>
              </w:rPr>
              <w:t>408</w:t>
            </w:r>
          </w:p>
        </w:tc>
      </w:tr>
    </w:tbl>
    <w:p w14:paraId="012C939B" w14:textId="77777777" w:rsidR="00D37F2D" w:rsidRPr="00C3707B" w:rsidRDefault="00D37F2D" w:rsidP="00D37F2D">
      <w:pPr>
        <w:jc w:val="right"/>
        <w:rPr>
          <w:noProof/>
          <w:sz w:val="18"/>
          <w:szCs w:val="18"/>
        </w:rPr>
      </w:pPr>
    </w:p>
    <w:p w14:paraId="4BECCBB6" w14:textId="77777777" w:rsidR="00D37F2D" w:rsidRPr="00C3707B" w:rsidRDefault="00D37F2D" w:rsidP="00D37F2D">
      <w:pPr>
        <w:rPr>
          <w:noProof/>
        </w:rPr>
        <w:sectPr w:rsidR="00D37F2D" w:rsidRPr="00C3707B" w:rsidSect="00C21E5E">
          <w:headerReference w:type="default" r:id="rId20"/>
          <w:footerReference w:type="default" r:id="rId21"/>
          <w:pgSz w:w="16840" w:h="11907" w:orient="landscape" w:code="9"/>
          <w:pgMar w:top="1134" w:right="1418" w:bottom="567" w:left="1418" w:header="709" w:footer="709" w:gutter="0"/>
          <w:cols w:space="708"/>
          <w:docGrid w:linePitch="360"/>
        </w:sectPr>
      </w:pPr>
    </w:p>
    <w:p w14:paraId="694DBF51" w14:textId="77777777" w:rsidR="00D62518" w:rsidRDefault="00D37F2D" w:rsidP="00D37F2D">
      <w:pPr>
        <w:pStyle w:val="ManualHeading3"/>
        <w:rPr>
          <w:noProof/>
        </w:rPr>
      </w:pPr>
      <w:bookmarkStart w:id="161" w:name="_Toc514938055"/>
      <w:bookmarkStart w:id="162" w:name="_Toc520485054"/>
      <w:bookmarkStart w:id="163" w:name="_Toc160804598"/>
      <w:bookmarkStart w:id="164" w:name="_Toc167220290"/>
      <w:bookmarkStart w:id="165" w:name="_Toc177549023"/>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C3707B">
        <w:rPr>
          <w:noProof/>
        </w:rPr>
        <w:tab/>
        <w:t>Samenvatting van de geraamde gevolgen voor de administratieve kredieten</w:t>
      </w:r>
      <w:bookmarkEnd w:id="161"/>
      <w:bookmarkEnd w:id="162"/>
      <w:bookmarkEnd w:id="163"/>
      <w:bookmarkEnd w:id="164"/>
      <w:bookmarkEnd w:id="165"/>
    </w:p>
    <w:p w14:paraId="3EBB3762" w14:textId="77777777" w:rsidR="00D62518" w:rsidRDefault="00D37F2D" w:rsidP="00D37F2D">
      <w:pPr>
        <w:pStyle w:val="ListDash1"/>
        <w:rPr>
          <w:noProof/>
        </w:rPr>
      </w:pPr>
      <w:r w:rsidRPr="00C3707B">
        <w:rPr>
          <w:rFonts w:ascii="Wingdings" w:hAnsi="Wingdings"/>
          <w:noProof/>
        </w:rPr>
        <w:t></w:t>
      </w:r>
      <w:r w:rsidRPr="00C3707B">
        <w:rPr>
          <w:noProof/>
        </w:rPr>
        <w:tab/>
        <w:t>Voor het voorstel/initiatief zijn geen administratieve kredieten nodig</w:t>
      </w:r>
    </w:p>
    <w:p w14:paraId="72919443" w14:textId="66B166A2" w:rsidR="00D37F2D" w:rsidRPr="00C3707B" w:rsidRDefault="00D37F2D" w:rsidP="00D37F2D">
      <w:pPr>
        <w:pStyle w:val="ListDash1"/>
        <w:rPr>
          <w:noProof/>
        </w:rPr>
      </w:pPr>
      <w:r w:rsidRPr="00C3707B">
        <w:rPr>
          <w:rFonts w:ascii="Wingdings" w:hAnsi="Wingdings"/>
          <w:noProof/>
        </w:rPr>
        <w:t></w:t>
      </w:r>
      <w:r w:rsidRPr="00C3707B">
        <w:rPr>
          <w:noProof/>
        </w:rPr>
        <w:tab/>
        <w:t>Voor het voorstel/initiatief zijn administratieve kredieten nodig, zoals hieronder nader wordt beschreven</w:t>
      </w:r>
    </w:p>
    <w:p w14:paraId="55F1D5CF" w14:textId="77777777" w:rsidR="00D37F2D" w:rsidRPr="00C3707B" w:rsidRDefault="00D37F2D" w:rsidP="00D37F2D">
      <w:pPr>
        <w:pStyle w:val="ManualHeading3"/>
        <w:rPr>
          <w:noProof/>
        </w:rPr>
      </w:pPr>
      <w:bookmarkStart w:id="166" w:name="_Toc167220291"/>
      <w:bookmarkStart w:id="167" w:name="_Toc177549024"/>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160A33">
        <w:rPr>
          <w:noProof/>
        </w:rPr>
        <w:t>1</w:t>
      </w:r>
      <w:r w:rsidRPr="00C3707B">
        <w:rPr>
          <w:noProof/>
        </w:rPr>
        <w:t>. Kredieten uit goedgekeurde begroting</w:t>
      </w:r>
      <w:bookmarkEnd w:id="166"/>
      <w:bookmarkEnd w:id="167"/>
    </w:p>
    <w:p w14:paraId="39A44FA0" w14:textId="77777777" w:rsidR="00D37F2D" w:rsidRPr="00C3707B" w:rsidRDefault="00D37F2D" w:rsidP="00D37F2D">
      <w:pPr>
        <w:jc w:val="right"/>
        <w:rPr>
          <w:noProof/>
          <w:sz w:val="18"/>
          <w:szCs w:val="18"/>
        </w:rPr>
      </w:pPr>
      <w:r w:rsidRPr="00C3707B">
        <w:rPr>
          <w:noProof/>
          <w:sz w:val="18"/>
        </w:rPr>
        <w:t>in miljoenen euro’s (tot op drie decimalen)</w:t>
      </w:r>
    </w:p>
    <w:tbl>
      <w:tblPr>
        <w:tblW w:w="7946" w:type="dxa"/>
        <w:tblInd w:w="118" w:type="dxa"/>
        <w:tblLook w:val="04A0" w:firstRow="1" w:lastRow="0" w:firstColumn="1" w:lastColumn="0" w:noHBand="0" w:noVBand="1"/>
      </w:tblPr>
      <w:tblGrid>
        <w:gridCol w:w="3405"/>
        <w:gridCol w:w="874"/>
        <w:gridCol w:w="893"/>
        <w:gridCol w:w="893"/>
        <w:gridCol w:w="893"/>
        <w:gridCol w:w="988"/>
      </w:tblGrid>
      <w:tr w:rsidR="00D37F2D" w:rsidRPr="00C3707B" w14:paraId="69D62BCD" w14:textId="77777777">
        <w:trPr>
          <w:trHeight w:val="300"/>
        </w:trPr>
        <w:tc>
          <w:tcPr>
            <w:tcW w:w="340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F8F7667"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GOEDGEKEURDE KREDIETEN</w:t>
            </w:r>
          </w:p>
        </w:tc>
        <w:tc>
          <w:tcPr>
            <w:tcW w:w="874" w:type="dxa"/>
            <w:tcBorders>
              <w:top w:val="single" w:sz="8" w:space="0" w:color="auto"/>
              <w:left w:val="nil"/>
              <w:bottom w:val="single" w:sz="8" w:space="0" w:color="auto"/>
              <w:right w:val="single" w:sz="8" w:space="0" w:color="auto"/>
            </w:tcBorders>
            <w:shd w:val="clear" w:color="auto" w:fill="auto"/>
            <w:vAlign w:val="center"/>
            <w:hideMark/>
          </w:tcPr>
          <w:p w14:paraId="6DBE3FFB"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36A9760C"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1E227990"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2B9E3C91"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98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864371"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160A33">
              <w:rPr>
                <w:b/>
                <w:noProof/>
                <w:color w:val="000000"/>
                <w:sz w:val="18"/>
              </w:rPr>
              <w:t>2021</w:t>
            </w:r>
            <w:r w:rsidRPr="00C3707B">
              <w:rPr>
                <w:b/>
                <w:noProof/>
                <w:color w:val="000000"/>
                <w:sz w:val="18"/>
              </w:rPr>
              <w:t>-</w:t>
            </w:r>
            <w:r w:rsidRPr="00160A33">
              <w:rPr>
                <w:b/>
                <w:noProof/>
                <w:color w:val="000000"/>
                <w:sz w:val="18"/>
              </w:rPr>
              <w:t>2027</w:t>
            </w:r>
          </w:p>
        </w:tc>
      </w:tr>
      <w:tr w:rsidR="00D37F2D" w:rsidRPr="00C3707B" w14:paraId="273E0E31" w14:textId="77777777">
        <w:trPr>
          <w:trHeight w:val="315"/>
        </w:trPr>
        <w:tc>
          <w:tcPr>
            <w:tcW w:w="3405" w:type="dxa"/>
            <w:vMerge/>
            <w:tcBorders>
              <w:top w:val="single" w:sz="8" w:space="0" w:color="auto"/>
              <w:left w:val="single" w:sz="8" w:space="0" w:color="auto"/>
              <w:bottom w:val="single" w:sz="8" w:space="0" w:color="auto"/>
              <w:right w:val="single" w:sz="8" w:space="0" w:color="auto"/>
            </w:tcBorders>
            <w:vAlign w:val="center"/>
            <w:hideMark/>
          </w:tcPr>
          <w:p w14:paraId="585B4B16" w14:textId="77777777" w:rsidR="00D37F2D" w:rsidRPr="00C3707B" w:rsidRDefault="00D37F2D">
            <w:pPr>
              <w:spacing w:before="0" w:after="0"/>
              <w:jc w:val="left"/>
              <w:rPr>
                <w:rFonts w:eastAsia="Times New Roman"/>
                <w:b/>
                <w:bCs/>
                <w:noProof/>
                <w:color w:val="000000"/>
                <w:sz w:val="18"/>
                <w:szCs w:val="18"/>
                <w:lang w:eastAsia="en-IE"/>
              </w:rPr>
            </w:pPr>
          </w:p>
        </w:tc>
        <w:tc>
          <w:tcPr>
            <w:tcW w:w="874" w:type="dxa"/>
            <w:tcBorders>
              <w:top w:val="nil"/>
              <w:left w:val="nil"/>
              <w:bottom w:val="single" w:sz="8" w:space="0" w:color="auto"/>
              <w:right w:val="single" w:sz="8" w:space="0" w:color="auto"/>
            </w:tcBorders>
            <w:shd w:val="clear" w:color="auto" w:fill="auto"/>
            <w:vAlign w:val="center"/>
            <w:hideMark/>
          </w:tcPr>
          <w:p w14:paraId="415C6F3F"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2024</w:t>
            </w:r>
          </w:p>
        </w:tc>
        <w:tc>
          <w:tcPr>
            <w:tcW w:w="893" w:type="dxa"/>
            <w:tcBorders>
              <w:top w:val="nil"/>
              <w:left w:val="nil"/>
              <w:bottom w:val="single" w:sz="8" w:space="0" w:color="auto"/>
              <w:right w:val="single" w:sz="8" w:space="0" w:color="auto"/>
            </w:tcBorders>
            <w:shd w:val="clear" w:color="auto" w:fill="auto"/>
            <w:vAlign w:val="center"/>
            <w:hideMark/>
          </w:tcPr>
          <w:p w14:paraId="12249F14"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2025</w:t>
            </w:r>
          </w:p>
        </w:tc>
        <w:tc>
          <w:tcPr>
            <w:tcW w:w="893" w:type="dxa"/>
            <w:tcBorders>
              <w:top w:val="nil"/>
              <w:left w:val="nil"/>
              <w:bottom w:val="single" w:sz="8" w:space="0" w:color="auto"/>
              <w:right w:val="single" w:sz="8" w:space="0" w:color="auto"/>
            </w:tcBorders>
            <w:shd w:val="clear" w:color="auto" w:fill="auto"/>
            <w:vAlign w:val="center"/>
            <w:hideMark/>
          </w:tcPr>
          <w:p w14:paraId="21F777EB"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2026</w:t>
            </w:r>
          </w:p>
        </w:tc>
        <w:tc>
          <w:tcPr>
            <w:tcW w:w="893" w:type="dxa"/>
            <w:tcBorders>
              <w:top w:val="nil"/>
              <w:left w:val="nil"/>
              <w:bottom w:val="single" w:sz="8" w:space="0" w:color="auto"/>
              <w:right w:val="single" w:sz="8" w:space="0" w:color="auto"/>
            </w:tcBorders>
            <w:shd w:val="clear" w:color="auto" w:fill="auto"/>
            <w:vAlign w:val="center"/>
            <w:hideMark/>
          </w:tcPr>
          <w:p w14:paraId="2DC027F2"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2027</w:t>
            </w:r>
          </w:p>
        </w:tc>
        <w:tc>
          <w:tcPr>
            <w:tcW w:w="988" w:type="dxa"/>
            <w:vMerge/>
            <w:tcBorders>
              <w:top w:val="single" w:sz="8" w:space="0" w:color="auto"/>
              <w:left w:val="single" w:sz="8" w:space="0" w:color="auto"/>
              <w:bottom w:val="single" w:sz="8" w:space="0" w:color="auto"/>
              <w:right w:val="single" w:sz="8" w:space="0" w:color="auto"/>
            </w:tcBorders>
            <w:vAlign w:val="center"/>
            <w:hideMark/>
          </w:tcPr>
          <w:p w14:paraId="3FC943E2" w14:textId="77777777" w:rsidR="00D37F2D" w:rsidRPr="00C3707B" w:rsidRDefault="00D37F2D">
            <w:pPr>
              <w:spacing w:before="0" w:after="0"/>
              <w:jc w:val="left"/>
              <w:rPr>
                <w:rFonts w:eastAsia="Times New Roman"/>
                <w:b/>
                <w:bCs/>
                <w:noProof/>
                <w:color w:val="000000"/>
                <w:sz w:val="18"/>
                <w:szCs w:val="18"/>
                <w:lang w:eastAsia="en-IE"/>
              </w:rPr>
            </w:pPr>
          </w:p>
        </w:tc>
      </w:tr>
      <w:tr w:rsidR="00D37F2D" w:rsidRPr="00C3707B" w14:paraId="02A51232" w14:textId="77777777">
        <w:trPr>
          <w:trHeight w:val="781"/>
        </w:trPr>
        <w:tc>
          <w:tcPr>
            <w:tcW w:w="7946" w:type="dxa"/>
            <w:gridSpan w:val="6"/>
            <w:tcBorders>
              <w:top w:val="single" w:sz="8" w:space="0" w:color="auto"/>
              <w:left w:val="single" w:sz="8" w:space="0" w:color="auto"/>
              <w:bottom w:val="single" w:sz="8" w:space="0" w:color="auto"/>
              <w:right w:val="nil"/>
            </w:tcBorders>
            <w:shd w:val="clear" w:color="auto" w:fill="auto"/>
            <w:vAlign w:val="center"/>
            <w:hideMark/>
          </w:tcPr>
          <w:p w14:paraId="12B34685" w14:textId="77777777" w:rsidR="00D37F2D" w:rsidRPr="00C3707B" w:rsidRDefault="00D37F2D">
            <w:pPr>
              <w:spacing w:before="0" w:after="0"/>
              <w:jc w:val="left"/>
              <w:rPr>
                <w:rFonts w:eastAsia="Times New Roman"/>
                <w:b/>
                <w:bCs/>
                <w:noProof/>
                <w:sz w:val="16"/>
                <w:szCs w:val="16"/>
              </w:rPr>
            </w:pPr>
            <w:r w:rsidRPr="00C3707B">
              <w:rPr>
                <w:b/>
                <w:noProof/>
                <w:sz w:val="16"/>
              </w:rPr>
              <w:t>RUBRIEK </w:t>
            </w:r>
            <w:r w:rsidRPr="00160A33">
              <w:rPr>
                <w:b/>
                <w:noProof/>
                <w:sz w:val="16"/>
              </w:rPr>
              <w:t>7</w:t>
            </w:r>
          </w:p>
        </w:tc>
      </w:tr>
      <w:tr w:rsidR="00D37F2D" w:rsidRPr="00C3707B" w14:paraId="3EB4E1C0" w14:textId="77777777">
        <w:trPr>
          <w:trHeight w:val="315"/>
        </w:trPr>
        <w:tc>
          <w:tcPr>
            <w:tcW w:w="3405" w:type="dxa"/>
            <w:tcBorders>
              <w:top w:val="nil"/>
              <w:left w:val="single" w:sz="8" w:space="0" w:color="auto"/>
              <w:bottom w:val="single" w:sz="8" w:space="0" w:color="auto"/>
              <w:right w:val="single" w:sz="8" w:space="0" w:color="auto"/>
            </w:tcBorders>
            <w:shd w:val="clear" w:color="auto" w:fill="auto"/>
            <w:vAlign w:val="center"/>
            <w:hideMark/>
          </w:tcPr>
          <w:p w14:paraId="11B7AC48"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Personele middelen </w:t>
            </w:r>
          </w:p>
        </w:tc>
        <w:tc>
          <w:tcPr>
            <w:tcW w:w="874" w:type="dxa"/>
            <w:tcBorders>
              <w:top w:val="nil"/>
              <w:left w:val="nil"/>
              <w:bottom w:val="single" w:sz="8" w:space="0" w:color="auto"/>
              <w:right w:val="single" w:sz="8" w:space="0" w:color="auto"/>
            </w:tcBorders>
            <w:shd w:val="clear" w:color="000000" w:fill="D9D9D9"/>
            <w:vAlign w:val="center"/>
            <w:hideMark/>
          </w:tcPr>
          <w:p w14:paraId="4E590EC3"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4998400E"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0DE4488"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793</w:t>
            </w:r>
          </w:p>
        </w:tc>
        <w:tc>
          <w:tcPr>
            <w:tcW w:w="893" w:type="dxa"/>
            <w:tcBorders>
              <w:top w:val="single" w:sz="8" w:space="0" w:color="auto"/>
              <w:left w:val="nil"/>
              <w:bottom w:val="single" w:sz="8" w:space="0" w:color="auto"/>
              <w:right w:val="single" w:sz="8" w:space="0" w:color="auto"/>
            </w:tcBorders>
            <w:shd w:val="clear" w:color="000000" w:fill="D9D9D9"/>
            <w:vAlign w:val="center"/>
            <w:hideMark/>
          </w:tcPr>
          <w:p w14:paraId="19F8016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586</w:t>
            </w:r>
          </w:p>
        </w:tc>
        <w:tc>
          <w:tcPr>
            <w:tcW w:w="988" w:type="dxa"/>
            <w:tcBorders>
              <w:top w:val="single" w:sz="8" w:space="0" w:color="auto"/>
              <w:left w:val="nil"/>
              <w:bottom w:val="single" w:sz="8" w:space="0" w:color="auto"/>
              <w:right w:val="single" w:sz="8" w:space="0" w:color="auto"/>
            </w:tcBorders>
            <w:shd w:val="clear" w:color="000000" w:fill="D9D9D9"/>
            <w:vAlign w:val="center"/>
            <w:hideMark/>
          </w:tcPr>
          <w:p w14:paraId="5A59B656"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379</w:t>
            </w:r>
          </w:p>
        </w:tc>
      </w:tr>
      <w:tr w:rsidR="00D37F2D" w:rsidRPr="00C3707B" w14:paraId="4E54BF49" w14:textId="77777777">
        <w:trPr>
          <w:trHeight w:val="315"/>
        </w:trPr>
        <w:tc>
          <w:tcPr>
            <w:tcW w:w="3405" w:type="dxa"/>
            <w:tcBorders>
              <w:top w:val="nil"/>
              <w:left w:val="single" w:sz="8" w:space="0" w:color="auto"/>
              <w:bottom w:val="single" w:sz="8" w:space="0" w:color="auto"/>
              <w:right w:val="single" w:sz="8" w:space="0" w:color="auto"/>
            </w:tcBorders>
            <w:shd w:val="clear" w:color="auto" w:fill="auto"/>
            <w:vAlign w:val="center"/>
            <w:hideMark/>
          </w:tcPr>
          <w:p w14:paraId="3C455ACB"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Andere administratieve uitgaven </w:t>
            </w:r>
          </w:p>
        </w:tc>
        <w:tc>
          <w:tcPr>
            <w:tcW w:w="874" w:type="dxa"/>
            <w:tcBorders>
              <w:top w:val="nil"/>
              <w:left w:val="nil"/>
              <w:bottom w:val="single" w:sz="8" w:space="0" w:color="auto"/>
              <w:right w:val="single" w:sz="8" w:space="0" w:color="auto"/>
            </w:tcBorders>
            <w:shd w:val="clear" w:color="000000" w:fill="D9D9D9"/>
            <w:vAlign w:val="center"/>
            <w:hideMark/>
          </w:tcPr>
          <w:p w14:paraId="4BB8E1A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0EB4CD0F"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single" w:sz="8" w:space="0" w:color="auto"/>
              <w:bottom w:val="single" w:sz="8" w:space="0" w:color="auto"/>
              <w:right w:val="single" w:sz="8" w:space="0" w:color="auto"/>
            </w:tcBorders>
            <w:shd w:val="clear" w:color="000000" w:fill="D9D9D9"/>
            <w:vAlign w:val="center"/>
            <w:hideMark/>
          </w:tcPr>
          <w:p w14:paraId="492B7DAF"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035</w:t>
            </w:r>
          </w:p>
        </w:tc>
        <w:tc>
          <w:tcPr>
            <w:tcW w:w="893" w:type="dxa"/>
            <w:tcBorders>
              <w:top w:val="nil"/>
              <w:left w:val="nil"/>
              <w:bottom w:val="single" w:sz="8" w:space="0" w:color="auto"/>
              <w:right w:val="single" w:sz="8" w:space="0" w:color="auto"/>
            </w:tcBorders>
            <w:shd w:val="clear" w:color="000000" w:fill="D9D9D9"/>
            <w:vAlign w:val="center"/>
            <w:hideMark/>
          </w:tcPr>
          <w:p w14:paraId="2481761F"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070</w:t>
            </w:r>
          </w:p>
        </w:tc>
        <w:tc>
          <w:tcPr>
            <w:tcW w:w="988" w:type="dxa"/>
            <w:tcBorders>
              <w:top w:val="nil"/>
              <w:left w:val="nil"/>
              <w:bottom w:val="single" w:sz="8" w:space="0" w:color="auto"/>
              <w:right w:val="single" w:sz="8" w:space="0" w:color="auto"/>
            </w:tcBorders>
            <w:shd w:val="clear" w:color="000000" w:fill="D9D9D9"/>
            <w:vAlign w:val="center"/>
            <w:hideMark/>
          </w:tcPr>
          <w:p w14:paraId="159D4B0C"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105</w:t>
            </w:r>
          </w:p>
        </w:tc>
      </w:tr>
      <w:tr w:rsidR="00D37F2D" w:rsidRPr="00C3707B" w14:paraId="4F6C5664" w14:textId="77777777">
        <w:trPr>
          <w:trHeight w:val="736"/>
        </w:trPr>
        <w:tc>
          <w:tcPr>
            <w:tcW w:w="3405" w:type="dxa"/>
            <w:tcBorders>
              <w:top w:val="nil"/>
              <w:left w:val="single" w:sz="8" w:space="0" w:color="auto"/>
              <w:bottom w:val="single" w:sz="8" w:space="0" w:color="auto"/>
              <w:right w:val="single" w:sz="8" w:space="0" w:color="auto"/>
            </w:tcBorders>
            <w:shd w:val="clear" w:color="000000" w:fill="CCCCCC"/>
            <w:vAlign w:val="center"/>
            <w:hideMark/>
          </w:tcPr>
          <w:p w14:paraId="243B28A4"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Subtotaal RUBRIEK </w:t>
            </w:r>
            <w:r w:rsidRPr="00160A33">
              <w:rPr>
                <w:b/>
                <w:noProof/>
                <w:color w:val="000000"/>
                <w:sz w:val="16"/>
              </w:rPr>
              <w:t>7</w:t>
            </w:r>
          </w:p>
        </w:tc>
        <w:tc>
          <w:tcPr>
            <w:tcW w:w="874" w:type="dxa"/>
            <w:tcBorders>
              <w:top w:val="nil"/>
              <w:left w:val="nil"/>
              <w:bottom w:val="single" w:sz="8" w:space="0" w:color="auto"/>
              <w:right w:val="single" w:sz="8" w:space="0" w:color="auto"/>
            </w:tcBorders>
            <w:shd w:val="clear" w:color="000000" w:fill="D9D9D9"/>
            <w:vAlign w:val="center"/>
            <w:hideMark/>
          </w:tcPr>
          <w:p w14:paraId="0C92DC3F"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791806FE"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single" w:sz="8" w:space="0" w:color="auto"/>
              <w:bottom w:val="single" w:sz="8" w:space="0" w:color="auto"/>
              <w:right w:val="single" w:sz="8" w:space="0" w:color="auto"/>
            </w:tcBorders>
            <w:shd w:val="clear" w:color="000000" w:fill="D9D9D9"/>
            <w:vAlign w:val="center"/>
            <w:hideMark/>
          </w:tcPr>
          <w:p w14:paraId="29D141A0"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828</w:t>
            </w:r>
          </w:p>
        </w:tc>
        <w:tc>
          <w:tcPr>
            <w:tcW w:w="893" w:type="dxa"/>
            <w:tcBorders>
              <w:top w:val="nil"/>
              <w:left w:val="nil"/>
              <w:bottom w:val="single" w:sz="8" w:space="0" w:color="auto"/>
              <w:right w:val="single" w:sz="8" w:space="0" w:color="auto"/>
            </w:tcBorders>
            <w:shd w:val="clear" w:color="000000" w:fill="D9D9D9"/>
            <w:vAlign w:val="center"/>
            <w:hideMark/>
          </w:tcPr>
          <w:p w14:paraId="5BCF5AA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656</w:t>
            </w:r>
          </w:p>
        </w:tc>
        <w:tc>
          <w:tcPr>
            <w:tcW w:w="988" w:type="dxa"/>
            <w:tcBorders>
              <w:top w:val="nil"/>
              <w:left w:val="nil"/>
              <w:bottom w:val="single" w:sz="8" w:space="0" w:color="auto"/>
              <w:right w:val="single" w:sz="8" w:space="0" w:color="auto"/>
            </w:tcBorders>
            <w:shd w:val="clear" w:color="000000" w:fill="D9D9D9"/>
            <w:vAlign w:val="center"/>
            <w:hideMark/>
          </w:tcPr>
          <w:p w14:paraId="3CD4EBF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484</w:t>
            </w:r>
          </w:p>
        </w:tc>
      </w:tr>
      <w:tr w:rsidR="00D37F2D" w:rsidRPr="00C3707B" w14:paraId="16483564" w14:textId="77777777">
        <w:trPr>
          <w:trHeight w:val="1037"/>
        </w:trPr>
        <w:tc>
          <w:tcPr>
            <w:tcW w:w="7946" w:type="dxa"/>
            <w:gridSpan w:val="6"/>
            <w:tcBorders>
              <w:top w:val="single" w:sz="8" w:space="0" w:color="auto"/>
              <w:left w:val="single" w:sz="8" w:space="0" w:color="auto"/>
              <w:bottom w:val="single" w:sz="8" w:space="0" w:color="auto"/>
              <w:right w:val="nil"/>
            </w:tcBorders>
            <w:shd w:val="clear" w:color="auto" w:fill="auto"/>
            <w:vAlign w:val="center"/>
            <w:hideMark/>
          </w:tcPr>
          <w:p w14:paraId="0A3B0C01" w14:textId="77777777" w:rsidR="00D37F2D" w:rsidRPr="00C3707B" w:rsidRDefault="00D37F2D">
            <w:pPr>
              <w:spacing w:before="0" w:after="0"/>
              <w:jc w:val="left"/>
              <w:rPr>
                <w:rFonts w:eastAsia="Times New Roman"/>
                <w:b/>
                <w:bCs/>
                <w:noProof/>
                <w:sz w:val="16"/>
                <w:szCs w:val="16"/>
              </w:rPr>
            </w:pPr>
            <w:r w:rsidRPr="00C3707B">
              <w:rPr>
                <w:b/>
                <w:noProof/>
                <w:sz w:val="16"/>
              </w:rPr>
              <w:t>Buiten RUBRIEK </w:t>
            </w:r>
            <w:r w:rsidRPr="00160A33">
              <w:rPr>
                <w:b/>
                <w:noProof/>
                <w:sz w:val="16"/>
              </w:rPr>
              <w:t>7</w:t>
            </w:r>
          </w:p>
        </w:tc>
      </w:tr>
      <w:tr w:rsidR="00D37F2D" w:rsidRPr="00C3707B" w14:paraId="18890B27" w14:textId="77777777">
        <w:trPr>
          <w:trHeight w:val="526"/>
        </w:trPr>
        <w:tc>
          <w:tcPr>
            <w:tcW w:w="3405" w:type="dxa"/>
            <w:tcBorders>
              <w:top w:val="nil"/>
              <w:left w:val="single" w:sz="8" w:space="0" w:color="auto"/>
              <w:bottom w:val="single" w:sz="8" w:space="0" w:color="auto"/>
              <w:right w:val="single" w:sz="8" w:space="0" w:color="auto"/>
            </w:tcBorders>
            <w:shd w:val="clear" w:color="auto" w:fill="auto"/>
            <w:vAlign w:val="center"/>
            <w:hideMark/>
          </w:tcPr>
          <w:p w14:paraId="6B350B8D"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Personele middelen </w:t>
            </w:r>
          </w:p>
        </w:tc>
        <w:tc>
          <w:tcPr>
            <w:tcW w:w="874" w:type="dxa"/>
            <w:tcBorders>
              <w:top w:val="nil"/>
              <w:left w:val="nil"/>
              <w:bottom w:val="single" w:sz="8" w:space="0" w:color="auto"/>
              <w:right w:val="single" w:sz="8" w:space="0" w:color="auto"/>
            </w:tcBorders>
            <w:shd w:val="clear" w:color="000000" w:fill="D9D9D9"/>
            <w:vAlign w:val="center"/>
            <w:hideMark/>
          </w:tcPr>
          <w:p w14:paraId="6D091256"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10115FA9"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058F97F6"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70C5695E"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88" w:type="dxa"/>
            <w:tcBorders>
              <w:top w:val="nil"/>
              <w:left w:val="nil"/>
              <w:bottom w:val="single" w:sz="8" w:space="0" w:color="auto"/>
              <w:right w:val="single" w:sz="8" w:space="0" w:color="auto"/>
            </w:tcBorders>
            <w:shd w:val="clear" w:color="000000" w:fill="D9D9D9"/>
            <w:vAlign w:val="center"/>
            <w:hideMark/>
          </w:tcPr>
          <w:p w14:paraId="60683368"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3E8E8E61" w14:textId="77777777">
        <w:trPr>
          <w:trHeight w:val="736"/>
        </w:trPr>
        <w:tc>
          <w:tcPr>
            <w:tcW w:w="3405" w:type="dxa"/>
            <w:tcBorders>
              <w:top w:val="nil"/>
              <w:left w:val="single" w:sz="8" w:space="0" w:color="auto"/>
              <w:bottom w:val="single" w:sz="8" w:space="0" w:color="auto"/>
              <w:right w:val="single" w:sz="8" w:space="0" w:color="auto"/>
            </w:tcBorders>
            <w:shd w:val="clear" w:color="auto" w:fill="auto"/>
            <w:vAlign w:val="center"/>
            <w:hideMark/>
          </w:tcPr>
          <w:p w14:paraId="5C7D9FFF"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Andere administratieve uitgaven</w:t>
            </w:r>
          </w:p>
        </w:tc>
        <w:tc>
          <w:tcPr>
            <w:tcW w:w="874" w:type="dxa"/>
            <w:tcBorders>
              <w:top w:val="nil"/>
              <w:left w:val="nil"/>
              <w:bottom w:val="single" w:sz="8" w:space="0" w:color="auto"/>
              <w:right w:val="single" w:sz="8" w:space="0" w:color="auto"/>
            </w:tcBorders>
            <w:shd w:val="clear" w:color="000000" w:fill="D9D9D9"/>
            <w:vAlign w:val="center"/>
            <w:hideMark/>
          </w:tcPr>
          <w:p w14:paraId="5A6FE8C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12411C44"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66E6229C"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25CAA69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88" w:type="dxa"/>
            <w:tcBorders>
              <w:top w:val="nil"/>
              <w:left w:val="nil"/>
              <w:bottom w:val="single" w:sz="8" w:space="0" w:color="auto"/>
              <w:right w:val="single" w:sz="8" w:space="0" w:color="auto"/>
            </w:tcBorders>
            <w:shd w:val="clear" w:color="000000" w:fill="D9D9D9"/>
            <w:vAlign w:val="center"/>
            <w:hideMark/>
          </w:tcPr>
          <w:p w14:paraId="6A64F818"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778FF2FE" w14:textId="77777777">
        <w:trPr>
          <w:trHeight w:val="315"/>
        </w:trPr>
        <w:tc>
          <w:tcPr>
            <w:tcW w:w="3405" w:type="dxa"/>
            <w:tcBorders>
              <w:top w:val="nil"/>
              <w:left w:val="single" w:sz="8" w:space="0" w:color="auto"/>
              <w:bottom w:val="single" w:sz="8" w:space="0" w:color="auto"/>
              <w:right w:val="single" w:sz="8" w:space="0" w:color="auto"/>
            </w:tcBorders>
            <w:shd w:val="clear" w:color="000000" w:fill="CCCCCC"/>
            <w:vAlign w:val="center"/>
            <w:hideMark/>
          </w:tcPr>
          <w:p w14:paraId="7DF8FB06"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Subtotaal buiten RUBRIEK </w:t>
            </w:r>
            <w:r w:rsidRPr="00160A33">
              <w:rPr>
                <w:b/>
                <w:noProof/>
                <w:color w:val="000000"/>
                <w:sz w:val="16"/>
              </w:rPr>
              <w:t>7</w:t>
            </w:r>
          </w:p>
        </w:tc>
        <w:tc>
          <w:tcPr>
            <w:tcW w:w="874" w:type="dxa"/>
            <w:tcBorders>
              <w:top w:val="nil"/>
              <w:left w:val="nil"/>
              <w:bottom w:val="single" w:sz="8" w:space="0" w:color="auto"/>
              <w:right w:val="single" w:sz="8" w:space="0" w:color="auto"/>
            </w:tcBorders>
            <w:shd w:val="clear" w:color="000000" w:fill="D9D9D9"/>
            <w:vAlign w:val="center"/>
            <w:hideMark/>
          </w:tcPr>
          <w:p w14:paraId="53C30293"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7B46A2BB"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5FDDDE43"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893" w:type="dxa"/>
            <w:tcBorders>
              <w:top w:val="nil"/>
              <w:left w:val="nil"/>
              <w:bottom w:val="single" w:sz="8" w:space="0" w:color="auto"/>
              <w:right w:val="single" w:sz="8" w:space="0" w:color="auto"/>
            </w:tcBorders>
            <w:shd w:val="clear" w:color="000000" w:fill="D9D9D9"/>
            <w:vAlign w:val="center"/>
            <w:hideMark/>
          </w:tcPr>
          <w:p w14:paraId="5DA493C5"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988" w:type="dxa"/>
            <w:tcBorders>
              <w:top w:val="nil"/>
              <w:left w:val="nil"/>
              <w:bottom w:val="single" w:sz="8" w:space="0" w:color="auto"/>
              <w:right w:val="single" w:sz="8" w:space="0" w:color="auto"/>
            </w:tcBorders>
            <w:shd w:val="clear" w:color="000000" w:fill="D9D9D9"/>
            <w:vAlign w:val="center"/>
            <w:hideMark/>
          </w:tcPr>
          <w:p w14:paraId="0DC5C7D5"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446D4F7C" w14:textId="77777777">
        <w:trPr>
          <w:trHeight w:val="315"/>
        </w:trPr>
        <w:tc>
          <w:tcPr>
            <w:tcW w:w="7946" w:type="dxa"/>
            <w:gridSpan w:val="6"/>
            <w:tcBorders>
              <w:top w:val="single" w:sz="8" w:space="0" w:color="auto"/>
              <w:left w:val="single" w:sz="8" w:space="0" w:color="auto"/>
              <w:bottom w:val="single" w:sz="8" w:space="0" w:color="auto"/>
              <w:right w:val="nil"/>
            </w:tcBorders>
            <w:shd w:val="clear" w:color="auto" w:fill="auto"/>
            <w:noWrap/>
            <w:vAlign w:val="center"/>
            <w:hideMark/>
          </w:tcPr>
          <w:p w14:paraId="6869F873" w14:textId="04843172" w:rsidR="00D37F2D" w:rsidRPr="00C3707B" w:rsidRDefault="00D37F2D">
            <w:pPr>
              <w:spacing w:before="0" w:after="0"/>
              <w:jc w:val="center"/>
              <w:rPr>
                <w:rFonts w:eastAsia="Times New Roman"/>
                <w:noProof/>
                <w:color w:val="000000"/>
                <w:sz w:val="16"/>
                <w:szCs w:val="16"/>
              </w:rPr>
            </w:pPr>
          </w:p>
        </w:tc>
      </w:tr>
      <w:tr w:rsidR="00D37F2D" w:rsidRPr="00C3707B" w14:paraId="4CABBE5A" w14:textId="77777777">
        <w:trPr>
          <w:trHeight w:val="315"/>
        </w:trPr>
        <w:tc>
          <w:tcPr>
            <w:tcW w:w="3405" w:type="dxa"/>
            <w:tcBorders>
              <w:top w:val="nil"/>
              <w:left w:val="single" w:sz="8" w:space="0" w:color="auto"/>
              <w:bottom w:val="single" w:sz="8" w:space="0" w:color="auto"/>
              <w:right w:val="single" w:sz="8" w:space="0" w:color="auto"/>
            </w:tcBorders>
            <w:shd w:val="clear" w:color="auto" w:fill="auto"/>
            <w:vAlign w:val="center"/>
            <w:hideMark/>
          </w:tcPr>
          <w:p w14:paraId="308F1D9E"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TOTAAL</w:t>
            </w:r>
          </w:p>
        </w:tc>
        <w:tc>
          <w:tcPr>
            <w:tcW w:w="874" w:type="dxa"/>
            <w:tcBorders>
              <w:top w:val="nil"/>
              <w:left w:val="nil"/>
              <w:bottom w:val="single" w:sz="8" w:space="0" w:color="auto"/>
              <w:right w:val="single" w:sz="8" w:space="0" w:color="auto"/>
            </w:tcBorders>
            <w:shd w:val="clear" w:color="000000" w:fill="D9D9D9"/>
            <w:hideMark/>
          </w:tcPr>
          <w:p w14:paraId="7D6FFA8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hideMark/>
          </w:tcPr>
          <w:p w14:paraId="4BEA2B56"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893" w:type="dxa"/>
            <w:tcBorders>
              <w:top w:val="nil"/>
              <w:left w:val="nil"/>
              <w:bottom w:val="single" w:sz="8" w:space="0" w:color="auto"/>
              <w:right w:val="single" w:sz="8" w:space="0" w:color="auto"/>
            </w:tcBorders>
            <w:shd w:val="clear" w:color="000000" w:fill="D9D9D9"/>
            <w:hideMark/>
          </w:tcPr>
          <w:p w14:paraId="718D6179"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828</w:t>
            </w:r>
          </w:p>
        </w:tc>
        <w:tc>
          <w:tcPr>
            <w:tcW w:w="893" w:type="dxa"/>
            <w:tcBorders>
              <w:top w:val="nil"/>
              <w:left w:val="nil"/>
              <w:bottom w:val="single" w:sz="8" w:space="0" w:color="auto"/>
              <w:right w:val="single" w:sz="8" w:space="0" w:color="auto"/>
            </w:tcBorders>
            <w:shd w:val="clear" w:color="000000" w:fill="D9D9D9"/>
            <w:hideMark/>
          </w:tcPr>
          <w:p w14:paraId="57E159FD"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656</w:t>
            </w:r>
          </w:p>
        </w:tc>
        <w:tc>
          <w:tcPr>
            <w:tcW w:w="988" w:type="dxa"/>
            <w:tcBorders>
              <w:top w:val="nil"/>
              <w:left w:val="nil"/>
              <w:bottom w:val="single" w:sz="8" w:space="0" w:color="auto"/>
              <w:right w:val="single" w:sz="8" w:space="0" w:color="auto"/>
            </w:tcBorders>
            <w:shd w:val="clear" w:color="000000" w:fill="D9D9D9"/>
            <w:hideMark/>
          </w:tcPr>
          <w:p w14:paraId="7B4622A3"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484</w:t>
            </w:r>
          </w:p>
        </w:tc>
      </w:tr>
    </w:tbl>
    <w:p w14:paraId="73B25557" w14:textId="77777777" w:rsidR="00D37F2D" w:rsidRPr="00C3707B" w:rsidRDefault="00D37F2D" w:rsidP="005D0E22">
      <w:pPr>
        <w:pStyle w:val="Text1"/>
        <w:rPr>
          <w:noProof/>
        </w:rPr>
      </w:pPr>
    </w:p>
    <w:p w14:paraId="1B80D1DC" w14:textId="77777777" w:rsidR="00D37F2D" w:rsidRPr="00C3707B" w:rsidRDefault="00D37F2D" w:rsidP="00D37F2D">
      <w:pPr>
        <w:pStyle w:val="ManualHeading3"/>
        <w:rPr>
          <w:noProof/>
        </w:rPr>
      </w:pPr>
      <w:bookmarkStart w:id="168" w:name="_Toc167220293"/>
      <w:bookmarkStart w:id="169" w:name="_Toc177549026"/>
      <w:r w:rsidRPr="00160A33">
        <w:rPr>
          <w:noProof/>
        </w:rPr>
        <w:t>3</w:t>
      </w:r>
      <w:r w:rsidRPr="00C3707B">
        <w:rPr>
          <w:noProof/>
        </w:rPr>
        <w:t>.</w:t>
      </w:r>
      <w:r w:rsidRPr="00160A33">
        <w:rPr>
          <w:noProof/>
        </w:rPr>
        <w:t>2</w:t>
      </w:r>
      <w:r w:rsidRPr="00C3707B">
        <w:rPr>
          <w:noProof/>
        </w:rPr>
        <w:t>.</w:t>
      </w:r>
      <w:r w:rsidRPr="00160A33">
        <w:rPr>
          <w:noProof/>
        </w:rPr>
        <w:t>3</w:t>
      </w:r>
      <w:r w:rsidRPr="00C3707B">
        <w:rPr>
          <w:noProof/>
        </w:rPr>
        <w:t>.</w:t>
      </w:r>
      <w:r w:rsidRPr="00160A33">
        <w:rPr>
          <w:noProof/>
        </w:rPr>
        <w:t>3</w:t>
      </w:r>
      <w:r w:rsidRPr="00C3707B">
        <w:rPr>
          <w:noProof/>
        </w:rPr>
        <w:t>.</w:t>
      </w:r>
      <w:r w:rsidRPr="00C3707B">
        <w:rPr>
          <w:noProof/>
        </w:rPr>
        <w:tab/>
        <w:t>Totaal kredieten</w:t>
      </w:r>
      <w:bookmarkEnd w:id="168"/>
      <w:bookmarkEnd w:id="169"/>
    </w:p>
    <w:tbl>
      <w:tblPr>
        <w:tblW w:w="8140" w:type="dxa"/>
        <w:tblInd w:w="118" w:type="dxa"/>
        <w:tblLook w:val="04A0" w:firstRow="1" w:lastRow="0" w:firstColumn="1" w:lastColumn="0" w:noHBand="0" w:noVBand="1"/>
      </w:tblPr>
      <w:tblGrid>
        <w:gridCol w:w="3488"/>
        <w:gridCol w:w="896"/>
        <w:gridCol w:w="915"/>
        <w:gridCol w:w="915"/>
        <w:gridCol w:w="915"/>
        <w:gridCol w:w="1011"/>
      </w:tblGrid>
      <w:tr w:rsidR="00D37F2D" w:rsidRPr="00C3707B" w14:paraId="453EE24D" w14:textId="77777777">
        <w:trPr>
          <w:trHeight w:val="874"/>
        </w:trPr>
        <w:tc>
          <w:tcPr>
            <w:tcW w:w="34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FFA416"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C3707B">
              <w:rPr>
                <w:b/>
                <w:noProof/>
                <w:color w:val="000000"/>
                <w:sz w:val="18"/>
              </w:rPr>
              <w:t>GOEDGEKEURDE KREDIETEN</w:t>
            </w:r>
            <w:r w:rsidRPr="00C3707B">
              <w:rPr>
                <w:b/>
                <w:noProof/>
                <w:color w:val="000000"/>
                <w:sz w:val="18"/>
              </w:rPr>
              <w:br/>
              <w:t>+</w:t>
            </w:r>
            <w:r w:rsidRPr="00C3707B">
              <w:rPr>
                <w:b/>
                <w:noProof/>
                <w:color w:val="000000"/>
                <w:sz w:val="18"/>
              </w:rPr>
              <w:br/>
              <w:t>EXTERNE BESTEMMINGSONTVANGSTEN</w:t>
            </w:r>
          </w:p>
        </w:tc>
        <w:tc>
          <w:tcPr>
            <w:tcW w:w="896" w:type="dxa"/>
            <w:tcBorders>
              <w:top w:val="single" w:sz="8" w:space="0" w:color="auto"/>
              <w:left w:val="nil"/>
              <w:bottom w:val="nil"/>
              <w:right w:val="single" w:sz="8" w:space="0" w:color="auto"/>
            </w:tcBorders>
            <w:shd w:val="clear" w:color="auto" w:fill="auto"/>
            <w:vAlign w:val="center"/>
            <w:hideMark/>
          </w:tcPr>
          <w:p w14:paraId="6546BE8D"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915" w:type="dxa"/>
            <w:tcBorders>
              <w:top w:val="single" w:sz="8" w:space="0" w:color="auto"/>
              <w:left w:val="nil"/>
              <w:bottom w:val="nil"/>
              <w:right w:val="single" w:sz="8" w:space="0" w:color="auto"/>
            </w:tcBorders>
            <w:shd w:val="clear" w:color="auto" w:fill="auto"/>
            <w:vAlign w:val="center"/>
            <w:hideMark/>
          </w:tcPr>
          <w:p w14:paraId="660909E7"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915" w:type="dxa"/>
            <w:tcBorders>
              <w:top w:val="single" w:sz="8" w:space="0" w:color="auto"/>
              <w:left w:val="nil"/>
              <w:bottom w:val="nil"/>
              <w:right w:val="single" w:sz="8" w:space="0" w:color="auto"/>
            </w:tcBorders>
            <w:shd w:val="clear" w:color="auto" w:fill="auto"/>
            <w:vAlign w:val="center"/>
            <w:hideMark/>
          </w:tcPr>
          <w:p w14:paraId="03CDC53A"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915" w:type="dxa"/>
            <w:tcBorders>
              <w:top w:val="single" w:sz="8" w:space="0" w:color="auto"/>
              <w:left w:val="nil"/>
              <w:bottom w:val="nil"/>
              <w:right w:val="single" w:sz="8" w:space="0" w:color="auto"/>
            </w:tcBorders>
            <w:shd w:val="clear" w:color="auto" w:fill="auto"/>
            <w:vAlign w:val="center"/>
            <w:hideMark/>
          </w:tcPr>
          <w:p w14:paraId="0814018A" w14:textId="77777777" w:rsidR="00D37F2D" w:rsidRPr="00C3707B" w:rsidRDefault="00D37F2D">
            <w:pPr>
              <w:spacing w:before="0" w:after="0"/>
              <w:jc w:val="center"/>
              <w:rPr>
                <w:rFonts w:eastAsia="Times New Roman"/>
                <w:noProof/>
                <w:color w:val="000000"/>
                <w:sz w:val="18"/>
                <w:szCs w:val="18"/>
              </w:rPr>
            </w:pPr>
            <w:r w:rsidRPr="00C3707B">
              <w:rPr>
                <w:noProof/>
                <w:color w:val="000000"/>
                <w:sz w:val="18"/>
              </w:rPr>
              <w:t>Jaar</w:t>
            </w:r>
          </w:p>
        </w:tc>
        <w:tc>
          <w:tcPr>
            <w:tcW w:w="10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8BB8D8"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160A33">
              <w:rPr>
                <w:b/>
                <w:noProof/>
                <w:color w:val="000000"/>
                <w:sz w:val="18"/>
              </w:rPr>
              <w:t>2021</w:t>
            </w:r>
            <w:r w:rsidRPr="00C3707B">
              <w:rPr>
                <w:b/>
                <w:noProof/>
                <w:color w:val="000000"/>
                <w:sz w:val="18"/>
              </w:rPr>
              <w:t>-</w:t>
            </w:r>
            <w:r w:rsidRPr="00160A33">
              <w:rPr>
                <w:b/>
                <w:noProof/>
                <w:color w:val="000000"/>
                <w:sz w:val="18"/>
              </w:rPr>
              <w:t>2027</w:t>
            </w:r>
          </w:p>
        </w:tc>
      </w:tr>
      <w:tr w:rsidR="00D37F2D" w:rsidRPr="00C3707B" w14:paraId="1AFAB295" w14:textId="77777777">
        <w:trPr>
          <w:trHeight w:val="874"/>
        </w:trPr>
        <w:tc>
          <w:tcPr>
            <w:tcW w:w="3488" w:type="dxa"/>
            <w:vMerge/>
            <w:tcBorders>
              <w:top w:val="single" w:sz="8" w:space="0" w:color="auto"/>
              <w:left w:val="single" w:sz="8" w:space="0" w:color="auto"/>
              <w:bottom w:val="single" w:sz="8" w:space="0" w:color="000000"/>
              <w:right w:val="single" w:sz="8" w:space="0" w:color="auto"/>
            </w:tcBorders>
            <w:vAlign w:val="center"/>
            <w:hideMark/>
          </w:tcPr>
          <w:p w14:paraId="187C87C8" w14:textId="77777777" w:rsidR="00D37F2D" w:rsidRPr="00C3707B" w:rsidRDefault="00D37F2D">
            <w:pPr>
              <w:spacing w:before="0" w:after="0"/>
              <w:jc w:val="left"/>
              <w:rPr>
                <w:rFonts w:eastAsia="Times New Roman"/>
                <w:b/>
                <w:bCs/>
                <w:noProof/>
                <w:color w:val="000000"/>
                <w:sz w:val="18"/>
                <w:szCs w:val="18"/>
                <w:lang w:eastAsia="en-IE"/>
              </w:rPr>
            </w:pPr>
          </w:p>
        </w:tc>
        <w:tc>
          <w:tcPr>
            <w:tcW w:w="896" w:type="dxa"/>
            <w:tcBorders>
              <w:top w:val="nil"/>
              <w:left w:val="nil"/>
              <w:bottom w:val="single" w:sz="8" w:space="0" w:color="auto"/>
              <w:right w:val="single" w:sz="8" w:space="0" w:color="auto"/>
            </w:tcBorders>
            <w:shd w:val="clear" w:color="auto" w:fill="auto"/>
            <w:vAlign w:val="center"/>
            <w:hideMark/>
          </w:tcPr>
          <w:p w14:paraId="7C71CC09"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2024</w:t>
            </w:r>
          </w:p>
        </w:tc>
        <w:tc>
          <w:tcPr>
            <w:tcW w:w="915" w:type="dxa"/>
            <w:tcBorders>
              <w:top w:val="nil"/>
              <w:left w:val="nil"/>
              <w:bottom w:val="single" w:sz="8" w:space="0" w:color="auto"/>
              <w:right w:val="single" w:sz="8" w:space="0" w:color="auto"/>
            </w:tcBorders>
            <w:shd w:val="clear" w:color="auto" w:fill="auto"/>
            <w:vAlign w:val="center"/>
            <w:hideMark/>
          </w:tcPr>
          <w:p w14:paraId="34AD60F1"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2025</w:t>
            </w:r>
          </w:p>
        </w:tc>
        <w:tc>
          <w:tcPr>
            <w:tcW w:w="915" w:type="dxa"/>
            <w:tcBorders>
              <w:top w:val="nil"/>
              <w:left w:val="nil"/>
              <w:bottom w:val="single" w:sz="8" w:space="0" w:color="auto"/>
              <w:right w:val="single" w:sz="8" w:space="0" w:color="auto"/>
            </w:tcBorders>
            <w:shd w:val="clear" w:color="auto" w:fill="auto"/>
            <w:vAlign w:val="center"/>
            <w:hideMark/>
          </w:tcPr>
          <w:p w14:paraId="7A6CD823"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2026</w:t>
            </w:r>
          </w:p>
        </w:tc>
        <w:tc>
          <w:tcPr>
            <w:tcW w:w="915" w:type="dxa"/>
            <w:tcBorders>
              <w:top w:val="nil"/>
              <w:left w:val="nil"/>
              <w:bottom w:val="single" w:sz="8" w:space="0" w:color="auto"/>
              <w:right w:val="single" w:sz="8" w:space="0" w:color="auto"/>
            </w:tcBorders>
            <w:shd w:val="clear" w:color="auto" w:fill="auto"/>
            <w:vAlign w:val="center"/>
            <w:hideMark/>
          </w:tcPr>
          <w:p w14:paraId="3CACA7B5" w14:textId="77777777" w:rsidR="00D37F2D" w:rsidRPr="00C3707B" w:rsidRDefault="00D37F2D">
            <w:pPr>
              <w:spacing w:before="0" w:after="0"/>
              <w:jc w:val="center"/>
              <w:rPr>
                <w:rFonts w:eastAsia="Times New Roman"/>
                <w:b/>
                <w:bCs/>
                <w:noProof/>
                <w:color w:val="000000"/>
                <w:sz w:val="18"/>
                <w:szCs w:val="18"/>
              </w:rPr>
            </w:pPr>
            <w:r w:rsidRPr="00160A33">
              <w:rPr>
                <w:b/>
                <w:noProof/>
                <w:color w:val="000000"/>
                <w:sz w:val="18"/>
              </w:rPr>
              <w:t>2027</w:t>
            </w:r>
          </w:p>
        </w:tc>
        <w:tc>
          <w:tcPr>
            <w:tcW w:w="1011" w:type="dxa"/>
            <w:vMerge/>
            <w:tcBorders>
              <w:top w:val="single" w:sz="8" w:space="0" w:color="auto"/>
              <w:left w:val="single" w:sz="8" w:space="0" w:color="auto"/>
              <w:bottom w:val="single" w:sz="8" w:space="0" w:color="000000"/>
              <w:right w:val="single" w:sz="8" w:space="0" w:color="auto"/>
            </w:tcBorders>
            <w:vAlign w:val="center"/>
            <w:hideMark/>
          </w:tcPr>
          <w:p w14:paraId="46AAA14C" w14:textId="77777777" w:rsidR="00D37F2D" w:rsidRPr="00C3707B" w:rsidRDefault="00D37F2D">
            <w:pPr>
              <w:spacing w:before="0" w:after="0"/>
              <w:jc w:val="left"/>
              <w:rPr>
                <w:rFonts w:eastAsia="Times New Roman"/>
                <w:b/>
                <w:bCs/>
                <w:noProof/>
                <w:color w:val="000000"/>
                <w:sz w:val="18"/>
                <w:szCs w:val="18"/>
                <w:lang w:eastAsia="en-IE"/>
              </w:rPr>
            </w:pPr>
          </w:p>
        </w:tc>
      </w:tr>
      <w:tr w:rsidR="00D37F2D" w:rsidRPr="00C3707B" w14:paraId="404369A6" w14:textId="77777777">
        <w:trPr>
          <w:trHeight w:val="531"/>
        </w:trPr>
        <w:tc>
          <w:tcPr>
            <w:tcW w:w="8140" w:type="dxa"/>
            <w:gridSpan w:val="6"/>
            <w:tcBorders>
              <w:top w:val="single" w:sz="8" w:space="0" w:color="auto"/>
              <w:left w:val="single" w:sz="8" w:space="0" w:color="auto"/>
              <w:bottom w:val="single" w:sz="8" w:space="0" w:color="auto"/>
              <w:right w:val="nil"/>
            </w:tcBorders>
            <w:shd w:val="clear" w:color="auto" w:fill="auto"/>
            <w:vAlign w:val="center"/>
            <w:hideMark/>
          </w:tcPr>
          <w:p w14:paraId="1EA1CD08" w14:textId="77777777" w:rsidR="00D37F2D" w:rsidRPr="00C3707B" w:rsidRDefault="00D37F2D">
            <w:pPr>
              <w:spacing w:before="0" w:after="0"/>
              <w:jc w:val="left"/>
              <w:rPr>
                <w:rFonts w:eastAsia="Times New Roman"/>
                <w:b/>
                <w:bCs/>
                <w:noProof/>
                <w:sz w:val="16"/>
                <w:szCs w:val="16"/>
              </w:rPr>
            </w:pPr>
            <w:r w:rsidRPr="00C3707B">
              <w:rPr>
                <w:b/>
                <w:noProof/>
                <w:sz w:val="16"/>
              </w:rPr>
              <w:t>RUBRIEK </w:t>
            </w:r>
            <w:r w:rsidRPr="00160A33">
              <w:rPr>
                <w:b/>
                <w:noProof/>
                <w:sz w:val="16"/>
              </w:rPr>
              <w:t>7</w:t>
            </w:r>
          </w:p>
        </w:tc>
      </w:tr>
      <w:tr w:rsidR="00D37F2D" w:rsidRPr="00C3707B" w14:paraId="058B77A7" w14:textId="77777777">
        <w:trPr>
          <w:trHeight w:val="531"/>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7538D28E"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Personele middelen </w:t>
            </w:r>
          </w:p>
        </w:tc>
        <w:tc>
          <w:tcPr>
            <w:tcW w:w="896" w:type="dxa"/>
            <w:tcBorders>
              <w:top w:val="nil"/>
              <w:left w:val="nil"/>
              <w:bottom w:val="single" w:sz="8" w:space="0" w:color="auto"/>
              <w:right w:val="single" w:sz="8" w:space="0" w:color="auto"/>
            </w:tcBorders>
            <w:shd w:val="clear" w:color="000000" w:fill="D9D9D9"/>
            <w:vAlign w:val="center"/>
            <w:hideMark/>
          </w:tcPr>
          <w:p w14:paraId="1FF275D8"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339F947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9D0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793</w:t>
            </w:r>
          </w:p>
        </w:tc>
        <w:tc>
          <w:tcPr>
            <w:tcW w:w="915" w:type="dxa"/>
            <w:tcBorders>
              <w:top w:val="single" w:sz="8" w:space="0" w:color="auto"/>
              <w:left w:val="nil"/>
              <w:bottom w:val="single" w:sz="8" w:space="0" w:color="auto"/>
              <w:right w:val="single" w:sz="8" w:space="0" w:color="auto"/>
            </w:tcBorders>
            <w:shd w:val="clear" w:color="000000" w:fill="D9D9D9"/>
            <w:vAlign w:val="center"/>
            <w:hideMark/>
          </w:tcPr>
          <w:p w14:paraId="27A9DCB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586</w:t>
            </w:r>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3A846E62"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379</w:t>
            </w:r>
          </w:p>
        </w:tc>
      </w:tr>
      <w:tr w:rsidR="00D37F2D" w:rsidRPr="00C3707B" w14:paraId="1C1DAA91" w14:textId="77777777">
        <w:trPr>
          <w:trHeight w:val="531"/>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5279F12C"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Andere administratieve uitgaven </w:t>
            </w:r>
          </w:p>
        </w:tc>
        <w:tc>
          <w:tcPr>
            <w:tcW w:w="896" w:type="dxa"/>
            <w:tcBorders>
              <w:top w:val="nil"/>
              <w:left w:val="nil"/>
              <w:bottom w:val="single" w:sz="8" w:space="0" w:color="auto"/>
              <w:right w:val="single" w:sz="8" w:space="0" w:color="auto"/>
            </w:tcBorders>
            <w:shd w:val="clear" w:color="000000" w:fill="D9D9D9"/>
            <w:vAlign w:val="center"/>
            <w:hideMark/>
          </w:tcPr>
          <w:p w14:paraId="2B2604F8"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6C996BB8"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single" w:sz="8" w:space="0" w:color="auto"/>
              <w:bottom w:val="single" w:sz="8" w:space="0" w:color="auto"/>
              <w:right w:val="single" w:sz="8" w:space="0" w:color="auto"/>
            </w:tcBorders>
            <w:shd w:val="clear" w:color="000000" w:fill="D9D9D9"/>
            <w:vAlign w:val="center"/>
            <w:hideMark/>
          </w:tcPr>
          <w:p w14:paraId="54C65293"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035</w:t>
            </w:r>
          </w:p>
        </w:tc>
        <w:tc>
          <w:tcPr>
            <w:tcW w:w="915" w:type="dxa"/>
            <w:tcBorders>
              <w:top w:val="nil"/>
              <w:left w:val="nil"/>
              <w:bottom w:val="single" w:sz="8" w:space="0" w:color="auto"/>
              <w:right w:val="single" w:sz="8" w:space="0" w:color="auto"/>
            </w:tcBorders>
            <w:shd w:val="clear" w:color="000000" w:fill="D9D9D9"/>
            <w:vAlign w:val="center"/>
            <w:hideMark/>
          </w:tcPr>
          <w:p w14:paraId="575ABE6C"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070</w:t>
            </w:r>
          </w:p>
        </w:tc>
        <w:tc>
          <w:tcPr>
            <w:tcW w:w="1011" w:type="dxa"/>
            <w:tcBorders>
              <w:top w:val="nil"/>
              <w:left w:val="nil"/>
              <w:bottom w:val="single" w:sz="8" w:space="0" w:color="auto"/>
              <w:right w:val="single" w:sz="8" w:space="0" w:color="auto"/>
            </w:tcBorders>
            <w:shd w:val="clear" w:color="000000" w:fill="D9D9D9"/>
            <w:vAlign w:val="center"/>
            <w:hideMark/>
          </w:tcPr>
          <w:p w14:paraId="4F481A16"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105</w:t>
            </w:r>
          </w:p>
        </w:tc>
      </w:tr>
      <w:tr w:rsidR="00D37F2D" w:rsidRPr="00C3707B" w14:paraId="1F073BA8" w14:textId="77777777">
        <w:trPr>
          <w:trHeight w:val="531"/>
        </w:trPr>
        <w:tc>
          <w:tcPr>
            <w:tcW w:w="3488" w:type="dxa"/>
            <w:tcBorders>
              <w:top w:val="nil"/>
              <w:left w:val="single" w:sz="8" w:space="0" w:color="auto"/>
              <w:bottom w:val="single" w:sz="8" w:space="0" w:color="auto"/>
              <w:right w:val="single" w:sz="8" w:space="0" w:color="auto"/>
            </w:tcBorders>
            <w:shd w:val="clear" w:color="000000" w:fill="CCCCCC"/>
            <w:vAlign w:val="center"/>
            <w:hideMark/>
          </w:tcPr>
          <w:p w14:paraId="392537B8"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Subtotaal RUBRIEK </w:t>
            </w:r>
            <w:r w:rsidRPr="00160A33">
              <w:rPr>
                <w:b/>
                <w:noProof/>
                <w:color w:val="000000"/>
                <w:sz w:val="16"/>
              </w:rPr>
              <w:t>7</w:t>
            </w:r>
          </w:p>
        </w:tc>
        <w:tc>
          <w:tcPr>
            <w:tcW w:w="896" w:type="dxa"/>
            <w:tcBorders>
              <w:top w:val="nil"/>
              <w:left w:val="nil"/>
              <w:bottom w:val="single" w:sz="8" w:space="0" w:color="auto"/>
              <w:right w:val="single" w:sz="8" w:space="0" w:color="auto"/>
            </w:tcBorders>
            <w:shd w:val="clear" w:color="000000" w:fill="D9D9D9"/>
            <w:vAlign w:val="center"/>
            <w:hideMark/>
          </w:tcPr>
          <w:p w14:paraId="63D76CC7"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5A74ED73"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single" w:sz="8" w:space="0" w:color="auto"/>
              <w:bottom w:val="single" w:sz="8" w:space="0" w:color="auto"/>
              <w:right w:val="single" w:sz="8" w:space="0" w:color="auto"/>
            </w:tcBorders>
            <w:shd w:val="clear" w:color="000000" w:fill="D9D9D9"/>
            <w:vAlign w:val="center"/>
            <w:hideMark/>
          </w:tcPr>
          <w:p w14:paraId="52C648D7"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828</w:t>
            </w:r>
          </w:p>
        </w:tc>
        <w:tc>
          <w:tcPr>
            <w:tcW w:w="915" w:type="dxa"/>
            <w:tcBorders>
              <w:top w:val="nil"/>
              <w:left w:val="nil"/>
              <w:bottom w:val="single" w:sz="8" w:space="0" w:color="auto"/>
              <w:right w:val="single" w:sz="8" w:space="0" w:color="auto"/>
            </w:tcBorders>
            <w:shd w:val="clear" w:color="000000" w:fill="D9D9D9"/>
            <w:vAlign w:val="center"/>
            <w:hideMark/>
          </w:tcPr>
          <w:p w14:paraId="1BE547CF"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656</w:t>
            </w:r>
          </w:p>
        </w:tc>
        <w:tc>
          <w:tcPr>
            <w:tcW w:w="1011" w:type="dxa"/>
            <w:tcBorders>
              <w:top w:val="nil"/>
              <w:left w:val="nil"/>
              <w:bottom w:val="single" w:sz="8" w:space="0" w:color="auto"/>
              <w:right w:val="single" w:sz="8" w:space="0" w:color="auto"/>
            </w:tcBorders>
            <w:shd w:val="clear" w:color="000000" w:fill="D9D9D9"/>
            <w:vAlign w:val="center"/>
            <w:hideMark/>
          </w:tcPr>
          <w:p w14:paraId="460092A9" w14:textId="77777777" w:rsidR="00D37F2D" w:rsidRPr="00C3707B" w:rsidRDefault="00D37F2D">
            <w:pPr>
              <w:spacing w:before="0" w:after="0"/>
              <w:jc w:val="right"/>
              <w:rPr>
                <w:rFonts w:eastAsia="Times New Roman"/>
                <w:b/>
                <w:bCs/>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484</w:t>
            </w:r>
          </w:p>
        </w:tc>
      </w:tr>
      <w:tr w:rsidR="00D37F2D" w:rsidRPr="00C3707B" w14:paraId="52449E88" w14:textId="77777777">
        <w:trPr>
          <w:trHeight w:val="531"/>
        </w:trPr>
        <w:tc>
          <w:tcPr>
            <w:tcW w:w="8140" w:type="dxa"/>
            <w:gridSpan w:val="6"/>
            <w:tcBorders>
              <w:top w:val="single" w:sz="8" w:space="0" w:color="auto"/>
              <w:left w:val="single" w:sz="8" w:space="0" w:color="auto"/>
              <w:bottom w:val="single" w:sz="8" w:space="0" w:color="auto"/>
              <w:right w:val="nil"/>
            </w:tcBorders>
            <w:shd w:val="clear" w:color="auto" w:fill="auto"/>
            <w:vAlign w:val="center"/>
            <w:hideMark/>
          </w:tcPr>
          <w:p w14:paraId="738862D6" w14:textId="77777777" w:rsidR="00D37F2D" w:rsidRPr="00C3707B" w:rsidRDefault="00D37F2D">
            <w:pPr>
              <w:spacing w:before="0" w:after="0"/>
              <w:jc w:val="left"/>
              <w:rPr>
                <w:rFonts w:eastAsia="Times New Roman"/>
                <w:b/>
                <w:bCs/>
                <w:noProof/>
                <w:sz w:val="16"/>
                <w:szCs w:val="16"/>
              </w:rPr>
            </w:pPr>
            <w:r w:rsidRPr="00C3707B">
              <w:rPr>
                <w:b/>
                <w:noProof/>
                <w:sz w:val="16"/>
              </w:rPr>
              <w:t>Buiten RUBRIEK </w:t>
            </w:r>
            <w:r w:rsidRPr="00160A33">
              <w:rPr>
                <w:b/>
                <w:noProof/>
                <w:sz w:val="16"/>
              </w:rPr>
              <w:t>7</w:t>
            </w:r>
          </w:p>
        </w:tc>
      </w:tr>
      <w:tr w:rsidR="00D37F2D" w:rsidRPr="00C3707B" w14:paraId="09AEECE5" w14:textId="77777777">
        <w:trPr>
          <w:trHeight w:val="531"/>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2D82ABBD"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 xml:space="preserve">Personele middelen </w:t>
            </w:r>
          </w:p>
        </w:tc>
        <w:tc>
          <w:tcPr>
            <w:tcW w:w="896" w:type="dxa"/>
            <w:tcBorders>
              <w:top w:val="nil"/>
              <w:left w:val="nil"/>
              <w:bottom w:val="single" w:sz="8" w:space="0" w:color="auto"/>
              <w:right w:val="single" w:sz="8" w:space="0" w:color="auto"/>
            </w:tcBorders>
            <w:shd w:val="clear" w:color="000000" w:fill="D9D9D9"/>
            <w:vAlign w:val="center"/>
            <w:hideMark/>
          </w:tcPr>
          <w:p w14:paraId="09032D75"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59F39308"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705C7637"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263013CB"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1011" w:type="dxa"/>
            <w:tcBorders>
              <w:top w:val="nil"/>
              <w:left w:val="nil"/>
              <w:bottom w:val="single" w:sz="8" w:space="0" w:color="auto"/>
              <w:right w:val="single" w:sz="8" w:space="0" w:color="auto"/>
            </w:tcBorders>
            <w:shd w:val="clear" w:color="000000" w:fill="D9D9D9"/>
            <w:vAlign w:val="center"/>
            <w:hideMark/>
          </w:tcPr>
          <w:p w14:paraId="1D74174F"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795D43F4" w14:textId="77777777">
        <w:trPr>
          <w:trHeight w:val="531"/>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16C2D3B4" w14:textId="77777777" w:rsidR="00D37F2D" w:rsidRPr="00C3707B" w:rsidRDefault="00D37F2D">
            <w:pPr>
              <w:spacing w:before="0" w:after="0"/>
              <w:jc w:val="left"/>
              <w:rPr>
                <w:rFonts w:eastAsia="Times New Roman"/>
                <w:noProof/>
                <w:color w:val="000000"/>
                <w:sz w:val="16"/>
                <w:szCs w:val="16"/>
              </w:rPr>
            </w:pPr>
            <w:r w:rsidRPr="00C3707B">
              <w:rPr>
                <w:noProof/>
                <w:color w:val="000000"/>
                <w:sz w:val="16"/>
              </w:rPr>
              <w:t>Andere administratieve uitgaven</w:t>
            </w:r>
          </w:p>
        </w:tc>
        <w:tc>
          <w:tcPr>
            <w:tcW w:w="896" w:type="dxa"/>
            <w:tcBorders>
              <w:top w:val="nil"/>
              <w:left w:val="nil"/>
              <w:bottom w:val="single" w:sz="8" w:space="0" w:color="auto"/>
              <w:right w:val="single" w:sz="8" w:space="0" w:color="auto"/>
            </w:tcBorders>
            <w:shd w:val="clear" w:color="000000" w:fill="D9D9D9"/>
            <w:vAlign w:val="center"/>
            <w:hideMark/>
          </w:tcPr>
          <w:p w14:paraId="4B4050F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7D6E225C"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05292A72"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174E172E"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1011" w:type="dxa"/>
            <w:tcBorders>
              <w:top w:val="nil"/>
              <w:left w:val="nil"/>
              <w:bottom w:val="single" w:sz="8" w:space="0" w:color="auto"/>
              <w:right w:val="single" w:sz="8" w:space="0" w:color="auto"/>
            </w:tcBorders>
            <w:shd w:val="clear" w:color="000000" w:fill="D9D9D9"/>
            <w:vAlign w:val="center"/>
            <w:hideMark/>
          </w:tcPr>
          <w:p w14:paraId="29DC094B"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3A2B0E45" w14:textId="77777777">
        <w:trPr>
          <w:trHeight w:val="531"/>
        </w:trPr>
        <w:tc>
          <w:tcPr>
            <w:tcW w:w="3488" w:type="dxa"/>
            <w:tcBorders>
              <w:top w:val="nil"/>
              <w:left w:val="single" w:sz="8" w:space="0" w:color="auto"/>
              <w:bottom w:val="single" w:sz="8" w:space="0" w:color="auto"/>
              <w:right w:val="single" w:sz="8" w:space="0" w:color="auto"/>
            </w:tcBorders>
            <w:shd w:val="clear" w:color="000000" w:fill="CCCCCC"/>
            <w:vAlign w:val="center"/>
            <w:hideMark/>
          </w:tcPr>
          <w:p w14:paraId="0A04F350"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Subtotaal buiten RUBRIEK </w:t>
            </w:r>
            <w:r w:rsidRPr="00160A33">
              <w:rPr>
                <w:b/>
                <w:noProof/>
                <w:color w:val="000000"/>
                <w:sz w:val="16"/>
              </w:rPr>
              <w:t>7</w:t>
            </w:r>
          </w:p>
        </w:tc>
        <w:tc>
          <w:tcPr>
            <w:tcW w:w="896" w:type="dxa"/>
            <w:tcBorders>
              <w:top w:val="nil"/>
              <w:left w:val="nil"/>
              <w:bottom w:val="single" w:sz="8" w:space="0" w:color="auto"/>
              <w:right w:val="single" w:sz="8" w:space="0" w:color="auto"/>
            </w:tcBorders>
            <w:shd w:val="clear" w:color="000000" w:fill="D9D9D9"/>
            <w:vAlign w:val="center"/>
            <w:hideMark/>
          </w:tcPr>
          <w:p w14:paraId="7AF6E75A"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6D1656BD"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0D0A71FF"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64C3F550"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c>
          <w:tcPr>
            <w:tcW w:w="1011" w:type="dxa"/>
            <w:tcBorders>
              <w:top w:val="nil"/>
              <w:left w:val="nil"/>
              <w:bottom w:val="single" w:sz="8" w:space="0" w:color="auto"/>
              <w:right w:val="single" w:sz="8" w:space="0" w:color="auto"/>
            </w:tcBorders>
            <w:shd w:val="clear" w:color="000000" w:fill="D9D9D9"/>
            <w:vAlign w:val="center"/>
            <w:hideMark/>
          </w:tcPr>
          <w:p w14:paraId="4CA6E84F"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r w:rsidRPr="00C3707B">
              <w:rPr>
                <w:b/>
                <w:noProof/>
                <w:color w:val="000000"/>
                <w:sz w:val="16"/>
              </w:rPr>
              <w:t>,</w:t>
            </w:r>
            <w:r w:rsidRPr="00160A33">
              <w:rPr>
                <w:b/>
                <w:noProof/>
                <w:color w:val="000000"/>
                <w:sz w:val="16"/>
              </w:rPr>
              <w:t>000</w:t>
            </w:r>
          </w:p>
        </w:tc>
      </w:tr>
      <w:tr w:rsidR="00D37F2D" w:rsidRPr="00C3707B" w14:paraId="47C98784" w14:textId="77777777">
        <w:trPr>
          <w:trHeight w:val="531"/>
        </w:trPr>
        <w:tc>
          <w:tcPr>
            <w:tcW w:w="8140" w:type="dxa"/>
            <w:gridSpan w:val="6"/>
            <w:tcBorders>
              <w:top w:val="single" w:sz="8" w:space="0" w:color="auto"/>
              <w:left w:val="single" w:sz="8" w:space="0" w:color="auto"/>
              <w:bottom w:val="single" w:sz="8" w:space="0" w:color="auto"/>
              <w:right w:val="nil"/>
            </w:tcBorders>
            <w:shd w:val="clear" w:color="auto" w:fill="auto"/>
            <w:noWrap/>
            <w:vAlign w:val="center"/>
            <w:hideMark/>
          </w:tcPr>
          <w:p w14:paraId="20CF324D" w14:textId="32E799DE" w:rsidR="00D37F2D" w:rsidRPr="00C3707B" w:rsidRDefault="00D37F2D">
            <w:pPr>
              <w:spacing w:before="0" w:after="0"/>
              <w:jc w:val="center"/>
              <w:rPr>
                <w:rFonts w:eastAsia="Times New Roman"/>
                <w:noProof/>
                <w:color w:val="000000"/>
                <w:sz w:val="16"/>
                <w:szCs w:val="16"/>
              </w:rPr>
            </w:pPr>
          </w:p>
        </w:tc>
      </w:tr>
      <w:tr w:rsidR="00D37F2D" w:rsidRPr="00C3707B" w14:paraId="071741EE" w14:textId="77777777">
        <w:trPr>
          <w:trHeight w:val="556"/>
        </w:trPr>
        <w:tc>
          <w:tcPr>
            <w:tcW w:w="3488"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1960C11A" w14:textId="77777777" w:rsidR="00D37F2D" w:rsidRPr="00C3707B" w:rsidRDefault="00D37F2D">
            <w:pPr>
              <w:spacing w:before="0" w:after="0"/>
              <w:jc w:val="center"/>
              <w:rPr>
                <w:rFonts w:eastAsia="Times New Roman"/>
                <w:b/>
                <w:bCs/>
                <w:noProof/>
                <w:color w:val="000000"/>
                <w:sz w:val="16"/>
                <w:szCs w:val="16"/>
              </w:rPr>
            </w:pPr>
            <w:r w:rsidRPr="00C3707B">
              <w:rPr>
                <w:b/>
                <w:noProof/>
                <w:color w:val="000000"/>
                <w:sz w:val="16"/>
              </w:rPr>
              <w:t>TOTAAL</w:t>
            </w:r>
          </w:p>
        </w:tc>
        <w:tc>
          <w:tcPr>
            <w:tcW w:w="896" w:type="dxa"/>
            <w:tcBorders>
              <w:top w:val="nil"/>
              <w:left w:val="nil"/>
              <w:bottom w:val="single" w:sz="8" w:space="0" w:color="auto"/>
              <w:right w:val="single" w:sz="8" w:space="0" w:color="auto"/>
            </w:tcBorders>
            <w:shd w:val="clear" w:color="000000" w:fill="D9D9D9"/>
            <w:vAlign w:val="center"/>
            <w:hideMark/>
          </w:tcPr>
          <w:p w14:paraId="2FDCB65F"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nil"/>
              <w:bottom w:val="single" w:sz="8" w:space="0" w:color="auto"/>
              <w:right w:val="single" w:sz="8" w:space="0" w:color="auto"/>
            </w:tcBorders>
            <w:shd w:val="clear" w:color="000000" w:fill="D9D9D9"/>
            <w:vAlign w:val="center"/>
            <w:hideMark/>
          </w:tcPr>
          <w:p w14:paraId="414D2FA1"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0</w:t>
            </w:r>
            <w:r w:rsidRPr="00C3707B">
              <w:rPr>
                <w:noProof/>
                <w:color w:val="000000"/>
                <w:sz w:val="16"/>
              </w:rPr>
              <w:t>,</w:t>
            </w:r>
            <w:r w:rsidRPr="00160A33">
              <w:rPr>
                <w:noProof/>
                <w:color w:val="000000"/>
                <w:sz w:val="16"/>
              </w:rPr>
              <w:t>000</w:t>
            </w:r>
          </w:p>
        </w:tc>
        <w:tc>
          <w:tcPr>
            <w:tcW w:w="915" w:type="dxa"/>
            <w:tcBorders>
              <w:top w:val="nil"/>
              <w:left w:val="single" w:sz="8" w:space="0" w:color="auto"/>
              <w:bottom w:val="single" w:sz="8" w:space="0" w:color="auto"/>
              <w:right w:val="single" w:sz="8" w:space="0" w:color="auto"/>
            </w:tcBorders>
            <w:shd w:val="clear" w:color="000000" w:fill="D9D9D9"/>
            <w:vAlign w:val="center"/>
            <w:hideMark/>
          </w:tcPr>
          <w:p w14:paraId="49291A84"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1</w:t>
            </w:r>
            <w:r w:rsidRPr="00C3707B">
              <w:rPr>
                <w:noProof/>
                <w:color w:val="000000"/>
                <w:sz w:val="16"/>
              </w:rPr>
              <w:t>,</w:t>
            </w:r>
            <w:r w:rsidRPr="00160A33">
              <w:rPr>
                <w:noProof/>
                <w:color w:val="000000"/>
                <w:sz w:val="16"/>
              </w:rPr>
              <w:t>828</w:t>
            </w:r>
          </w:p>
        </w:tc>
        <w:tc>
          <w:tcPr>
            <w:tcW w:w="915" w:type="dxa"/>
            <w:tcBorders>
              <w:top w:val="nil"/>
              <w:left w:val="nil"/>
              <w:bottom w:val="single" w:sz="8" w:space="0" w:color="auto"/>
              <w:right w:val="single" w:sz="8" w:space="0" w:color="auto"/>
            </w:tcBorders>
            <w:shd w:val="clear" w:color="000000" w:fill="D9D9D9"/>
            <w:vAlign w:val="center"/>
            <w:hideMark/>
          </w:tcPr>
          <w:p w14:paraId="48EB0A6D"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3</w:t>
            </w:r>
            <w:r w:rsidRPr="00C3707B">
              <w:rPr>
                <w:noProof/>
                <w:color w:val="000000"/>
                <w:sz w:val="16"/>
              </w:rPr>
              <w:t>,</w:t>
            </w:r>
            <w:r w:rsidRPr="00160A33">
              <w:rPr>
                <w:noProof/>
                <w:color w:val="000000"/>
                <w:sz w:val="16"/>
              </w:rPr>
              <w:t>656</w:t>
            </w:r>
          </w:p>
        </w:tc>
        <w:tc>
          <w:tcPr>
            <w:tcW w:w="1011" w:type="dxa"/>
            <w:tcBorders>
              <w:top w:val="nil"/>
              <w:left w:val="nil"/>
              <w:bottom w:val="single" w:sz="8" w:space="0" w:color="auto"/>
              <w:right w:val="single" w:sz="8" w:space="0" w:color="auto"/>
            </w:tcBorders>
            <w:shd w:val="clear" w:color="000000" w:fill="D9D9D9"/>
            <w:vAlign w:val="center"/>
            <w:hideMark/>
          </w:tcPr>
          <w:p w14:paraId="7BFBD495" w14:textId="77777777" w:rsidR="00D37F2D" w:rsidRPr="00C3707B" w:rsidRDefault="00D37F2D">
            <w:pPr>
              <w:spacing w:before="0" w:after="0"/>
              <w:jc w:val="right"/>
              <w:rPr>
                <w:rFonts w:eastAsia="Times New Roman"/>
                <w:noProof/>
                <w:color w:val="000000"/>
                <w:sz w:val="16"/>
                <w:szCs w:val="16"/>
              </w:rPr>
            </w:pPr>
            <w:r w:rsidRPr="00160A33">
              <w:rPr>
                <w:noProof/>
                <w:color w:val="000000"/>
                <w:sz w:val="16"/>
              </w:rPr>
              <w:t>5</w:t>
            </w:r>
            <w:r w:rsidRPr="00C3707B">
              <w:rPr>
                <w:noProof/>
                <w:color w:val="000000"/>
                <w:sz w:val="16"/>
              </w:rPr>
              <w:t>,</w:t>
            </w:r>
            <w:r w:rsidRPr="00160A33">
              <w:rPr>
                <w:noProof/>
                <w:color w:val="000000"/>
                <w:sz w:val="16"/>
              </w:rPr>
              <w:t>484</w:t>
            </w:r>
          </w:p>
        </w:tc>
      </w:tr>
    </w:tbl>
    <w:p w14:paraId="22490D39" w14:textId="77777777" w:rsidR="00D37F2D" w:rsidRPr="00C3707B" w:rsidRDefault="00D37F2D" w:rsidP="005D0E22">
      <w:pPr>
        <w:pStyle w:val="Text1"/>
        <w:rPr>
          <w:noProof/>
        </w:rPr>
      </w:pPr>
    </w:p>
    <w:p w14:paraId="678CFB4D" w14:textId="77777777" w:rsidR="00D37F2D" w:rsidRPr="00C3707B" w:rsidRDefault="00D37F2D" w:rsidP="00D37F2D">
      <w:pPr>
        <w:rPr>
          <w:noProof/>
          <w:sz w:val="22"/>
          <w:szCs w:val="28"/>
        </w:rPr>
      </w:pPr>
      <w:r w:rsidRPr="00C3707B">
        <w:rPr>
          <w:noProof/>
          <w:sz w:val="22"/>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14:paraId="0B3BDE2B" w14:textId="77777777" w:rsidR="00D62518" w:rsidRDefault="00D37F2D" w:rsidP="00D37F2D">
      <w:pPr>
        <w:pStyle w:val="ManualHeading3"/>
        <w:rPr>
          <w:noProof/>
        </w:rPr>
      </w:pPr>
      <w:bookmarkStart w:id="170" w:name="_Toc167220294"/>
      <w:bookmarkStart w:id="171" w:name="_Toc177549027"/>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C3707B">
        <w:rPr>
          <w:noProof/>
        </w:rPr>
        <w:tab/>
        <w:t>Geraamde personeelsbehoeften</w:t>
      </w:r>
      <w:bookmarkEnd w:id="170"/>
      <w:bookmarkEnd w:id="171"/>
    </w:p>
    <w:p w14:paraId="6E703B01" w14:textId="77777777" w:rsidR="00D62518" w:rsidRDefault="00D37F2D" w:rsidP="00D37F2D">
      <w:pPr>
        <w:pStyle w:val="ListDash1"/>
        <w:rPr>
          <w:noProof/>
        </w:rPr>
      </w:pPr>
      <w:r w:rsidRPr="00C3707B">
        <w:rPr>
          <w:rFonts w:ascii="Wingdings" w:hAnsi="Wingdings"/>
          <w:noProof/>
        </w:rPr>
        <w:t></w:t>
      </w:r>
      <w:r w:rsidRPr="00C3707B">
        <w:rPr>
          <w:noProof/>
        </w:rPr>
        <w:tab/>
        <w:t>Voor het voorstel/initiatief zijn geen personele middelen nodig</w:t>
      </w:r>
    </w:p>
    <w:p w14:paraId="222D02AC" w14:textId="12C6C495" w:rsidR="00D37F2D" w:rsidRPr="00C3707B" w:rsidRDefault="00D37F2D" w:rsidP="00D37F2D">
      <w:pPr>
        <w:pStyle w:val="ListDash1"/>
        <w:rPr>
          <w:noProof/>
        </w:rPr>
      </w:pPr>
      <w:r w:rsidRPr="00C3707B">
        <w:rPr>
          <w:rFonts w:ascii="Wingdings" w:hAnsi="Wingdings"/>
          <w:noProof/>
        </w:rPr>
        <w:t></w:t>
      </w:r>
      <w:r w:rsidRPr="00C3707B">
        <w:rPr>
          <w:noProof/>
        </w:rPr>
        <w:tab/>
        <w:t>Voor het voorstel/initiatief zijn personele middelen nodig, zoals hieronder nader wordt beschreven</w:t>
      </w:r>
    </w:p>
    <w:p w14:paraId="33CC4A5D" w14:textId="77777777" w:rsidR="00D37F2D" w:rsidRPr="00C3707B" w:rsidRDefault="00D37F2D" w:rsidP="00D37F2D">
      <w:pPr>
        <w:pStyle w:val="ManualHeading3"/>
        <w:rPr>
          <w:noProof/>
        </w:rPr>
      </w:pPr>
      <w:bookmarkStart w:id="172" w:name="_Toc167220295"/>
      <w:bookmarkStart w:id="173" w:name="_Toc177549028"/>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1</w:t>
      </w:r>
      <w:r w:rsidRPr="00C3707B">
        <w:rPr>
          <w:noProof/>
        </w:rPr>
        <w:t>.</w:t>
      </w:r>
      <w:r w:rsidRPr="00C3707B">
        <w:rPr>
          <w:noProof/>
        </w:rPr>
        <w:tab/>
        <w:t>Gefinancierd uit goedgekeurde begroting</w:t>
      </w:r>
      <w:bookmarkEnd w:id="172"/>
      <w:bookmarkEnd w:id="173"/>
    </w:p>
    <w:p w14:paraId="3F4DAF5F" w14:textId="77777777" w:rsidR="00D37F2D" w:rsidRPr="00C3707B" w:rsidRDefault="00D37F2D" w:rsidP="00D37F2D">
      <w:pPr>
        <w:spacing w:after="60"/>
        <w:jc w:val="right"/>
        <w:rPr>
          <w:i/>
          <w:noProof/>
          <w:sz w:val="20"/>
        </w:rPr>
      </w:pPr>
      <w:r w:rsidRPr="00C3707B">
        <w:rPr>
          <w:i/>
          <w:noProof/>
          <w:sz w:val="20"/>
        </w:rPr>
        <w:t>Raming in voltijdequivalenten (vte’s)</w:t>
      </w:r>
      <w:r w:rsidRPr="00C3707B">
        <w:rPr>
          <w:rStyle w:val="FootnoteReference"/>
          <w:i/>
          <w:noProof/>
          <w:sz w:val="20"/>
        </w:rPr>
        <w:footnoteReference w:id="103"/>
      </w:r>
    </w:p>
    <w:tbl>
      <w:tblPr>
        <w:tblW w:w="10020" w:type="dxa"/>
        <w:tblInd w:w="118" w:type="dxa"/>
        <w:tblLook w:val="04A0" w:firstRow="1" w:lastRow="0" w:firstColumn="1" w:lastColumn="0" w:noHBand="0" w:noVBand="1"/>
      </w:tblPr>
      <w:tblGrid>
        <w:gridCol w:w="1460"/>
        <w:gridCol w:w="3760"/>
        <w:gridCol w:w="960"/>
        <w:gridCol w:w="960"/>
        <w:gridCol w:w="960"/>
        <w:gridCol w:w="960"/>
        <w:gridCol w:w="960"/>
      </w:tblGrid>
      <w:tr w:rsidR="00D37F2D" w:rsidRPr="00C3707B" w14:paraId="1C5567C3" w14:textId="77777777">
        <w:trPr>
          <w:trHeight w:val="300"/>
        </w:trPr>
        <w:tc>
          <w:tcPr>
            <w:tcW w:w="522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224DA455" w14:textId="77777777" w:rsidR="00D37F2D" w:rsidRPr="00C3707B" w:rsidRDefault="00D37F2D">
            <w:pPr>
              <w:spacing w:before="0" w:after="0"/>
              <w:jc w:val="center"/>
              <w:rPr>
                <w:rFonts w:eastAsia="Times New Roman"/>
                <w:b/>
                <w:bCs/>
                <w:noProof/>
                <w:color w:val="000000"/>
                <w:sz w:val="18"/>
                <w:szCs w:val="18"/>
              </w:rPr>
            </w:pPr>
            <w:bookmarkStart w:id="174" w:name="_Hlk156979231"/>
            <w:r w:rsidRPr="00C3707B">
              <w:rPr>
                <w:b/>
                <w:noProof/>
                <w:color w:val="000000"/>
                <w:sz w:val="18"/>
              </w:rPr>
              <w:t>GOEDGEKEURDE KREDIETEN</w:t>
            </w:r>
          </w:p>
        </w:tc>
        <w:tc>
          <w:tcPr>
            <w:tcW w:w="960" w:type="dxa"/>
            <w:tcBorders>
              <w:top w:val="single" w:sz="8" w:space="0" w:color="auto"/>
              <w:left w:val="nil"/>
              <w:bottom w:val="nil"/>
              <w:right w:val="single" w:sz="8" w:space="0" w:color="auto"/>
            </w:tcBorders>
            <w:shd w:val="clear" w:color="auto" w:fill="auto"/>
            <w:vAlign w:val="center"/>
            <w:hideMark/>
          </w:tcPr>
          <w:p w14:paraId="17A61C09"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14:paraId="5A8E3FDD"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14:paraId="1E34DCC6"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14:paraId="6D066973"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60" w:type="dxa"/>
            <w:tcBorders>
              <w:top w:val="single" w:sz="8" w:space="0" w:color="auto"/>
              <w:left w:val="nil"/>
              <w:bottom w:val="nil"/>
              <w:right w:val="single" w:sz="8" w:space="0" w:color="auto"/>
            </w:tcBorders>
            <w:shd w:val="clear" w:color="auto" w:fill="auto"/>
            <w:vAlign w:val="center"/>
            <w:hideMark/>
          </w:tcPr>
          <w:p w14:paraId="2A085298"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Na</w:t>
            </w:r>
          </w:p>
        </w:tc>
      </w:tr>
      <w:tr w:rsidR="00D37F2D" w:rsidRPr="00C3707B" w14:paraId="7F10480F" w14:textId="77777777">
        <w:trPr>
          <w:trHeight w:val="300"/>
        </w:trPr>
        <w:tc>
          <w:tcPr>
            <w:tcW w:w="522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137A75D0" w14:textId="77777777" w:rsidR="00D37F2D" w:rsidRPr="00C3707B" w:rsidRDefault="00D37F2D">
            <w:pPr>
              <w:spacing w:before="0" w:after="0"/>
              <w:jc w:val="center"/>
              <w:rPr>
                <w:rFonts w:eastAsia="Times New Roman"/>
                <w:b/>
                <w:bCs/>
                <w:noProof/>
                <w:color w:val="000000"/>
                <w:sz w:val="18"/>
                <w:szCs w:val="18"/>
                <w:lang w:eastAsia="en-IE"/>
              </w:rPr>
            </w:pPr>
          </w:p>
        </w:tc>
        <w:tc>
          <w:tcPr>
            <w:tcW w:w="960" w:type="dxa"/>
            <w:tcBorders>
              <w:top w:val="single" w:sz="8" w:space="0" w:color="auto"/>
              <w:left w:val="nil"/>
              <w:bottom w:val="nil"/>
              <w:right w:val="single" w:sz="8" w:space="0" w:color="auto"/>
            </w:tcBorders>
            <w:shd w:val="clear" w:color="auto" w:fill="auto"/>
            <w:vAlign w:val="center"/>
            <w:hideMark/>
          </w:tcPr>
          <w:p w14:paraId="5C067B76"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2024</w:t>
            </w:r>
          </w:p>
        </w:tc>
        <w:tc>
          <w:tcPr>
            <w:tcW w:w="960" w:type="dxa"/>
            <w:tcBorders>
              <w:top w:val="single" w:sz="8" w:space="0" w:color="auto"/>
              <w:left w:val="nil"/>
              <w:bottom w:val="nil"/>
              <w:right w:val="single" w:sz="8" w:space="0" w:color="auto"/>
            </w:tcBorders>
            <w:shd w:val="clear" w:color="auto" w:fill="auto"/>
            <w:vAlign w:val="center"/>
            <w:hideMark/>
          </w:tcPr>
          <w:p w14:paraId="7FBB41F8"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2025</w:t>
            </w:r>
          </w:p>
        </w:tc>
        <w:tc>
          <w:tcPr>
            <w:tcW w:w="960" w:type="dxa"/>
            <w:tcBorders>
              <w:top w:val="single" w:sz="8" w:space="0" w:color="auto"/>
              <w:left w:val="nil"/>
              <w:bottom w:val="nil"/>
              <w:right w:val="single" w:sz="8" w:space="0" w:color="auto"/>
            </w:tcBorders>
            <w:shd w:val="clear" w:color="auto" w:fill="auto"/>
            <w:vAlign w:val="center"/>
            <w:hideMark/>
          </w:tcPr>
          <w:p w14:paraId="4DDEBAB5"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2026</w:t>
            </w:r>
          </w:p>
        </w:tc>
        <w:tc>
          <w:tcPr>
            <w:tcW w:w="960" w:type="dxa"/>
            <w:tcBorders>
              <w:top w:val="single" w:sz="8" w:space="0" w:color="auto"/>
              <w:left w:val="nil"/>
              <w:bottom w:val="nil"/>
              <w:right w:val="single" w:sz="8" w:space="0" w:color="auto"/>
            </w:tcBorders>
            <w:shd w:val="clear" w:color="auto" w:fill="auto"/>
            <w:vAlign w:val="center"/>
            <w:hideMark/>
          </w:tcPr>
          <w:p w14:paraId="74AD9614"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2027</w:t>
            </w:r>
          </w:p>
        </w:tc>
        <w:tc>
          <w:tcPr>
            <w:tcW w:w="960" w:type="dxa"/>
            <w:tcBorders>
              <w:top w:val="single" w:sz="8" w:space="0" w:color="auto"/>
              <w:left w:val="nil"/>
              <w:bottom w:val="nil"/>
              <w:right w:val="single" w:sz="8" w:space="0" w:color="auto"/>
            </w:tcBorders>
            <w:shd w:val="clear" w:color="auto" w:fill="auto"/>
            <w:vAlign w:val="center"/>
            <w:hideMark/>
          </w:tcPr>
          <w:p w14:paraId="426385C9"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2027</w:t>
            </w:r>
          </w:p>
        </w:tc>
      </w:tr>
      <w:tr w:rsidR="00D37F2D" w:rsidRPr="00C3707B" w14:paraId="6C64C7C5" w14:textId="77777777">
        <w:trPr>
          <w:trHeight w:val="300"/>
        </w:trPr>
        <w:tc>
          <w:tcPr>
            <w:tcW w:w="9060" w:type="dxa"/>
            <w:gridSpan w:val="6"/>
            <w:tcBorders>
              <w:top w:val="single" w:sz="8" w:space="0" w:color="auto"/>
              <w:left w:val="single" w:sz="8" w:space="0" w:color="auto"/>
              <w:bottom w:val="single" w:sz="8" w:space="0" w:color="auto"/>
              <w:right w:val="nil"/>
            </w:tcBorders>
            <w:shd w:val="clear" w:color="auto" w:fill="auto"/>
            <w:vAlign w:val="center"/>
            <w:hideMark/>
          </w:tcPr>
          <w:p w14:paraId="2EA951B3"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Wingdings" w:hAnsi="Wingdings"/>
                <w:b/>
                <w:noProof/>
                <w:color w:val="000000"/>
                <w:sz w:val="16"/>
              </w:rPr>
              <w:t></w:t>
            </w:r>
            <w:r w:rsidRPr="00C3707B">
              <w:rPr>
                <w:b/>
                <w:noProof/>
                <w:color w:val="000000"/>
                <w:sz w:val="16"/>
              </w:rPr>
              <w:t xml:space="preserve"> Posten opgenomen in de lijst van het aantal ambten (ambtenaren en tijdelijke functionarissen)</w:t>
            </w:r>
          </w:p>
        </w:tc>
        <w:tc>
          <w:tcPr>
            <w:tcW w:w="960" w:type="dxa"/>
            <w:tcBorders>
              <w:top w:val="nil"/>
              <w:left w:val="nil"/>
              <w:bottom w:val="single" w:sz="8" w:space="0" w:color="auto"/>
              <w:right w:val="nil"/>
            </w:tcBorders>
            <w:shd w:val="clear" w:color="auto" w:fill="auto"/>
            <w:vAlign w:val="center"/>
            <w:hideMark/>
          </w:tcPr>
          <w:p w14:paraId="30B00962"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Wingdings"/>
                <w:b/>
                <w:noProof/>
                <w:color w:val="000000"/>
                <w:sz w:val="16"/>
              </w:rPr>
              <w:t></w:t>
            </w:r>
          </w:p>
        </w:tc>
      </w:tr>
      <w:tr w:rsidR="00D37F2D" w:rsidRPr="00C3707B" w14:paraId="65707017"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150C23B"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01</w:t>
            </w:r>
            <w:r w:rsidRPr="00C3707B">
              <w:rPr>
                <w:noProof/>
                <w:color w:val="000000"/>
                <w:sz w:val="16"/>
              </w:rPr>
              <w:t>(centrale diensten en vertegenwoordigingen van de Commissie)</w:t>
            </w:r>
          </w:p>
        </w:tc>
        <w:tc>
          <w:tcPr>
            <w:tcW w:w="960" w:type="dxa"/>
            <w:tcBorders>
              <w:top w:val="nil"/>
              <w:left w:val="nil"/>
              <w:bottom w:val="single" w:sz="8" w:space="0" w:color="auto"/>
              <w:right w:val="single" w:sz="8" w:space="0" w:color="auto"/>
            </w:tcBorders>
            <w:shd w:val="clear" w:color="000000" w:fill="D9D9D9"/>
            <w:vAlign w:val="center"/>
            <w:hideMark/>
          </w:tcPr>
          <w:p w14:paraId="4238406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30B89B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CAEB9D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9</w:t>
            </w:r>
          </w:p>
        </w:tc>
        <w:tc>
          <w:tcPr>
            <w:tcW w:w="960" w:type="dxa"/>
            <w:tcBorders>
              <w:top w:val="nil"/>
              <w:left w:val="nil"/>
              <w:bottom w:val="single" w:sz="8" w:space="0" w:color="auto"/>
              <w:right w:val="single" w:sz="8" w:space="0" w:color="auto"/>
            </w:tcBorders>
            <w:shd w:val="clear" w:color="000000" w:fill="D9D9D9"/>
            <w:vAlign w:val="center"/>
            <w:hideMark/>
          </w:tcPr>
          <w:p w14:paraId="061D870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18</w:t>
            </w:r>
          </w:p>
        </w:tc>
        <w:tc>
          <w:tcPr>
            <w:tcW w:w="960" w:type="dxa"/>
            <w:tcBorders>
              <w:top w:val="nil"/>
              <w:left w:val="nil"/>
              <w:bottom w:val="single" w:sz="8" w:space="0" w:color="auto"/>
              <w:right w:val="single" w:sz="8" w:space="0" w:color="auto"/>
            </w:tcBorders>
            <w:shd w:val="clear" w:color="000000" w:fill="D9D9D9"/>
            <w:vAlign w:val="center"/>
            <w:hideMark/>
          </w:tcPr>
          <w:p w14:paraId="35D2721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18</w:t>
            </w:r>
          </w:p>
        </w:tc>
      </w:tr>
      <w:tr w:rsidR="00D37F2D" w:rsidRPr="00C3707B" w14:paraId="333E6BE1"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890CFB"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03</w:t>
            </w:r>
            <w:r w:rsidRPr="00C3707B">
              <w:rPr>
                <w:noProof/>
                <w:color w:val="000000"/>
                <w:sz w:val="16"/>
              </w:rPr>
              <w:t xml:space="preserve"> (EU-delegaties)</w:t>
            </w:r>
          </w:p>
        </w:tc>
        <w:tc>
          <w:tcPr>
            <w:tcW w:w="960" w:type="dxa"/>
            <w:tcBorders>
              <w:top w:val="nil"/>
              <w:left w:val="nil"/>
              <w:bottom w:val="single" w:sz="8" w:space="0" w:color="auto"/>
              <w:right w:val="single" w:sz="8" w:space="0" w:color="auto"/>
            </w:tcBorders>
            <w:shd w:val="clear" w:color="000000" w:fill="D9D9D9"/>
            <w:vAlign w:val="center"/>
            <w:hideMark/>
          </w:tcPr>
          <w:p w14:paraId="15C3BED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17E21A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EDD65F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E9EC42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BD8B25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01EA2F95"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CBD5A05"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(onderzoek onder contract)</w:t>
            </w:r>
          </w:p>
        </w:tc>
        <w:tc>
          <w:tcPr>
            <w:tcW w:w="960" w:type="dxa"/>
            <w:tcBorders>
              <w:top w:val="nil"/>
              <w:left w:val="nil"/>
              <w:bottom w:val="single" w:sz="8" w:space="0" w:color="auto"/>
              <w:right w:val="single" w:sz="8" w:space="0" w:color="auto"/>
            </w:tcBorders>
            <w:shd w:val="clear" w:color="000000" w:fill="D9D9D9"/>
            <w:vAlign w:val="center"/>
            <w:hideMark/>
          </w:tcPr>
          <w:p w14:paraId="0733765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C50B41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F18A15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EF1F35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3118362"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3BFD2E94"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03006AD"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11</w:t>
            </w:r>
            <w:r w:rsidRPr="00C3707B">
              <w:rPr>
                <w:noProof/>
                <w:color w:val="000000"/>
                <w:sz w:val="16"/>
              </w:rPr>
              <w:t xml:space="preserve"> (eigen onderzoek)</w:t>
            </w:r>
          </w:p>
        </w:tc>
        <w:tc>
          <w:tcPr>
            <w:tcW w:w="960" w:type="dxa"/>
            <w:tcBorders>
              <w:top w:val="nil"/>
              <w:left w:val="nil"/>
              <w:bottom w:val="single" w:sz="8" w:space="0" w:color="auto"/>
              <w:right w:val="single" w:sz="8" w:space="0" w:color="auto"/>
            </w:tcBorders>
            <w:shd w:val="clear" w:color="000000" w:fill="D9D9D9"/>
            <w:vAlign w:val="center"/>
            <w:hideMark/>
          </w:tcPr>
          <w:p w14:paraId="1D7CE06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AB8EFA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3CEFAF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7F988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0B13A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552076DF"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AF0BFD9"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w:t>
            </w:r>
          </w:p>
        </w:tc>
        <w:tc>
          <w:tcPr>
            <w:tcW w:w="960" w:type="dxa"/>
            <w:tcBorders>
              <w:top w:val="nil"/>
              <w:left w:val="nil"/>
              <w:bottom w:val="single" w:sz="8" w:space="0" w:color="auto"/>
              <w:right w:val="single" w:sz="8" w:space="0" w:color="auto"/>
            </w:tcBorders>
            <w:shd w:val="clear" w:color="000000" w:fill="D9D9D9"/>
            <w:vAlign w:val="center"/>
            <w:hideMark/>
          </w:tcPr>
          <w:p w14:paraId="00FCF11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2BA434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EB46DB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AE1BFD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1884DE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30A92B2A" w14:textId="77777777">
        <w:trPr>
          <w:trHeight w:val="300"/>
        </w:trPr>
        <w:tc>
          <w:tcPr>
            <w:tcW w:w="9060" w:type="dxa"/>
            <w:gridSpan w:val="6"/>
            <w:tcBorders>
              <w:top w:val="single" w:sz="8" w:space="0" w:color="auto"/>
              <w:left w:val="single" w:sz="8" w:space="0" w:color="auto"/>
              <w:bottom w:val="single" w:sz="8" w:space="0" w:color="auto"/>
              <w:right w:val="nil"/>
            </w:tcBorders>
            <w:shd w:val="clear" w:color="auto" w:fill="auto"/>
            <w:vAlign w:val="center"/>
            <w:hideMark/>
          </w:tcPr>
          <w:p w14:paraId="597D2373"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Calibri" w:hAnsi="Calibri"/>
                <w:b/>
                <w:noProof/>
                <w:color w:val="000000"/>
                <w:sz w:val="16"/>
              </w:rPr>
              <w:t>•</w:t>
            </w:r>
            <w:r w:rsidRPr="00C3707B">
              <w:rPr>
                <w:b/>
                <w:noProof/>
                <w:color w:val="000000"/>
                <w:sz w:val="16"/>
              </w:rPr>
              <w:t xml:space="preserve"> Extern personeel (in voltijdequivalenten, vte’s)</w:t>
            </w:r>
          </w:p>
        </w:tc>
        <w:tc>
          <w:tcPr>
            <w:tcW w:w="960" w:type="dxa"/>
            <w:tcBorders>
              <w:top w:val="nil"/>
              <w:left w:val="nil"/>
              <w:bottom w:val="single" w:sz="8" w:space="0" w:color="auto"/>
              <w:right w:val="nil"/>
            </w:tcBorders>
            <w:shd w:val="clear" w:color="auto" w:fill="auto"/>
            <w:vAlign w:val="center"/>
            <w:hideMark/>
          </w:tcPr>
          <w:p w14:paraId="30C5D5D5"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Wingdings"/>
                <w:b/>
                <w:noProof/>
                <w:color w:val="000000"/>
                <w:sz w:val="16"/>
              </w:rPr>
              <w:t></w:t>
            </w:r>
          </w:p>
        </w:tc>
      </w:tr>
      <w:tr w:rsidR="00D37F2D" w:rsidRPr="00C3707B" w14:paraId="7F3ECD67"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4E9BB7A"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01</w:t>
            </w:r>
            <w:r w:rsidRPr="00C3707B">
              <w:rPr>
                <w:noProof/>
                <w:color w:val="000000"/>
                <w:sz w:val="16"/>
              </w:rPr>
              <w:t xml:space="preserve"> (AC, END van de “totale financiële middelen”)</w:t>
            </w:r>
          </w:p>
        </w:tc>
        <w:tc>
          <w:tcPr>
            <w:tcW w:w="960" w:type="dxa"/>
            <w:tcBorders>
              <w:top w:val="nil"/>
              <w:left w:val="nil"/>
              <w:bottom w:val="single" w:sz="8" w:space="0" w:color="auto"/>
              <w:right w:val="single" w:sz="8" w:space="0" w:color="auto"/>
            </w:tcBorders>
            <w:shd w:val="clear" w:color="000000" w:fill="D9D9D9"/>
            <w:vAlign w:val="center"/>
            <w:hideMark/>
          </w:tcPr>
          <w:p w14:paraId="75CA33A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2B681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14490E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1</w:t>
            </w:r>
          </w:p>
        </w:tc>
        <w:tc>
          <w:tcPr>
            <w:tcW w:w="960" w:type="dxa"/>
            <w:tcBorders>
              <w:top w:val="nil"/>
              <w:left w:val="nil"/>
              <w:bottom w:val="single" w:sz="8" w:space="0" w:color="auto"/>
              <w:right w:val="single" w:sz="8" w:space="0" w:color="auto"/>
            </w:tcBorders>
            <w:shd w:val="clear" w:color="000000" w:fill="D9D9D9"/>
            <w:vAlign w:val="center"/>
            <w:hideMark/>
          </w:tcPr>
          <w:p w14:paraId="7E78766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2</w:t>
            </w:r>
          </w:p>
        </w:tc>
        <w:tc>
          <w:tcPr>
            <w:tcW w:w="960" w:type="dxa"/>
            <w:tcBorders>
              <w:top w:val="nil"/>
              <w:left w:val="nil"/>
              <w:bottom w:val="single" w:sz="8" w:space="0" w:color="auto"/>
              <w:right w:val="single" w:sz="8" w:space="0" w:color="auto"/>
            </w:tcBorders>
            <w:shd w:val="clear" w:color="000000" w:fill="D9D9D9"/>
            <w:vAlign w:val="center"/>
            <w:hideMark/>
          </w:tcPr>
          <w:p w14:paraId="6E63A1B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2</w:t>
            </w:r>
          </w:p>
        </w:tc>
      </w:tr>
      <w:tr w:rsidR="00D37F2D" w:rsidRPr="00C3707B" w14:paraId="36F596A5"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75ADAFC"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03</w:t>
            </w:r>
            <w:r w:rsidRPr="00C3707B">
              <w:rPr>
                <w:noProof/>
                <w:color w:val="000000"/>
                <w:sz w:val="16"/>
              </w:rPr>
              <w:t xml:space="preserve"> (AC, AL, END en JPD in de EU-delegaties)</w:t>
            </w:r>
          </w:p>
        </w:tc>
        <w:tc>
          <w:tcPr>
            <w:tcW w:w="960" w:type="dxa"/>
            <w:tcBorders>
              <w:top w:val="nil"/>
              <w:left w:val="nil"/>
              <w:bottom w:val="single" w:sz="8" w:space="0" w:color="auto"/>
              <w:right w:val="single" w:sz="8" w:space="0" w:color="auto"/>
            </w:tcBorders>
            <w:shd w:val="clear" w:color="000000" w:fill="D9D9D9"/>
            <w:vAlign w:val="center"/>
            <w:hideMark/>
          </w:tcPr>
          <w:p w14:paraId="638FC50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D872C7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5C263B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D77648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595A9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04F15681" w14:textId="77777777">
        <w:trPr>
          <w:trHeight w:val="315"/>
        </w:trPr>
        <w:tc>
          <w:tcPr>
            <w:tcW w:w="1460" w:type="dxa"/>
            <w:vMerge w:val="restart"/>
            <w:tcBorders>
              <w:top w:val="nil"/>
              <w:left w:val="single" w:sz="8" w:space="0" w:color="auto"/>
              <w:bottom w:val="single" w:sz="8" w:space="0" w:color="auto"/>
              <w:right w:val="single" w:sz="8" w:space="0" w:color="auto"/>
            </w:tcBorders>
            <w:shd w:val="clear" w:color="auto" w:fill="auto"/>
            <w:vAlign w:val="center"/>
            <w:hideMark/>
          </w:tcPr>
          <w:p w14:paraId="06A10379" w14:textId="77777777" w:rsidR="00D37F2D" w:rsidRPr="00C3707B" w:rsidRDefault="00D37F2D">
            <w:pPr>
              <w:spacing w:before="0" w:after="0"/>
              <w:jc w:val="center"/>
              <w:rPr>
                <w:rFonts w:eastAsia="Times New Roman"/>
                <w:noProof/>
                <w:color w:val="000000"/>
                <w:sz w:val="16"/>
                <w:szCs w:val="16"/>
              </w:rPr>
            </w:pPr>
            <w:r w:rsidRPr="00C3707B">
              <w:rPr>
                <w:noProof/>
                <w:color w:val="000000"/>
                <w:sz w:val="16"/>
              </w:rPr>
              <w:t>Admin. ondersteuning</w:t>
            </w:r>
            <w:r w:rsidRPr="00C3707B">
              <w:rPr>
                <w:noProof/>
              </w:rPr>
              <w:t xml:space="preserve"> </w:t>
            </w:r>
            <w:r w:rsidRPr="00C3707B">
              <w:rPr>
                <w:noProof/>
              </w:rPr>
              <w:br/>
            </w:r>
            <w:r w:rsidRPr="00C3707B">
              <w:rPr>
                <w:noProof/>
                <w:color w:val="000000"/>
                <w:sz w:val="16"/>
              </w:rPr>
              <w:t>[XX.</w:t>
            </w:r>
            <w:r w:rsidRPr="00160A33">
              <w:rPr>
                <w:noProof/>
                <w:color w:val="000000"/>
                <w:sz w:val="16"/>
              </w:rPr>
              <w:t>01</w:t>
            </w:r>
            <w:r w:rsidRPr="00C3707B">
              <w:rPr>
                <w:noProof/>
                <w:color w:val="000000"/>
                <w:sz w:val="16"/>
              </w:rPr>
              <w:t>.YY.YY] [</w:t>
            </w:r>
            <w:r w:rsidRPr="00160A33">
              <w:rPr>
                <w:noProof/>
                <w:color w:val="000000"/>
                <w:sz w:val="16"/>
              </w:rPr>
              <w:t>2</w:t>
            </w:r>
            <w:r w:rsidRPr="00C3707B">
              <w:rPr>
                <w:noProof/>
                <w:color w:val="000000"/>
                <w:sz w:val="16"/>
              </w:rPr>
              <w:t>]</w:t>
            </w:r>
          </w:p>
        </w:tc>
        <w:tc>
          <w:tcPr>
            <w:tcW w:w="3760" w:type="dxa"/>
            <w:tcBorders>
              <w:top w:val="nil"/>
              <w:left w:val="nil"/>
              <w:bottom w:val="single" w:sz="8" w:space="0" w:color="auto"/>
              <w:right w:val="single" w:sz="8" w:space="0" w:color="auto"/>
            </w:tcBorders>
            <w:shd w:val="clear" w:color="auto" w:fill="auto"/>
            <w:vAlign w:val="center"/>
            <w:hideMark/>
          </w:tcPr>
          <w:p w14:paraId="6A0EF007"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 centrale diensten</w:t>
            </w:r>
          </w:p>
        </w:tc>
        <w:tc>
          <w:tcPr>
            <w:tcW w:w="960" w:type="dxa"/>
            <w:tcBorders>
              <w:top w:val="nil"/>
              <w:left w:val="nil"/>
              <w:bottom w:val="single" w:sz="8" w:space="0" w:color="auto"/>
              <w:right w:val="single" w:sz="8" w:space="0" w:color="auto"/>
            </w:tcBorders>
            <w:shd w:val="clear" w:color="000000" w:fill="D9D9D9"/>
            <w:vAlign w:val="center"/>
            <w:hideMark/>
          </w:tcPr>
          <w:p w14:paraId="5A1B29C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F1EFDC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2FA9B8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32C600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6CE74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02578B87" w14:textId="77777777">
        <w:trPr>
          <w:trHeight w:val="315"/>
        </w:trPr>
        <w:tc>
          <w:tcPr>
            <w:tcW w:w="1460" w:type="dxa"/>
            <w:vMerge/>
            <w:tcBorders>
              <w:top w:val="nil"/>
              <w:left w:val="single" w:sz="8" w:space="0" w:color="auto"/>
              <w:bottom w:val="single" w:sz="8" w:space="0" w:color="auto"/>
              <w:right w:val="single" w:sz="8" w:space="0" w:color="auto"/>
            </w:tcBorders>
            <w:vAlign w:val="center"/>
            <w:hideMark/>
          </w:tcPr>
          <w:p w14:paraId="39903FE5" w14:textId="77777777" w:rsidR="00D37F2D" w:rsidRPr="00C3707B" w:rsidRDefault="00D37F2D">
            <w:pPr>
              <w:spacing w:before="0" w:after="0"/>
              <w:jc w:val="left"/>
              <w:rPr>
                <w:rFonts w:eastAsia="Times New Roman"/>
                <w:noProof/>
                <w:color w:val="000000"/>
                <w:sz w:val="16"/>
                <w:szCs w:val="16"/>
                <w:lang w:eastAsia="en-IE"/>
              </w:rPr>
            </w:pPr>
          </w:p>
        </w:tc>
        <w:tc>
          <w:tcPr>
            <w:tcW w:w="3760" w:type="dxa"/>
            <w:tcBorders>
              <w:top w:val="nil"/>
              <w:left w:val="nil"/>
              <w:bottom w:val="single" w:sz="8" w:space="0" w:color="auto"/>
              <w:right w:val="single" w:sz="8" w:space="0" w:color="auto"/>
            </w:tcBorders>
            <w:shd w:val="clear" w:color="auto" w:fill="auto"/>
            <w:vAlign w:val="center"/>
            <w:hideMark/>
          </w:tcPr>
          <w:p w14:paraId="6DF01466"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 xml:space="preserve">— EU-delegaties </w:t>
            </w:r>
          </w:p>
        </w:tc>
        <w:tc>
          <w:tcPr>
            <w:tcW w:w="960" w:type="dxa"/>
            <w:tcBorders>
              <w:top w:val="nil"/>
              <w:left w:val="nil"/>
              <w:bottom w:val="single" w:sz="8" w:space="0" w:color="auto"/>
              <w:right w:val="single" w:sz="8" w:space="0" w:color="auto"/>
            </w:tcBorders>
            <w:shd w:val="clear" w:color="000000" w:fill="D9D9D9"/>
            <w:vAlign w:val="center"/>
            <w:hideMark/>
          </w:tcPr>
          <w:p w14:paraId="2E4B6F9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F04A1F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FC542D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DA2E77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D9759A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16D67169"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390796E"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(AC, END — onderzoek onder contract)</w:t>
            </w:r>
          </w:p>
        </w:tc>
        <w:tc>
          <w:tcPr>
            <w:tcW w:w="960" w:type="dxa"/>
            <w:tcBorders>
              <w:top w:val="nil"/>
              <w:left w:val="nil"/>
              <w:bottom w:val="single" w:sz="8" w:space="0" w:color="auto"/>
              <w:right w:val="single" w:sz="8" w:space="0" w:color="auto"/>
            </w:tcBorders>
            <w:shd w:val="clear" w:color="000000" w:fill="D9D9D9"/>
            <w:vAlign w:val="center"/>
            <w:hideMark/>
          </w:tcPr>
          <w:p w14:paraId="088F646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0C96E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E068FB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CC4FB62"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BECCF3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6623FE07"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C9895C" w14:textId="3F9E563B"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12</w:t>
            </w:r>
            <w:r w:rsidRPr="00C3707B">
              <w:rPr>
                <w:noProof/>
                <w:color w:val="000000"/>
                <w:sz w:val="16"/>
              </w:rPr>
              <w:t xml:space="preserve"> (AC, END — eigen onderzoek)</w:t>
            </w:r>
          </w:p>
        </w:tc>
        <w:tc>
          <w:tcPr>
            <w:tcW w:w="960" w:type="dxa"/>
            <w:tcBorders>
              <w:top w:val="nil"/>
              <w:left w:val="nil"/>
              <w:bottom w:val="single" w:sz="8" w:space="0" w:color="auto"/>
              <w:right w:val="single" w:sz="8" w:space="0" w:color="auto"/>
            </w:tcBorders>
            <w:shd w:val="clear" w:color="000000" w:fill="D9D9D9"/>
            <w:vAlign w:val="center"/>
            <w:hideMark/>
          </w:tcPr>
          <w:p w14:paraId="3DA75B7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6C1A20"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633252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3260A3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563864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2C3A7FC5"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DD54C61"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 — rubriek </w:t>
            </w:r>
            <w:r w:rsidRPr="00160A33">
              <w:rPr>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14:paraId="4ADFE60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895F2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313701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BC0334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77B9CC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1D9C8AB9"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447D9C"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 — buiten rubriek </w:t>
            </w:r>
            <w:r w:rsidRPr="00160A33">
              <w:rPr>
                <w:noProof/>
                <w:color w:val="000000"/>
                <w:sz w:val="16"/>
              </w:rPr>
              <w:t>7</w:t>
            </w:r>
          </w:p>
        </w:tc>
        <w:tc>
          <w:tcPr>
            <w:tcW w:w="960" w:type="dxa"/>
            <w:tcBorders>
              <w:top w:val="nil"/>
              <w:left w:val="nil"/>
              <w:bottom w:val="single" w:sz="8" w:space="0" w:color="auto"/>
              <w:right w:val="single" w:sz="8" w:space="0" w:color="auto"/>
            </w:tcBorders>
            <w:shd w:val="clear" w:color="000000" w:fill="D9D9D9"/>
            <w:vAlign w:val="center"/>
            <w:hideMark/>
          </w:tcPr>
          <w:p w14:paraId="6D93A9B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4E33F8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D08FAB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C87A5D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F2BF2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6824EEF3" w14:textId="77777777">
        <w:trPr>
          <w:trHeight w:val="315"/>
        </w:trPr>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82943B" w14:textId="77777777" w:rsidR="00D37F2D" w:rsidRPr="00C3707B" w:rsidRDefault="00D37F2D">
            <w:pPr>
              <w:spacing w:before="0" w:after="0"/>
              <w:ind w:firstLineChars="100" w:firstLine="160"/>
              <w:jc w:val="left"/>
              <w:rPr>
                <w:rFonts w:eastAsia="Times New Roman"/>
                <w:b/>
                <w:bCs/>
                <w:noProof/>
                <w:color w:val="000000"/>
                <w:sz w:val="16"/>
                <w:szCs w:val="16"/>
              </w:rPr>
            </w:pPr>
            <w:r w:rsidRPr="00C3707B">
              <w:rPr>
                <w:b/>
                <w:noProof/>
                <w:color w:val="000000"/>
                <w:sz w:val="16"/>
              </w:rPr>
              <w:t>TOTAAL</w:t>
            </w:r>
          </w:p>
        </w:tc>
        <w:tc>
          <w:tcPr>
            <w:tcW w:w="960" w:type="dxa"/>
            <w:tcBorders>
              <w:top w:val="nil"/>
              <w:left w:val="nil"/>
              <w:bottom w:val="single" w:sz="8" w:space="0" w:color="auto"/>
              <w:right w:val="single" w:sz="8" w:space="0" w:color="auto"/>
            </w:tcBorders>
            <w:shd w:val="clear" w:color="000000" w:fill="D9D9D9"/>
            <w:vAlign w:val="center"/>
            <w:hideMark/>
          </w:tcPr>
          <w:p w14:paraId="417D57AD"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996330"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77EEC07"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10</w:t>
            </w:r>
          </w:p>
        </w:tc>
        <w:tc>
          <w:tcPr>
            <w:tcW w:w="960" w:type="dxa"/>
            <w:tcBorders>
              <w:top w:val="nil"/>
              <w:left w:val="nil"/>
              <w:bottom w:val="single" w:sz="8" w:space="0" w:color="auto"/>
              <w:right w:val="single" w:sz="8" w:space="0" w:color="auto"/>
            </w:tcBorders>
            <w:shd w:val="clear" w:color="000000" w:fill="D9D9D9"/>
            <w:vAlign w:val="center"/>
            <w:hideMark/>
          </w:tcPr>
          <w:p w14:paraId="7B3175DF"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20</w:t>
            </w:r>
          </w:p>
        </w:tc>
        <w:tc>
          <w:tcPr>
            <w:tcW w:w="960" w:type="dxa"/>
            <w:tcBorders>
              <w:top w:val="nil"/>
              <w:left w:val="nil"/>
              <w:bottom w:val="single" w:sz="8" w:space="0" w:color="auto"/>
              <w:right w:val="single" w:sz="8" w:space="0" w:color="auto"/>
            </w:tcBorders>
            <w:shd w:val="clear" w:color="000000" w:fill="D9D9D9"/>
            <w:vAlign w:val="center"/>
            <w:hideMark/>
          </w:tcPr>
          <w:p w14:paraId="3383F398"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20</w:t>
            </w:r>
          </w:p>
        </w:tc>
      </w:tr>
    </w:tbl>
    <w:p w14:paraId="6BEFCD39" w14:textId="77777777" w:rsidR="00D37F2D" w:rsidRPr="00C3707B" w:rsidRDefault="00D37F2D" w:rsidP="005D0E22">
      <w:pPr>
        <w:pStyle w:val="Text1"/>
        <w:rPr>
          <w:noProof/>
        </w:rPr>
      </w:pPr>
      <w:bookmarkStart w:id="175" w:name="_Toc167220296"/>
      <w:bookmarkStart w:id="176" w:name="_Toc177549029"/>
    </w:p>
    <w:p w14:paraId="69A0E197" w14:textId="77777777" w:rsidR="00D37F2D" w:rsidRPr="00C3707B" w:rsidRDefault="00D37F2D" w:rsidP="00D37F2D">
      <w:pPr>
        <w:pStyle w:val="ManualHeading3"/>
        <w:rPr>
          <w:noProof/>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2</w:t>
      </w:r>
      <w:r w:rsidRPr="00C3707B">
        <w:rPr>
          <w:noProof/>
        </w:rPr>
        <w:t>.</w:t>
      </w:r>
      <w:r w:rsidRPr="00C3707B">
        <w:rPr>
          <w:noProof/>
        </w:rPr>
        <w:tab/>
        <w:t>Gefinancierd uit externe bestemmingsontvangsten</w:t>
      </w:r>
      <w:bookmarkEnd w:id="175"/>
      <w:bookmarkEnd w:id="176"/>
    </w:p>
    <w:p w14:paraId="5BFB4E9F" w14:textId="77777777" w:rsidR="00D37F2D" w:rsidRPr="00C3707B" w:rsidRDefault="00D37F2D" w:rsidP="00D37F2D">
      <w:pPr>
        <w:pStyle w:val="Text1"/>
        <w:rPr>
          <w:noProof/>
        </w:rPr>
      </w:pPr>
      <w:r w:rsidRPr="00C3707B">
        <w:rPr>
          <w:noProof/>
        </w:rPr>
        <w:t>n.v.t.</w:t>
      </w:r>
    </w:p>
    <w:p w14:paraId="530411C3" w14:textId="67EB7FF3" w:rsidR="00D37F2D" w:rsidRPr="00C3707B" w:rsidRDefault="00D37F2D" w:rsidP="00D37F2D">
      <w:pPr>
        <w:pStyle w:val="ManualHeading3"/>
        <w:rPr>
          <w:noProof/>
        </w:rPr>
      </w:pPr>
      <w:bookmarkStart w:id="177" w:name="_Toc167220297"/>
      <w:bookmarkStart w:id="178" w:name="_Toc177549030"/>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3</w:t>
      </w:r>
      <w:r w:rsidRPr="00C3707B">
        <w:rPr>
          <w:noProof/>
        </w:rPr>
        <w:t>.</w:t>
      </w:r>
      <w:r w:rsidRPr="00C3707B">
        <w:rPr>
          <w:noProof/>
        </w:rPr>
        <w:tab/>
        <w:t>Totale personeelsbehoeften</w:t>
      </w:r>
      <w:bookmarkEnd w:id="177"/>
      <w:bookmarkEnd w:id="178"/>
    </w:p>
    <w:tbl>
      <w:tblPr>
        <w:tblW w:w="9655" w:type="dxa"/>
        <w:tblInd w:w="118" w:type="dxa"/>
        <w:tblLook w:val="04A0" w:firstRow="1" w:lastRow="0" w:firstColumn="1" w:lastColumn="0" w:noHBand="0" w:noVBand="1"/>
      </w:tblPr>
      <w:tblGrid>
        <w:gridCol w:w="1598"/>
        <w:gridCol w:w="3933"/>
        <w:gridCol w:w="1031"/>
        <w:gridCol w:w="1031"/>
        <w:gridCol w:w="1031"/>
        <w:gridCol w:w="1031"/>
      </w:tblGrid>
      <w:tr w:rsidR="00D37F2D" w:rsidRPr="00C3707B" w14:paraId="7F785F79" w14:textId="77777777">
        <w:trPr>
          <w:trHeight w:val="511"/>
        </w:trPr>
        <w:tc>
          <w:tcPr>
            <w:tcW w:w="5531"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5E2A442C" w14:textId="77777777" w:rsidR="00D37F2D" w:rsidRPr="00C3707B" w:rsidRDefault="00D37F2D">
            <w:pPr>
              <w:spacing w:before="0" w:after="0"/>
              <w:jc w:val="center"/>
              <w:rPr>
                <w:rFonts w:eastAsia="Times New Roman"/>
                <w:b/>
                <w:bCs/>
                <w:noProof/>
                <w:color w:val="000000"/>
                <w:sz w:val="18"/>
                <w:szCs w:val="18"/>
              </w:rPr>
            </w:pPr>
            <w:r w:rsidRPr="00C3707B">
              <w:rPr>
                <w:b/>
                <w:noProof/>
                <w:color w:val="000000"/>
                <w:sz w:val="18"/>
              </w:rPr>
              <w:t>TOTAAL</w:t>
            </w:r>
            <w:r w:rsidRPr="00C3707B">
              <w:rPr>
                <w:noProof/>
              </w:rPr>
              <w:t xml:space="preserve"> </w:t>
            </w:r>
            <w:r w:rsidRPr="00C3707B">
              <w:rPr>
                <w:noProof/>
              </w:rPr>
              <w:br/>
            </w:r>
            <w:r w:rsidRPr="00C3707B">
              <w:rPr>
                <w:b/>
                <w:noProof/>
                <w:color w:val="000000"/>
                <w:sz w:val="18"/>
              </w:rPr>
              <w:t>GOEDGEKEURDE KREDIETEN</w:t>
            </w:r>
            <w:r w:rsidRPr="00C3707B">
              <w:rPr>
                <w:b/>
                <w:noProof/>
                <w:color w:val="000000"/>
                <w:sz w:val="18"/>
              </w:rPr>
              <w:br/>
              <w:t>+</w:t>
            </w:r>
            <w:r w:rsidRPr="00C3707B">
              <w:rPr>
                <w:b/>
                <w:noProof/>
                <w:color w:val="000000"/>
                <w:sz w:val="18"/>
              </w:rPr>
              <w:br/>
              <w:t>EXTERNE BESTEMMINGSONTVANGSTEN</w:t>
            </w:r>
          </w:p>
        </w:tc>
        <w:tc>
          <w:tcPr>
            <w:tcW w:w="1031" w:type="dxa"/>
            <w:tcBorders>
              <w:top w:val="single" w:sz="8" w:space="0" w:color="auto"/>
              <w:left w:val="nil"/>
              <w:bottom w:val="nil"/>
              <w:right w:val="single" w:sz="8" w:space="0" w:color="auto"/>
            </w:tcBorders>
            <w:shd w:val="clear" w:color="auto" w:fill="auto"/>
            <w:vAlign w:val="center"/>
            <w:hideMark/>
          </w:tcPr>
          <w:p w14:paraId="16864020"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31" w:type="dxa"/>
            <w:tcBorders>
              <w:top w:val="single" w:sz="8" w:space="0" w:color="auto"/>
              <w:left w:val="nil"/>
              <w:bottom w:val="nil"/>
              <w:right w:val="single" w:sz="8" w:space="0" w:color="auto"/>
            </w:tcBorders>
            <w:shd w:val="clear" w:color="auto" w:fill="auto"/>
            <w:vAlign w:val="center"/>
            <w:hideMark/>
          </w:tcPr>
          <w:p w14:paraId="3756D3EF"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31" w:type="dxa"/>
            <w:tcBorders>
              <w:top w:val="single" w:sz="8" w:space="0" w:color="auto"/>
              <w:left w:val="nil"/>
              <w:bottom w:val="nil"/>
              <w:right w:val="single" w:sz="8" w:space="0" w:color="auto"/>
            </w:tcBorders>
            <w:shd w:val="clear" w:color="auto" w:fill="auto"/>
            <w:vAlign w:val="center"/>
            <w:hideMark/>
          </w:tcPr>
          <w:p w14:paraId="190D362B"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31" w:type="dxa"/>
            <w:tcBorders>
              <w:top w:val="single" w:sz="8" w:space="0" w:color="auto"/>
              <w:left w:val="nil"/>
              <w:bottom w:val="nil"/>
              <w:right w:val="single" w:sz="8" w:space="0" w:color="auto"/>
            </w:tcBorders>
            <w:shd w:val="clear" w:color="auto" w:fill="auto"/>
            <w:vAlign w:val="center"/>
            <w:hideMark/>
          </w:tcPr>
          <w:p w14:paraId="2AE3C7E5"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r>
      <w:tr w:rsidR="00D37F2D" w:rsidRPr="00C3707B" w14:paraId="7FDFF7E7" w14:textId="77777777">
        <w:trPr>
          <w:trHeight w:val="511"/>
        </w:trPr>
        <w:tc>
          <w:tcPr>
            <w:tcW w:w="5531"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47F3A981" w14:textId="77777777" w:rsidR="00D37F2D" w:rsidRPr="00C3707B" w:rsidRDefault="00D37F2D">
            <w:pPr>
              <w:spacing w:before="0" w:after="0"/>
              <w:jc w:val="center"/>
              <w:rPr>
                <w:rFonts w:eastAsia="Times New Roman"/>
                <w:b/>
                <w:bCs/>
                <w:noProof/>
                <w:color w:val="000000"/>
                <w:sz w:val="18"/>
                <w:szCs w:val="18"/>
                <w:lang w:eastAsia="en-IE"/>
              </w:rPr>
            </w:pPr>
          </w:p>
        </w:tc>
        <w:tc>
          <w:tcPr>
            <w:tcW w:w="1031" w:type="dxa"/>
            <w:tcBorders>
              <w:top w:val="single" w:sz="8" w:space="0" w:color="auto"/>
              <w:left w:val="nil"/>
              <w:bottom w:val="nil"/>
              <w:right w:val="single" w:sz="8" w:space="0" w:color="auto"/>
            </w:tcBorders>
            <w:shd w:val="clear" w:color="auto" w:fill="auto"/>
            <w:vAlign w:val="center"/>
            <w:hideMark/>
          </w:tcPr>
          <w:p w14:paraId="69BAA023"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2024</w:t>
            </w:r>
          </w:p>
        </w:tc>
        <w:tc>
          <w:tcPr>
            <w:tcW w:w="1031" w:type="dxa"/>
            <w:tcBorders>
              <w:top w:val="single" w:sz="8" w:space="0" w:color="auto"/>
              <w:left w:val="nil"/>
              <w:bottom w:val="nil"/>
              <w:right w:val="single" w:sz="8" w:space="0" w:color="auto"/>
            </w:tcBorders>
            <w:shd w:val="clear" w:color="auto" w:fill="auto"/>
            <w:vAlign w:val="center"/>
            <w:hideMark/>
          </w:tcPr>
          <w:p w14:paraId="379E5C98"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2025</w:t>
            </w:r>
          </w:p>
        </w:tc>
        <w:tc>
          <w:tcPr>
            <w:tcW w:w="1031" w:type="dxa"/>
            <w:tcBorders>
              <w:top w:val="single" w:sz="8" w:space="0" w:color="auto"/>
              <w:left w:val="nil"/>
              <w:bottom w:val="nil"/>
              <w:right w:val="single" w:sz="8" w:space="0" w:color="auto"/>
            </w:tcBorders>
            <w:shd w:val="clear" w:color="auto" w:fill="auto"/>
            <w:vAlign w:val="center"/>
            <w:hideMark/>
          </w:tcPr>
          <w:p w14:paraId="5153130D"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2026</w:t>
            </w:r>
          </w:p>
        </w:tc>
        <w:tc>
          <w:tcPr>
            <w:tcW w:w="1031" w:type="dxa"/>
            <w:tcBorders>
              <w:top w:val="single" w:sz="8" w:space="0" w:color="auto"/>
              <w:left w:val="nil"/>
              <w:bottom w:val="nil"/>
              <w:right w:val="single" w:sz="8" w:space="0" w:color="auto"/>
            </w:tcBorders>
            <w:shd w:val="clear" w:color="auto" w:fill="auto"/>
            <w:vAlign w:val="center"/>
            <w:hideMark/>
          </w:tcPr>
          <w:p w14:paraId="7B0EBFC6" w14:textId="77777777" w:rsidR="00D37F2D" w:rsidRPr="00C3707B" w:rsidRDefault="00D37F2D">
            <w:pPr>
              <w:spacing w:before="0" w:after="0"/>
              <w:jc w:val="center"/>
              <w:rPr>
                <w:rFonts w:eastAsia="Times New Roman"/>
                <w:noProof/>
                <w:color w:val="000000"/>
                <w:sz w:val="20"/>
                <w:szCs w:val="20"/>
              </w:rPr>
            </w:pPr>
            <w:r w:rsidRPr="00160A33">
              <w:rPr>
                <w:noProof/>
                <w:color w:val="000000"/>
                <w:sz w:val="20"/>
              </w:rPr>
              <w:t>2027</w:t>
            </w:r>
          </w:p>
        </w:tc>
      </w:tr>
      <w:tr w:rsidR="00D37F2D" w:rsidRPr="00C3707B" w14:paraId="13092E6A" w14:textId="77777777">
        <w:trPr>
          <w:trHeight w:val="311"/>
        </w:trPr>
        <w:tc>
          <w:tcPr>
            <w:tcW w:w="9655" w:type="dxa"/>
            <w:gridSpan w:val="6"/>
            <w:tcBorders>
              <w:top w:val="single" w:sz="8" w:space="0" w:color="auto"/>
              <w:left w:val="single" w:sz="8" w:space="0" w:color="auto"/>
              <w:bottom w:val="single" w:sz="8" w:space="0" w:color="auto"/>
              <w:right w:val="nil"/>
            </w:tcBorders>
            <w:shd w:val="clear" w:color="auto" w:fill="auto"/>
            <w:vAlign w:val="center"/>
            <w:hideMark/>
          </w:tcPr>
          <w:p w14:paraId="4E364530"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Wingdings" w:hAnsi="Wingdings"/>
                <w:b/>
                <w:noProof/>
                <w:color w:val="000000"/>
                <w:sz w:val="16"/>
              </w:rPr>
              <w:t></w:t>
            </w:r>
            <w:r w:rsidRPr="00C3707B">
              <w:rPr>
                <w:b/>
                <w:noProof/>
                <w:color w:val="000000"/>
                <w:sz w:val="16"/>
              </w:rPr>
              <w:t xml:space="preserve"> Posten opgenomen in de lijst van het aantal ambten (ambtenaren en tijdelijke functionarissen)</w:t>
            </w:r>
          </w:p>
        </w:tc>
      </w:tr>
      <w:tr w:rsidR="00D37F2D" w:rsidRPr="00C3707B" w14:paraId="0D312090"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46422B"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01</w:t>
            </w:r>
            <w:r w:rsidRPr="00C3707B">
              <w:rPr>
                <w:noProof/>
                <w:color w:val="000000"/>
                <w:sz w:val="16"/>
              </w:rPr>
              <w:t>(centrale diensten en vertegenwoordigingen van de Commissie)</w:t>
            </w:r>
          </w:p>
        </w:tc>
        <w:tc>
          <w:tcPr>
            <w:tcW w:w="1031" w:type="dxa"/>
            <w:tcBorders>
              <w:top w:val="nil"/>
              <w:left w:val="nil"/>
              <w:bottom w:val="single" w:sz="8" w:space="0" w:color="auto"/>
              <w:right w:val="single" w:sz="8" w:space="0" w:color="auto"/>
            </w:tcBorders>
            <w:shd w:val="clear" w:color="000000" w:fill="D9D9D9"/>
            <w:vAlign w:val="center"/>
            <w:hideMark/>
          </w:tcPr>
          <w:p w14:paraId="3C65452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141B120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6D908CF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9</w:t>
            </w:r>
          </w:p>
        </w:tc>
        <w:tc>
          <w:tcPr>
            <w:tcW w:w="1031" w:type="dxa"/>
            <w:tcBorders>
              <w:top w:val="nil"/>
              <w:left w:val="nil"/>
              <w:bottom w:val="single" w:sz="8" w:space="0" w:color="auto"/>
              <w:right w:val="single" w:sz="8" w:space="0" w:color="auto"/>
            </w:tcBorders>
            <w:shd w:val="clear" w:color="000000" w:fill="D9D9D9"/>
            <w:vAlign w:val="center"/>
            <w:hideMark/>
          </w:tcPr>
          <w:p w14:paraId="5D7C861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18</w:t>
            </w:r>
          </w:p>
        </w:tc>
      </w:tr>
      <w:tr w:rsidR="00D37F2D" w:rsidRPr="00C3707B" w14:paraId="3E5E665C"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0BADF9F"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03</w:t>
            </w:r>
            <w:r w:rsidRPr="00C3707B">
              <w:rPr>
                <w:noProof/>
                <w:color w:val="000000"/>
                <w:sz w:val="16"/>
              </w:rPr>
              <w:t xml:space="preserve"> (EU-delegaties)</w:t>
            </w:r>
          </w:p>
        </w:tc>
        <w:tc>
          <w:tcPr>
            <w:tcW w:w="1031" w:type="dxa"/>
            <w:tcBorders>
              <w:top w:val="nil"/>
              <w:left w:val="nil"/>
              <w:bottom w:val="single" w:sz="8" w:space="0" w:color="auto"/>
              <w:right w:val="single" w:sz="8" w:space="0" w:color="auto"/>
            </w:tcBorders>
            <w:shd w:val="clear" w:color="000000" w:fill="D9D9D9"/>
            <w:vAlign w:val="center"/>
            <w:hideMark/>
          </w:tcPr>
          <w:p w14:paraId="0C21B02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036F966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6AE96C7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17F21D6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4D7F3225"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689B9E1"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(onderzoek onder contract)</w:t>
            </w:r>
          </w:p>
        </w:tc>
        <w:tc>
          <w:tcPr>
            <w:tcW w:w="1031" w:type="dxa"/>
            <w:tcBorders>
              <w:top w:val="nil"/>
              <w:left w:val="nil"/>
              <w:bottom w:val="single" w:sz="8" w:space="0" w:color="auto"/>
              <w:right w:val="single" w:sz="8" w:space="0" w:color="auto"/>
            </w:tcBorders>
            <w:shd w:val="clear" w:color="000000" w:fill="D9D9D9"/>
            <w:vAlign w:val="center"/>
            <w:hideMark/>
          </w:tcPr>
          <w:p w14:paraId="2CACBA2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796DC2E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02DB113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930BAE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16484B98"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3B39A72"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11</w:t>
            </w:r>
            <w:r w:rsidRPr="00C3707B">
              <w:rPr>
                <w:noProof/>
                <w:color w:val="000000"/>
                <w:sz w:val="16"/>
              </w:rPr>
              <w:t xml:space="preserve"> (eigen onderzoek)</w:t>
            </w:r>
          </w:p>
        </w:tc>
        <w:tc>
          <w:tcPr>
            <w:tcW w:w="1031" w:type="dxa"/>
            <w:tcBorders>
              <w:top w:val="nil"/>
              <w:left w:val="nil"/>
              <w:bottom w:val="single" w:sz="8" w:space="0" w:color="auto"/>
              <w:right w:val="single" w:sz="8" w:space="0" w:color="auto"/>
            </w:tcBorders>
            <w:shd w:val="clear" w:color="000000" w:fill="D9D9D9"/>
            <w:vAlign w:val="center"/>
            <w:hideMark/>
          </w:tcPr>
          <w:p w14:paraId="3C38DB8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6C4BD61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3461F63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D2F9A8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71CA425B"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E88C72E"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w:t>
            </w:r>
          </w:p>
        </w:tc>
        <w:tc>
          <w:tcPr>
            <w:tcW w:w="1031" w:type="dxa"/>
            <w:tcBorders>
              <w:top w:val="nil"/>
              <w:left w:val="nil"/>
              <w:bottom w:val="single" w:sz="8" w:space="0" w:color="auto"/>
              <w:right w:val="single" w:sz="8" w:space="0" w:color="auto"/>
            </w:tcBorders>
            <w:shd w:val="clear" w:color="000000" w:fill="D9D9D9"/>
            <w:vAlign w:val="center"/>
            <w:hideMark/>
          </w:tcPr>
          <w:p w14:paraId="104E1C0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1F97381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07501052"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58EC93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4F47730E" w14:textId="77777777">
        <w:trPr>
          <w:trHeight w:val="311"/>
        </w:trPr>
        <w:tc>
          <w:tcPr>
            <w:tcW w:w="9655" w:type="dxa"/>
            <w:gridSpan w:val="6"/>
            <w:tcBorders>
              <w:top w:val="single" w:sz="8" w:space="0" w:color="auto"/>
              <w:left w:val="single" w:sz="8" w:space="0" w:color="auto"/>
              <w:bottom w:val="single" w:sz="8" w:space="0" w:color="auto"/>
              <w:right w:val="nil"/>
            </w:tcBorders>
            <w:shd w:val="clear" w:color="auto" w:fill="auto"/>
            <w:vAlign w:val="center"/>
            <w:hideMark/>
          </w:tcPr>
          <w:p w14:paraId="7760952A" w14:textId="77777777" w:rsidR="00D37F2D" w:rsidRPr="00C3707B" w:rsidRDefault="00D37F2D">
            <w:pPr>
              <w:spacing w:before="0" w:after="0"/>
              <w:jc w:val="left"/>
              <w:rPr>
                <w:rFonts w:ascii="Wingdings" w:eastAsia="Times New Roman" w:hAnsi="Wingdings" w:cs="Calibri"/>
                <w:b/>
                <w:bCs/>
                <w:noProof/>
                <w:color w:val="000000"/>
                <w:sz w:val="16"/>
                <w:szCs w:val="16"/>
              </w:rPr>
            </w:pPr>
            <w:r w:rsidRPr="00C3707B">
              <w:rPr>
                <w:rFonts w:ascii="Calibri" w:hAnsi="Calibri"/>
                <w:b/>
                <w:noProof/>
                <w:color w:val="000000"/>
                <w:sz w:val="16"/>
              </w:rPr>
              <w:t>•</w:t>
            </w:r>
            <w:r w:rsidRPr="00C3707B">
              <w:rPr>
                <w:b/>
                <w:noProof/>
                <w:color w:val="000000"/>
                <w:sz w:val="16"/>
              </w:rPr>
              <w:t xml:space="preserve"> Extern personeel (in voltijdequivalenten, vte’s)</w:t>
            </w:r>
          </w:p>
        </w:tc>
      </w:tr>
      <w:tr w:rsidR="00D37F2D" w:rsidRPr="00C3707B" w14:paraId="2933CCB4"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315B13D"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01</w:t>
            </w:r>
            <w:r w:rsidRPr="00C3707B">
              <w:rPr>
                <w:noProof/>
                <w:color w:val="000000"/>
                <w:sz w:val="16"/>
              </w:rPr>
              <w:t xml:space="preserve"> (AC, END van de “totale financiële middelen”)</w:t>
            </w:r>
          </w:p>
        </w:tc>
        <w:tc>
          <w:tcPr>
            <w:tcW w:w="1031" w:type="dxa"/>
            <w:tcBorders>
              <w:top w:val="nil"/>
              <w:left w:val="nil"/>
              <w:bottom w:val="single" w:sz="8" w:space="0" w:color="auto"/>
              <w:right w:val="single" w:sz="8" w:space="0" w:color="auto"/>
            </w:tcBorders>
            <w:shd w:val="clear" w:color="000000" w:fill="D9D9D9"/>
            <w:vAlign w:val="center"/>
            <w:hideMark/>
          </w:tcPr>
          <w:p w14:paraId="723D19C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D1285A5"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3A9DC4B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1</w:t>
            </w:r>
          </w:p>
        </w:tc>
        <w:tc>
          <w:tcPr>
            <w:tcW w:w="1031" w:type="dxa"/>
            <w:tcBorders>
              <w:top w:val="nil"/>
              <w:left w:val="nil"/>
              <w:bottom w:val="single" w:sz="8" w:space="0" w:color="auto"/>
              <w:right w:val="single" w:sz="8" w:space="0" w:color="auto"/>
            </w:tcBorders>
            <w:shd w:val="clear" w:color="000000" w:fill="D9D9D9"/>
            <w:vAlign w:val="center"/>
            <w:hideMark/>
          </w:tcPr>
          <w:p w14:paraId="519055A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2</w:t>
            </w:r>
          </w:p>
        </w:tc>
      </w:tr>
      <w:tr w:rsidR="00D37F2D" w:rsidRPr="00C3707B" w14:paraId="0A9834BD"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340DCB9"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20</w:t>
            </w:r>
            <w:r w:rsidRPr="00C3707B">
              <w:rPr>
                <w:noProof/>
                <w:color w:val="000000"/>
                <w:sz w:val="16"/>
              </w:rPr>
              <w:t xml:space="preserve"> </w:t>
            </w:r>
            <w:r w:rsidRPr="00160A33">
              <w:rPr>
                <w:noProof/>
                <w:color w:val="000000"/>
                <w:sz w:val="16"/>
              </w:rPr>
              <w:t>02</w:t>
            </w:r>
            <w:r w:rsidRPr="00C3707B">
              <w:rPr>
                <w:noProof/>
                <w:color w:val="000000"/>
                <w:sz w:val="16"/>
              </w:rPr>
              <w:t xml:space="preserve"> </w:t>
            </w:r>
            <w:r w:rsidRPr="00160A33">
              <w:rPr>
                <w:noProof/>
                <w:color w:val="000000"/>
                <w:sz w:val="16"/>
              </w:rPr>
              <w:t>03</w:t>
            </w:r>
            <w:r w:rsidRPr="00C3707B">
              <w:rPr>
                <w:noProof/>
                <w:color w:val="000000"/>
                <w:sz w:val="16"/>
              </w:rPr>
              <w:t xml:space="preserve"> (AC, AL, END en JPD in de EU-delegaties)</w:t>
            </w:r>
          </w:p>
        </w:tc>
        <w:tc>
          <w:tcPr>
            <w:tcW w:w="1031" w:type="dxa"/>
            <w:tcBorders>
              <w:top w:val="nil"/>
              <w:left w:val="nil"/>
              <w:bottom w:val="single" w:sz="8" w:space="0" w:color="auto"/>
              <w:right w:val="single" w:sz="8" w:space="0" w:color="auto"/>
            </w:tcBorders>
            <w:shd w:val="clear" w:color="000000" w:fill="D9D9D9"/>
            <w:vAlign w:val="center"/>
            <w:hideMark/>
          </w:tcPr>
          <w:p w14:paraId="2A607C0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283C63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4579DA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0488EB9"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5CA39F78" w14:textId="77777777">
        <w:trPr>
          <w:trHeight w:val="327"/>
        </w:trPr>
        <w:tc>
          <w:tcPr>
            <w:tcW w:w="1598" w:type="dxa"/>
            <w:vMerge w:val="restart"/>
            <w:tcBorders>
              <w:top w:val="nil"/>
              <w:left w:val="single" w:sz="8" w:space="0" w:color="auto"/>
              <w:bottom w:val="single" w:sz="8" w:space="0" w:color="auto"/>
              <w:right w:val="single" w:sz="8" w:space="0" w:color="auto"/>
            </w:tcBorders>
            <w:shd w:val="clear" w:color="auto" w:fill="auto"/>
            <w:vAlign w:val="center"/>
            <w:hideMark/>
          </w:tcPr>
          <w:p w14:paraId="0C2BEEDC" w14:textId="77777777" w:rsidR="00D37F2D" w:rsidRPr="00C3707B" w:rsidRDefault="00D37F2D">
            <w:pPr>
              <w:spacing w:before="0" w:after="0"/>
              <w:jc w:val="center"/>
              <w:rPr>
                <w:rFonts w:eastAsia="Times New Roman"/>
                <w:noProof/>
                <w:color w:val="000000"/>
                <w:sz w:val="16"/>
                <w:szCs w:val="16"/>
              </w:rPr>
            </w:pPr>
            <w:r w:rsidRPr="00C3707B">
              <w:rPr>
                <w:noProof/>
                <w:color w:val="000000"/>
                <w:sz w:val="16"/>
              </w:rPr>
              <w:t>Admin. ondersteuning</w:t>
            </w:r>
            <w:r w:rsidRPr="00C3707B">
              <w:rPr>
                <w:noProof/>
              </w:rPr>
              <w:t xml:space="preserve"> </w:t>
            </w:r>
            <w:r w:rsidRPr="00C3707B">
              <w:rPr>
                <w:noProof/>
              </w:rPr>
              <w:br/>
            </w:r>
            <w:r w:rsidRPr="00C3707B">
              <w:rPr>
                <w:noProof/>
                <w:color w:val="000000"/>
                <w:sz w:val="16"/>
              </w:rPr>
              <w:t>[XX.</w:t>
            </w:r>
            <w:r w:rsidRPr="00160A33">
              <w:rPr>
                <w:noProof/>
                <w:color w:val="000000"/>
                <w:sz w:val="16"/>
              </w:rPr>
              <w:t>01</w:t>
            </w:r>
            <w:r w:rsidRPr="00C3707B">
              <w:rPr>
                <w:noProof/>
                <w:color w:val="000000"/>
                <w:sz w:val="16"/>
              </w:rPr>
              <w:t>.YY.YY] [</w:t>
            </w:r>
            <w:r w:rsidRPr="00160A33">
              <w:rPr>
                <w:noProof/>
                <w:color w:val="000000"/>
                <w:sz w:val="16"/>
              </w:rPr>
              <w:t>2</w:t>
            </w:r>
            <w:r w:rsidRPr="00C3707B">
              <w:rPr>
                <w:noProof/>
                <w:color w:val="000000"/>
                <w:sz w:val="16"/>
              </w:rPr>
              <w:t>]</w:t>
            </w:r>
          </w:p>
        </w:tc>
        <w:tc>
          <w:tcPr>
            <w:tcW w:w="3932" w:type="dxa"/>
            <w:tcBorders>
              <w:top w:val="nil"/>
              <w:left w:val="nil"/>
              <w:bottom w:val="single" w:sz="8" w:space="0" w:color="auto"/>
              <w:right w:val="single" w:sz="8" w:space="0" w:color="auto"/>
            </w:tcBorders>
            <w:shd w:val="clear" w:color="auto" w:fill="auto"/>
            <w:vAlign w:val="center"/>
            <w:hideMark/>
          </w:tcPr>
          <w:p w14:paraId="0C772A3E"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 centrale diensten</w:t>
            </w:r>
          </w:p>
        </w:tc>
        <w:tc>
          <w:tcPr>
            <w:tcW w:w="1031" w:type="dxa"/>
            <w:tcBorders>
              <w:top w:val="nil"/>
              <w:left w:val="nil"/>
              <w:bottom w:val="single" w:sz="8" w:space="0" w:color="auto"/>
              <w:right w:val="single" w:sz="8" w:space="0" w:color="auto"/>
            </w:tcBorders>
            <w:shd w:val="clear" w:color="000000" w:fill="D9D9D9"/>
            <w:vAlign w:val="center"/>
            <w:hideMark/>
          </w:tcPr>
          <w:p w14:paraId="529C4877"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094E30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7AD78A8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39E9E28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7BF34F03" w14:textId="77777777">
        <w:trPr>
          <w:trHeight w:val="327"/>
        </w:trPr>
        <w:tc>
          <w:tcPr>
            <w:tcW w:w="1598" w:type="dxa"/>
            <w:vMerge/>
            <w:tcBorders>
              <w:top w:val="nil"/>
              <w:left w:val="single" w:sz="8" w:space="0" w:color="auto"/>
              <w:bottom w:val="single" w:sz="8" w:space="0" w:color="auto"/>
              <w:right w:val="single" w:sz="8" w:space="0" w:color="auto"/>
            </w:tcBorders>
            <w:vAlign w:val="center"/>
            <w:hideMark/>
          </w:tcPr>
          <w:p w14:paraId="0C299D4E" w14:textId="77777777" w:rsidR="00D37F2D" w:rsidRPr="00C3707B" w:rsidRDefault="00D37F2D">
            <w:pPr>
              <w:spacing w:before="0" w:after="0"/>
              <w:jc w:val="left"/>
              <w:rPr>
                <w:rFonts w:eastAsia="Times New Roman"/>
                <w:noProof/>
                <w:color w:val="000000"/>
                <w:sz w:val="16"/>
                <w:szCs w:val="16"/>
                <w:lang w:eastAsia="en-IE"/>
              </w:rPr>
            </w:pPr>
          </w:p>
        </w:tc>
        <w:tc>
          <w:tcPr>
            <w:tcW w:w="3932" w:type="dxa"/>
            <w:tcBorders>
              <w:top w:val="nil"/>
              <w:left w:val="nil"/>
              <w:bottom w:val="single" w:sz="8" w:space="0" w:color="auto"/>
              <w:right w:val="single" w:sz="8" w:space="0" w:color="auto"/>
            </w:tcBorders>
            <w:shd w:val="clear" w:color="auto" w:fill="auto"/>
            <w:vAlign w:val="center"/>
            <w:hideMark/>
          </w:tcPr>
          <w:p w14:paraId="33848397"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 xml:space="preserve">— EU-delegaties </w:t>
            </w:r>
          </w:p>
        </w:tc>
        <w:tc>
          <w:tcPr>
            <w:tcW w:w="1031" w:type="dxa"/>
            <w:tcBorders>
              <w:top w:val="nil"/>
              <w:left w:val="nil"/>
              <w:bottom w:val="single" w:sz="8" w:space="0" w:color="auto"/>
              <w:right w:val="single" w:sz="8" w:space="0" w:color="auto"/>
            </w:tcBorders>
            <w:shd w:val="clear" w:color="000000" w:fill="D9D9D9"/>
            <w:vAlign w:val="center"/>
            <w:hideMark/>
          </w:tcPr>
          <w:p w14:paraId="7DB911E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3FF14AF3"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6D5196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83B748E"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74402265"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02B27B7" w14:textId="7777777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02</w:t>
            </w:r>
            <w:r w:rsidRPr="00C3707B">
              <w:rPr>
                <w:noProof/>
                <w:color w:val="000000"/>
                <w:sz w:val="16"/>
              </w:rPr>
              <w:t xml:space="preserve"> (AC, END — onderzoek onder contract)</w:t>
            </w:r>
          </w:p>
        </w:tc>
        <w:tc>
          <w:tcPr>
            <w:tcW w:w="1031" w:type="dxa"/>
            <w:tcBorders>
              <w:top w:val="nil"/>
              <w:left w:val="nil"/>
              <w:bottom w:val="single" w:sz="8" w:space="0" w:color="auto"/>
              <w:right w:val="single" w:sz="8" w:space="0" w:color="auto"/>
            </w:tcBorders>
            <w:shd w:val="clear" w:color="000000" w:fill="D9D9D9"/>
            <w:vAlign w:val="center"/>
            <w:hideMark/>
          </w:tcPr>
          <w:p w14:paraId="529F7A9C"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4B2F986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7BF75AB2"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B5F5B58"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096D46D8"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B747E51" w14:textId="20396AB7" w:rsidR="00D37F2D" w:rsidRPr="00C3707B" w:rsidRDefault="00D37F2D">
            <w:pPr>
              <w:spacing w:before="0" w:after="0"/>
              <w:ind w:firstLineChars="100" w:firstLine="160"/>
              <w:jc w:val="left"/>
              <w:rPr>
                <w:rFonts w:eastAsia="Times New Roman"/>
                <w:noProof/>
                <w:color w:val="000000"/>
                <w:sz w:val="16"/>
                <w:szCs w:val="16"/>
              </w:rPr>
            </w:pP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01</w:t>
            </w:r>
            <w:r w:rsidRPr="00C3707B">
              <w:rPr>
                <w:noProof/>
                <w:color w:val="000000"/>
                <w:sz w:val="16"/>
              </w:rPr>
              <w:t xml:space="preserve"> </w:t>
            </w:r>
            <w:r w:rsidRPr="00160A33">
              <w:rPr>
                <w:noProof/>
                <w:color w:val="000000"/>
                <w:sz w:val="16"/>
              </w:rPr>
              <w:t>12</w:t>
            </w:r>
            <w:r w:rsidRPr="00C3707B">
              <w:rPr>
                <w:noProof/>
                <w:color w:val="000000"/>
                <w:sz w:val="16"/>
              </w:rPr>
              <w:t xml:space="preserve"> (AC, END — eigen onderzoek)</w:t>
            </w:r>
          </w:p>
        </w:tc>
        <w:tc>
          <w:tcPr>
            <w:tcW w:w="1031" w:type="dxa"/>
            <w:tcBorders>
              <w:top w:val="nil"/>
              <w:left w:val="nil"/>
              <w:bottom w:val="single" w:sz="8" w:space="0" w:color="auto"/>
              <w:right w:val="single" w:sz="8" w:space="0" w:color="auto"/>
            </w:tcBorders>
            <w:shd w:val="clear" w:color="000000" w:fill="D9D9D9"/>
            <w:vAlign w:val="center"/>
            <w:hideMark/>
          </w:tcPr>
          <w:p w14:paraId="1F1ECC8F"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7B9A495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68FC5BB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34570526"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1630214E"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0437D3F"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 — rubriek </w:t>
            </w:r>
            <w:r w:rsidRPr="00160A33">
              <w:rPr>
                <w:noProof/>
                <w:color w:val="000000"/>
                <w:sz w:val="16"/>
              </w:rPr>
              <w:t>7</w:t>
            </w:r>
          </w:p>
        </w:tc>
        <w:tc>
          <w:tcPr>
            <w:tcW w:w="1031" w:type="dxa"/>
            <w:tcBorders>
              <w:top w:val="nil"/>
              <w:left w:val="nil"/>
              <w:bottom w:val="single" w:sz="8" w:space="0" w:color="auto"/>
              <w:right w:val="single" w:sz="8" w:space="0" w:color="auto"/>
            </w:tcBorders>
            <w:shd w:val="clear" w:color="000000" w:fill="D9D9D9"/>
            <w:vAlign w:val="center"/>
            <w:hideMark/>
          </w:tcPr>
          <w:p w14:paraId="7828BD3D"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4DF0C7D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92E841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788EB7DA"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479AE0AF" w14:textId="77777777">
        <w:trPr>
          <w:trHeight w:val="311"/>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F7A7198" w14:textId="77777777" w:rsidR="00D37F2D" w:rsidRPr="00C3707B" w:rsidRDefault="00D37F2D">
            <w:pPr>
              <w:spacing w:before="0" w:after="0"/>
              <w:ind w:firstLineChars="100" w:firstLine="160"/>
              <w:jc w:val="left"/>
              <w:rPr>
                <w:rFonts w:eastAsia="Times New Roman"/>
                <w:noProof/>
                <w:color w:val="000000"/>
                <w:sz w:val="16"/>
                <w:szCs w:val="16"/>
              </w:rPr>
            </w:pPr>
            <w:r w:rsidRPr="00C3707B">
              <w:rPr>
                <w:noProof/>
                <w:color w:val="000000"/>
                <w:sz w:val="16"/>
              </w:rPr>
              <w:t>Andere begrotingsonderdelen (te vermelden) — buiten rubriek </w:t>
            </w:r>
            <w:r w:rsidRPr="00160A33">
              <w:rPr>
                <w:noProof/>
                <w:color w:val="000000"/>
                <w:sz w:val="16"/>
              </w:rPr>
              <w:t>7</w:t>
            </w:r>
          </w:p>
        </w:tc>
        <w:tc>
          <w:tcPr>
            <w:tcW w:w="1031" w:type="dxa"/>
            <w:tcBorders>
              <w:top w:val="nil"/>
              <w:left w:val="nil"/>
              <w:bottom w:val="single" w:sz="8" w:space="0" w:color="auto"/>
              <w:right w:val="single" w:sz="8" w:space="0" w:color="auto"/>
            </w:tcBorders>
            <w:shd w:val="clear" w:color="000000" w:fill="D9D9D9"/>
            <w:vAlign w:val="center"/>
            <w:hideMark/>
          </w:tcPr>
          <w:p w14:paraId="2764C04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F30C7B1"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6D69CD14"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0EED7B2B" w14:textId="77777777" w:rsidR="00D37F2D" w:rsidRPr="00C3707B" w:rsidRDefault="00D37F2D">
            <w:pPr>
              <w:spacing w:before="0" w:after="0"/>
              <w:jc w:val="center"/>
              <w:rPr>
                <w:rFonts w:eastAsia="Times New Roman"/>
                <w:noProof/>
                <w:color w:val="000000"/>
                <w:sz w:val="16"/>
                <w:szCs w:val="16"/>
              </w:rPr>
            </w:pPr>
            <w:r w:rsidRPr="00160A33">
              <w:rPr>
                <w:noProof/>
                <w:color w:val="000000"/>
                <w:sz w:val="16"/>
              </w:rPr>
              <w:t>0</w:t>
            </w:r>
          </w:p>
        </w:tc>
      </w:tr>
      <w:tr w:rsidR="00D37F2D" w:rsidRPr="00C3707B" w14:paraId="58E128A2" w14:textId="77777777">
        <w:trPr>
          <w:trHeight w:val="327"/>
        </w:trPr>
        <w:tc>
          <w:tcPr>
            <w:tcW w:w="553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BAA7F08" w14:textId="77777777" w:rsidR="00D37F2D" w:rsidRPr="00C3707B" w:rsidRDefault="00D37F2D">
            <w:pPr>
              <w:spacing w:before="0" w:after="0"/>
              <w:ind w:firstLineChars="100" w:firstLine="160"/>
              <w:jc w:val="left"/>
              <w:rPr>
                <w:rFonts w:eastAsia="Times New Roman"/>
                <w:b/>
                <w:bCs/>
                <w:noProof/>
                <w:color w:val="000000"/>
                <w:sz w:val="16"/>
                <w:szCs w:val="16"/>
              </w:rPr>
            </w:pPr>
            <w:r w:rsidRPr="00C3707B">
              <w:rPr>
                <w:b/>
                <w:noProof/>
                <w:color w:val="000000"/>
                <w:sz w:val="16"/>
              </w:rPr>
              <w:t>TOTAAL</w:t>
            </w:r>
          </w:p>
        </w:tc>
        <w:tc>
          <w:tcPr>
            <w:tcW w:w="1031" w:type="dxa"/>
            <w:tcBorders>
              <w:top w:val="nil"/>
              <w:left w:val="nil"/>
              <w:bottom w:val="single" w:sz="8" w:space="0" w:color="auto"/>
              <w:right w:val="single" w:sz="8" w:space="0" w:color="auto"/>
            </w:tcBorders>
            <w:shd w:val="clear" w:color="000000" w:fill="D9D9D9"/>
            <w:vAlign w:val="center"/>
            <w:hideMark/>
          </w:tcPr>
          <w:p w14:paraId="76D80722"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58968A27"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0</w:t>
            </w:r>
          </w:p>
        </w:tc>
        <w:tc>
          <w:tcPr>
            <w:tcW w:w="1031" w:type="dxa"/>
            <w:tcBorders>
              <w:top w:val="nil"/>
              <w:left w:val="nil"/>
              <w:bottom w:val="single" w:sz="8" w:space="0" w:color="auto"/>
              <w:right w:val="single" w:sz="8" w:space="0" w:color="auto"/>
            </w:tcBorders>
            <w:shd w:val="clear" w:color="000000" w:fill="D9D9D9"/>
            <w:vAlign w:val="center"/>
            <w:hideMark/>
          </w:tcPr>
          <w:p w14:paraId="223EDC1A"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10</w:t>
            </w:r>
          </w:p>
        </w:tc>
        <w:tc>
          <w:tcPr>
            <w:tcW w:w="1031" w:type="dxa"/>
            <w:tcBorders>
              <w:top w:val="nil"/>
              <w:left w:val="nil"/>
              <w:bottom w:val="single" w:sz="8" w:space="0" w:color="auto"/>
              <w:right w:val="single" w:sz="8" w:space="0" w:color="auto"/>
            </w:tcBorders>
            <w:shd w:val="clear" w:color="000000" w:fill="D9D9D9"/>
            <w:vAlign w:val="center"/>
            <w:hideMark/>
          </w:tcPr>
          <w:p w14:paraId="608E946E" w14:textId="77777777" w:rsidR="00D37F2D" w:rsidRPr="00C3707B" w:rsidRDefault="00D37F2D">
            <w:pPr>
              <w:spacing w:before="0" w:after="0"/>
              <w:jc w:val="center"/>
              <w:rPr>
                <w:rFonts w:eastAsia="Times New Roman"/>
                <w:b/>
                <w:bCs/>
                <w:noProof/>
                <w:color w:val="000000"/>
                <w:sz w:val="16"/>
                <w:szCs w:val="16"/>
              </w:rPr>
            </w:pPr>
            <w:r w:rsidRPr="00160A33">
              <w:rPr>
                <w:b/>
                <w:noProof/>
                <w:color w:val="000000"/>
                <w:sz w:val="16"/>
              </w:rPr>
              <w:t>20</w:t>
            </w:r>
          </w:p>
        </w:tc>
      </w:tr>
    </w:tbl>
    <w:p w14:paraId="50E0C58A" w14:textId="77777777" w:rsidR="00D37F2D" w:rsidRPr="00C3707B" w:rsidRDefault="00D37F2D" w:rsidP="005D0E22">
      <w:pPr>
        <w:pStyle w:val="Text1"/>
        <w:rPr>
          <w:noProof/>
        </w:rPr>
      </w:pPr>
    </w:p>
    <w:p w14:paraId="5A070E2E" w14:textId="50988456" w:rsidR="00D37F2D" w:rsidRPr="00C3707B" w:rsidRDefault="00D37F2D" w:rsidP="005D0E22">
      <w:pPr>
        <w:pStyle w:val="Text1"/>
        <w:rPr>
          <w:noProof/>
          <w:color w:val="000000" w:themeColor="text1"/>
        </w:rPr>
      </w:pPr>
      <w:bookmarkStart w:id="179" w:name="_Hlk167692843"/>
      <w:bookmarkEnd w:id="174"/>
      <w:r w:rsidRPr="00C3707B">
        <w:rPr>
          <w:noProof/>
          <w:color w:val="000000" w:themeColor="text1"/>
        </w:rPr>
        <w:t>Aantal personeelsleden dat nodig is voor de uitvoering van het voorstel (in vte’s):</w:t>
      </w:r>
    </w:p>
    <w:tbl>
      <w:tblPr>
        <w:tblStyle w:val="TableGrid"/>
        <w:tblW w:w="9487" w:type="dxa"/>
        <w:tblInd w:w="-426" w:type="dxa"/>
        <w:tblLook w:val="04A0" w:firstRow="1" w:lastRow="0" w:firstColumn="1" w:lastColumn="0" w:noHBand="0" w:noVBand="1"/>
      </w:tblPr>
      <w:tblGrid>
        <w:gridCol w:w="2477"/>
        <w:gridCol w:w="1820"/>
        <w:gridCol w:w="1753"/>
        <w:gridCol w:w="1762"/>
        <w:gridCol w:w="1675"/>
      </w:tblGrid>
      <w:tr w:rsidR="00D37F2D" w:rsidRPr="00C3707B" w14:paraId="3452BBD9" w14:textId="77777777">
        <w:trPr>
          <w:trHeight w:val="300"/>
        </w:trPr>
        <w:tc>
          <w:tcPr>
            <w:tcW w:w="1845" w:type="dxa"/>
          </w:tcPr>
          <w:p w14:paraId="5BB7ECC0" w14:textId="77777777" w:rsidR="00D37F2D" w:rsidRPr="00C3707B" w:rsidRDefault="00D37F2D">
            <w:pPr>
              <w:pStyle w:val="Text1"/>
              <w:ind w:left="0"/>
              <w:jc w:val="center"/>
              <w:rPr>
                <w:b/>
                <w:bCs/>
                <w:noProof/>
                <w:sz w:val="22"/>
                <w:szCs w:val="28"/>
              </w:rPr>
            </w:pPr>
          </w:p>
        </w:tc>
        <w:tc>
          <w:tcPr>
            <w:tcW w:w="2031" w:type="dxa"/>
          </w:tcPr>
          <w:p w14:paraId="3A026D1F" w14:textId="77777777" w:rsidR="00D37F2D" w:rsidRPr="00C3707B" w:rsidRDefault="00D37F2D">
            <w:pPr>
              <w:pStyle w:val="Text1"/>
              <w:ind w:left="0"/>
              <w:jc w:val="center"/>
              <w:rPr>
                <w:b/>
                <w:bCs/>
                <w:noProof/>
                <w:sz w:val="22"/>
              </w:rPr>
            </w:pPr>
            <w:r w:rsidRPr="00C3707B">
              <w:rPr>
                <w:b/>
                <w:noProof/>
                <w:sz w:val="22"/>
              </w:rPr>
              <w:t xml:space="preserve">Uit te voeren door bestaand personeel van de diensten van de Commissie </w:t>
            </w:r>
          </w:p>
        </w:tc>
        <w:tc>
          <w:tcPr>
            <w:tcW w:w="5611" w:type="dxa"/>
            <w:gridSpan w:val="3"/>
          </w:tcPr>
          <w:p w14:paraId="0A212345" w14:textId="77777777" w:rsidR="00D37F2D" w:rsidRPr="00C3707B" w:rsidRDefault="00D37F2D">
            <w:pPr>
              <w:pStyle w:val="Text1"/>
              <w:ind w:left="0"/>
              <w:jc w:val="center"/>
              <w:rPr>
                <w:b/>
                <w:bCs/>
                <w:noProof/>
                <w:sz w:val="22"/>
              </w:rPr>
            </w:pPr>
            <w:r w:rsidRPr="00C3707B">
              <w:rPr>
                <w:b/>
                <w:noProof/>
                <w:sz w:val="22"/>
              </w:rPr>
              <w:t>Uitzonderlijk aanvullend personeel*</w:t>
            </w:r>
          </w:p>
        </w:tc>
      </w:tr>
      <w:tr w:rsidR="00D37F2D" w:rsidRPr="00C3707B" w14:paraId="4C36D315" w14:textId="77777777">
        <w:trPr>
          <w:trHeight w:val="300"/>
        </w:trPr>
        <w:tc>
          <w:tcPr>
            <w:tcW w:w="1845" w:type="dxa"/>
          </w:tcPr>
          <w:p w14:paraId="64FD4CFF" w14:textId="77777777" w:rsidR="00D37F2D" w:rsidRPr="00C3707B" w:rsidRDefault="00D37F2D">
            <w:pPr>
              <w:pStyle w:val="Text1"/>
              <w:ind w:left="0"/>
              <w:jc w:val="center"/>
              <w:rPr>
                <w:b/>
                <w:bCs/>
                <w:noProof/>
                <w:sz w:val="22"/>
                <w:szCs w:val="28"/>
              </w:rPr>
            </w:pPr>
          </w:p>
        </w:tc>
        <w:tc>
          <w:tcPr>
            <w:tcW w:w="2031" w:type="dxa"/>
          </w:tcPr>
          <w:p w14:paraId="647FB251" w14:textId="77777777" w:rsidR="00D37F2D" w:rsidRPr="00C3707B" w:rsidRDefault="00D37F2D">
            <w:pPr>
              <w:pStyle w:val="Text1"/>
              <w:ind w:left="0"/>
              <w:jc w:val="center"/>
              <w:rPr>
                <w:b/>
                <w:bCs/>
                <w:noProof/>
                <w:sz w:val="22"/>
                <w:szCs w:val="28"/>
              </w:rPr>
            </w:pPr>
          </w:p>
        </w:tc>
        <w:tc>
          <w:tcPr>
            <w:tcW w:w="1925" w:type="dxa"/>
          </w:tcPr>
          <w:p w14:paraId="11E8CBE8" w14:textId="77777777" w:rsidR="00D37F2D" w:rsidRPr="00C3707B" w:rsidRDefault="00D37F2D">
            <w:pPr>
              <w:pStyle w:val="Text1"/>
              <w:ind w:left="0"/>
              <w:jc w:val="center"/>
              <w:rPr>
                <w:b/>
                <w:bCs/>
                <w:noProof/>
                <w:sz w:val="22"/>
              </w:rPr>
            </w:pPr>
            <w:r w:rsidRPr="00C3707B">
              <w:rPr>
                <w:b/>
                <w:noProof/>
                <w:sz w:val="22"/>
              </w:rPr>
              <w:t>Te financieren uit rubriek </w:t>
            </w:r>
            <w:r w:rsidRPr="00160A33">
              <w:rPr>
                <w:b/>
                <w:noProof/>
                <w:sz w:val="22"/>
              </w:rPr>
              <w:t>7</w:t>
            </w:r>
            <w:r w:rsidRPr="00C3707B">
              <w:rPr>
                <w:b/>
                <w:noProof/>
                <w:sz w:val="22"/>
              </w:rPr>
              <w:t xml:space="preserve"> of onderzoek</w:t>
            </w:r>
          </w:p>
        </w:tc>
        <w:tc>
          <w:tcPr>
            <w:tcW w:w="1938" w:type="dxa"/>
          </w:tcPr>
          <w:p w14:paraId="2AE34E23" w14:textId="77777777" w:rsidR="00D37F2D" w:rsidRPr="00C3707B" w:rsidRDefault="00D37F2D">
            <w:pPr>
              <w:pStyle w:val="Text1"/>
              <w:ind w:left="0"/>
              <w:jc w:val="center"/>
              <w:rPr>
                <w:b/>
                <w:bCs/>
                <w:noProof/>
                <w:sz w:val="22"/>
                <w:szCs w:val="28"/>
              </w:rPr>
            </w:pPr>
            <w:r w:rsidRPr="00C3707B">
              <w:rPr>
                <w:b/>
                <w:noProof/>
                <w:sz w:val="22"/>
              </w:rPr>
              <w:t>Te financieren uit BA-onderdeel</w:t>
            </w:r>
          </w:p>
        </w:tc>
        <w:tc>
          <w:tcPr>
            <w:tcW w:w="1748" w:type="dxa"/>
          </w:tcPr>
          <w:p w14:paraId="6D3959CC" w14:textId="77777777" w:rsidR="00D37F2D" w:rsidRPr="00C3707B" w:rsidRDefault="00D37F2D">
            <w:pPr>
              <w:pStyle w:val="Text1"/>
              <w:ind w:left="0"/>
              <w:jc w:val="center"/>
              <w:rPr>
                <w:b/>
                <w:bCs/>
                <w:noProof/>
                <w:sz w:val="22"/>
                <w:szCs w:val="28"/>
              </w:rPr>
            </w:pPr>
            <w:r w:rsidRPr="00C3707B">
              <w:rPr>
                <w:b/>
                <w:noProof/>
                <w:sz w:val="22"/>
              </w:rPr>
              <w:t>Te financieren uit vergoedingen</w:t>
            </w:r>
          </w:p>
        </w:tc>
      </w:tr>
      <w:tr w:rsidR="00D37F2D" w:rsidRPr="00C3707B" w14:paraId="0140042E" w14:textId="77777777">
        <w:trPr>
          <w:trHeight w:val="300"/>
        </w:trPr>
        <w:tc>
          <w:tcPr>
            <w:tcW w:w="1845" w:type="dxa"/>
          </w:tcPr>
          <w:p w14:paraId="6E4C9CBA" w14:textId="77777777" w:rsidR="00D37F2D" w:rsidRPr="00C3707B" w:rsidRDefault="00D37F2D">
            <w:pPr>
              <w:pStyle w:val="Text1"/>
              <w:ind w:left="0"/>
              <w:rPr>
                <w:noProof/>
                <w:sz w:val="22"/>
                <w:szCs w:val="28"/>
              </w:rPr>
            </w:pPr>
            <w:r w:rsidRPr="00C3707B">
              <w:rPr>
                <w:noProof/>
                <w:sz w:val="22"/>
              </w:rPr>
              <w:t>Personeelsformatieposten</w:t>
            </w:r>
          </w:p>
        </w:tc>
        <w:tc>
          <w:tcPr>
            <w:tcW w:w="2031" w:type="dxa"/>
          </w:tcPr>
          <w:p w14:paraId="0C256C15" w14:textId="77777777" w:rsidR="00D37F2D" w:rsidRPr="00C3707B" w:rsidRDefault="00D37F2D">
            <w:pPr>
              <w:pStyle w:val="Text1"/>
              <w:ind w:left="0"/>
              <w:rPr>
                <w:noProof/>
                <w:sz w:val="22"/>
                <w:szCs w:val="28"/>
              </w:rPr>
            </w:pPr>
            <w:r w:rsidRPr="00160A33">
              <w:rPr>
                <w:noProof/>
                <w:sz w:val="22"/>
              </w:rPr>
              <w:t>2026</w:t>
            </w:r>
            <w:r w:rsidRPr="00C3707B">
              <w:rPr>
                <w:noProof/>
                <w:sz w:val="22"/>
              </w:rPr>
              <w:t xml:space="preserve">: </w:t>
            </w:r>
            <w:r w:rsidRPr="00160A33">
              <w:rPr>
                <w:noProof/>
                <w:sz w:val="22"/>
              </w:rPr>
              <w:t>9</w:t>
            </w:r>
            <w:r w:rsidRPr="00C3707B">
              <w:rPr>
                <w:noProof/>
                <w:sz w:val="22"/>
              </w:rPr>
              <w:t> posten</w:t>
            </w:r>
          </w:p>
          <w:p w14:paraId="12B0134F" w14:textId="77777777" w:rsidR="00D37F2D" w:rsidRPr="00C3707B" w:rsidRDefault="00D37F2D">
            <w:pPr>
              <w:pStyle w:val="Text1"/>
              <w:ind w:left="0"/>
              <w:rPr>
                <w:noProof/>
                <w:sz w:val="22"/>
                <w:szCs w:val="28"/>
              </w:rPr>
            </w:pPr>
            <w:r w:rsidRPr="00160A33">
              <w:rPr>
                <w:noProof/>
                <w:sz w:val="22"/>
              </w:rPr>
              <w:t>2027</w:t>
            </w:r>
            <w:r w:rsidRPr="00C3707B">
              <w:rPr>
                <w:noProof/>
                <w:sz w:val="22"/>
              </w:rPr>
              <w:t xml:space="preserve">: </w:t>
            </w:r>
            <w:r w:rsidRPr="00160A33">
              <w:rPr>
                <w:noProof/>
                <w:sz w:val="22"/>
              </w:rPr>
              <w:t>18</w:t>
            </w:r>
            <w:r w:rsidRPr="00C3707B">
              <w:rPr>
                <w:noProof/>
                <w:sz w:val="22"/>
              </w:rPr>
              <w:t> posten</w:t>
            </w:r>
          </w:p>
          <w:p w14:paraId="07E18197" w14:textId="77777777" w:rsidR="00D37F2D" w:rsidRPr="00C3707B" w:rsidRDefault="00D37F2D">
            <w:pPr>
              <w:pStyle w:val="Text1"/>
              <w:ind w:left="0"/>
              <w:rPr>
                <w:noProof/>
                <w:sz w:val="22"/>
                <w:szCs w:val="28"/>
              </w:rPr>
            </w:pPr>
            <w:r w:rsidRPr="00C3707B">
              <w:rPr>
                <w:noProof/>
                <w:sz w:val="22"/>
              </w:rPr>
              <w:t xml:space="preserve">Na MFK: </w:t>
            </w:r>
            <w:r w:rsidRPr="00160A33">
              <w:rPr>
                <w:noProof/>
                <w:sz w:val="22"/>
              </w:rPr>
              <w:t>18</w:t>
            </w:r>
            <w:r w:rsidRPr="00C3707B">
              <w:rPr>
                <w:noProof/>
                <w:sz w:val="22"/>
              </w:rPr>
              <w:t> posten</w:t>
            </w:r>
          </w:p>
          <w:p w14:paraId="713520B2" w14:textId="77777777" w:rsidR="00D37F2D" w:rsidRPr="00C3707B" w:rsidRDefault="00D37F2D">
            <w:pPr>
              <w:pStyle w:val="Text1"/>
              <w:ind w:left="0"/>
              <w:rPr>
                <w:noProof/>
                <w:sz w:val="22"/>
                <w:szCs w:val="28"/>
              </w:rPr>
            </w:pPr>
          </w:p>
        </w:tc>
        <w:tc>
          <w:tcPr>
            <w:tcW w:w="1925" w:type="dxa"/>
          </w:tcPr>
          <w:p w14:paraId="1E343843" w14:textId="77777777" w:rsidR="00D37F2D" w:rsidRPr="00C3707B" w:rsidRDefault="00D37F2D">
            <w:pPr>
              <w:pStyle w:val="Text1"/>
              <w:ind w:left="0"/>
              <w:rPr>
                <w:noProof/>
                <w:sz w:val="22"/>
                <w:szCs w:val="28"/>
              </w:rPr>
            </w:pPr>
          </w:p>
        </w:tc>
        <w:tc>
          <w:tcPr>
            <w:tcW w:w="1938" w:type="dxa"/>
          </w:tcPr>
          <w:p w14:paraId="545F35E2" w14:textId="77777777" w:rsidR="00D37F2D" w:rsidRPr="00C3707B" w:rsidRDefault="00D37F2D">
            <w:pPr>
              <w:pStyle w:val="Text1"/>
              <w:ind w:left="0"/>
              <w:rPr>
                <w:noProof/>
                <w:sz w:val="22"/>
                <w:szCs w:val="28"/>
              </w:rPr>
            </w:pPr>
            <w:r w:rsidRPr="00C3707B">
              <w:rPr>
                <w:noProof/>
                <w:sz w:val="22"/>
              </w:rPr>
              <w:t>n.v.t.</w:t>
            </w:r>
          </w:p>
        </w:tc>
        <w:tc>
          <w:tcPr>
            <w:tcW w:w="1748" w:type="dxa"/>
          </w:tcPr>
          <w:p w14:paraId="63A30D3F" w14:textId="77777777" w:rsidR="00D37F2D" w:rsidRPr="00C3707B" w:rsidRDefault="00D37F2D">
            <w:pPr>
              <w:pStyle w:val="Text1"/>
              <w:ind w:left="0"/>
              <w:rPr>
                <w:noProof/>
                <w:sz w:val="22"/>
                <w:szCs w:val="28"/>
              </w:rPr>
            </w:pPr>
          </w:p>
        </w:tc>
      </w:tr>
      <w:tr w:rsidR="00D37F2D" w:rsidRPr="00C3707B" w14:paraId="527D04BE" w14:textId="77777777">
        <w:trPr>
          <w:trHeight w:val="300"/>
        </w:trPr>
        <w:tc>
          <w:tcPr>
            <w:tcW w:w="1845" w:type="dxa"/>
          </w:tcPr>
          <w:p w14:paraId="0FED0778" w14:textId="77777777" w:rsidR="00D37F2D" w:rsidRPr="00C3707B" w:rsidRDefault="00D37F2D">
            <w:pPr>
              <w:pStyle w:val="Text1"/>
              <w:ind w:left="0"/>
              <w:rPr>
                <w:noProof/>
                <w:sz w:val="22"/>
                <w:szCs w:val="28"/>
              </w:rPr>
            </w:pPr>
            <w:r w:rsidRPr="00C3707B">
              <w:rPr>
                <w:noProof/>
                <w:sz w:val="22"/>
              </w:rPr>
              <w:t>Extern personeel (AC, END, INT)</w:t>
            </w:r>
          </w:p>
        </w:tc>
        <w:tc>
          <w:tcPr>
            <w:tcW w:w="2031" w:type="dxa"/>
          </w:tcPr>
          <w:p w14:paraId="13444743" w14:textId="77777777" w:rsidR="00D37F2D" w:rsidRPr="00C3707B" w:rsidRDefault="00D37F2D">
            <w:pPr>
              <w:pStyle w:val="Text1"/>
              <w:ind w:left="0"/>
              <w:rPr>
                <w:noProof/>
                <w:sz w:val="22"/>
                <w:szCs w:val="28"/>
              </w:rPr>
            </w:pPr>
            <w:r w:rsidRPr="00160A33">
              <w:rPr>
                <w:noProof/>
                <w:sz w:val="22"/>
              </w:rPr>
              <w:t>2026</w:t>
            </w:r>
            <w:r w:rsidRPr="00C3707B">
              <w:rPr>
                <w:noProof/>
                <w:sz w:val="22"/>
              </w:rPr>
              <w:t xml:space="preserve">: </w:t>
            </w:r>
            <w:r w:rsidRPr="00160A33">
              <w:rPr>
                <w:noProof/>
                <w:sz w:val="22"/>
              </w:rPr>
              <w:t>1</w:t>
            </w:r>
            <w:r w:rsidRPr="00C3707B">
              <w:rPr>
                <w:noProof/>
                <w:sz w:val="22"/>
              </w:rPr>
              <w:t> CA</w:t>
            </w:r>
          </w:p>
          <w:p w14:paraId="3D6E8AF4" w14:textId="77777777" w:rsidR="00D37F2D" w:rsidRPr="00C3707B" w:rsidRDefault="00D37F2D">
            <w:pPr>
              <w:pStyle w:val="Text1"/>
              <w:ind w:left="0"/>
              <w:rPr>
                <w:noProof/>
                <w:sz w:val="22"/>
                <w:szCs w:val="28"/>
              </w:rPr>
            </w:pPr>
            <w:r w:rsidRPr="00160A33">
              <w:rPr>
                <w:noProof/>
                <w:sz w:val="22"/>
              </w:rPr>
              <w:t>2027</w:t>
            </w:r>
            <w:r w:rsidRPr="00C3707B">
              <w:rPr>
                <w:noProof/>
                <w:sz w:val="22"/>
              </w:rPr>
              <w:t xml:space="preserve">: </w:t>
            </w:r>
            <w:r w:rsidRPr="00160A33">
              <w:rPr>
                <w:noProof/>
                <w:sz w:val="22"/>
              </w:rPr>
              <w:t>2</w:t>
            </w:r>
            <w:r w:rsidRPr="00C3707B">
              <w:rPr>
                <w:noProof/>
                <w:sz w:val="22"/>
              </w:rPr>
              <w:t> CA’s</w:t>
            </w:r>
          </w:p>
          <w:p w14:paraId="54D577E9" w14:textId="77777777" w:rsidR="00D37F2D" w:rsidRPr="00C3707B" w:rsidRDefault="00D37F2D">
            <w:pPr>
              <w:pStyle w:val="Text1"/>
              <w:ind w:left="0"/>
              <w:rPr>
                <w:noProof/>
                <w:sz w:val="22"/>
                <w:szCs w:val="28"/>
              </w:rPr>
            </w:pPr>
            <w:r w:rsidRPr="00C3707B">
              <w:rPr>
                <w:noProof/>
                <w:sz w:val="22"/>
              </w:rPr>
              <w:t xml:space="preserve">Na MFK: </w:t>
            </w:r>
            <w:r w:rsidRPr="00160A33">
              <w:rPr>
                <w:noProof/>
                <w:sz w:val="22"/>
              </w:rPr>
              <w:t>2</w:t>
            </w:r>
            <w:r w:rsidRPr="00C3707B">
              <w:rPr>
                <w:noProof/>
                <w:sz w:val="22"/>
              </w:rPr>
              <w:t> CA’s</w:t>
            </w:r>
          </w:p>
          <w:p w14:paraId="1C660FE5" w14:textId="77777777" w:rsidR="00D37F2D" w:rsidRPr="00C3707B" w:rsidRDefault="00D37F2D">
            <w:pPr>
              <w:pStyle w:val="Text1"/>
              <w:ind w:left="0"/>
              <w:rPr>
                <w:noProof/>
                <w:sz w:val="22"/>
                <w:szCs w:val="28"/>
              </w:rPr>
            </w:pPr>
          </w:p>
        </w:tc>
        <w:tc>
          <w:tcPr>
            <w:tcW w:w="1925" w:type="dxa"/>
          </w:tcPr>
          <w:p w14:paraId="127C8D66" w14:textId="77777777" w:rsidR="00D37F2D" w:rsidRPr="00C3707B" w:rsidRDefault="00D37F2D">
            <w:pPr>
              <w:pStyle w:val="Text1"/>
              <w:ind w:left="0"/>
              <w:rPr>
                <w:noProof/>
                <w:sz w:val="22"/>
                <w:szCs w:val="28"/>
              </w:rPr>
            </w:pPr>
          </w:p>
        </w:tc>
        <w:tc>
          <w:tcPr>
            <w:tcW w:w="1938" w:type="dxa"/>
          </w:tcPr>
          <w:p w14:paraId="4F49474A" w14:textId="77777777" w:rsidR="00D37F2D" w:rsidRPr="00C3707B" w:rsidRDefault="00D37F2D">
            <w:pPr>
              <w:pStyle w:val="Text1"/>
              <w:ind w:left="0"/>
              <w:rPr>
                <w:noProof/>
                <w:sz w:val="22"/>
                <w:szCs w:val="28"/>
              </w:rPr>
            </w:pPr>
          </w:p>
        </w:tc>
        <w:tc>
          <w:tcPr>
            <w:tcW w:w="1748" w:type="dxa"/>
          </w:tcPr>
          <w:p w14:paraId="4940B56D" w14:textId="77777777" w:rsidR="00D37F2D" w:rsidRPr="00C3707B" w:rsidRDefault="00D37F2D">
            <w:pPr>
              <w:pStyle w:val="Text1"/>
              <w:ind w:left="0"/>
              <w:rPr>
                <w:noProof/>
                <w:sz w:val="22"/>
                <w:szCs w:val="28"/>
              </w:rPr>
            </w:pPr>
          </w:p>
        </w:tc>
      </w:tr>
    </w:tbl>
    <w:p w14:paraId="212BC750" w14:textId="77777777" w:rsidR="00D37F2D" w:rsidRPr="00C3707B" w:rsidRDefault="00D37F2D" w:rsidP="005D0E22">
      <w:pPr>
        <w:pStyle w:val="Text1"/>
        <w:rPr>
          <w:noProof/>
        </w:rPr>
      </w:pPr>
    </w:p>
    <w:p w14:paraId="278A1D2F" w14:textId="77777777" w:rsidR="00D37F2D" w:rsidRPr="00C3707B" w:rsidRDefault="00D37F2D" w:rsidP="00D37F2D">
      <w:pPr>
        <w:pStyle w:val="ManualHeading3"/>
        <w:rPr>
          <w:noProof/>
        </w:rPr>
      </w:pPr>
      <w:r w:rsidRPr="00160A33">
        <w:rPr>
          <w:noProof/>
        </w:rPr>
        <w:t>3</w:t>
      </w:r>
      <w:r w:rsidRPr="00C3707B">
        <w:rPr>
          <w:noProof/>
        </w:rPr>
        <w:t>.</w:t>
      </w:r>
      <w:r w:rsidRPr="00160A33">
        <w:rPr>
          <w:noProof/>
        </w:rPr>
        <w:t>2</w:t>
      </w:r>
      <w:r w:rsidRPr="00C3707B">
        <w:rPr>
          <w:noProof/>
        </w:rPr>
        <w:t>.</w:t>
      </w:r>
      <w:r w:rsidRPr="00160A33">
        <w:rPr>
          <w:noProof/>
        </w:rPr>
        <w:t>4</w:t>
      </w:r>
      <w:r w:rsidRPr="00C3707B">
        <w:rPr>
          <w:noProof/>
        </w:rPr>
        <w:t>.</w:t>
      </w:r>
      <w:r w:rsidRPr="00160A33">
        <w:rPr>
          <w:noProof/>
        </w:rPr>
        <w:t>4</w:t>
      </w:r>
      <w:r w:rsidRPr="00C3707B">
        <w:rPr>
          <w:noProof/>
        </w:rPr>
        <w:t>.</w:t>
      </w:r>
      <w:r w:rsidRPr="00C3707B">
        <w:rPr>
          <w:noProof/>
        </w:rPr>
        <w:tab/>
        <w:t>Totale personeelsbehoeften EMA</w:t>
      </w:r>
    </w:p>
    <w:tbl>
      <w:tblPr>
        <w:tblW w:w="6588" w:type="dxa"/>
        <w:tblInd w:w="118" w:type="dxa"/>
        <w:tblLook w:val="04A0" w:firstRow="1" w:lastRow="0" w:firstColumn="1" w:lastColumn="0" w:noHBand="0" w:noVBand="1"/>
      </w:tblPr>
      <w:tblGrid>
        <w:gridCol w:w="2535"/>
        <w:gridCol w:w="748"/>
        <w:gridCol w:w="748"/>
        <w:gridCol w:w="748"/>
        <w:gridCol w:w="748"/>
        <w:gridCol w:w="1061"/>
      </w:tblGrid>
      <w:tr w:rsidR="00D37F2D" w:rsidRPr="00C3707B" w14:paraId="335C97A8" w14:textId="77777777">
        <w:trPr>
          <w:trHeight w:val="281"/>
        </w:trPr>
        <w:tc>
          <w:tcPr>
            <w:tcW w:w="26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55A723" w14:textId="77777777" w:rsidR="00D37F2D" w:rsidRPr="00C3707B" w:rsidRDefault="00D37F2D">
            <w:pPr>
              <w:spacing w:before="0" w:after="0"/>
              <w:jc w:val="center"/>
              <w:rPr>
                <w:rFonts w:eastAsia="Times New Roman"/>
                <w:b/>
                <w:bCs/>
                <w:noProof/>
                <w:color w:val="444444"/>
                <w:sz w:val="20"/>
                <w:szCs w:val="20"/>
              </w:rPr>
            </w:pPr>
            <w:r w:rsidRPr="00C3707B">
              <w:rPr>
                <w:b/>
                <w:noProof/>
                <w:color w:val="444444"/>
                <w:sz w:val="20"/>
              </w:rPr>
              <w:t>EMA</w:t>
            </w:r>
          </w:p>
        </w:tc>
        <w:tc>
          <w:tcPr>
            <w:tcW w:w="761" w:type="dxa"/>
            <w:tcBorders>
              <w:top w:val="single" w:sz="8" w:space="0" w:color="auto"/>
              <w:left w:val="nil"/>
              <w:bottom w:val="nil"/>
              <w:right w:val="single" w:sz="8" w:space="0" w:color="auto"/>
            </w:tcBorders>
            <w:shd w:val="clear" w:color="000000" w:fill="FFFFFF"/>
            <w:vAlign w:val="bottom"/>
            <w:hideMark/>
          </w:tcPr>
          <w:p w14:paraId="7BF9A07C"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761" w:type="dxa"/>
            <w:tcBorders>
              <w:top w:val="single" w:sz="8" w:space="0" w:color="auto"/>
              <w:left w:val="nil"/>
              <w:bottom w:val="nil"/>
              <w:right w:val="single" w:sz="8" w:space="0" w:color="auto"/>
            </w:tcBorders>
            <w:shd w:val="clear" w:color="000000" w:fill="FFFFFF"/>
            <w:vAlign w:val="bottom"/>
            <w:hideMark/>
          </w:tcPr>
          <w:p w14:paraId="328EACC9"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761" w:type="dxa"/>
            <w:tcBorders>
              <w:top w:val="single" w:sz="8" w:space="0" w:color="auto"/>
              <w:left w:val="nil"/>
              <w:bottom w:val="nil"/>
              <w:right w:val="single" w:sz="8" w:space="0" w:color="auto"/>
            </w:tcBorders>
            <w:shd w:val="clear" w:color="000000" w:fill="FFFFFF"/>
            <w:vAlign w:val="bottom"/>
            <w:hideMark/>
          </w:tcPr>
          <w:p w14:paraId="268758B0"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761" w:type="dxa"/>
            <w:tcBorders>
              <w:top w:val="single" w:sz="8" w:space="0" w:color="auto"/>
              <w:left w:val="nil"/>
              <w:bottom w:val="nil"/>
              <w:right w:val="single" w:sz="8" w:space="0" w:color="auto"/>
            </w:tcBorders>
            <w:shd w:val="clear" w:color="000000" w:fill="FFFFFF"/>
            <w:vAlign w:val="bottom"/>
            <w:hideMark/>
          </w:tcPr>
          <w:p w14:paraId="31621E39"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9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2E32B9" w14:textId="77777777" w:rsidR="00D37F2D" w:rsidRPr="00C3707B" w:rsidRDefault="00D37F2D">
            <w:pPr>
              <w:spacing w:before="0" w:after="0"/>
              <w:jc w:val="center"/>
              <w:rPr>
                <w:rFonts w:eastAsia="Times New Roman"/>
                <w:b/>
                <w:bCs/>
                <w:noProof/>
                <w:color w:val="000000"/>
                <w:sz w:val="20"/>
                <w:szCs w:val="20"/>
              </w:rPr>
            </w:pPr>
            <w:r w:rsidRPr="00C3707B">
              <w:rPr>
                <w:b/>
                <w:noProof/>
                <w:color w:val="000000"/>
                <w:sz w:val="20"/>
              </w:rPr>
              <w:t>TOTAAL</w:t>
            </w:r>
            <w:r w:rsidRPr="00C3707B">
              <w:rPr>
                <w:noProof/>
              </w:rPr>
              <w:t xml:space="preserve"> </w:t>
            </w:r>
            <w:r w:rsidRPr="00C3707B">
              <w:rPr>
                <w:noProof/>
              </w:rPr>
              <w:br/>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45D88116" w14:textId="77777777">
        <w:trPr>
          <w:trHeight w:val="295"/>
        </w:trPr>
        <w:tc>
          <w:tcPr>
            <w:tcW w:w="2627" w:type="dxa"/>
            <w:vMerge/>
            <w:tcBorders>
              <w:top w:val="single" w:sz="8" w:space="0" w:color="auto"/>
              <w:left w:val="single" w:sz="8" w:space="0" w:color="auto"/>
              <w:bottom w:val="single" w:sz="8" w:space="0" w:color="000000"/>
              <w:right w:val="single" w:sz="8" w:space="0" w:color="auto"/>
            </w:tcBorders>
            <w:vAlign w:val="center"/>
            <w:hideMark/>
          </w:tcPr>
          <w:p w14:paraId="0232E792" w14:textId="77777777" w:rsidR="00D37F2D" w:rsidRPr="00C3707B" w:rsidRDefault="00D37F2D">
            <w:pPr>
              <w:spacing w:before="0" w:after="0"/>
              <w:jc w:val="left"/>
              <w:rPr>
                <w:rFonts w:eastAsia="Times New Roman"/>
                <w:b/>
                <w:bCs/>
                <w:noProof/>
                <w:color w:val="444444"/>
                <w:sz w:val="20"/>
                <w:szCs w:val="20"/>
                <w:lang w:eastAsia="en-IE"/>
              </w:rPr>
            </w:pPr>
          </w:p>
        </w:tc>
        <w:tc>
          <w:tcPr>
            <w:tcW w:w="761" w:type="dxa"/>
            <w:tcBorders>
              <w:top w:val="nil"/>
              <w:left w:val="nil"/>
              <w:bottom w:val="single" w:sz="8" w:space="0" w:color="auto"/>
              <w:right w:val="single" w:sz="8" w:space="0" w:color="auto"/>
            </w:tcBorders>
            <w:shd w:val="clear" w:color="000000" w:fill="FFFFFF"/>
            <w:hideMark/>
          </w:tcPr>
          <w:p w14:paraId="75EA6FDA"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761" w:type="dxa"/>
            <w:tcBorders>
              <w:top w:val="nil"/>
              <w:left w:val="nil"/>
              <w:bottom w:val="single" w:sz="8" w:space="0" w:color="auto"/>
              <w:right w:val="single" w:sz="8" w:space="0" w:color="auto"/>
            </w:tcBorders>
            <w:shd w:val="clear" w:color="000000" w:fill="FFFFFF"/>
            <w:hideMark/>
          </w:tcPr>
          <w:p w14:paraId="3DD1F7A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761" w:type="dxa"/>
            <w:tcBorders>
              <w:top w:val="nil"/>
              <w:left w:val="nil"/>
              <w:bottom w:val="single" w:sz="8" w:space="0" w:color="auto"/>
              <w:right w:val="single" w:sz="8" w:space="0" w:color="auto"/>
            </w:tcBorders>
            <w:shd w:val="clear" w:color="000000" w:fill="FFFFFF"/>
            <w:hideMark/>
          </w:tcPr>
          <w:p w14:paraId="3B16C35F"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761" w:type="dxa"/>
            <w:tcBorders>
              <w:top w:val="nil"/>
              <w:left w:val="nil"/>
              <w:bottom w:val="single" w:sz="8" w:space="0" w:color="auto"/>
              <w:right w:val="single" w:sz="8" w:space="0" w:color="auto"/>
            </w:tcBorders>
            <w:shd w:val="clear" w:color="000000" w:fill="FFFFFF"/>
            <w:hideMark/>
          </w:tcPr>
          <w:p w14:paraId="7351D71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917" w:type="dxa"/>
            <w:vMerge/>
            <w:tcBorders>
              <w:top w:val="single" w:sz="8" w:space="0" w:color="auto"/>
              <w:left w:val="single" w:sz="8" w:space="0" w:color="auto"/>
              <w:bottom w:val="single" w:sz="8" w:space="0" w:color="000000"/>
              <w:right w:val="single" w:sz="8" w:space="0" w:color="auto"/>
            </w:tcBorders>
            <w:vAlign w:val="center"/>
            <w:hideMark/>
          </w:tcPr>
          <w:p w14:paraId="25B5ADC7" w14:textId="77777777" w:rsidR="00D37F2D" w:rsidRPr="00C3707B" w:rsidRDefault="00D37F2D">
            <w:pPr>
              <w:spacing w:before="0" w:after="0"/>
              <w:jc w:val="left"/>
              <w:rPr>
                <w:rFonts w:eastAsia="Times New Roman"/>
                <w:b/>
                <w:bCs/>
                <w:noProof/>
                <w:color w:val="000000"/>
                <w:sz w:val="20"/>
                <w:szCs w:val="20"/>
                <w:lang w:eastAsia="en-IE"/>
              </w:rPr>
            </w:pPr>
          </w:p>
        </w:tc>
      </w:tr>
      <w:tr w:rsidR="00D37F2D" w:rsidRPr="00C3707B" w14:paraId="01C0873E"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1DDD0202"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Tijdelijke functionarissen (AD + AST)</w:t>
            </w:r>
          </w:p>
        </w:tc>
        <w:tc>
          <w:tcPr>
            <w:tcW w:w="761" w:type="dxa"/>
            <w:tcBorders>
              <w:top w:val="nil"/>
              <w:left w:val="nil"/>
              <w:bottom w:val="single" w:sz="8" w:space="0" w:color="auto"/>
              <w:right w:val="single" w:sz="8" w:space="0" w:color="auto"/>
            </w:tcBorders>
            <w:shd w:val="clear" w:color="auto" w:fill="auto"/>
            <w:vAlign w:val="center"/>
            <w:hideMark/>
          </w:tcPr>
          <w:p w14:paraId="42A2D879"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7C577A50"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42FC3F88"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3</w:t>
            </w:r>
            <w:r w:rsidRPr="00C3707B">
              <w:rPr>
                <w:rStyle w:val="FootnoteReference"/>
                <w:rFonts w:eastAsia="Times New Roman"/>
                <w:b/>
                <w:bCs/>
                <w:noProof/>
                <w:color w:val="000000"/>
                <w:sz w:val="16"/>
                <w:szCs w:val="16"/>
                <w:lang w:eastAsia="en-IE"/>
              </w:rPr>
              <w:footnoteReference w:id="104"/>
            </w:r>
          </w:p>
        </w:tc>
        <w:tc>
          <w:tcPr>
            <w:tcW w:w="761" w:type="dxa"/>
            <w:tcBorders>
              <w:top w:val="nil"/>
              <w:left w:val="nil"/>
              <w:bottom w:val="single" w:sz="8" w:space="0" w:color="auto"/>
              <w:right w:val="single" w:sz="8" w:space="0" w:color="auto"/>
            </w:tcBorders>
            <w:shd w:val="clear" w:color="auto" w:fill="auto"/>
            <w:vAlign w:val="center"/>
            <w:hideMark/>
          </w:tcPr>
          <w:p w14:paraId="621E109B"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3</w:t>
            </w:r>
          </w:p>
        </w:tc>
        <w:tc>
          <w:tcPr>
            <w:tcW w:w="917" w:type="dxa"/>
            <w:tcBorders>
              <w:top w:val="nil"/>
              <w:left w:val="nil"/>
              <w:bottom w:val="single" w:sz="8" w:space="0" w:color="auto"/>
              <w:right w:val="single" w:sz="8" w:space="0" w:color="auto"/>
            </w:tcBorders>
            <w:shd w:val="clear" w:color="000000" w:fill="808080"/>
            <w:vAlign w:val="center"/>
            <w:hideMark/>
          </w:tcPr>
          <w:p w14:paraId="36700019" w14:textId="639356E8" w:rsidR="00D37F2D" w:rsidRPr="00C3707B" w:rsidRDefault="00D37F2D">
            <w:pPr>
              <w:spacing w:before="0" w:after="0"/>
              <w:jc w:val="right"/>
              <w:rPr>
                <w:rFonts w:eastAsia="Times New Roman"/>
                <w:b/>
                <w:bCs/>
                <w:noProof/>
                <w:color w:val="000000"/>
                <w:sz w:val="20"/>
                <w:szCs w:val="20"/>
              </w:rPr>
            </w:pPr>
          </w:p>
        </w:tc>
      </w:tr>
      <w:tr w:rsidR="00D37F2D" w:rsidRPr="00C3707B" w14:paraId="73A8B965"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521105ED"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Arbeidscontractanten</w:t>
            </w:r>
          </w:p>
        </w:tc>
        <w:tc>
          <w:tcPr>
            <w:tcW w:w="761" w:type="dxa"/>
            <w:tcBorders>
              <w:top w:val="nil"/>
              <w:left w:val="nil"/>
              <w:bottom w:val="single" w:sz="8" w:space="0" w:color="auto"/>
              <w:right w:val="single" w:sz="8" w:space="0" w:color="auto"/>
            </w:tcBorders>
            <w:shd w:val="clear" w:color="auto" w:fill="auto"/>
            <w:vAlign w:val="center"/>
            <w:hideMark/>
          </w:tcPr>
          <w:p w14:paraId="721D3BF9"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6692BF5C"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26C408A9"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498D05DF"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917" w:type="dxa"/>
            <w:tcBorders>
              <w:top w:val="nil"/>
              <w:left w:val="nil"/>
              <w:bottom w:val="single" w:sz="8" w:space="0" w:color="auto"/>
              <w:right w:val="single" w:sz="8" w:space="0" w:color="auto"/>
            </w:tcBorders>
            <w:shd w:val="clear" w:color="000000" w:fill="808080"/>
            <w:vAlign w:val="center"/>
            <w:hideMark/>
          </w:tcPr>
          <w:p w14:paraId="42272AFB" w14:textId="1D2D7811" w:rsidR="00D37F2D" w:rsidRPr="00C3707B" w:rsidRDefault="00D37F2D">
            <w:pPr>
              <w:spacing w:before="0" w:after="0"/>
              <w:jc w:val="right"/>
              <w:rPr>
                <w:rFonts w:eastAsia="Times New Roman"/>
                <w:b/>
                <w:bCs/>
                <w:noProof/>
                <w:color w:val="000000"/>
                <w:sz w:val="20"/>
                <w:szCs w:val="20"/>
              </w:rPr>
            </w:pPr>
          </w:p>
        </w:tc>
      </w:tr>
      <w:tr w:rsidR="00D37F2D" w:rsidRPr="00C3707B" w14:paraId="2094D86C"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2ADD4C35"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Gedetacheerde nationale deskundigen</w:t>
            </w:r>
          </w:p>
        </w:tc>
        <w:tc>
          <w:tcPr>
            <w:tcW w:w="761" w:type="dxa"/>
            <w:tcBorders>
              <w:top w:val="nil"/>
              <w:left w:val="nil"/>
              <w:bottom w:val="single" w:sz="8" w:space="0" w:color="auto"/>
              <w:right w:val="single" w:sz="8" w:space="0" w:color="auto"/>
            </w:tcBorders>
            <w:shd w:val="clear" w:color="auto" w:fill="auto"/>
            <w:vAlign w:val="center"/>
            <w:hideMark/>
          </w:tcPr>
          <w:p w14:paraId="06C1521E"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4177F99A"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32AF6555"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auto" w:fill="auto"/>
            <w:vAlign w:val="center"/>
            <w:hideMark/>
          </w:tcPr>
          <w:p w14:paraId="0DCF464C"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917" w:type="dxa"/>
            <w:tcBorders>
              <w:top w:val="nil"/>
              <w:left w:val="nil"/>
              <w:bottom w:val="single" w:sz="8" w:space="0" w:color="auto"/>
              <w:right w:val="single" w:sz="8" w:space="0" w:color="auto"/>
            </w:tcBorders>
            <w:shd w:val="clear" w:color="000000" w:fill="808080"/>
            <w:vAlign w:val="center"/>
            <w:hideMark/>
          </w:tcPr>
          <w:p w14:paraId="63C891F9" w14:textId="3DCBD618" w:rsidR="00D37F2D" w:rsidRPr="00C3707B" w:rsidRDefault="00D37F2D">
            <w:pPr>
              <w:spacing w:before="0" w:after="0"/>
              <w:jc w:val="right"/>
              <w:rPr>
                <w:rFonts w:eastAsia="Times New Roman"/>
                <w:b/>
                <w:bCs/>
                <w:noProof/>
                <w:color w:val="000000"/>
                <w:sz w:val="20"/>
                <w:szCs w:val="20"/>
              </w:rPr>
            </w:pPr>
          </w:p>
        </w:tc>
      </w:tr>
      <w:tr w:rsidR="00D37F2D" w:rsidRPr="00C3707B" w14:paraId="090E4046" w14:textId="77777777">
        <w:trPr>
          <w:trHeight w:val="295"/>
        </w:trPr>
        <w:tc>
          <w:tcPr>
            <w:tcW w:w="2627" w:type="dxa"/>
            <w:tcBorders>
              <w:top w:val="nil"/>
              <w:left w:val="single" w:sz="8" w:space="0" w:color="auto"/>
              <w:bottom w:val="single" w:sz="8" w:space="0" w:color="auto"/>
              <w:right w:val="single" w:sz="8" w:space="0" w:color="auto"/>
            </w:tcBorders>
            <w:shd w:val="clear" w:color="000000" w:fill="BFBFBF"/>
            <w:vAlign w:val="center"/>
            <w:hideMark/>
          </w:tcPr>
          <w:p w14:paraId="093F6E58" w14:textId="77777777" w:rsidR="00D37F2D" w:rsidRPr="00C3707B" w:rsidRDefault="00D37F2D">
            <w:pPr>
              <w:spacing w:before="0" w:after="0"/>
              <w:jc w:val="left"/>
              <w:rPr>
                <w:rFonts w:eastAsia="Times New Roman"/>
                <w:b/>
                <w:bCs/>
                <w:noProof/>
                <w:color w:val="000000"/>
                <w:sz w:val="20"/>
                <w:szCs w:val="20"/>
              </w:rPr>
            </w:pPr>
            <w:r w:rsidRPr="00C3707B">
              <w:rPr>
                <w:b/>
                <w:noProof/>
                <w:color w:val="000000"/>
                <w:sz w:val="20"/>
              </w:rPr>
              <w:t>Totaal personeel</w:t>
            </w:r>
          </w:p>
        </w:tc>
        <w:tc>
          <w:tcPr>
            <w:tcW w:w="761" w:type="dxa"/>
            <w:tcBorders>
              <w:top w:val="nil"/>
              <w:left w:val="nil"/>
              <w:bottom w:val="single" w:sz="8" w:space="0" w:color="auto"/>
              <w:right w:val="single" w:sz="8" w:space="0" w:color="auto"/>
            </w:tcBorders>
            <w:shd w:val="clear" w:color="000000" w:fill="BFBFBF"/>
            <w:vAlign w:val="center"/>
            <w:hideMark/>
          </w:tcPr>
          <w:p w14:paraId="6178E7E7"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000000" w:fill="BFBFBF"/>
            <w:vAlign w:val="center"/>
            <w:hideMark/>
          </w:tcPr>
          <w:p w14:paraId="7665831F"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0</w:t>
            </w:r>
          </w:p>
        </w:tc>
        <w:tc>
          <w:tcPr>
            <w:tcW w:w="761" w:type="dxa"/>
            <w:tcBorders>
              <w:top w:val="nil"/>
              <w:left w:val="nil"/>
              <w:bottom w:val="single" w:sz="8" w:space="0" w:color="auto"/>
              <w:right w:val="single" w:sz="8" w:space="0" w:color="auto"/>
            </w:tcBorders>
            <w:shd w:val="clear" w:color="000000" w:fill="BFBFBF"/>
            <w:vAlign w:val="center"/>
            <w:hideMark/>
          </w:tcPr>
          <w:p w14:paraId="2F644648"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3</w:t>
            </w:r>
          </w:p>
        </w:tc>
        <w:tc>
          <w:tcPr>
            <w:tcW w:w="761" w:type="dxa"/>
            <w:tcBorders>
              <w:top w:val="nil"/>
              <w:left w:val="nil"/>
              <w:bottom w:val="single" w:sz="8" w:space="0" w:color="auto"/>
              <w:right w:val="single" w:sz="8" w:space="0" w:color="auto"/>
            </w:tcBorders>
            <w:shd w:val="clear" w:color="000000" w:fill="BFBFBF"/>
            <w:vAlign w:val="center"/>
            <w:hideMark/>
          </w:tcPr>
          <w:p w14:paraId="34E9021D" w14:textId="77777777" w:rsidR="00D37F2D" w:rsidRPr="00C3707B" w:rsidRDefault="00D37F2D">
            <w:pPr>
              <w:spacing w:before="0" w:after="0"/>
              <w:jc w:val="right"/>
              <w:rPr>
                <w:rFonts w:eastAsia="Times New Roman"/>
                <w:b/>
                <w:bCs/>
                <w:noProof/>
                <w:color w:val="000000"/>
                <w:sz w:val="16"/>
                <w:szCs w:val="16"/>
              </w:rPr>
            </w:pPr>
            <w:r w:rsidRPr="00160A33">
              <w:rPr>
                <w:b/>
                <w:noProof/>
                <w:color w:val="000000"/>
                <w:sz w:val="16"/>
              </w:rPr>
              <w:t>3</w:t>
            </w:r>
          </w:p>
        </w:tc>
        <w:tc>
          <w:tcPr>
            <w:tcW w:w="917" w:type="dxa"/>
            <w:tcBorders>
              <w:top w:val="nil"/>
              <w:left w:val="nil"/>
              <w:bottom w:val="single" w:sz="8" w:space="0" w:color="auto"/>
              <w:right w:val="single" w:sz="8" w:space="0" w:color="auto"/>
            </w:tcBorders>
            <w:shd w:val="clear" w:color="000000" w:fill="808080"/>
            <w:vAlign w:val="center"/>
            <w:hideMark/>
          </w:tcPr>
          <w:p w14:paraId="6A02D0B9" w14:textId="7197BBF3" w:rsidR="00D37F2D" w:rsidRPr="00C3707B" w:rsidRDefault="00D37F2D">
            <w:pPr>
              <w:spacing w:before="0" w:after="0"/>
              <w:jc w:val="right"/>
              <w:rPr>
                <w:rFonts w:eastAsia="Times New Roman"/>
                <w:b/>
                <w:bCs/>
                <w:noProof/>
                <w:color w:val="000000"/>
                <w:sz w:val="16"/>
                <w:szCs w:val="16"/>
              </w:rPr>
            </w:pPr>
          </w:p>
        </w:tc>
      </w:tr>
      <w:tr w:rsidR="00D37F2D" w:rsidRPr="00C3707B" w14:paraId="354F5FA7"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02C46299"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Kredieten gedekt door EU-begroting</w:t>
            </w:r>
          </w:p>
        </w:tc>
        <w:tc>
          <w:tcPr>
            <w:tcW w:w="761" w:type="dxa"/>
            <w:tcBorders>
              <w:top w:val="nil"/>
              <w:left w:val="nil"/>
              <w:bottom w:val="single" w:sz="8" w:space="0" w:color="auto"/>
              <w:right w:val="single" w:sz="8" w:space="0" w:color="auto"/>
            </w:tcBorders>
            <w:shd w:val="clear" w:color="000000" w:fill="BFBFBF"/>
            <w:vAlign w:val="center"/>
            <w:hideMark/>
          </w:tcPr>
          <w:p w14:paraId="43073EA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07FB79E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5580F06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524</w:t>
            </w:r>
          </w:p>
        </w:tc>
        <w:tc>
          <w:tcPr>
            <w:tcW w:w="761" w:type="dxa"/>
            <w:tcBorders>
              <w:top w:val="nil"/>
              <w:left w:val="nil"/>
              <w:bottom w:val="single" w:sz="8" w:space="0" w:color="auto"/>
              <w:right w:val="single" w:sz="8" w:space="0" w:color="auto"/>
            </w:tcBorders>
            <w:shd w:val="clear" w:color="000000" w:fill="BFBFBF"/>
            <w:vAlign w:val="center"/>
            <w:hideMark/>
          </w:tcPr>
          <w:p w14:paraId="4E939CEC"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628</w:t>
            </w:r>
          </w:p>
        </w:tc>
        <w:tc>
          <w:tcPr>
            <w:tcW w:w="917" w:type="dxa"/>
            <w:tcBorders>
              <w:top w:val="nil"/>
              <w:left w:val="nil"/>
              <w:bottom w:val="single" w:sz="8" w:space="0" w:color="auto"/>
              <w:right w:val="single" w:sz="8" w:space="0" w:color="auto"/>
            </w:tcBorders>
            <w:shd w:val="clear" w:color="000000" w:fill="BFBFBF"/>
            <w:vAlign w:val="center"/>
            <w:hideMark/>
          </w:tcPr>
          <w:p w14:paraId="0FF7ED18"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152</w:t>
            </w:r>
          </w:p>
        </w:tc>
      </w:tr>
      <w:tr w:rsidR="00D37F2D" w:rsidRPr="00C3707B" w14:paraId="2225EC33"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41154A68"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Kredieten gedekt door vergoedingen</w:t>
            </w:r>
          </w:p>
        </w:tc>
        <w:tc>
          <w:tcPr>
            <w:tcW w:w="761" w:type="dxa"/>
            <w:tcBorders>
              <w:top w:val="nil"/>
              <w:left w:val="nil"/>
              <w:bottom w:val="single" w:sz="8" w:space="0" w:color="auto"/>
              <w:right w:val="single" w:sz="8" w:space="0" w:color="auto"/>
            </w:tcBorders>
            <w:shd w:val="clear" w:color="000000" w:fill="BFBFBF"/>
            <w:vAlign w:val="center"/>
            <w:hideMark/>
          </w:tcPr>
          <w:p w14:paraId="68D44F3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33F01693"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1C9EC937"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129A053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17" w:type="dxa"/>
            <w:tcBorders>
              <w:top w:val="nil"/>
              <w:left w:val="nil"/>
              <w:bottom w:val="single" w:sz="8" w:space="0" w:color="auto"/>
              <w:right w:val="single" w:sz="8" w:space="0" w:color="auto"/>
            </w:tcBorders>
            <w:shd w:val="clear" w:color="000000" w:fill="BFBFBF"/>
            <w:vAlign w:val="center"/>
            <w:hideMark/>
          </w:tcPr>
          <w:p w14:paraId="39C6FEB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r>
      <w:tr w:rsidR="00D37F2D" w:rsidRPr="00C3707B" w14:paraId="418C7D76" w14:textId="77777777">
        <w:trPr>
          <w:trHeight w:val="295"/>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23E32BD5" w14:textId="77777777" w:rsidR="00D37F2D" w:rsidRPr="00C3707B" w:rsidRDefault="00D37F2D">
            <w:pPr>
              <w:spacing w:before="0" w:after="0"/>
              <w:jc w:val="left"/>
              <w:rPr>
                <w:rFonts w:eastAsia="Times New Roman"/>
                <w:noProof/>
                <w:color w:val="000000"/>
                <w:sz w:val="20"/>
                <w:szCs w:val="20"/>
              </w:rPr>
            </w:pPr>
            <w:r w:rsidRPr="00C3707B">
              <w:rPr>
                <w:noProof/>
                <w:color w:val="000000"/>
                <w:sz w:val="20"/>
              </w:rPr>
              <w:t>Medegefinancierde kredieten (indien van toepassing)</w:t>
            </w:r>
          </w:p>
        </w:tc>
        <w:tc>
          <w:tcPr>
            <w:tcW w:w="761" w:type="dxa"/>
            <w:tcBorders>
              <w:top w:val="nil"/>
              <w:left w:val="nil"/>
              <w:bottom w:val="single" w:sz="8" w:space="0" w:color="auto"/>
              <w:right w:val="single" w:sz="8" w:space="0" w:color="auto"/>
            </w:tcBorders>
            <w:shd w:val="clear" w:color="000000" w:fill="BFBFBF"/>
            <w:vAlign w:val="center"/>
            <w:hideMark/>
          </w:tcPr>
          <w:p w14:paraId="5D1552E8"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161A87E5"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12DC081A"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1E2F91DB" w14:textId="77777777" w:rsidR="00D37F2D" w:rsidRPr="00C3707B" w:rsidRDefault="00D37F2D">
            <w:pPr>
              <w:spacing w:before="0" w:after="0"/>
              <w:jc w:val="right"/>
              <w:rPr>
                <w:rFonts w:eastAsia="Times New Roman"/>
                <w:noProof/>
                <w:color w:val="000000"/>
                <w:sz w:val="20"/>
                <w:szCs w:val="20"/>
              </w:rPr>
            </w:pPr>
            <w:r w:rsidRPr="00160A33">
              <w:rPr>
                <w:noProof/>
                <w:color w:val="000000"/>
                <w:sz w:val="20"/>
              </w:rPr>
              <w:t>0</w:t>
            </w:r>
            <w:r w:rsidRPr="00C3707B">
              <w:rPr>
                <w:noProof/>
                <w:color w:val="000000"/>
                <w:sz w:val="20"/>
              </w:rPr>
              <w:t>,</w:t>
            </w:r>
            <w:r w:rsidRPr="00160A33">
              <w:rPr>
                <w:noProof/>
                <w:color w:val="000000"/>
                <w:sz w:val="20"/>
              </w:rPr>
              <w:t>000</w:t>
            </w:r>
          </w:p>
        </w:tc>
        <w:tc>
          <w:tcPr>
            <w:tcW w:w="917" w:type="dxa"/>
            <w:tcBorders>
              <w:top w:val="nil"/>
              <w:left w:val="nil"/>
              <w:bottom w:val="single" w:sz="8" w:space="0" w:color="auto"/>
              <w:right w:val="single" w:sz="8" w:space="0" w:color="auto"/>
            </w:tcBorders>
            <w:shd w:val="clear" w:color="000000" w:fill="BFBFBF"/>
            <w:vAlign w:val="center"/>
            <w:hideMark/>
          </w:tcPr>
          <w:p w14:paraId="21FB522E"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r>
      <w:tr w:rsidR="00D37F2D" w:rsidRPr="00C3707B" w14:paraId="0F0AEB5C" w14:textId="77777777">
        <w:trPr>
          <w:trHeight w:val="295"/>
        </w:trPr>
        <w:tc>
          <w:tcPr>
            <w:tcW w:w="2627" w:type="dxa"/>
            <w:tcBorders>
              <w:top w:val="nil"/>
              <w:left w:val="single" w:sz="8" w:space="0" w:color="auto"/>
              <w:bottom w:val="single" w:sz="8" w:space="0" w:color="auto"/>
              <w:right w:val="single" w:sz="8" w:space="0" w:color="auto"/>
            </w:tcBorders>
            <w:shd w:val="clear" w:color="000000" w:fill="BFBFBF"/>
            <w:vAlign w:val="center"/>
            <w:hideMark/>
          </w:tcPr>
          <w:p w14:paraId="45B5EE09" w14:textId="77777777" w:rsidR="00D37F2D" w:rsidRPr="00C3707B" w:rsidRDefault="00D37F2D">
            <w:pPr>
              <w:spacing w:before="0" w:after="0"/>
              <w:jc w:val="left"/>
              <w:rPr>
                <w:rFonts w:eastAsia="Times New Roman"/>
                <w:b/>
                <w:bCs/>
                <w:noProof/>
                <w:color w:val="000000"/>
                <w:sz w:val="20"/>
                <w:szCs w:val="20"/>
              </w:rPr>
            </w:pPr>
            <w:r w:rsidRPr="00C3707B">
              <w:rPr>
                <w:b/>
                <w:noProof/>
                <w:color w:val="000000"/>
                <w:sz w:val="20"/>
              </w:rPr>
              <w:t>TOTAAL kredieten</w:t>
            </w:r>
          </w:p>
        </w:tc>
        <w:tc>
          <w:tcPr>
            <w:tcW w:w="761" w:type="dxa"/>
            <w:tcBorders>
              <w:top w:val="nil"/>
              <w:left w:val="nil"/>
              <w:bottom w:val="single" w:sz="8" w:space="0" w:color="auto"/>
              <w:right w:val="single" w:sz="8" w:space="0" w:color="auto"/>
            </w:tcBorders>
            <w:shd w:val="clear" w:color="000000" w:fill="BFBFBF"/>
            <w:vAlign w:val="center"/>
            <w:hideMark/>
          </w:tcPr>
          <w:p w14:paraId="6F79A4C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28B2B059"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000</w:t>
            </w:r>
          </w:p>
        </w:tc>
        <w:tc>
          <w:tcPr>
            <w:tcW w:w="761" w:type="dxa"/>
            <w:tcBorders>
              <w:top w:val="nil"/>
              <w:left w:val="nil"/>
              <w:bottom w:val="single" w:sz="8" w:space="0" w:color="auto"/>
              <w:right w:val="single" w:sz="8" w:space="0" w:color="auto"/>
            </w:tcBorders>
            <w:shd w:val="clear" w:color="000000" w:fill="BFBFBF"/>
            <w:vAlign w:val="center"/>
            <w:hideMark/>
          </w:tcPr>
          <w:p w14:paraId="6A240233"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524</w:t>
            </w:r>
          </w:p>
        </w:tc>
        <w:tc>
          <w:tcPr>
            <w:tcW w:w="761" w:type="dxa"/>
            <w:tcBorders>
              <w:top w:val="nil"/>
              <w:left w:val="nil"/>
              <w:bottom w:val="single" w:sz="8" w:space="0" w:color="auto"/>
              <w:right w:val="single" w:sz="8" w:space="0" w:color="auto"/>
            </w:tcBorders>
            <w:shd w:val="clear" w:color="000000" w:fill="BFBFBF"/>
            <w:vAlign w:val="center"/>
            <w:hideMark/>
          </w:tcPr>
          <w:p w14:paraId="02753D64"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0</w:t>
            </w:r>
            <w:r w:rsidRPr="00C3707B">
              <w:rPr>
                <w:b/>
                <w:noProof/>
                <w:color w:val="000000"/>
                <w:sz w:val="20"/>
              </w:rPr>
              <w:t>,</w:t>
            </w:r>
            <w:r w:rsidRPr="00160A33">
              <w:rPr>
                <w:b/>
                <w:noProof/>
                <w:color w:val="000000"/>
                <w:sz w:val="20"/>
              </w:rPr>
              <w:t>628</w:t>
            </w:r>
          </w:p>
        </w:tc>
        <w:tc>
          <w:tcPr>
            <w:tcW w:w="917" w:type="dxa"/>
            <w:tcBorders>
              <w:top w:val="nil"/>
              <w:left w:val="nil"/>
              <w:bottom w:val="single" w:sz="8" w:space="0" w:color="auto"/>
              <w:right w:val="single" w:sz="8" w:space="0" w:color="auto"/>
            </w:tcBorders>
            <w:shd w:val="clear" w:color="000000" w:fill="BFBFBF"/>
            <w:vAlign w:val="center"/>
            <w:hideMark/>
          </w:tcPr>
          <w:p w14:paraId="66C0D727" w14:textId="77777777" w:rsidR="00D37F2D" w:rsidRPr="00C3707B" w:rsidRDefault="00D37F2D">
            <w:pPr>
              <w:spacing w:before="0" w:after="0"/>
              <w:jc w:val="right"/>
              <w:rPr>
                <w:rFonts w:eastAsia="Times New Roman"/>
                <w:b/>
                <w:bCs/>
                <w:noProof/>
                <w:color w:val="000000"/>
                <w:sz w:val="20"/>
                <w:szCs w:val="20"/>
              </w:rPr>
            </w:pPr>
            <w:r w:rsidRPr="00160A33">
              <w:rPr>
                <w:b/>
                <w:noProof/>
                <w:color w:val="000000"/>
                <w:sz w:val="20"/>
              </w:rPr>
              <w:t>1</w:t>
            </w:r>
            <w:r w:rsidRPr="00C3707B">
              <w:rPr>
                <w:b/>
                <w:noProof/>
                <w:color w:val="000000"/>
                <w:sz w:val="20"/>
              </w:rPr>
              <w:t>,</w:t>
            </w:r>
            <w:r w:rsidRPr="00160A33">
              <w:rPr>
                <w:b/>
                <w:noProof/>
                <w:color w:val="000000"/>
                <w:sz w:val="20"/>
              </w:rPr>
              <w:t>152</w:t>
            </w:r>
          </w:p>
        </w:tc>
      </w:tr>
    </w:tbl>
    <w:p w14:paraId="30F3DA07" w14:textId="77777777" w:rsidR="00D37F2D" w:rsidRPr="00C3707B" w:rsidRDefault="00D37F2D" w:rsidP="005D0E22">
      <w:pPr>
        <w:pStyle w:val="Text1"/>
        <w:rPr>
          <w:noProof/>
        </w:rPr>
      </w:pPr>
    </w:p>
    <w:tbl>
      <w:tblPr>
        <w:tblW w:w="7443" w:type="dxa"/>
        <w:tblInd w:w="118" w:type="dxa"/>
        <w:tblLook w:val="04A0" w:firstRow="1" w:lastRow="0" w:firstColumn="1" w:lastColumn="0" w:noHBand="0" w:noVBand="1"/>
      </w:tblPr>
      <w:tblGrid>
        <w:gridCol w:w="1927"/>
        <w:gridCol w:w="1070"/>
        <w:gridCol w:w="1069"/>
        <w:gridCol w:w="1358"/>
        <w:gridCol w:w="1358"/>
        <w:gridCol w:w="1356"/>
      </w:tblGrid>
      <w:tr w:rsidR="00D37F2D" w:rsidRPr="00C3707B" w14:paraId="03D2634E" w14:textId="77777777">
        <w:trPr>
          <w:trHeight w:val="340"/>
        </w:trPr>
        <w:tc>
          <w:tcPr>
            <w:tcW w:w="12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5EAB32" w14:textId="06E69D9F" w:rsidR="00D37F2D" w:rsidRPr="00C3707B" w:rsidRDefault="00D37F2D">
            <w:pPr>
              <w:spacing w:before="0" w:after="0"/>
              <w:rPr>
                <w:rFonts w:eastAsia="Times New Roman"/>
                <w:b/>
                <w:bCs/>
                <w:noProof/>
                <w:color w:val="444444"/>
                <w:sz w:val="20"/>
                <w:szCs w:val="20"/>
              </w:rPr>
            </w:pPr>
            <w:r w:rsidRPr="00C3707B">
              <w:rPr>
                <w:b/>
                <w:noProof/>
                <w:color w:val="444444"/>
                <w:sz w:val="20"/>
              </w:rPr>
              <w:t>EMA</w:t>
            </w:r>
          </w:p>
          <w:p w14:paraId="02DA6207" w14:textId="77777777" w:rsidR="00D37F2D" w:rsidRPr="00C3707B" w:rsidRDefault="00D37F2D">
            <w:pPr>
              <w:spacing w:before="0" w:after="0"/>
              <w:rPr>
                <w:rFonts w:eastAsia="Times New Roman"/>
                <w:noProof/>
                <w:color w:val="000000"/>
                <w:sz w:val="16"/>
                <w:szCs w:val="16"/>
                <w:lang w:eastAsia="en-IE"/>
              </w:rPr>
            </w:pPr>
          </w:p>
        </w:tc>
        <w:tc>
          <w:tcPr>
            <w:tcW w:w="1070" w:type="dxa"/>
            <w:tcBorders>
              <w:top w:val="single" w:sz="8" w:space="0" w:color="auto"/>
              <w:left w:val="nil"/>
              <w:bottom w:val="nil"/>
              <w:right w:val="single" w:sz="8" w:space="0" w:color="auto"/>
            </w:tcBorders>
            <w:shd w:val="clear" w:color="auto" w:fill="auto"/>
            <w:vAlign w:val="center"/>
            <w:hideMark/>
          </w:tcPr>
          <w:p w14:paraId="0EEF5740"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069" w:type="dxa"/>
            <w:tcBorders>
              <w:top w:val="single" w:sz="8" w:space="0" w:color="auto"/>
              <w:left w:val="nil"/>
              <w:bottom w:val="nil"/>
              <w:right w:val="single" w:sz="8" w:space="0" w:color="auto"/>
            </w:tcBorders>
            <w:shd w:val="clear" w:color="auto" w:fill="auto"/>
            <w:vAlign w:val="center"/>
            <w:hideMark/>
          </w:tcPr>
          <w:p w14:paraId="0EF2E847"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8" w:type="dxa"/>
            <w:tcBorders>
              <w:top w:val="single" w:sz="8" w:space="0" w:color="auto"/>
              <w:left w:val="nil"/>
              <w:bottom w:val="nil"/>
              <w:right w:val="single" w:sz="8" w:space="0" w:color="auto"/>
            </w:tcBorders>
            <w:shd w:val="clear" w:color="auto" w:fill="auto"/>
            <w:vAlign w:val="center"/>
            <w:hideMark/>
          </w:tcPr>
          <w:p w14:paraId="17C5B4DA"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8" w:type="dxa"/>
            <w:tcBorders>
              <w:top w:val="single" w:sz="8" w:space="0" w:color="auto"/>
              <w:left w:val="nil"/>
              <w:bottom w:val="nil"/>
              <w:right w:val="single" w:sz="8" w:space="0" w:color="auto"/>
            </w:tcBorders>
            <w:shd w:val="clear" w:color="auto" w:fill="auto"/>
            <w:vAlign w:val="center"/>
            <w:hideMark/>
          </w:tcPr>
          <w:p w14:paraId="16B7C67F" w14:textId="77777777" w:rsidR="00D37F2D" w:rsidRPr="00C3707B" w:rsidRDefault="00D37F2D">
            <w:pPr>
              <w:spacing w:before="0" w:after="0"/>
              <w:jc w:val="center"/>
              <w:rPr>
                <w:rFonts w:eastAsia="Times New Roman"/>
                <w:noProof/>
                <w:color w:val="000000"/>
                <w:sz w:val="20"/>
                <w:szCs w:val="20"/>
              </w:rPr>
            </w:pPr>
            <w:r w:rsidRPr="00C3707B">
              <w:rPr>
                <w:noProof/>
                <w:color w:val="000000"/>
                <w:sz w:val="20"/>
              </w:rPr>
              <w:t>Jaar</w:t>
            </w:r>
          </w:p>
        </w:tc>
        <w:tc>
          <w:tcPr>
            <w:tcW w:w="1356" w:type="dxa"/>
            <w:tcBorders>
              <w:top w:val="single" w:sz="8" w:space="0" w:color="auto"/>
              <w:left w:val="nil"/>
              <w:bottom w:val="nil"/>
              <w:right w:val="single" w:sz="8" w:space="0" w:color="auto"/>
            </w:tcBorders>
            <w:shd w:val="clear" w:color="auto" w:fill="auto"/>
            <w:vAlign w:val="center"/>
            <w:hideMark/>
          </w:tcPr>
          <w:p w14:paraId="75667998" w14:textId="77777777" w:rsidR="00D62518" w:rsidRDefault="00D37F2D">
            <w:pPr>
              <w:spacing w:before="0" w:after="0"/>
              <w:jc w:val="center"/>
              <w:rPr>
                <w:b/>
                <w:noProof/>
                <w:color w:val="000000"/>
                <w:sz w:val="20"/>
              </w:rPr>
            </w:pPr>
            <w:r w:rsidRPr="00C3707B">
              <w:rPr>
                <w:b/>
                <w:noProof/>
                <w:color w:val="000000"/>
                <w:sz w:val="20"/>
              </w:rPr>
              <w:t>Totaal</w:t>
            </w:r>
          </w:p>
          <w:p w14:paraId="69307A58" w14:textId="62947C03" w:rsidR="00D37F2D" w:rsidRPr="00C3707B" w:rsidRDefault="00D37F2D">
            <w:pPr>
              <w:spacing w:before="0" w:after="0"/>
              <w:jc w:val="center"/>
              <w:rPr>
                <w:rFonts w:eastAsia="Times New Roman"/>
                <w:noProof/>
                <w:color w:val="000000"/>
                <w:sz w:val="20"/>
              </w:rPr>
            </w:pPr>
            <w:r w:rsidRPr="00C3707B">
              <w:rPr>
                <w:b/>
                <w:noProof/>
                <w:color w:val="000000"/>
                <w:sz w:val="20"/>
              </w:rPr>
              <w:t xml:space="preserve">MFK </w:t>
            </w:r>
            <w:r w:rsidRPr="00160A33">
              <w:rPr>
                <w:b/>
                <w:noProof/>
                <w:color w:val="000000"/>
                <w:sz w:val="20"/>
              </w:rPr>
              <w:t>2021</w:t>
            </w:r>
            <w:r w:rsidRPr="00C3707B">
              <w:rPr>
                <w:b/>
                <w:noProof/>
                <w:color w:val="000000"/>
                <w:sz w:val="20"/>
              </w:rPr>
              <w:t>-</w:t>
            </w:r>
            <w:r w:rsidRPr="00160A33">
              <w:rPr>
                <w:b/>
                <w:noProof/>
                <w:color w:val="000000"/>
                <w:sz w:val="20"/>
              </w:rPr>
              <w:t>2027</w:t>
            </w:r>
          </w:p>
        </w:tc>
      </w:tr>
      <w:tr w:rsidR="00D37F2D" w:rsidRPr="00C3707B" w14:paraId="752622B2" w14:textId="77777777">
        <w:trPr>
          <w:trHeight w:val="842"/>
        </w:trPr>
        <w:tc>
          <w:tcPr>
            <w:tcW w:w="1232" w:type="dxa"/>
            <w:vMerge/>
            <w:tcBorders>
              <w:top w:val="single" w:sz="8" w:space="0" w:color="auto"/>
              <w:left w:val="single" w:sz="8" w:space="0" w:color="auto"/>
              <w:bottom w:val="single" w:sz="8" w:space="0" w:color="000000"/>
              <w:right w:val="single" w:sz="8" w:space="0" w:color="auto"/>
            </w:tcBorders>
            <w:vAlign w:val="center"/>
            <w:hideMark/>
          </w:tcPr>
          <w:p w14:paraId="393858F0" w14:textId="77777777" w:rsidR="00D37F2D" w:rsidRPr="00C3707B" w:rsidRDefault="00D37F2D">
            <w:pPr>
              <w:spacing w:before="0" w:after="0"/>
              <w:jc w:val="left"/>
              <w:rPr>
                <w:rFonts w:eastAsia="Times New Roman"/>
                <w:noProof/>
                <w:color w:val="000000"/>
                <w:sz w:val="16"/>
                <w:szCs w:val="16"/>
                <w:lang w:eastAsia="en-IE"/>
              </w:rPr>
            </w:pPr>
          </w:p>
        </w:tc>
        <w:tc>
          <w:tcPr>
            <w:tcW w:w="1070" w:type="dxa"/>
            <w:tcBorders>
              <w:top w:val="nil"/>
              <w:left w:val="nil"/>
              <w:bottom w:val="single" w:sz="8" w:space="0" w:color="auto"/>
              <w:right w:val="single" w:sz="8" w:space="0" w:color="auto"/>
            </w:tcBorders>
            <w:shd w:val="clear" w:color="auto" w:fill="auto"/>
            <w:vAlign w:val="center"/>
            <w:hideMark/>
          </w:tcPr>
          <w:p w14:paraId="41B8D27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2024</w:t>
            </w:r>
          </w:p>
        </w:tc>
        <w:tc>
          <w:tcPr>
            <w:tcW w:w="1069" w:type="dxa"/>
            <w:tcBorders>
              <w:top w:val="nil"/>
              <w:left w:val="nil"/>
              <w:bottom w:val="single" w:sz="8" w:space="0" w:color="auto"/>
              <w:right w:val="single" w:sz="8" w:space="0" w:color="auto"/>
            </w:tcBorders>
            <w:shd w:val="clear" w:color="auto" w:fill="auto"/>
            <w:vAlign w:val="center"/>
            <w:hideMark/>
          </w:tcPr>
          <w:p w14:paraId="6A6F12EB"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2025</w:t>
            </w:r>
          </w:p>
        </w:tc>
        <w:tc>
          <w:tcPr>
            <w:tcW w:w="1358" w:type="dxa"/>
            <w:tcBorders>
              <w:top w:val="nil"/>
              <w:left w:val="nil"/>
              <w:bottom w:val="single" w:sz="8" w:space="0" w:color="auto"/>
              <w:right w:val="single" w:sz="8" w:space="0" w:color="auto"/>
            </w:tcBorders>
            <w:shd w:val="clear" w:color="auto" w:fill="auto"/>
            <w:vAlign w:val="center"/>
            <w:hideMark/>
          </w:tcPr>
          <w:p w14:paraId="4235AC98"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2026</w:t>
            </w:r>
          </w:p>
        </w:tc>
        <w:tc>
          <w:tcPr>
            <w:tcW w:w="1358" w:type="dxa"/>
            <w:tcBorders>
              <w:top w:val="nil"/>
              <w:left w:val="nil"/>
              <w:bottom w:val="single" w:sz="8" w:space="0" w:color="auto"/>
              <w:right w:val="single" w:sz="8" w:space="0" w:color="auto"/>
            </w:tcBorders>
            <w:shd w:val="clear" w:color="auto" w:fill="auto"/>
            <w:vAlign w:val="center"/>
            <w:hideMark/>
          </w:tcPr>
          <w:p w14:paraId="202B1A4A" w14:textId="77777777" w:rsidR="00D37F2D" w:rsidRPr="00C3707B" w:rsidRDefault="00D37F2D">
            <w:pPr>
              <w:spacing w:before="0" w:after="0"/>
              <w:jc w:val="center"/>
              <w:rPr>
                <w:rFonts w:eastAsia="Times New Roman"/>
                <w:b/>
                <w:bCs/>
                <w:noProof/>
                <w:color w:val="000000"/>
                <w:sz w:val="20"/>
                <w:szCs w:val="20"/>
              </w:rPr>
            </w:pPr>
            <w:r w:rsidRPr="00160A33">
              <w:rPr>
                <w:b/>
                <w:noProof/>
                <w:color w:val="000000"/>
                <w:sz w:val="20"/>
              </w:rPr>
              <w:t>2027</w:t>
            </w:r>
          </w:p>
        </w:tc>
        <w:tc>
          <w:tcPr>
            <w:tcW w:w="1356" w:type="dxa"/>
            <w:tcBorders>
              <w:top w:val="nil"/>
              <w:left w:val="nil"/>
              <w:bottom w:val="single" w:sz="8" w:space="0" w:color="auto"/>
              <w:right w:val="single" w:sz="8" w:space="0" w:color="auto"/>
            </w:tcBorders>
            <w:shd w:val="clear" w:color="auto" w:fill="auto"/>
            <w:vAlign w:val="center"/>
            <w:hideMark/>
          </w:tcPr>
          <w:p w14:paraId="309C3EE8" w14:textId="77777777" w:rsidR="00D37F2D" w:rsidRPr="00C3707B" w:rsidRDefault="00D37F2D">
            <w:pPr>
              <w:spacing w:before="0" w:after="0"/>
              <w:jc w:val="center"/>
              <w:rPr>
                <w:rFonts w:eastAsia="Times New Roman"/>
                <w:noProof/>
                <w:color w:val="000000"/>
                <w:sz w:val="20"/>
                <w:lang w:eastAsia="en-IE"/>
              </w:rPr>
            </w:pPr>
          </w:p>
        </w:tc>
      </w:tr>
      <w:tr w:rsidR="00D37F2D" w:rsidRPr="00C3707B" w14:paraId="77F32250" w14:textId="77777777">
        <w:trPr>
          <w:trHeight w:val="340"/>
        </w:trPr>
        <w:tc>
          <w:tcPr>
            <w:tcW w:w="1232" w:type="dxa"/>
            <w:tcBorders>
              <w:top w:val="nil"/>
              <w:left w:val="nil"/>
              <w:bottom w:val="nil"/>
              <w:right w:val="nil"/>
            </w:tcBorders>
            <w:shd w:val="clear" w:color="auto" w:fill="auto"/>
            <w:noWrap/>
            <w:vAlign w:val="center"/>
            <w:hideMark/>
          </w:tcPr>
          <w:p w14:paraId="530DED64" w14:textId="77777777" w:rsidR="00D37F2D" w:rsidRPr="00C3707B" w:rsidRDefault="00D37F2D">
            <w:pPr>
              <w:spacing w:before="0" w:after="0"/>
              <w:jc w:val="center"/>
              <w:rPr>
                <w:rFonts w:eastAsia="Times New Roman"/>
                <w:b/>
                <w:bCs/>
                <w:noProof/>
                <w:color w:val="000000"/>
                <w:sz w:val="20"/>
                <w:szCs w:val="20"/>
                <w:lang w:eastAsia="en-IE"/>
              </w:rPr>
            </w:pPr>
          </w:p>
        </w:tc>
        <w:tc>
          <w:tcPr>
            <w:tcW w:w="1070" w:type="dxa"/>
            <w:tcBorders>
              <w:top w:val="nil"/>
              <w:left w:val="nil"/>
              <w:bottom w:val="nil"/>
              <w:right w:val="nil"/>
            </w:tcBorders>
            <w:shd w:val="clear" w:color="auto" w:fill="auto"/>
            <w:noWrap/>
            <w:vAlign w:val="bottom"/>
            <w:hideMark/>
          </w:tcPr>
          <w:p w14:paraId="5858F05D" w14:textId="77777777" w:rsidR="00D37F2D" w:rsidRPr="00C3707B" w:rsidRDefault="00D37F2D">
            <w:pPr>
              <w:spacing w:before="0" w:after="0"/>
              <w:rPr>
                <w:rFonts w:eastAsia="Times New Roman"/>
                <w:noProof/>
                <w:sz w:val="20"/>
                <w:szCs w:val="20"/>
                <w:lang w:eastAsia="en-IE"/>
              </w:rPr>
            </w:pPr>
          </w:p>
        </w:tc>
        <w:tc>
          <w:tcPr>
            <w:tcW w:w="1069" w:type="dxa"/>
            <w:tcBorders>
              <w:top w:val="nil"/>
              <w:left w:val="nil"/>
              <w:bottom w:val="nil"/>
              <w:right w:val="nil"/>
            </w:tcBorders>
            <w:shd w:val="clear" w:color="auto" w:fill="auto"/>
            <w:noWrap/>
            <w:vAlign w:val="bottom"/>
            <w:hideMark/>
          </w:tcPr>
          <w:p w14:paraId="670A1439" w14:textId="77777777" w:rsidR="00D37F2D" w:rsidRPr="00C3707B" w:rsidRDefault="00D37F2D">
            <w:pPr>
              <w:spacing w:before="0" w:after="0"/>
              <w:jc w:val="left"/>
              <w:rPr>
                <w:rFonts w:eastAsia="Times New Roman"/>
                <w:noProof/>
                <w:sz w:val="20"/>
                <w:szCs w:val="20"/>
                <w:lang w:eastAsia="en-IE"/>
              </w:rPr>
            </w:pPr>
          </w:p>
        </w:tc>
        <w:tc>
          <w:tcPr>
            <w:tcW w:w="1358" w:type="dxa"/>
            <w:tcBorders>
              <w:top w:val="nil"/>
              <w:left w:val="nil"/>
              <w:bottom w:val="nil"/>
              <w:right w:val="nil"/>
            </w:tcBorders>
            <w:shd w:val="clear" w:color="auto" w:fill="auto"/>
            <w:noWrap/>
            <w:vAlign w:val="bottom"/>
            <w:hideMark/>
          </w:tcPr>
          <w:p w14:paraId="08B6B2E4" w14:textId="77777777" w:rsidR="00D37F2D" w:rsidRPr="00C3707B" w:rsidRDefault="00D37F2D">
            <w:pPr>
              <w:spacing w:before="0" w:after="0"/>
              <w:jc w:val="left"/>
              <w:rPr>
                <w:rFonts w:eastAsia="Times New Roman"/>
                <w:noProof/>
                <w:sz w:val="20"/>
                <w:szCs w:val="20"/>
                <w:lang w:eastAsia="en-IE"/>
              </w:rPr>
            </w:pPr>
          </w:p>
        </w:tc>
        <w:tc>
          <w:tcPr>
            <w:tcW w:w="1358" w:type="dxa"/>
            <w:tcBorders>
              <w:top w:val="nil"/>
              <w:left w:val="nil"/>
              <w:bottom w:val="nil"/>
              <w:right w:val="nil"/>
            </w:tcBorders>
            <w:shd w:val="clear" w:color="auto" w:fill="auto"/>
            <w:noWrap/>
            <w:vAlign w:val="bottom"/>
            <w:hideMark/>
          </w:tcPr>
          <w:p w14:paraId="63F982AF" w14:textId="77777777" w:rsidR="00D37F2D" w:rsidRPr="00C3707B" w:rsidRDefault="00D37F2D">
            <w:pPr>
              <w:spacing w:before="0" w:after="0"/>
              <w:jc w:val="left"/>
              <w:rPr>
                <w:rFonts w:eastAsia="Times New Roman"/>
                <w:noProof/>
                <w:sz w:val="20"/>
                <w:szCs w:val="20"/>
                <w:lang w:eastAsia="en-IE"/>
              </w:rPr>
            </w:pPr>
          </w:p>
        </w:tc>
        <w:tc>
          <w:tcPr>
            <w:tcW w:w="1356" w:type="dxa"/>
            <w:tcBorders>
              <w:top w:val="nil"/>
              <w:left w:val="nil"/>
              <w:bottom w:val="nil"/>
              <w:right w:val="nil"/>
            </w:tcBorders>
            <w:shd w:val="clear" w:color="auto" w:fill="auto"/>
            <w:noWrap/>
            <w:vAlign w:val="bottom"/>
            <w:hideMark/>
          </w:tcPr>
          <w:p w14:paraId="761753B4" w14:textId="77777777" w:rsidR="00D37F2D" w:rsidRPr="00C3707B" w:rsidRDefault="00D37F2D">
            <w:pPr>
              <w:spacing w:before="0" w:after="0"/>
              <w:jc w:val="left"/>
              <w:rPr>
                <w:rFonts w:eastAsia="Times New Roman"/>
                <w:noProof/>
                <w:sz w:val="20"/>
                <w:szCs w:val="20"/>
                <w:lang w:eastAsia="en-IE"/>
              </w:rPr>
            </w:pPr>
          </w:p>
        </w:tc>
      </w:tr>
      <w:tr w:rsidR="00D37F2D" w:rsidRPr="00C3707B" w14:paraId="58E90E52" w14:textId="77777777">
        <w:trPr>
          <w:trHeight w:val="340"/>
        </w:trPr>
        <w:tc>
          <w:tcPr>
            <w:tcW w:w="1232" w:type="dxa"/>
            <w:tcBorders>
              <w:top w:val="nil"/>
              <w:left w:val="nil"/>
              <w:bottom w:val="nil"/>
              <w:right w:val="nil"/>
            </w:tcBorders>
            <w:shd w:val="clear" w:color="auto" w:fill="auto"/>
            <w:noWrap/>
            <w:vAlign w:val="center"/>
            <w:hideMark/>
          </w:tcPr>
          <w:p w14:paraId="45785611" w14:textId="77777777" w:rsidR="00D37F2D" w:rsidRPr="00C3707B" w:rsidRDefault="00D37F2D">
            <w:pPr>
              <w:spacing w:before="0" w:after="0"/>
              <w:jc w:val="left"/>
              <w:rPr>
                <w:rFonts w:eastAsia="Times New Roman"/>
                <w:noProof/>
                <w:sz w:val="20"/>
                <w:szCs w:val="20"/>
                <w:lang w:eastAsia="en-IE"/>
              </w:rPr>
            </w:pPr>
          </w:p>
        </w:tc>
        <w:tc>
          <w:tcPr>
            <w:tcW w:w="1070" w:type="dxa"/>
            <w:tcBorders>
              <w:top w:val="nil"/>
              <w:left w:val="nil"/>
              <w:bottom w:val="nil"/>
              <w:right w:val="nil"/>
            </w:tcBorders>
            <w:shd w:val="clear" w:color="auto" w:fill="auto"/>
            <w:noWrap/>
            <w:vAlign w:val="bottom"/>
            <w:hideMark/>
          </w:tcPr>
          <w:p w14:paraId="348A9F85" w14:textId="77777777" w:rsidR="00D37F2D" w:rsidRPr="00C3707B" w:rsidRDefault="00D37F2D">
            <w:pPr>
              <w:spacing w:before="0" w:after="0"/>
              <w:rPr>
                <w:rFonts w:eastAsia="Times New Roman"/>
                <w:noProof/>
                <w:sz w:val="20"/>
                <w:szCs w:val="20"/>
                <w:lang w:eastAsia="en-IE"/>
              </w:rPr>
            </w:pPr>
          </w:p>
        </w:tc>
        <w:tc>
          <w:tcPr>
            <w:tcW w:w="1069" w:type="dxa"/>
            <w:tcBorders>
              <w:top w:val="nil"/>
              <w:left w:val="nil"/>
              <w:bottom w:val="nil"/>
              <w:right w:val="nil"/>
            </w:tcBorders>
            <w:shd w:val="clear" w:color="auto" w:fill="auto"/>
            <w:noWrap/>
            <w:vAlign w:val="bottom"/>
            <w:hideMark/>
          </w:tcPr>
          <w:p w14:paraId="451686E2" w14:textId="77777777" w:rsidR="00D37F2D" w:rsidRPr="00C3707B" w:rsidRDefault="00D37F2D">
            <w:pPr>
              <w:spacing w:before="0" w:after="0"/>
              <w:jc w:val="left"/>
              <w:rPr>
                <w:rFonts w:eastAsia="Times New Roman"/>
                <w:noProof/>
                <w:sz w:val="20"/>
                <w:szCs w:val="20"/>
                <w:lang w:eastAsia="en-IE"/>
              </w:rPr>
            </w:pPr>
          </w:p>
        </w:tc>
        <w:tc>
          <w:tcPr>
            <w:tcW w:w="1358" w:type="dxa"/>
            <w:tcBorders>
              <w:top w:val="nil"/>
              <w:left w:val="nil"/>
              <w:bottom w:val="nil"/>
              <w:right w:val="nil"/>
            </w:tcBorders>
            <w:shd w:val="clear" w:color="auto" w:fill="auto"/>
            <w:noWrap/>
            <w:vAlign w:val="bottom"/>
            <w:hideMark/>
          </w:tcPr>
          <w:p w14:paraId="0C417694" w14:textId="77777777" w:rsidR="00D37F2D" w:rsidRPr="00C3707B" w:rsidRDefault="00D37F2D">
            <w:pPr>
              <w:spacing w:before="0" w:after="0"/>
              <w:jc w:val="left"/>
              <w:rPr>
                <w:rFonts w:eastAsia="Times New Roman"/>
                <w:noProof/>
                <w:sz w:val="20"/>
                <w:szCs w:val="20"/>
                <w:lang w:eastAsia="en-IE"/>
              </w:rPr>
            </w:pPr>
          </w:p>
        </w:tc>
        <w:tc>
          <w:tcPr>
            <w:tcW w:w="1358" w:type="dxa"/>
            <w:tcBorders>
              <w:top w:val="nil"/>
              <w:left w:val="nil"/>
              <w:bottom w:val="nil"/>
              <w:right w:val="nil"/>
            </w:tcBorders>
            <w:shd w:val="clear" w:color="auto" w:fill="auto"/>
            <w:noWrap/>
            <w:vAlign w:val="bottom"/>
            <w:hideMark/>
          </w:tcPr>
          <w:p w14:paraId="466EC383" w14:textId="77777777" w:rsidR="00D37F2D" w:rsidRPr="00C3707B" w:rsidRDefault="00D37F2D">
            <w:pPr>
              <w:spacing w:before="0" w:after="0"/>
              <w:jc w:val="left"/>
              <w:rPr>
                <w:rFonts w:eastAsia="Times New Roman"/>
                <w:noProof/>
                <w:sz w:val="20"/>
                <w:szCs w:val="20"/>
                <w:lang w:eastAsia="en-IE"/>
              </w:rPr>
            </w:pPr>
          </w:p>
        </w:tc>
        <w:tc>
          <w:tcPr>
            <w:tcW w:w="1356" w:type="dxa"/>
            <w:tcBorders>
              <w:top w:val="nil"/>
              <w:left w:val="nil"/>
              <w:bottom w:val="nil"/>
              <w:right w:val="nil"/>
            </w:tcBorders>
            <w:shd w:val="clear" w:color="auto" w:fill="auto"/>
            <w:noWrap/>
            <w:vAlign w:val="bottom"/>
            <w:hideMark/>
          </w:tcPr>
          <w:p w14:paraId="224F57D3" w14:textId="77777777" w:rsidR="00D37F2D" w:rsidRPr="00C3707B" w:rsidRDefault="00D37F2D">
            <w:pPr>
              <w:spacing w:before="0" w:after="0"/>
              <w:jc w:val="left"/>
              <w:rPr>
                <w:rFonts w:eastAsia="Times New Roman"/>
                <w:noProof/>
                <w:sz w:val="20"/>
                <w:szCs w:val="20"/>
                <w:lang w:eastAsia="en-IE"/>
              </w:rPr>
            </w:pPr>
          </w:p>
        </w:tc>
      </w:tr>
      <w:tr w:rsidR="00D37F2D" w:rsidRPr="00C3707B" w14:paraId="78A8780D" w14:textId="77777777">
        <w:trPr>
          <w:trHeight w:val="793"/>
        </w:trPr>
        <w:tc>
          <w:tcPr>
            <w:tcW w:w="123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FD7435D" w14:textId="77777777" w:rsidR="00D37F2D" w:rsidRPr="00C3707B" w:rsidRDefault="00D37F2D">
            <w:pPr>
              <w:spacing w:before="0" w:after="0"/>
              <w:jc w:val="center"/>
              <w:rPr>
                <w:rFonts w:eastAsia="Times New Roman"/>
                <w:noProof/>
                <w:color w:val="000000"/>
                <w:sz w:val="18"/>
                <w:szCs w:val="18"/>
              </w:rPr>
            </w:pPr>
            <w:r w:rsidRPr="00C3707B">
              <w:rPr>
                <w:noProof/>
                <w:sz w:val="18"/>
              </w:rPr>
              <w:t>Tijdelijke functionarissen (AD‑rangen)</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14:paraId="0040565A" w14:textId="64796523" w:rsidR="00D37F2D" w:rsidRPr="00C3707B" w:rsidRDefault="00D37F2D">
            <w:pPr>
              <w:spacing w:before="0" w:after="0"/>
              <w:jc w:val="right"/>
              <w:rPr>
                <w:rFonts w:eastAsia="Times New Roman"/>
                <w:noProof/>
                <w:color w:val="000000"/>
                <w:sz w:val="20"/>
                <w:szCs w:val="20"/>
              </w:rPr>
            </w:pPr>
          </w:p>
        </w:tc>
        <w:tc>
          <w:tcPr>
            <w:tcW w:w="1069" w:type="dxa"/>
            <w:tcBorders>
              <w:top w:val="single" w:sz="8" w:space="0" w:color="auto"/>
              <w:left w:val="nil"/>
              <w:bottom w:val="single" w:sz="8" w:space="0" w:color="auto"/>
              <w:right w:val="single" w:sz="8" w:space="0" w:color="auto"/>
            </w:tcBorders>
            <w:shd w:val="clear" w:color="auto" w:fill="auto"/>
            <w:vAlign w:val="center"/>
            <w:hideMark/>
          </w:tcPr>
          <w:p w14:paraId="3F3D6F12" w14:textId="4C72B7E3" w:rsidR="00D37F2D" w:rsidRPr="00C3707B" w:rsidRDefault="00D37F2D">
            <w:pPr>
              <w:spacing w:before="0" w:after="0"/>
              <w:jc w:val="right"/>
              <w:rPr>
                <w:rFonts w:eastAsia="Times New Roman"/>
                <w:noProof/>
                <w:color w:val="000000"/>
                <w:sz w:val="20"/>
                <w:szCs w:val="20"/>
              </w:rPr>
            </w:pPr>
          </w:p>
        </w:tc>
        <w:tc>
          <w:tcPr>
            <w:tcW w:w="1358" w:type="dxa"/>
            <w:tcBorders>
              <w:top w:val="single" w:sz="8" w:space="0" w:color="auto"/>
              <w:left w:val="nil"/>
              <w:bottom w:val="single" w:sz="8" w:space="0" w:color="auto"/>
              <w:right w:val="single" w:sz="8" w:space="0" w:color="auto"/>
            </w:tcBorders>
            <w:shd w:val="clear" w:color="auto" w:fill="auto"/>
            <w:vAlign w:val="center"/>
            <w:hideMark/>
          </w:tcPr>
          <w:p w14:paraId="32DADE1B"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314</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14:paraId="11878E80"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419</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14:paraId="18726C11"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733</w:t>
            </w:r>
          </w:p>
        </w:tc>
      </w:tr>
      <w:tr w:rsidR="00D37F2D" w:rsidRPr="00C3707B" w14:paraId="31777FA2" w14:textId="77777777">
        <w:trPr>
          <w:trHeight w:val="1118"/>
        </w:trPr>
        <w:tc>
          <w:tcPr>
            <w:tcW w:w="1232" w:type="dxa"/>
            <w:tcBorders>
              <w:top w:val="nil"/>
              <w:left w:val="single" w:sz="8" w:space="0" w:color="auto"/>
              <w:bottom w:val="single" w:sz="8" w:space="0" w:color="auto"/>
              <w:right w:val="single" w:sz="8" w:space="0" w:color="auto"/>
            </w:tcBorders>
            <w:shd w:val="clear" w:color="000000" w:fill="BFBFBF"/>
            <w:vAlign w:val="center"/>
            <w:hideMark/>
          </w:tcPr>
          <w:p w14:paraId="72128D8B" w14:textId="77777777" w:rsidR="00D37F2D" w:rsidRPr="00C3707B" w:rsidRDefault="00D37F2D">
            <w:pPr>
              <w:spacing w:before="0" w:after="0"/>
              <w:rPr>
                <w:rFonts w:eastAsia="Times New Roman"/>
                <w:noProof/>
                <w:color w:val="000000"/>
                <w:sz w:val="20"/>
                <w:szCs w:val="20"/>
              </w:rPr>
            </w:pPr>
            <w:r w:rsidRPr="00C3707B">
              <w:rPr>
                <w:noProof/>
                <w:sz w:val="20"/>
              </w:rPr>
              <w:t>Tijdelijke functionarissen (AST‑rangen)</w:t>
            </w:r>
          </w:p>
        </w:tc>
        <w:tc>
          <w:tcPr>
            <w:tcW w:w="1070" w:type="dxa"/>
            <w:tcBorders>
              <w:top w:val="nil"/>
              <w:left w:val="nil"/>
              <w:bottom w:val="single" w:sz="8" w:space="0" w:color="auto"/>
              <w:right w:val="single" w:sz="8" w:space="0" w:color="auto"/>
            </w:tcBorders>
            <w:shd w:val="clear" w:color="auto" w:fill="auto"/>
            <w:vAlign w:val="center"/>
            <w:hideMark/>
          </w:tcPr>
          <w:p w14:paraId="4CCD1364" w14:textId="14259ACA" w:rsidR="00D37F2D" w:rsidRPr="00C3707B" w:rsidRDefault="00D37F2D">
            <w:pPr>
              <w:spacing w:before="0" w:after="0"/>
              <w:jc w:val="right"/>
              <w:rPr>
                <w:rFonts w:eastAsia="Times New Roman"/>
                <w:noProof/>
                <w:color w:val="000000"/>
                <w:sz w:val="20"/>
                <w:szCs w:val="20"/>
              </w:rPr>
            </w:pPr>
          </w:p>
        </w:tc>
        <w:tc>
          <w:tcPr>
            <w:tcW w:w="1069" w:type="dxa"/>
            <w:tcBorders>
              <w:top w:val="nil"/>
              <w:left w:val="nil"/>
              <w:bottom w:val="single" w:sz="8" w:space="0" w:color="auto"/>
              <w:right w:val="single" w:sz="8" w:space="0" w:color="auto"/>
            </w:tcBorders>
            <w:shd w:val="clear" w:color="auto" w:fill="auto"/>
            <w:vAlign w:val="center"/>
            <w:hideMark/>
          </w:tcPr>
          <w:p w14:paraId="726DD3F1" w14:textId="663B043D"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7A68C4FA"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209</w:t>
            </w:r>
          </w:p>
        </w:tc>
        <w:tc>
          <w:tcPr>
            <w:tcW w:w="1358" w:type="dxa"/>
            <w:tcBorders>
              <w:top w:val="nil"/>
              <w:left w:val="nil"/>
              <w:bottom w:val="single" w:sz="8" w:space="0" w:color="auto"/>
              <w:right w:val="single" w:sz="8" w:space="0" w:color="auto"/>
            </w:tcBorders>
            <w:shd w:val="clear" w:color="auto" w:fill="auto"/>
            <w:vAlign w:val="center"/>
            <w:hideMark/>
          </w:tcPr>
          <w:p w14:paraId="2059918D"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209</w:t>
            </w:r>
          </w:p>
        </w:tc>
        <w:tc>
          <w:tcPr>
            <w:tcW w:w="1356" w:type="dxa"/>
            <w:tcBorders>
              <w:top w:val="nil"/>
              <w:left w:val="nil"/>
              <w:bottom w:val="single" w:sz="8" w:space="0" w:color="auto"/>
              <w:right w:val="single" w:sz="8" w:space="0" w:color="auto"/>
            </w:tcBorders>
            <w:shd w:val="clear" w:color="auto" w:fill="auto"/>
            <w:vAlign w:val="center"/>
            <w:hideMark/>
          </w:tcPr>
          <w:p w14:paraId="273182E6" w14:textId="77777777" w:rsidR="00D37F2D" w:rsidRPr="00C3707B" w:rsidRDefault="00D37F2D">
            <w:pPr>
              <w:spacing w:before="0" w:after="0"/>
              <w:jc w:val="right"/>
              <w:rPr>
                <w:rFonts w:ascii="Calibri" w:eastAsia="Times New Roman" w:hAnsi="Calibri" w:cs="Calibri"/>
                <w:noProof/>
                <w:color w:val="000000"/>
                <w:sz w:val="22"/>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419</w:t>
            </w:r>
          </w:p>
        </w:tc>
      </w:tr>
      <w:tr w:rsidR="00D37F2D" w:rsidRPr="00C3707B" w14:paraId="23A5BAC4" w14:textId="77777777">
        <w:trPr>
          <w:trHeight w:val="567"/>
        </w:trPr>
        <w:tc>
          <w:tcPr>
            <w:tcW w:w="1232" w:type="dxa"/>
            <w:tcBorders>
              <w:top w:val="nil"/>
              <w:left w:val="single" w:sz="8" w:space="0" w:color="auto"/>
              <w:bottom w:val="single" w:sz="8" w:space="0" w:color="auto"/>
              <w:right w:val="single" w:sz="8" w:space="0" w:color="auto"/>
            </w:tcBorders>
            <w:shd w:val="clear" w:color="000000" w:fill="BFBFBF"/>
            <w:vAlign w:val="center"/>
            <w:hideMark/>
          </w:tcPr>
          <w:p w14:paraId="506827AB" w14:textId="77777777" w:rsidR="00D37F2D" w:rsidRPr="00C3707B" w:rsidRDefault="00D37F2D">
            <w:pPr>
              <w:spacing w:before="0" w:after="0"/>
              <w:rPr>
                <w:rFonts w:eastAsia="Times New Roman"/>
                <w:noProof/>
                <w:color w:val="000000"/>
                <w:sz w:val="20"/>
                <w:szCs w:val="20"/>
              </w:rPr>
            </w:pPr>
            <w:r w:rsidRPr="00C3707B">
              <w:rPr>
                <w:noProof/>
                <w:sz w:val="20"/>
              </w:rPr>
              <w:t>Arbeidscontractanten</w:t>
            </w:r>
          </w:p>
        </w:tc>
        <w:tc>
          <w:tcPr>
            <w:tcW w:w="1070" w:type="dxa"/>
            <w:tcBorders>
              <w:top w:val="nil"/>
              <w:left w:val="nil"/>
              <w:bottom w:val="single" w:sz="8" w:space="0" w:color="auto"/>
              <w:right w:val="single" w:sz="8" w:space="0" w:color="auto"/>
            </w:tcBorders>
            <w:shd w:val="clear" w:color="auto" w:fill="auto"/>
            <w:vAlign w:val="center"/>
            <w:hideMark/>
          </w:tcPr>
          <w:p w14:paraId="46C69F57" w14:textId="0E8EAD96" w:rsidR="00D37F2D" w:rsidRPr="00C3707B" w:rsidRDefault="00D37F2D">
            <w:pPr>
              <w:spacing w:before="0" w:after="0"/>
              <w:jc w:val="right"/>
              <w:rPr>
                <w:rFonts w:eastAsia="Times New Roman"/>
                <w:noProof/>
                <w:color w:val="000000"/>
                <w:sz w:val="20"/>
                <w:szCs w:val="20"/>
              </w:rPr>
            </w:pPr>
          </w:p>
        </w:tc>
        <w:tc>
          <w:tcPr>
            <w:tcW w:w="1069" w:type="dxa"/>
            <w:tcBorders>
              <w:top w:val="nil"/>
              <w:left w:val="nil"/>
              <w:bottom w:val="single" w:sz="8" w:space="0" w:color="auto"/>
              <w:right w:val="single" w:sz="8" w:space="0" w:color="auto"/>
            </w:tcBorders>
            <w:shd w:val="clear" w:color="auto" w:fill="auto"/>
            <w:vAlign w:val="center"/>
            <w:hideMark/>
          </w:tcPr>
          <w:p w14:paraId="4CDBACBD" w14:textId="77F69B5C"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227EAA3A" w14:textId="46074CD2"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70552532" w14:textId="3160139C" w:rsidR="00D37F2D" w:rsidRPr="00C3707B" w:rsidRDefault="00D37F2D">
            <w:pPr>
              <w:spacing w:before="0" w:after="0"/>
              <w:jc w:val="right"/>
              <w:rPr>
                <w:rFonts w:eastAsia="Times New Roman"/>
                <w:noProof/>
                <w:color w:val="000000"/>
                <w:sz w:val="20"/>
                <w:szCs w:val="20"/>
              </w:rPr>
            </w:pPr>
          </w:p>
        </w:tc>
        <w:tc>
          <w:tcPr>
            <w:tcW w:w="1356" w:type="dxa"/>
            <w:tcBorders>
              <w:top w:val="nil"/>
              <w:left w:val="nil"/>
              <w:bottom w:val="single" w:sz="8" w:space="0" w:color="auto"/>
              <w:right w:val="single" w:sz="8" w:space="0" w:color="auto"/>
            </w:tcBorders>
            <w:shd w:val="clear" w:color="auto" w:fill="auto"/>
            <w:vAlign w:val="center"/>
            <w:hideMark/>
          </w:tcPr>
          <w:p w14:paraId="0D80DCDD" w14:textId="77777777" w:rsidR="00D37F2D" w:rsidRPr="00C3707B" w:rsidRDefault="00D37F2D">
            <w:pPr>
              <w:spacing w:before="0" w:after="0"/>
              <w:jc w:val="right"/>
              <w:rPr>
                <w:rFonts w:eastAsia="Times New Roman"/>
                <w:noProof/>
                <w:color w:val="000000"/>
                <w:sz w:val="20"/>
                <w:szCs w:val="20"/>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000</w:t>
            </w:r>
          </w:p>
        </w:tc>
      </w:tr>
      <w:tr w:rsidR="00D37F2D" w:rsidRPr="00C3707B" w14:paraId="4E24E67A" w14:textId="77777777">
        <w:trPr>
          <w:trHeight w:val="793"/>
        </w:trPr>
        <w:tc>
          <w:tcPr>
            <w:tcW w:w="1232" w:type="dxa"/>
            <w:tcBorders>
              <w:top w:val="nil"/>
              <w:left w:val="single" w:sz="8" w:space="0" w:color="auto"/>
              <w:bottom w:val="single" w:sz="8" w:space="0" w:color="auto"/>
              <w:right w:val="single" w:sz="8" w:space="0" w:color="auto"/>
            </w:tcBorders>
            <w:shd w:val="clear" w:color="000000" w:fill="CCCCCC"/>
            <w:vAlign w:val="center"/>
            <w:hideMark/>
          </w:tcPr>
          <w:p w14:paraId="27FAB8B0" w14:textId="77777777" w:rsidR="00D37F2D" w:rsidRPr="00C3707B" w:rsidRDefault="00D37F2D">
            <w:pPr>
              <w:spacing w:before="0" w:after="0"/>
              <w:jc w:val="center"/>
              <w:rPr>
                <w:rFonts w:eastAsia="Times New Roman"/>
                <w:noProof/>
                <w:color w:val="000000"/>
                <w:sz w:val="18"/>
                <w:szCs w:val="18"/>
              </w:rPr>
            </w:pPr>
            <w:r w:rsidRPr="00C3707B">
              <w:rPr>
                <w:noProof/>
                <w:sz w:val="18"/>
              </w:rPr>
              <w:t>Gedetacheerde nationale deskundigen</w:t>
            </w:r>
          </w:p>
        </w:tc>
        <w:tc>
          <w:tcPr>
            <w:tcW w:w="1070" w:type="dxa"/>
            <w:tcBorders>
              <w:top w:val="nil"/>
              <w:left w:val="nil"/>
              <w:bottom w:val="single" w:sz="8" w:space="0" w:color="auto"/>
              <w:right w:val="single" w:sz="8" w:space="0" w:color="auto"/>
            </w:tcBorders>
            <w:shd w:val="clear" w:color="auto" w:fill="auto"/>
            <w:vAlign w:val="center"/>
            <w:hideMark/>
          </w:tcPr>
          <w:p w14:paraId="588BF65A" w14:textId="24F21603" w:rsidR="00D37F2D" w:rsidRPr="00C3707B" w:rsidRDefault="00D37F2D">
            <w:pPr>
              <w:spacing w:before="0" w:after="0"/>
              <w:jc w:val="right"/>
              <w:rPr>
                <w:rFonts w:eastAsia="Times New Roman"/>
                <w:noProof/>
                <w:color w:val="000000"/>
                <w:sz w:val="20"/>
                <w:szCs w:val="20"/>
              </w:rPr>
            </w:pPr>
          </w:p>
        </w:tc>
        <w:tc>
          <w:tcPr>
            <w:tcW w:w="1069" w:type="dxa"/>
            <w:tcBorders>
              <w:top w:val="nil"/>
              <w:left w:val="nil"/>
              <w:bottom w:val="single" w:sz="8" w:space="0" w:color="auto"/>
              <w:right w:val="single" w:sz="8" w:space="0" w:color="auto"/>
            </w:tcBorders>
            <w:shd w:val="clear" w:color="auto" w:fill="auto"/>
            <w:vAlign w:val="center"/>
            <w:hideMark/>
          </w:tcPr>
          <w:p w14:paraId="0C76C04D" w14:textId="4359501D"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42BC0923" w14:textId="0E02B7E4"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42B76246" w14:textId="32902393" w:rsidR="00D37F2D" w:rsidRPr="00C3707B" w:rsidRDefault="00D37F2D">
            <w:pPr>
              <w:spacing w:before="0" w:after="0"/>
              <w:jc w:val="right"/>
              <w:rPr>
                <w:rFonts w:eastAsia="Times New Roman"/>
                <w:noProof/>
                <w:color w:val="000000"/>
                <w:sz w:val="20"/>
                <w:szCs w:val="20"/>
              </w:rPr>
            </w:pPr>
          </w:p>
        </w:tc>
        <w:tc>
          <w:tcPr>
            <w:tcW w:w="1356" w:type="dxa"/>
            <w:tcBorders>
              <w:top w:val="nil"/>
              <w:left w:val="nil"/>
              <w:bottom w:val="single" w:sz="8" w:space="0" w:color="auto"/>
              <w:right w:val="single" w:sz="8" w:space="0" w:color="auto"/>
            </w:tcBorders>
            <w:shd w:val="clear" w:color="auto" w:fill="auto"/>
            <w:vAlign w:val="center"/>
            <w:hideMark/>
          </w:tcPr>
          <w:p w14:paraId="1041FA1D" w14:textId="77777777" w:rsidR="00D37F2D" w:rsidRPr="00C3707B" w:rsidRDefault="00D37F2D">
            <w:pPr>
              <w:spacing w:before="0" w:after="0"/>
              <w:jc w:val="right"/>
              <w:rPr>
                <w:rFonts w:eastAsia="Times New Roman"/>
                <w:noProof/>
                <w:color w:val="000000"/>
                <w:sz w:val="20"/>
                <w:szCs w:val="20"/>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000</w:t>
            </w:r>
          </w:p>
        </w:tc>
      </w:tr>
      <w:tr w:rsidR="00D37F2D" w:rsidRPr="00C3707B" w14:paraId="4F2653B3" w14:textId="77777777">
        <w:trPr>
          <w:trHeight w:val="340"/>
        </w:trPr>
        <w:tc>
          <w:tcPr>
            <w:tcW w:w="1232" w:type="dxa"/>
            <w:tcBorders>
              <w:top w:val="nil"/>
              <w:left w:val="single" w:sz="8" w:space="0" w:color="auto"/>
              <w:bottom w:val="single" w:sz="8" w:space="0" w:color="auto"/>
              <w:right w:val="single" w:sz="8" w:space="0" w:color="auto"/>
            </w:tcBorders>
            <w:shd w:val="clear" w:color="000000" w:fill="CCCCCC"/>
            <w:vAlign w:val="center"/>
            <w:hideMark/>
          </w:tcPr>
          <w:p w14:paraId="78AABC25" w14:textId="77777777" w:rsidR="00D37F2D" w:rsidRPr="00C3707B" w:rsidRDefault="00D37F2D">
            <w:pPr>
              <w:spacing w:before="0" w:after="0"/>
              <w:jc w:val="center"/>
              <w:rPr>
                <w:rFonts w:eastAsia="Times New Roman"/>
                <w:noProof/>
                <w:color w:val="000000"/>
                <w:sz w:val="18"/>
                <w:szCs w:val="18"/>
              </w:rPr>
            </w:pPr>
            <w:r w:rsidRPr="00C3707B">
              <w:rPr>
                <w:noProof/>
                <w:sz w:val="18"/>
              </w:rPr>
              <w:t>Totaal</w:t>
            </w:r>
          </w:p>
        </w:tc>
        <w:tc>
          <w:tcPr>
            <w:tcW w:w="1070" w:type="dxa"/>
            <w:tcBorders>
              <w:top w:val="nil"/>
              <w:left w:val="nil"/>
              <w:bottom w:val="single" w:sz="8" w:space="0" w:color="auto"/>
              <w:right w:val="single" w:sz="8" w:space="0" w:color="auto"/>
            </w:tcBorders>
            <w:shd w:val="clear" w:color="auto" w:fill="auto"/>
            <w:vAlign w:val="center"/>
            <w:hideMark/>
          </w:tcPr>
          <w:p w14:paraId="4900D1E0" w14:textId="1746B2A0" w:rsidR="00D37F2D" w:rsidRPr="00C3707B" w:rsidRDefault="00D37F2D">
            <w:pPr>
              <w:spacing w:before="0" w:after="0"/>
              <w:jc w:val="right"/>
              <w:rPr>
                <w:rFonts w:eastAsia="Times New Roman"/>
                <w:noProof/>
                <w:color w:val="000000"/>
                <w:sz w:val="20"/>
                <w:szCs w:val="20"/>
              </w:rPr>
            </w:pPr>
          </w:p>
        </w:tc>
        <w:tc>
          <w:tcPr>
            <w:tcW w:w="1069" w:type="dxa"/>
            <w:tcBorders>
              <w:top w:val="nil"/>
              <w:left w:val="nil"/>
              <w:bottom w:val="single" w:sz="8" w:space="0" w:color="auto"/>
              <w:right w:val="single" w:sz="8" w:space="0" w:color="auto"/>
            </w:tcBorders>
            <w:shd w:val="clear" w:color="auto" w:fill="auto"/>
            <w:vAlign w:val="center"/>
            <w:hideMark/>
          </w:tcPr>
          <w:p w14:paraId="3F8050B9" w14:textId="5B83C846" w:rsidR="00D37F2D" w:rsidRPr="00C3707B" w:rsidRDefault="00D37F2D">
            <w:pPr>
              <w:spacing w:before="0" w:after="0"/>
              <w:jc w:val="right"/>
              <w:rPr>
                <w:rFonts w:eastAsia="Times New Roman"/>
                <w:noProof/>
                <w:color w:val="000000"/>
                <w:sz w:val="20"/>
                <w:szCs w:val="20"/>
              </w:rPr>
            </w:pPr>
          </w:p>
        </w:tc>
        <w:tc>
          <w:tcPr>
            <w:tcW w:w="1358" w:type="dxa"/>
            <w:tcBorders>
              <w:top w:val="nil"/>
              <w:left w:val="nil"/>
              <w:bottom w:val="single" w:sz="8" w:space="0" w:color="auto"/>
              <w:right w:val="single" w:sz="8" w:space="0" w:color="auto"/>
            </w:tcBorders>
            <w:shd w:val="clear" w:color="auto" w:fill="auto"/>
            <w:vAlign w:val="center"/>
            <w:hideMark/>
          </w:tcPr>
          <w:p w14:paraId="38A59496" w14:textId="77777777" w:rsidR="00D37F2D" w:rsidRPr="00C3707B" w:rsidRDefault="00D37F2D">
            <w:pPr>
              <w:spacing w:before="0" w:after="0"/>
              <w:jc w:val="right"/>
              <w:rPr>
                <w:rFonts w:eastAsia="Times New Roman"/>
                <w:noProof/>
                <w:color w:val="000000"/>
                <w:sz w:val="20"/>
                <w:szCs w:val="20"/>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524</w:t>
            </w:r>
          </w:p>
        </w:tc>
        <w:tc>
          <w:tcPr>
            <w:tcW w:w="1358" w:type="dxa"/>
            <w:tcBorders>
              <w:top w:val="nil"/>
              <w:left w:val="nil"/>
              <w:bottom w:val="single" w:sz="8" w:space="0" w:color="auto"/>
              <w:right w:val="single" w:sz="8" w:space="0" w:color="auto"/>
            </w:tcBorders>
            <w:shd w:val="clear" w:color="auto" w:fill="auto"/>
            <w:vAlign w:val="center"/>
            <w:hideMark/>
          </w:tcPr>
          <w:p w14:paraId="43420DFE" w14:textId="77777777" w:rsidR="00D37F2D" w:rsidRPr="00C3707B" w:rsidRDefault="00D37F2D">
            <w:pPr>
              <w:spacing w:before="0" w:after="0"/>
              <w:jc w:val="right"/>
              <w:rPr>
                <w:rFonts w:eastAsia="Times New Roman"/>
                <w:noProof/>
                <w:color w:val="000000"/>
                <w:sz w:val="20"/>
                <w:szCs w:val="20"/>
              </w:rPr>
            </w:pPr>
            <w:r w:rsidRPr="00160A33">
              <w:rPr>
                <w:rFonts w:ascii="Calibri" w:hAnsi="Calibri"/>
                <w:noProof/>
                <w:color w:val="000000"/>
                <w:sz w:val="22"/>
              </w:rPr>
              <w:t>0</w:t>
            </w:r>
            <w:r w:rsidRPr="00C3707B">
              <w:rPr>
                <w:rFonts w:ascii="Calibri" w:hAnsi="Calibri"/>
                <w:noProof/>
                <w:color w:val="000000"/>
                <w:sz w:val="22"/>
              </w:rPr>
              <w:t>,</w:t>
            </w:r>
            <w:r w:rsidRPr="00160A33">
              <w:rPr>
                <w:rFonts w:ascii="Calibri" w:hAnsi="Calibri"/>
                <w:noProof/>
                <w:color w:val="000000"/>
                <w:sz w:val="22"/>
              </w:rPr>
              <w:t>628</w:t>
            </w:r>
          </w:p>
        </w:tc>
        <w:tc>
          <w:tcPr>
            <w:tcW w:w="1356" w:type="dxa"/>
            <w:tcBorders>
              <w:top w:val="nil"/>
              <w:left w:val="nil"/>
              <w:bottom w:val="single" w:sz="8" w:space="0" w:color="auto"/>
              <w:right w:val="single" w:sz="8" w:space="0" w:color="auto"/>
            </w:tcBorders>
            <w:shd w:val="clear" w:color="auto" w:fill="auto"/>
            <w:vAlign w:val="center"/>
            <w:hideMark/>
          </w:tcPr>
          <w:p w14:paraId="581F9866" w14:textId="77777777" w:rsidR="00D37F2D" w:rsidRPr="00C3707B" w:rsidRDefault="00D37F2D">
            <w:pPr>
              <w:spacing w:before="0" w:after="0"/>
              <w:jc w:val="right"/>
              <w:rPr>
                <w:rFonts w:eastAsia="Times New Roman"/>
                <w:noProof/>
                <w:color w:val="000000"/>
                <w:sz w:val="20"/>
                <w:szCs w:val="20"/>
              </w:rPr>
            </w:pPr>
            <w:r w:rsidRPr="00160A33">
              <w:rPr>
                <w:rFonts w:ascii="Calibri" w:hAnsi="Calibri"/>
                <w:noProof/>
                <w:color w:val="000000"/>
                <w:sz w:val="22"/>
              </w:rPr>
              <w:t>1</w:t>
            </w:r>
            <w:r w:rsidRPr="00C3707B">
              <w:rPr>
                <w:rFonts w:ascii="Calibri" w:hAnsi="Calibri"/>
                <w:noProof/>
                <w:color w:val="000000"/>
                <w:sz w:val="22"/>
              </w:rPr>
              <w:t>,</w:t>
            </w:r>
            <w:r w:rsidRPr="00160A33">
              <w:rPr>
                <w:rFonts w:ascii="Calibri" w:hAnsi="Calibri"/>
                <w:noProof/>
                <w:color w:val="000000"/>
                <w:sz w:val="22"/>
              </w:rPr>
              <w:t>152</w:t>
            </w:r>
          </w:p>
        </w:tc>
      </w:tr>
    </w:tbl>
    <w:p w14:paraId="0C65E148" w14:textId="77777777" w:rsidR="00D37F2D" w:rsidRPr="00C3707B" w:rsidRDefault="00D37F2D" w:rsidP="00D37F2D">
      <w:pPr>
        <w:rPr>
          <w:noProof/>
          <w:sz w:val="20"/>
        </w:rPr>
      </w:pPr>
    </w:p>
    <w:p w14:paraId="7805E33A" w14:textId="043D5CE8" w:rsidR="00D37F2D" w:rsidRPr="00C3707B" w:rsidRDefault="00D37F2D" w:rsidP="00D37F2D">
      <w:pPr>
        <w:rPr>
          <w:noProof/>
          <w:sz w:val="20"/>
        </w:rPr>
      </w:pPr>
      <w:r w:rsidRPr="00C3707B">
        <w:rPr>
          <w:noProof/>
          <w:sz w:val="20"/>
        </w:rPr>
        <w:t>Personeelsbehoeften (vte’s): Totaal posten</w:t>
      </w:r>
      <w:r w:rsidR="00B51A78">
        <w:rPr>
          <w:noProof/>
          <w:sz w:val="20"/>
        </w:rPr>
        <w:t> </w:t>
      </w:r>
      <w:r w:rsidRPr="00C3707B">
        <w:rPr>
          <w:noProof/>
          <w:sz w:val="20"/>
        </w:rPr>
        <w:t>— gefinancierd door de Unie</w:t>
      </w:r>
    </w:p>
    <w:tbl>
      <w:tblPr>
        <w:tblW w:w="936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2807"/>
        <w:gridCol w:w="2126"/>
      </w:tblGrid>
      <w:tr w:rsidR="00D37F2D" w:rsidRPr="00C3707B" w14:paraId="1206ACCE" w14:textId="77777777">
        <w:trPr>
          <w:trHeight w:val="757"/>
        </w:trPr>
        <w:tc>
          <w:tcPr>
            <w:tcW w:w="2869" w:type="dxa"/>
          </w:tcPr>
          <w:p w14:paraId="27C73451" w14:textId="77777777" w:rsidR="00D37F2D" w:rsidRPr="00C3707B" w:rsidRDefault="00D37F2D">
            <w:pPr>
              <w:spacing w:before="60" w:after="60" w:line="200" w:lineRule="exact"/>
              <w:rPr>
                <w:noProof/>
                <w:sz w:val="16"/>
                <w:szCs w:val="16"/>
              </w:rPr>
            </w:pPr>
          </w:p>
        </w:tc>
        <w:tc>
          <w:tcPr>
            <w:tcW w:w="1565" w:type="dxa"/>
            <w:vAlign w:val="center"/>
          </w:tcPr>
          <w:p w14:paraId="202ECDA3" w14:textId="77777777" w:rsidR="00D37F2D" w:rsidRPr="00C3707B" w:rsidRDefault="00D37F2D">
            <w:pPr>
              <w:spacing w:before="60" w:after="60" w:line="200" w:lineRule="exact"/>
              <w:jc w:val="center"/>
              <w:rPr>
                <w:noProof/>
                <w:sz w:val="16"/>
                <w:szCs w:val="16"/>
              </w:rPr>
            </w:pPr>
            <w:r w:rsidRPr="00C3707B">
              <w:rPr>
                <w:noProof/>
                <w:sz w:val="20"/>
              </w:rPr>
              <w:t>Jaar</w:t>
            </w:r>
            <w:r w:rsidRPr="00C3707B">
              <w:rPr>
                <w:noProof/>
              </w:rPr>
              <w:t xml:space="preserve"> </w:t>
            </w:r>
            <w:r w:rsidRPr="00C3707B">
              <w:rPr>
                <w:noProof/>
              </w:rPr>
              <w:br/>
            </w:r>
            <w:r w:rsidRPr="00160A33">
              <w:rPr>
                <w:b/>
                <w:noProof/>
                <w:sz w:val="20"/>
              </w:rPr>
              <w:t>2026</w:t>
            </w:r>
          </w:p>
        </w:tc>
        <w:tc>
          <w:tcPr>
            <w:tcW w:w="2807" w:type="dxa"/>
            <w:vAlign w:val="center"/>
          </w:tcPr>
          <w:p w14:paraId="3E93A142" w14:textId="77777777" w:rsidR="00D37F2D" w:rsidRPr="00C3707B" w:rsidRDefault="00D37F2D">
            <w:pPr>
              <w:spacing w:before="60" w:after="60" w:line="200" w:lineRule="exact"/>
              <w:jc w:val="center"/>
              <w:rPr>
                <w:noProof/>
                <w:sz w:val="16"/>
                <w:szCs w:val="16"/>
              </w:rPr>
            </w:pPr>
            <w:r w:rsidRPr="00C3707B">
              <w:rPr>
                <w:noProof/>
                <w:sz w:val="20"/>
              </w:rPr>
              <w:t>Jaar</w:t>
            </w:r>
            <w:r w:rsidRPr="00C3707B">
              <w:rPr>
                <w:noProof/>
              </w:rPr>
              <w:t xml:space="preserve"> </w:t>
            </w:r>
            <w:r w:rsidRPr="00C3707B">
              <w:rPr>
                <w:noProof/>
              </w:rPr>
              <w:br/>
            </w:r>
            <w:r w:rsidRPr="00160A33">
              <w:rPr>
                <w:b/>
                <w:noProof/>
                <w:sz w:val="20"/>
              </w:rPr>
              <w:t>2027</w:t>
            </w:r>
            <w:r w:rsidRPr="00C3707B">
              <w:rPr>
                <w:b/>
                <w:noProof/>
                <w:sz w:val="20"/>
              </w:rPr>
              <w:t xml:space="preserve"> </w:t>
            </w:r>
          </w:p>
        </w:tc>
        <w:tc>
          <w:tcPr>
            <w:tcW w:w="2126" w:type="dxa"/>
            <w:vAlign w:val="center"/>
          </w:tcPr>
          <w:p w14:paraId="409E3FE9" w14:textId="77777777" w:rsidR="00D37F2D" w:rsidRPr="00C3707B" w:rsidRDefault="00D37F2D">
            <w:pPr>
              <w:spacing w:before="60" w:after="60" w:line="200" w:lineRule="exact"/>
              <w:jc w:val="center"/>
              <w:rPr>
                <w:b/>
                <w:noProof/>
                <w:sz w:val="16"/>
                <w:szCs w:val="16"/>
              </w:rPr>
            </w:pPr>
            <w:r w:rsidRPr="00C3707B">
              <w:rPr>
                <w:b/>
                <w:noProof/>
                <w:sz w:val="16"/>
              </w:rPr>
              <w:t>TOTAAL</w:t>
            </w:r>
          </w:p>
        </w:tc>
      </w:tr>
    </w:tbl>
    <w:p w14:paraId="2520288A" w14:textId="77777777" w:rsidR="00D37F2D" w:rsidRPr="00C3707B" w:rsidRDefault="00D37F2D" w:rsidP="00D37F2D">
      <w:pPr>
        <w:spacing w:line="200" w:lineRule="exact"/>
        <w:rPr>
          <w:noProof/>
          <w:sz w:val="16"/>
          <w:szCs w:val="16"/>
        </w:rPr>
      </w:pPr>
    </w:p>
    <w:tbl>
      <w:tblPr>
        <w:tblW w:w="936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2801"/>
        <w:gridCol w:w="2126"/>
      </w:tblGrid>
      <w:tr w:rsidR="00D37F2D" w:rsidRPr="00C3707B" w14:paraId="4CBB6E52" w14:textId="77777777">
        <w:trPr>
          <w:trHeight w:val="687"/>
        </w:trPr>
        <w:tc>
          <w:tcPr>
            <w:tcW w:w="2873" w:type="dxa"/>
            <w:shd w:val="clear" w:color="auto" w:fill="D9D9D9" w:themeFill="background1" w:themeFillShade="D9"/>
            <w:vAlign w:val="center"/>
          </w:tcPr>
          <w:p w14:paraId="5DBFF778" w14:textId="77777777" w:rsidR="00D37F2D" w:rsidRPr="00C3707B" w:rsidRDefault="00D37F2D">
            <w:pPr>
              <w:spacing w:before="60" w:after="60"/>
              <w:jc w:val="center"/>
              <w:rPr>
                <w:noProof/>
              </w:rPr>
            </w:pPr>
            <w:r w:rsidRPr="00C3707B">
              <w:rPr>
                <w:noProof/>
                <w:sz w:val="18"/>
              </w:rPr>
              <w:t>Tijdelijke functionarissen (AD‑rangen)</w:t>
            </w:r>
          </w:p>
        </w:tc>
        <w:tc>
          <w:tcPr>
            <w:tcW w:w="1567" w:type="dxa"/>
            <w:tcBorders>
              <w:top w:val="single" w:sz="8" w:space="0" w:color="auto"/>
              <w:left w:val="nil"/>
              <w:bottom w:val="single" w:sz="4" w:space="0" w:color="auto"/>
              <w:right w:val="single" w:sz="4" w:space="0" w:color="auto"/>
            </w:tcBorders>
            <w:shd w:val="clear" w:color="auto" w:fill="auto"/>
            <w:vAlign w:val="bottom"/>
          </w:tcPr>
          <w:p w14:paraId="28859F6C" w14:textId="77777777" w:rsidR="00D37F2D" w:rsidRPr="00C3707B" w:rsidRDefault="00D37F2D">
            <w:pPr>
              <w:spacing w:before="60" w:after="60"/>
              <w:jc w:val="right"/>
              <w:rPr>
                <w:noProof/>
                <w:sz w:val="20"/>
                <w:szCs w:val="20"/>
              </w:rPr>
            </w:pPr>
            <w:r w:rsidRPr="00160A33">
              <w:rPr>
                <w:rFonts w:ascii="Calibri" w:hAnsi="Calibri"/>
                <w:noProof/>
                <w:color w:val="000000"/>
                <w:sz w:val="22"/>
              </w:rPr>
              <w:t>2</w:t>
            </w:r>
            <w:r w:rsidRPr="00C3707B">
              <w:rPr>
                <w:rStyle w:val="FootnoteReference"/>
                <w:rFonts w:ascii="Calibri" w:hAnsi="Calibri" w:cs="Calibri"/>
                <w:noProof/>
                <w:color w:val="000000"/>
                <w:sz w:val="22"/>
                <w:szCs w:val="20"/>
              </w:rPr>
              <w:footnoteReference w:id="105"/>
            </w:r>
          </w:p>
        </w:tc>
        <w:tc>
          <w:tcPr>
            <w:tcW w:w="2801" w:type="dxa"/>
            <w:tcBorders>
              <w:top w:val="single" w:sz="8" w:space="0" w:color="auto"/>
              <w:left w:val="nil"/>
              <w:bottom w:val="single" w:sz="4" w:space="0" w:color="auto"/>
              <w:right w:val="single" w:sz="8" w:space="0" w:color="auto"/>
            </w:tcBorders>
            <w:shd w:val="clear" w:color="auto" w:fill="auto"/>
            <w:vAlign w:val="bottom"/>
          </w:tcPr>
          <w:p w14:paraId="2941AA22" w14:textId="77777777" w:rsidR="00D37F2D" w:rsidRPr="00C3707B" w:rsidRDefault="00D37F2D">
            <w:pPr>
              <w:spacing w:before="60" w:after="60"/>
              <w:jc w:val="right"/>
              <w:rPr>
                <w:noProof/>
                <w:sz w:val="20"/>
                <w:szCs w:val="20"/>
              </w:rPr>
            </w:pPr>
            <w:r w:rsidRPr="00160A33">
              <w:rPr>
                <w:rFonts w:ascii="Calibri" w:hAnsi="Calibri"/>
                <w:noProof/>
                <w:color w:val="000000"/>
                <w:sz w:val="22"/>
              </w:rPr>
              <w:t>2</w:t>
            </w:r>
          </w:p>
        </w:tc>
        <w:tc>
          <w:tcPr>
            <w:tcW w:w="2126" w:type="dxa"/>
            <w:vAlign w:val="center"/>
          </w:tcPr>
          <w:p w14:paraId="5728A128" w14:textId="77777777" w:rsidR="00D37F2D" w:rsidRPr="00C3707B" w:rsidRDefault="00D37F2D">
            <w:pPr>
              <w:spacing w:before="60" w:after="60"/>
              <w:jc w:val="right"/>
              <w:rPr>
                <w:rFonts w:asciiTheme="minorHAnsi" w:hAnsiTheme="minorHAnsi" w:cstheme="minorHAnsi"/>
                <w:noProof/>
                <w:sz w:val="22"/>
              </w:rPr>
            </w:pPr>
            <w:r w:rsidRPr="00160A33">
              <w:rPr>
                <w:rFonts w:asciiTheme="minorHAnsi" w:hAnsiTheme="minorHAnsi"/>
                <w:noProof/>
                <w:sz w:val="22"/>
              </w:rPr>
              <w:t>2</w:t>
            </w:r>
          </w:p>
        </w:tc>
      </w:tr>
      <w:tr w:rsidR="00D37F2D" w:rsidRPr="00C3707B" w14:paraId="4C12C9CC" w14:textId="77777777">
        <w:trPr>
          <w:trHeight w:val="687"/>
        </w:trPr>
        <w:tc>
          <w:tcPr>
            <w:tcW w:w="2873" w:type="dxa"/>
            <w:shd w:val="clear" w:color="auto" w:fill="BFBFBF" w:themeFill="background1" w:themeFillShade="BF"/>
            <w:vAlign w:val="center"/>
          </w:tcPr>
          <w:p w14:paraId="4D84241E" w14:textId="77777777" w:rsidR="00D37F2D" w:rsidRPr="00C3707B" w:rsidRDefault="00D37F2D">
            <w:pPr>
              <w:spacing w:before="60" w:after="60"/>
              <w:ind w:left="72"/>
              <w:rPr>
                <w:noProof/>
              </w:rPr>
            </w:pPr>
            <w:r w:rsidRPr="00C3707B">
              <w:rPr>
                <w:noProof/>
                <w:sz w:val="20"/>
              </w:rPr>
              <w:t>Tijdelijke functionarissen (AST‑rangen)</w:t>
            </w:r>
          </w:p>
        </w:tc>
        <w:tc>
          <w:tcPr>
            <w:tcW w:w="1567" w:type="dxa"/>
            <w:tcBorders>
              <w:top w:val="nil"/>
              <w:left w:val="nil"/>
              <w:bottom w:val="single" w:sz="8" w:space="0" w:color="auto"/>
              <w:right w:val="single" w:sz="4" w:space="0" w:color="auto"/>
            </w:tcBorders>
            <w:shd w:val="clear" w:color="auto" w:fill="auto"/>
            <w:vAlign w:val="bottom"/>
          </w:tcPr>
          <w:p w14:paraId="616A750E" w14:textId="77777777" w:rsidR="00D37F2D" w:rsidRPr="00C3707B" w:rsidRDefault="00D37F2D">
            <w:pPr>
              <w:spacing w:before="60" w:after="60"/>
              <w:jc w:val="right"/>
              <w:rPr>
                <w:noProof/>
                <w:sz w:val="20"/>
                <w:szCs w:val="20"/>
              </w:rPr>
            </w:pPr>
            <w:r w:rsidRPr="00160A33">
              <w:rPr>
                <w:rFonts w:ascii="Calibri" w:hAnsi="Calibri"/>
                <w:noProof/>
                <w:color w:val="000000"/>
                <w:sz w:val="22"/>
              </w:rPr>
              <w:t>1</w:t>
            </w:r>
          </w:p>
        </w:tc>
        <w:tc>
          <w:tcPr>
            <w:tcW w:w="2801" w:type="dxa"/>
            <w:tcBorders>
              <w:top w:val="nil"/>
              <w:left w:val="nil"/>
              <w:bottom w:val="single" w:sz="8" w:space="0" w:color="auto"/>
              <w:right w:val="single" w:sz="8" w:space="0" w:color="auto"/>
            </w:tcBorders>
            <w:shd w:val="clear" w:color="auto" w:fill="auto"/>
            <w:vAlign w:val="bottom"/>
          </w:tcPr>
          <w:p w14:paraId="4C1971FA" w14:textId="77777777" w:rsidR="00D37F2D" w:rsidRPr="00C3707B" w:rsidRDefault="00D37F2D">
            <w:pPr>
              <w:spacing w:before="60" w:after="60"/>
              <w:jc w:val="right"/>
              <w:rPr>
                <w:noProof/>
                <w:sz w:val="20"/>
                <w:szCs w:val="20"/>
              </w:rPr>
            </w:pPr>
            <w:r w:rsidRPr="00160A33">
              <w:rPr>
                <w:rFonts w:ascii="Calibri" w:hAnsi="Calibri"/>
                <w:noProof/>
                <w:color w:val="000000"/>
                <w:sz w:val="22"/>
              </w:rPr>
              <w:t>1</w:t>
            </w:r>
          </w:p>
        </w:tc>
        <w:tc>
          <w:tcPr>
            <w:tcW w:w="2126" w:type="dxa"/>
            <w:vAlign w:val="center"/>
          </w:tcPr>
          <w:p w14:paraId="07366023" w14:textId="77777777" w:rsidR="00D37F2D" w:rsidRPr="00C3707B" w:rsidRDefault="00D37F2D">
            <w:pPr>
              <w:spacing w:before="60" w:after="60"/>
              <w:jc w:val="right"/>
              <w:rPr>
                <w:rFonts w:asciiTheme="minorHAnsi" w:hAnsiTheme="minorHAnsi" w:cstheme="minorHAnsi"/>
                <w:noProof/>
                <w:sz w:val="22"/>
              </w:rPr>
            </w:pPr>
            <w:r w:rsidRPr="00160A33">
              <w:rPr>
                <w:rFonts w:asciiTheme="minorHAnsi" w:hAnsiTheme="minorHAnsi"/>
                <w:noProof/>
                <w:sz w:val="22"/>
              </w:rPr>
              <w:t>1</w:t>
            </w:r>
          </w:p>
        </w:tc>
      </w:tr>
      <w:tr w:rsidR="00D37F2D" w:rsidRPr="00C3707B" w14:paraId="3EB542D9" w14:textId="77777777">
        <w:trPr>
          <w:trHeight w:val="687"/>
        </w:trPr>
        <w:tc>
          <w:tcPr>
            <w:tcW w:w="2873" w:type="dxa"/>
            <w:shd w:val="clear" w:color="auto" w:fill="BFBFBF" w:themeFill="background1" w:themeFillShade="BF"/>
            <w:vAlign w:val="center"/>
          </w:tcPr>
          <w:p w14:paraId="07D481F6" w14:textId="77777777" w:rsidR="00D37F2D" w:rsidRPr="00C3707B" w:rsidRDefault="00D37F2D">
            <w:pPr>
              <w:spacing w:before="60" w:after="60"/>
              <w:ind w:left="72"/>
              <w:rPr>
                <w:noProof/>
              </w:rPr>
            </w:pPr>
            <w:r w:rsidRPr="00C3707B">
              <w:rPr>
                <w:noProof/>
                <w:sz w:val="20"/>
              </w:rPr>
              <w:t>Arbeidscontractanten per</w:t>
            </w:r>
          </w:p>
        </w:tc>
        <w:tc>
          <w:tcPr>
            <w:tcW w:w="1567" w:type="dxa"/>
            <w:shd w:val="clear" w:color="auto" w:fill="BFBFBF" w:themeFill="background1" w:themeFillShade="BF"/>
            <w:vAlign w:val="center"/>
          </w:tcPr>
          <w:p w14:paraId="7E8A6E97" w14:textId="77777777" w:rsidR="00D37F2D" w:rsidRPr="00C3707B" w:rsidRDefault="00D37F2D">
            <w:pPr>
              <w:spacing w:before="60" w:after="60"/>
              <w:jc w:val="right"/>
              <w:rPr>
                <w:noProof/>
                <w:sz w:val="20"/>
              </w:rPr>
            </w:pPr>
          </w:p>
        </w:tc>
        <w:tc>
          <w:tcPr>
            <w:tcW w:w="2801" w:type="dxa"/>
            <w:shd w:val="clear" w:color="auto" w:fill="BFBFBF" w:themeFill="background1" w:themeFillShade="BF"/>
            <w:vAlign w:val="center"/>
          </w:tcPr>
          <w:p w14:paraId="1FC187DA" w14:textId="77777777" w:rsidR="00D37F2D" w:rsidRPr="00C3707B" w:rsidRDefault="00D37F2D">
            <w:pPr>
              <w:spacing w:before="60" w:after="60"/>
              <w:jc w:val="right"/>
              <w:rPr>
                <w:noProof/>
                <w:sz w:val="20"/>
              </w:rPr>
            </w:pPr>
          </w:p>
        </w:tc>
        <w:tc>
          <w:tcPr>
            <w:tcW w:w="2126" w:type="dxa"/>
            <w:shd w:val="clear" w:color="auto" w:fill="BFBFBF" w:themeFill="background1" w:themeFillShade="BF"/>
            <w:vAlign w:val="center"/>
          </w:tcPr>
          <w:p w14:paraId="5E85665F" w14:textId="77777777" w:rsidR="00D37F2D" w:rsidRPr="00C3707B" w:rsidRDefault="00D37F2D">
            <w:pPr>
              <w:spacing w:before="60" w:after="60"/>
              <w:jc w:val="right"/>
              <w:rPr>
                <w:noProof/>
                <w:sz w:val="20"/>
              </w:rPr>
            </w:pPr>
          </w:p>
        </w:tc>
      </w:tr>
      <w:tr w:rsidR="00D37F2D" w:rsidRPr="00C3707B" w14:paraId="1B811EBF" w14:textId="77777777">
        <w:trPr>
          <w:trHeight w:val="687"/>
        </w:trPr>
        <w:tc>
          <w:tcPr>
            <w:tcW w:w="2873" w:type="dxa"/>
            <w:shd w:val="clear" w:color="auto" w:fill="CCCCCC"/>
            <w:vAlign w:val="center"/>
          </w:tcPr>
          <w:p w14:paraId="4AD24DBB" w14:textId="77777777" w:rsidR="00D37F2D" w:rsidRPr="00C3707B" w:rsidRDefault="00D37F2D">
            <w:pPr>
              <w:spacing w:before="60" w:after="60"/>
              <w:jc w:val="center"/>
              <w:rPr>
                <w:noProof/>
              </w:rPr>
            </w:pPr>
            <w:r w:rsidRPr="00C3707B">
              <w:rPr>
                <w:noProof/>
                <w:sz w:val="18"/>
              </w:rPr>
              <w:t>Gedetacheerde nationale deskundigen</w:t>
            </w:r>
          </w:p>
        </w:tc>
        <w:tc>
          <w:tcPr>
            <w:tcW w:w="1567" w:type="dxa"/>
            <w:vAlign w:val="center"/>
          </w:tcPr>
          <w:p w14:paraId="00FCE30B" w14:textId="77777777" w:rsidR="00D37F2D" w:rsidRPr="00C3707B" w:rsidRDefault="00D37F2D">
            <w:pPr>
              <w:spacing w:before="60" w:after="60"/>
              <w:jc w:val="right"/>
              <w:rPr>
                <w:noProof/>
                <w:sz w:val="20"/>
              </w:rPr>
            </w:pPr>
          </w:p>
        </w:tc>
        <w:tc>
          <w:tcPr>
            <w:tcW w:w="2801" w:type="dxa"/>
            <w:vAlign w:val="center"/>
          </w:tcPr>
          <w:p w14:paraId="009EC3E3" w14:textId="77777777" w:rsidR="00D37F2D" w:rsidRPr="00C3707B" w:rsidRDefault="00D37F2D">
            <w:pPr>
              <w:spacing w:before="60" w:after="60"/>
              <w:jc w:val="right"/>
              <w:rPr>
                <w:noProof/>
                <w:sz w:val="20"/>
              </w:rPr>
            </w:pPr>
          </w:p>
        </w:tc>
        <w:tc>
          <w:tcPr>
            <w:tcW w:w="2126" w:type="dxa"/>
            <w:vAlign w:val="center"/>
          </w:tcPr>
          <w:p w14:paraId="65CD995B" w14:textId="77777777" w:rsidR="00D37F2D" w:rsidRPr="00C3707B" w:rsidRDefault="00D37F2D">
            <w:pPr>
              <w:spacing w:before="60" w:after="60"/>
              <w:jc w:val="right"/>
              <w:rPr>
                <w:noProof/>
                <w:sz w:val="20"/>
              </w:rPr>
            </w:pPr>
          </w:p>
        </w:tc>
      </w:tr>
    </w:tbl>
    <w:p w14:paraId="43855915" w14:textId="77777777" w:rsidR="00D37F2D" w:rsidRPr="00C3707B" w:rsidRDefault="00D37F2D" w:rsidP="00D37F2D">
      <w:pPr>
        <w:spacing w:line="200" w:lineRule="exact"/>
        <w:rPr>
          <w:noProof/>
          <w:sz w:val="16"/>
          <w:szCs w:val="16"/>
        </w:rPr>
      </w:pPr>
    </w:p>
    <w:tbl>
      <w:tblPr>
        <w:tblW w:w="9367" w:type="dxa"/>
        <w:tblInd w:w="-612" w:type="dxa"/>
        <w:tblLayout w:type="fixed"/>
        <w:tblLook w:val="01E0" w:firstRow="1" w:lastRow="1" w:firstColumn="1" w:lastColumn="1" w:noHBand="0" w:noVBand="0"/>
      </w:tblPr>
      <w:tblGrid>
        <w:gridCol w:w="2877"/>
        <w:gridCol w:w="1569"/>
        <w:gridCol w:w="2795"/>
        <w:gridCol w:w="2126"/>
      </w:tblGrid>
      <w:tr w:rsidR="00D37F2D" w:rsidRPr="00C3707B" w14:paraId="02B4B145" w14:textId="77777777">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6DB75058" w14:textId="77777777" w:rsidR="00D37F2D" w:rsidRPr="00C3707B" w:rsidRDefault="00D37F2D">
            <w:pPr>
              <w:spacing w:before="60" w:after="60"/>
              <w:jc w:val="center"/>
              <w:rPr>
                <w:noProof/>
                <w:sz w:val="20"/>
              </w:rPr>
            </w:pPr>
            <w:r w:rsidRPr="00C3707B">
              <w:rPr>
                <w:b/>
                <w:noProof/>
                <w:sz w:val="20"/>
              </w:rPr>
              <w:t>TOTAAL</w:t>
            </w:r>
          </w:p>
        </w:tc>
        <w:tc>
          <w:tcPr>
            <w:tcW w:w="1569" w:type="dxa"/>
            <w:tcBorders>
              <w:top w:val="single" w:sz="12" w:space="0" w:color="auto"/>
              <w:left w:val="single" w:sz="2" w:space="0" w:color="auto"/>
              <w:bottom w:val="single" w:sz="12" w:space="0" w:color="auto"/>
              <w:right w:val="single" w:sz="2" w:space="0" w:color="auto"/>
            </w:tcBorders>
            <w:vAlign w:val="center"/>
          </w:tcPr>
          <w:p w14:paraId="2C923861" w14:textId="77777777" w:rsidR="00D37F2D" w:rsidRPr="00C3707B" w:rsidRDefault="00D37F2D">
            <w:pPr>
              <w:spacing w:before="60" w:after="60"/>
              <w:jc w:val="right"/>
              <w:rPr>
                <w:b/>
                <w:bCs/>
                <w:noProof/>
                <w:sz w:val="20"/>
                <w:szCs w:val="20"/>
              </w:rPr>
            </w:pPr>
            <w:r w:rsidRPr="00160A33">
              <w:rPr>
                <w:b/>
                <w:noProof/>
                <w:sz w:val="20"/>
              </w:rPr>
              <w:t>3</w:t>
            </w:r>
          </w:p>
        </w:tc>
        <w:tc>
          <w:tcPr>
            <w:tcW w:w="2795" w:type="dxa"/>
            <w:tcBorders>
              <w:top w:val="single" w:sz="12" w:space="0" w:color="auto"/>
              <w:left w:val="single" w:sz="2" w:space="0" w:color="auto"/>
              <w:bottom w:val="single" w:sz="12" w:space="0" w:color="auto"/>
              <w:right w:val="single" w:sz="2" w:space="0" w:color="auto"/>
            </w:tcBorders>
            <w:vAlign w:val="center"/>
          </w:tcPr>
          <w:p w14:paraId="0089B72F" w14:textId="77777777" w:rsidR="00D37F2D" w:rsidRPr="00C3707B" w:rsidRDefault="00D37F2D">
            <w:pPr>
              <w:spacing w:before="60" w:after="60"/>
              <w:jc w:val="right"/>
              <w:rPr>
                <w:b/>
                <w:bCs/>
                <w:noProof/>
                <w:sz w:val="20"/>
                <w:szCs w:val="20"/>
              </w:rPr>
            </w:pPr>
            <w:r w:rsidRPr="00160A33">
              <w:rPr>
                <w:b/>
                <w:noProof/>
                <w:sz w:val="20"/>
              </w:rPr>
              <w:t>3</w:t>
            </w:r>
          </w:p>
        </w:tc>
        <w:tc>
          <w:tcPr>
            <w:tcW w:w="2126" w:type="dxa"/>
            <w:tcBorders>
              <w:top w:val="single" w:sz="12" w:space="0" w:color="auto"/>
              <w:left w:val="single" w:sz="2" w:space="0" w:color="auto"/>
              <w:bottom w:val="single" w:sz="12" w:space="0" w:color="auto"/>
              <w:right w:val="single" w:sz="2" w:space="0" w:color="auto"/>
            </w:tcBorders>
            <w:vAlign w:val="center"/>
          </w:tcPr>
          <w:p w14:paraId="3E4546AA" w14:textId="77777777" w:rsidR="00D37F2D" w:rsidRPr="00C3707B" w:rsidRDefault="00D37F2D">
            <w:pPr>
              <w:spacing w:before="60" w:after="60"/>
              <w:jc w:val="right"/>
              <w:rPr>
                <w:b/>
                <w:bCs/>
                <w:noProof/>
                <w:sz w:val="20"/>
                <w:szCs w:val="20"/>
              </w:rPr>
            </w:pPr>
            <w:r w:rsidRPr="00160A33">
              <w:rPr>
                <w:b/>
                <w:noProof/>
                <w:sz w:val="20"/>
              </w:rPr>
              <w:t>3</w:t>
            </w:r>
          </w:p>
        </w:tc>
      </w:tr>
    </w:tbl>
    <w:p w14:paraId="690143E9" w14:textId="77777777" w:rsidR="00D37F2D" w:rsidRPr="00C3707B" w:rsidRDefault="00D37F2D" w:rsidP="005D0E22">
      <w:pPr>
        <w:pStyle w:val="Text1"/>
        <w:rPr>
          <w:noProof/>
        </w:rPr>
      </w:pPr>
      <w:r w:rsidRPr="00C3707B">
        <w:rPr>
          <w:noProof/>
        </w:rPr>
        <w:t>Beschrijving van de uit te voeren taken door:</w:t>
      </w:r>
    </w:p>
    <w:tbl>
      <w:tblPr>
        <w:tblW w:w="9187"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67"/>
        <w:gridCol w:w="6520"/>
      </w:tblGrid>
      <w:tr w:rsidR="00D37F2D" w:rsidRPr="00C3707B" w14:paraId="3E81ECA3" w14:textId="77777777">
        <w:tc>
          <w:tcPr>
            <w:tcW w:w="2667" w:type="dxa"/>
          </w:tcPr>
          <w:p w14:paraId="7097230D" w14:textId="77777777" w:rsidR="00D37F2D" w:rsidRPr="00C3707B" w:rsidRDefault="00D37F2D">
            <w:pPr>
              <w:rPr>
                <w:noProof/>
                <w:sz w:val="20"/>
              </w:rPr>
            </w:pPr>
            <w:r w:rsidRPr="00C3707B">
              <w:rPr>
                <w:noProof/>
                <w:sz w:val="20"/>
              </w:rPr>
              <w:t>Ambtenaren en tijdelijk personeel</w:t>
            </w:r>
          </w:p>
        </w:tc>
        <w:tc>
          <w:tcPr>
            <w:tcW w:w="6520" w:type="dxa"/>
          </w:tcPr>
          <w:p w14:paraId="71289FA8" w14:textId="77777777" w:rsidR="00D37F2D" w:rsidRPr="00C3707B" w:rsidRDefault="00D37F2D">
            <w:pPr>
              <w:rPr>
                <w:noProof/>
                <w:sz w:val="20"/>
              </w:rPr>
            </w:pPr>
            <w:r w:rsidRPr="00160A33">
              <w:rPr>
                <w:noProof/>
                <w:sz w:val="20"/>
              </w:rPr>
              <w:t>1</w:t>
            </w:r>
            <w:r w:rsidRPr="00C3707B">
              <w:rPr>
                <w:noProof/>
                <w:sz w:val="20"/>
              </w:rPr>
              <w:t> AD voor het verstrekken van wetenschappelijk advies overeenkomstig artikel </w:t>
            </w:r>
            <w:r w:rsidRPr="00160A33">
              <w:rPr>
                <w:noProof/>
                <w:sz w:val="20"/>
              </w:rPr>
              <w:t>11</w:t>
            </w:r>
            <w:r w:rsidRPr="00C3707B">
              <w:rPr>
                <w:noProof/>
                <w:sz w:val="20"/>
              </w:rPr>
              <w:t xml:space="preserve">, waarin is bepaald dat het EMA specifiek advies moet verstrekken om projectontwikkelaars van projecten die zijn gebaseerd op innovatieve productieprocessen bij te staan; </w:t>
            </w:r>
            <w:r w:rsidRPr="00160A33">
              <w:rPr>
                <w:noProof/>
                <w:sz w:val="20"/>
              </w:rPr>
              <w:t>1</w:t>
            </w:r>
            <w:r w:rsidRPr="00C3707B">
              <w:rPr>
                <w:noProof/>
                <w:sz w:val="20"/>
              </w:rPr>
              <w:t xml:space="preserve"> AD en </w:t>
            </w:r>
            <w:r w:rsidRPr="00160A33">
              <w:rPr>
                <w:noProof/>
                <w:sz w:val="20"/>
              </w:rPr>
              <w:t>1</w:t>
            </w:r>
            <w:r w:rsidRPr="00C3707B">
              <w:rPr>
                <w:noProof/>
                <w:sz w:val="20"/>
              </w:rPr>
              <w:t xml:space="preserve"> AST om het toegenomen aantal kwetsbaarheidsanalyses te behandelen en geaggregeerde gegevens te verstrekken (AD)</w:t>
            </w:r>
          </w:p>
        </w:tc>
      </w:tr>
      <w:tr w:rsidR="00D37F2D" w:rsidRPr="00C3707B" w14:paraId="33D12CEE" w14:textId="77777777">
        <w:tc>
          <w:tcPr>
            <w:tcW w:w="2667" w:type="dxa"/>
          </w:tcPr>
          <w:p w14:paraId="196005C1" w14:textId="77777777" w:rsidR="00D37F2D" w:rsidRPr="00C3707B" w:rsidRDefault="00D37F2D">
            <w:pPr>
              <w:spacing w:before="60" w:after="60"/>
              <w:rPr>
                <w:noProof/>
                <w:sz w:val="20"/>
              </w:rPr>
            </w:pPr>
            <w:r w:rsidRPr="00C3707B">
              <w:rPr>
                <w:noProof/>
                <w:sz w:val="20"/>
              </w:rPr>
              <w:t>Extern personeel</w:t>
            </w:r>
          </w:p>
        </w:tc>
        <w:tc>
          <w:tcPr>
            <w:tcW w:w="6520" w:type="dxa"/>
          </w:tcPr>
          <w:p w14:paraId="13C97D1B" w14:textId="77777777" w:rsidR="00D37F2D" w:rsidRPr="00C3707B" w:rsidRDefault="00D37F2D">
            <w:pPr>
              <w:rPr>
                <w:noProof/>
                <w:sz w:val="20"/>
              </w:rPr>
            </w:pPr>
          </w:p>
        </w:tc>
      </w:tr>
    </w:tbl>
    <w:p w14:paraId="7AB5822B" w14:textId="77777777" w:rsidR="00D37F2D" w:rsidRPr="00C3707B" w:rsidRDefault="00D37F2D" w:rsidP="00D37F2D">
      <w:pPr>
        <w:pStyle w:val="Text1"/>
        <w:rPr>
          <w:noProof/>
        </w:rPr>
      </w:pPr>
    </w:p>
    <w:p w14:paraId="2D6279AC" w14:textId="77777777" w:rsidR="00D37F2D" w:rsidRPr="00C3707B" w:rsidRDefault="00D37F2D" w:rsidP="00D37F2D">
      <w:pPr>
        <w:pStyle w:val="ManualHeading3"/>
        <w:rPr>
          <w:noProof/>
        </w:rPr>
      </w:pPr>
      <w:r w:rsidRPr="00160A33">
        <w:rPr>
          <w:noProof/>
        </w:rPr>
        <w:t>3</w:t>
      </w:r>
      <w:r w:rsidRPr="00C3707B">
        <w:rPr>
          <w:noProof/>
        </w:rPr>
        <w:t>.</w:t>
      </w:r>
      <w:r w:rsidRPr="00160A33">
        <w:rPr>
          <w:noProof/>
        </w:rPr>
        <w:t>2</w:t>
      </w:r>
      <w:r w:rsidRPr="00C3707B">
        <w:rPr>
          <w:noProof/>
        </w:rPr>
        <w:t>.</w:t>
      </w:r>
      <w:r w:rsidRPr="00160A33">
        <w:rPr>
          <w:noProof/>
        </w:rPr>
        <w:t>5</w:t>
      </w:r>
      <w:r w:rsidRPr="00C3707B">
        <w:rPr>
          <w:noProof/>
        </w:rPr>
        <w:t>.</w:t>
      </w:r>
      <w:r w:rsidRPr="00C3707B">
        <w:rPr>
          <w:noProof/>
        </w:rPr>
        <w:tab/>
        <w:t>Overzicht van het geschatte effect op met digitale technologie samenhangende investeringen</w:t>
      </w:r>
    </w:p>
    <w:p w14:paraId="62566E38" w14:textId="77777777" w:rsidR="00D62518" w:rsidRDefault="00D37F2D" w:rsidP="00D37F2D">
      <w:pPr>
        <w:pStyle w:val="Text1"/>
        <w:spacing w:line="259" w:lineRule="auto"/>
        <w:rPr>
          <w:noProof/>
        </w:rPr>
      </w:pPr>
      <w:r w:rsidRPr="00C3707B">
        <w:rPr>
          <w:noProof/>
        </w:rPr>
        <w:t>Verplicht: in onderstaande tabel moet de beste schatting worden gegeven van de met digitale technologie samenhangende investeringen die uit het voorstel/initiatief voortvloeien.</w:t>
      </w:r>
    </w:p>
    <w:p w14:paraId="31E92B8A" w14:textId="77777777" w:rsidR="00D62518" w:rsidRDefault="00D37F2D" w:rsidP="00D37F2D">
      <w:pPr>
        <w:pStyle w:val="Text1"/>
        <w:spacing w:line="259" w:lineRule="auto"/>
        <w:rPr>
          <w:noProof/>
        </w:rPr>
      </w:pPr>
      <w:r w:rsidRPr="00C3707B">
        <w:rPr>
          <w:noProof/>
        </w:rPr>
        <w:t>De kredieten onder rubriek </w:t>
      </w:r>
      <w:r w:rsidRPr="00160A33">
        <w:rPr>
          <w:noProof/>
        </w:rPr>
        <w:t>7</w:t>
      </w:r>
      <w:r w:rsidRPr="00C3707B">
        <w:rPr>
          <w:noProof/>
        </w:rPr>
        <w:t xml:space="preserve"> moeten in uitzonderlijke gevallen in het desbetreffende onderdeel worden opgenomen, indien vereist voor de uitvoering van het voorstel/initiatief.</w:t>
      </w:r>
    </w:p>
    <w:p w14:paraId="183B2128" w14:textId="5DD88627" w:rsidR="00D37F2D" w:rsidRPr="00C3707B" w:rsidRDefault="00D37F2D" w:rsidP="00D37F2D">
      <w:pPr>
        <w:pStyle w:val="Text1"/>
        <w:spacing w:line="259" w:lineRule="auto"/>
        <w:rPr>
          <w:noProof/>
        </w:rPr>
      </w:pPr>
      <w:r w:rsidRPr="00C3707B">
        <w:rPr>
          <w:noProof/>
        </w:rPr>
        <w:t>De kredieten onder de rubrieken </w:t>
      </w:r>
      <w:r w:rsidRPr="00160A33">
        <w:rPr>
          <w:noProof/>
        </w:rPr>
        <w:t>1</w:t>
      </w:r>
      <w:r w:rsidRPr="00C3707B">
        <w:rPr>
          <w:noProof/>
        </w:rPr>
        <w:t xml:space="preserve"> t/m</w:t>
      </w:r>
      <w:r w:rsidR="000A2A54">
        <w:rPr>
          <w:noProof/>
        </w:rPr>
        <w:t> </w:t>
      </w:r>
      <w:r w:rsidRPr="00160A33">
        <w:rPr>
          <w:noProof/>
        </w:rPr>
        <w:t>6</w:t>
      </w:r>
      <w:r w:rsidRPr="00C3707B">
        <w:rPr>
          <w:noProof/>
        </w:rPr>
        <w:t xml:space="preserve"> moeten worden weergegeven als “IT-beleidsuitgaven inzake operationele programma’s”. Deze uitgaven betreffen het operationele budget dat gebruikt moet worden voor hergebruik, koop of ontwikkeling van IT-platforms of tools die rechtstreeks verband houden met de uitvoering van het initiatief, alsook daarmee verband houdende investeringen (bv. licenties, studies, gegevensopslag enz.). De in deze tabel vermelde informatie moet in overeenstemming zijn met de gegevens in deel </w:t>
      </w:r>
      <w:r w:rsidRPr="00160A33">
        <w:rPr>
          <w:noProof/>
        </w:rPr>
        <w:t>4</w:t>
      </w:r>
      <w:r w:rsidRPr="00C3707B">
        <w:rPr>
          <w:noProof/>
        </w:rPr>
        <w:t>, “Digitale dimensies”.</w:t>
      </w:r>
    </w:p>
    <w:tbl>
      <w:tblPr>
        <w:tblW w:w="0" w:type="auto"/>
        <w:tblInd w:w="1028" w:type="dxa"/>
        <w:tblLayout w:type="fixed"/>
        <w:tblLook w:val="04A0" w:firstRow="1" w:lastRow="0" w:firstColumn="1" w:lastColumn="0" w:noHBand="0" w:noVBand="1"/>
      </w:tblPr>
      <w:tblGrid>
        <w:gridCol w:w="3214"/>
        <w:gridCol w:w="835"/>
        <w:gridCol w:w="835"/>
        <w:gridCol w:w="835"/>
        <w:gridCol w:w="835"/>
        <w:gridCol w:w="981"/>
      </w:tblGrid>
      <w:tr w:rsidR="00D37F2D" w:rsidRPr="00C3707B" w14:paraId="3D52D828"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2F73BAFF" w14:textId="77777777" w:rsidR="00D37F2D" w:rsidRPr="00C3707B" w:rsidRDefault="00D37F2D">
            <w:pPr>
              <w:spacing w:before="0" w:after="0"/>
              <w:jc w:val="center"/>
              <w:rPr>
                <w:b/>
                <w:bCs/>
                <w:noProof/>
                <w:color w:val="000000" w:themeColor="text1"/>
                <w:sz w:val="18"/>
                <w:szCs w:val="18"/>
              </w:rPr>
            </w:pPr>
            <w:r w:rsidRPr="00C3707B">
              <w:rPr>
                <w:b/>
                <w:noProof/>
                <w:color w:val="000000" w:themeColor="text1"/>
                <w:sz w:val="18"/>
              </w:rPr>
              <w:t>TOTAAL Digitale en IT-kredieten</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05D99CB6" w14:textId="77777777" w:rsidR="00D37F2D" w:rsidRPr="00C3707B" w:rsidRDefault="00D37F2D">
            <w:pPr>
              <w:spacing w:before="0" w:after="0"/>
              <w:jc w:val="center"/>
              <w:rPr>
                <w:noProof/>
                <w:color w:val="000000" w:themeColor="text1"/>
                <w:sz w:val="18"/>
                <w:szCs w:val="18"/>
              </w:rPr>
            </w:pPr>
            <w:r w:rsidRPr="00C3707B">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85D9DF4" w14:textId="77777777" w:rsidR="00D37F2D" w:rsidRPr="00C3707B" w:rsidRDefault="00D37F2D">
            <w:pPr>
              <w:spacing w:before="0" w:after="0"/>
              <w:jc w:val="center"/>
              <w:rPr>
                <w:noProof/>
                <w:color w:val="000000" w:themeColor="text1"/>
                <w:sz w:val="18"/>
                <w:szCs w:val="18"/>
              </w:rPr>
            </w:pPr>
            <w:r w:rsidRPr="00C3707B">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A815716" w14:textId="77777777" w:rsidR="00D37F2D" w:rsidRPr="00C3707B" w:rsidRDefault="00D37F2D">
            <w:pPr>
              <w:spacing w:before="0" w:after="0"/>
              <w:jc w:val="center"/>
              <w:rPr>
                <w:noProof/>
                <w:color w:val="000000" w:themeColor="text1"/>
                <w:sz w:val="18"/>
                <w:szCs w:val="18"/>
              </w:rPr>
            </w:pPr>
            <w:r w:rsidRPr="00C3707B">
              <w:rPr>
                <w:noProof/>
                <w:color w:val="000000" w:themeColor="text1"/>
                <w:sz w:val="18"/>
              </w:rPr>
              <w:t>Jaar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1EF6985F" w14:textId="77777777" w:rsidR="00D37F2D" w:rsidRPr="00C3707B" w:rsidRDefault="00D37F2D">
            <w:pPr>
              <w:spacing w:before="0" w:after="0"/>
              <w:jc w:val="center"/>
              <w:rPr>
                <w:noProof/>
                <w:color w:val="000000" w:themeColor="text1"/>
                <w:sz w:val="18"/>
                <w:szCs w:val="18"/>
              </w:rPr>
            </w:pPr>
            <w:r w:rsidRPr="00C3707B">
              <w:rPr>
                <w:noProof/>
                <w:color w:val="000000" w:themeColor="text1"/>
                <w:sz w:val="18"/>
              </w:rPr>
              <w:t>Jaar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54042E2" w14:textId="77777777" w:rsidR="00D37F2D" w:rsidRPr="00C3707B" w:rsidRDefault="00D37F2D">
            <w:pPr>
              <w:spacing w:before="0" w:after="0"/>
              <w:jc w:val="center"/>
              <w:rPr>
                <w:b/>
                <w:bCs/>
                <w:noProof/>
                <w:color w:val="000000" w:themeColor="text1"/>
                <w:sz w:val="18"/>
                <w:szCs w:val="18"/>
              </w:rPr>
            </w:pPr>
            <w:r w:rsidRPr="00C3707B">
              <w:rPr>
                <w:b/>
                <w:noProof/>
                <w:color w:val="000000" w:themeColor="text1"/>
                <w:sz w:val="18"/>
              </w:rPr>
              <w:t xml:space="preserve">TOTAAL MFK </w:t>
            </w:r>
            <w:r w:rsidRPr="00160A33">
              <w:rPr>
                <w:b/>
                <w:noProof/>
                <w:color w:val="000000" w:themeColor="text1"/>
                <w:sz w:val="18"/>
              </w:rPr>
              <w:t>2021</w:t>
            </w:r>
            <w:r w:rsidRPr="00C3707B">
              <w:rPr>
                <w:b/>
                <w:noProof/>
                <w:color w:val="000000" w:themeColor="text1"/>
                <w:sz w:val="18"/>
              </w:rPr>
              <w:t>-</w:t>
            </w:r>
            <w:r w:rsidRPr="00160A33">
              <w:rPr>
                <w:b/>
                <w:noProof/>
                <w:color w:val="000000" w:themeColor="text1"/>
                <w:sz w:val="18"/>
              </w:rPr>
              <w:t>2027</w:t>
            </w:r>
          </w:p>
        </w:tc>
      </w:tr>
      <w:tr w:rsidR="00D37F2D" w:rsidRPr="00C3707B" w14:paraId="7C7443FB" w14:textId="77777777">
        <w:trPr>
          <w:trHeight w:val="525"/>
        </w:trPr>
        <w:tc>
          <w:tcPr>
            <w:tcW w:w="3214" w:type="dxa"/>
            <w:vMerge/>
            <w:tcBorders>
              <w:top w:val="single" w:sz="8" w:space="0" w:color="auto"/>
              <w:left w:val="single" w:sz="4" w:space="0" w:color="auto"/>
              <w:right w:val="single" w:sz="4" w:space="0" w:color="auto"/>
            </w:tcBorders>
            <w:vAlign w:val="center"/>
          </w:tcPr>
          <w:p w14:paraId="2E3B3A58" w14:textId="77777777" w:rsidR="00D37F2D" w:rsidRPr="00C3707B" w:rsidRDefault="00D37F2D">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13A0435" w14:textId="77777777" w:rsidR="00D37F2D" w:rsidRPr="00C3707B" w:rsidRDefault="00D37F2D">
            <w:pPr>
              <w:spacing w:before="0" w:after="0"/>
              <w:jc w:val="center"/>
              <w:rPr>
                <w:b/>
                <w:bCs/>
                <w:noProof/>
                <w:color w:val="000000" w:themeColor="text1"/>
                <w:sz w:val="18"/>
                <w:szCs w:val="18"/>
              </w:rPr>
            </w:pPr>
            <w:r w:rsidRPr="00160A33">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9C02E9D" w14:textId="77777777" w:rsidR="00D37F2D" w:rsidRPr="00C3707B" w:rsidRDefault="00D37F2D">
            <w:pPr>
              <w:spacing w:before="0" w:after="0"/>
              <w:jc w:val="center"/>
              <w:rPr>
                <w:b/>
                <w:bCs/>
                <w:noProof/>
                <w:color w:val="000000" w:themeColor="text1"/>
                <w:sz w:val="18"/>
                <w:szCs w:val="18"/>
              </w:rPr>
            </w:pPr>
            <w:r w:rsidRPr="00160A33">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CC8E9D7" w14:textId="77777777" w:rsidR="00D37F2D" w:rsidRPr="00C3707B" w:rsidRDefault="00D37F2D">
            <w:pPr>
              <w:spacing w:before="0" w:after="0"/>
              <w:jc w:val="center"/>
              <w:rPr>
                <w:b/>
                <w:bCs/>
                <w:noProof/>
                <w:color w:val="000000" w:themeColor="text1"/>
                <w:sz w:val="18"/>
                <w:szCs w:val="18"/>
              </w:rPr>
            </w:pPr>
            <w:r w:rsidRPr="00160A33">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2BFCEC6" w14:textId="77777777" w:rsidR="00D37F2D" w:rsidRPr="00C3707B" w:rsidRDefault="00D37F2D">
            <w:pPr>
              <w:spacing w:before="0" w:after="0"/>
              <w:jc w:val="center"/>
              <w:rPr>
                <w:b/>
                <w:bCs/>
                <w:noProof/>
                <w:color w:val="000000" w:themeColor="text1"/>
                <w:sz w:val="18"/>
                <w:szCs w:val="18"/>
              </w:rPr>
            </w:pPr>
            <w:r w:rsidRPr="00160A33">
              <w:rPr>
                <w:b/>
                <w:noProof/>
                <w:color w:val="000000" w:themeColor="text1"/>
                <w:sz w:val="18"/>
              </w:rPr>
              <w:t>2027</w:t>
            </w:r>
          </w:p>
        </w:tc>
        <w:tc>
          <w:tcPr>
            <w:tcW w:w="981" w:type="dxa"/>
            <w:vMerge/>
            <w:tcBorders>
              <w:bottom w:val="single" w:sz="4" w:space="0" w:color="auto"/>
              <w:right w:val="single" w:sz="4" w:space="0" w:color="auto"/>
            </w:tcBorders>
            <w:vAlign w:val="center"/>
          </w:tcPr>
          <w:p w14:paraId="536C4A89" w14:textId="77777777" w:rsidR="00D37F2D" w:rsidRPr="00C3707B" w:rsidRDefault="00D37F2D">
            <w:pPr>
              <w:rPr>
                <w:noProof/>
              </w:rPr>
            </w:pPr>
          </w:p>
        </w:tc>
      </w:tr>
      <w:tr w:rsidR="00D37F2D" w:rsidRPr="00C3707B" w14:paraId="07CBDFE4"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1360E8B3" w14:textId="77777777" w:rsidR="00D37F2D" w:rsidRPr="00C3707B" w:rsidRDefault="00D37F2D">
            <w:pPr>
              <w:spacing w:before="0" w:after="0"/>
              <w:jc w:val="left"/>
              <w:rPr>
                <w:b/>
                <w:bCs/>
                <w:noProof/>
                <w:sz w:val="16"/>
                <w:szCs w:val="16"/>
              </w:rPr>
            </w:pPr>
            <w:r w:rsidRPr="00C3707B">
              <w:rPr>
                <w:b/>
                <w:noProof/>
                <w:sz w:val="16"/>
              </w:rPr>
              <w:t>RUBRIEK </w:t>
            </w:r>
            <w:r w:rsidRPr="00160A33">
              <w:rPr>
                <w:b/>
                <w:noProof/>
                <w:sz w:val="16"/>
              </w:rPr>
              <w:t>7</w:t>
            </w:r>
          </w:p>
        </w:tc>
      </w:tr>
      <w:tr w:rsidR="00D37F2D" w:rsidRPr="00C3707B" w14:paraId="405D0D30"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8DE88" w14:textId="77777777" w:rsidR="00D37F2D" w:rsidRPr="00C3707B" w:rsidRDefault="00D37F2D">
            <w:pPr>
              <w:spacing w:before="0" w:after="0"/>
              <w:jc w:val="left"/>
              <w:rPr>
                <w:noProof/>
                <w:color w:val="000000" w:themeColor="text1"/>
                <w:sz w:val="16"/>
                <w:szCs w:val="16"/>
              </w:rPr>
            </w:pPr>
            <w:r w:rsidRPr="00C3707B">
              <w:rPr>
                <w:rFonts w:ascii="Arial Narrow" w:hAnsi="Arial Narrow"/>
                <w:noProof/>
                <w:color w:val="000000" w:themeColor="text1"/>
                <w:sz w:val="20"/>
              </w:rPr>
              <w:t>IT-uitgaven (algemeen)</w:t>
            </w:r>
            <w:r w:rsidRPr="00C3707B">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DE3CA"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F8BB29"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30FA9F"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0B80CC"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59068D"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r>
      <w:tr w:rsidR="00D37F2D" w:rsidRPr="00C3707B" w14:paraId="66793452"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CCFCC98" w14:textId="77777777" w:rsidR="00D37F2D" w:rsidRPr="00C3707B" w:rsidRDefault="00D37F2D">
            <w:pPr>
              <w:spacing w:before="0" w:after="0"/>
              <w:jc w:val="center"/>
              <w:rPr>
                <w:b/>
                <w:bCs/>
                <w:noProof/>
                <w:color w:val="000000" w:themeColor="text1"/>
                <w:sz w:val="16"/>
                <w:szCs w:val="16"/>
              </w:rPr>
            </w:pPr>
            <w:r w:rsidRPr="00C3707B">
              <w:rPr>
                <w:b/>
                <w:noProof/>
                <w:color w:val="000000" w:themeColor="text1"/>
                <w:sz w:val="16"/>
              </w:rPr>
              <w:t>Subtotaal RUBRIEK </w:t>
            </w:r>
            <w:r w:rsidRPr="00160A33">
              <w:rPr>
                <w:b/>
                <w:noProof/>
                <w:color w:val="000000" w:themeColor="text1"/>
                <w:sz w:val="16"/>
              </w:rPr>
              <w:t>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E8BB1C"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5EFD7C"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2F4F7F"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097FA0"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71D159"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r>
      <w:tr w:rsidR="00D37F2D" w:rsidRPr="00C3707B" w14:paraId="7047C0A2"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92AB2" w14:textId="77777777" w:rsidR="00D37F2D" w:rsidRPr="00C3707B" w:rsidRDefault="00D37F2D">
            <w:pPr>
              <w:spacing w:before="0" w:after="0"/>
              <w:jc w:val="left"/>
              <w:rPr>
                <w:b/>
                <w:bCs/>
                <w:noProof/>
                <w:sz w:val="16"/>
                <w:szCs w:val="16"/>
              </w:rPr>
            </w:pPr>
            <w:r w:rsidRPr="00C3707B">
              <w:rPr>
                <w:b/>
                <w:noProof/>
                <w:sz w:val="16"/>
              </w:rPr>
              <w:t>Buiten RUBRIEK </w:t>
            </w:r>
            <w:r w:rsidRPr="00160A33">
              <w:rPr>
                <w:b/>
                <w:noProof/>
                <w:sz w:val="16"/>
              </w:rPr>
              <w:t>7</w:t>
            </w:r>
          </w:p>
        </w:tc>
      </w:tr>
      <w:tr w:rsidR="00D37F2D" w:rsidRPr="00C3707B" w14:paraId="1F2BC4F9"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5FC1E" w14:textId="77777777" w:rsidR="00D37F2D" w:rsidRPr="00C3707B" w:rsidRDefault="00D37F2D">
            <w:pPr>
              <w:spacing w:before="0" w:after="0"/>
              <w:jc w:val="left"/>
              <w:rPr>
                <w:rFonts w:ascii="Arial Narrow" w:eastAsia="Arial Narrow" w:hAnsi="Arial Narrow" w:cs="Arial Narrow"/>
                <w:noProof/>
                <w:color w:val="000000" w:themeColor="text1"/>
                <w:sz w:val="20"/>
                <w:szCs w:val="20"/>
              </w:rPr>
            </w:pPr>
            <w:r w:rsidRPr="00C3707B">
              <w:rPr>
                <w:rFonts w:ascii="Arial Narrow" w:hAnsi="Arial Narrow"/>
                <w:noProof/>
                <w:color w:val="000000" w:themeColor="text1"/>
                <w:sz w:val="20"/>
              </w:rPr>
              <w:t>IT-beleidsuitgaven inzake operationele programma’s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95C8B6"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41E8B4"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88FB29"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182F75" w14:textId="77777777" w:rsidR="00D37F2D" w:rsidRPr="00C3707B" w:rsidRDefault="00D37F2D">
            <w:pPr>
              <w:spacing w:before="0" w:after="0"/>
              <w:jc w:val="right"/>
              <w:rPr>
                <w:noProof/>
                <w:color w:val="000000" w:themeColor="text1"/>
                <w:sz w:val="16"/>
                <w:szCs w:val="16"/>
              </w:rPr>
            </w:pPr>
            <w:r w:rsidRPr="00160A33">
              <w:rPr>
                <w:noProof/>
                <w:color w:val="000000" w:themeColor="text1"/>
                <w:sz w:val="16"/>
              </w:rPr>
              <w:t>0</w:t>
            </w:r>
            <w:r w:rsidRPr="00C3707B">
              <w:rPr>
                <w:noProof/>
                <w:color w:val="000000" w:themeColor="text1"/>
                <w:sz w:val="16"/>
              </w:rPr>
              <w:t>,</w:t>
            </w:r>
            <w:r w:rsidRPr="00160A33">
              <w:rPr>
                <w:noProof/>
                <w:color w:val="000000" w:themeColor="text1"/>
                <w:sz w:val="16"/>
              </w:rPr>
              <w:t>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E173FE"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r>
      <w:tr w:rsidR="00D37F2D" w:rsidRPr="00C3707B" w14:paraId="5B7B6716"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D3034EF" w14:textId="77777777" w:rsidR="00D37F2D" w:rsidRPr="00C3707B" w:rsidRDefault="00D37F2D">
            <w:pPr>
              <w:spacing w:before="0" w:after="0"/>
              <w:jc w:val="center"/>
              <w:rPr>
                <w:b/>
                <w:bCs/>
                <w:noProof/>
                <w:color w:val="000000" w:themeColor="text1"/>
                <w:sz w:val="16"/>
                <w:szCs w:val="16"/>
              </w:rPr>
            </w:pPr>
            <w:r w:rsidRPr="00C3707B">
              <w:rPr>
                <w:b/>
                <w:noProof/>
                <w:color w:val="000000" w:themeColor="text1"/>
                <w:sz w:val="16"/>
              </w:rPr>
              <w:t>Subtotaal buiten RUBRIEK </w:t>
            </w:r>
            <w:r w:rsidRPr="00160A33">
              <w:rPr>
                <w:b/>
                <w:noProof/>
                <w:color w:val="000000" w:themeColor="text1"/>
                <w:sz w:val="16"/>
              </w:rPr>
              <w:t>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6BA2AB"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4C5F0C"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E742F9"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012EB6"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69D775"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r>
      <w:tr w:rsidR="00D37F2D" w:rsidRPr="00C3707B" w14:paraId="224B1571"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EB10D" w14:textId="0DC2F5D0" w:rsidR="00D37F2D" w:rsidRPr="00C3707B" w:rsidRDefault="00D37F2D">
            <w:pPr>
              <w:spacing w:before="0" w:after="0"/>
              <w:jc w:val="center"/>
              <w:rPr>
                <w:noProof/>
                <w:color w:val="000000" w:themeColor="text1"/>
                <w:sz w:val="16"/>
                <w:szCs w:val="16"/>
              </w:rPr>
            </w:pPr>
          </w:p>
        </w:tc>
      </w:tr>
      <w:tr w:rsidR="00D37F2D" w:rsidRPr="00C3707B" w14:paraId="0E9E8F73"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35826219" w14:textId="77777777" w:rsidR="00D37F2D" w:rsidRPr="00C3707B" w:rsidRDefault="00D37F2D">
            <w:pPr>
              <w:spacing w:before="0" w:after="0"/>
              <w:jc w:val="center"/>
              <w:rPr>
                <w:b/>
                <w:bCs/>
                <w:noProof/>
                <w:color w:val="000000" w:themeColor="text1"/>
                <w:sz w:val="16"/>
                <w:szCs w:val="16"/>
              </w:rPr>
            </w:pPr>
            <w:r w:rsidRPr="00C3707B">
              <w:rPr>
                <w:b/>
                <w:noProof/>
                <w:color w:val="000000" w:themeColor="text1"/>
                <w:sz w:val="16"/>
              </w:rPr>
              <w:t>TOTAAL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5FA2EF3"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9E80043"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45ED7F7"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58FFF77"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0483ED1" w14:textId="77777777" w:rsidR="00D37F2D" w:rsidRPr="00C3707B" w:rsidRDefault="00D37F2D">
            <w:pPr>
              <w:spacing w:before="0" w:after="0"/>
              <w:jc w:val="right"/>
              <w:rPr>
                <w:b/>
                <w:bCs/>
                <w:noProof/>
                <w:color w:val="000000" w:themeColor="text1"/>
                <w:sz w:val="16"/>
                <w:szCs w:val="16"/>
              </w:rPr>
            </w:pPr>
            <w:r w:rsidRPr="00160A33">
              <w:rPr>
                <w:b/>
                <w:noProof/>
                <w:color w:val="000000" w:themeColor="text1"/>
                <w:sz w:val="16"/>
              </w:rPr>
              <w:t>0</w:t>
            </w:r>
            <w:r w:rsidRPr="00C3707B">
              <w:rPr>
                <w:b/>
                <w:noProof/>
                <w:color w:val="000000" w:themeColor="text1"/>
                <w:sz w:val="16"/>
              </w:rPr>
              <w:t>,</w:t>
            </w:r>
            <w:r w:rsidRPr="00160A33">
              <w:rPr>
                <w:b/>
                <w:noProof/>
                <w:color w:val="000000" w:themeColor="text1"/>
                <w:sz w:val="16"/>
              </w:rPr>
              <w:t>000</w:t>
            </w:r>
          </w:p>
        </w:tc>
      </w:tr>
    </w:tbl>
    <w:p w14:paraId="569E59C5" w14:textId="77777777" w:rsidR="00D62518" w:rsidRDefault="00D37F2D" w:rsidP="00D37F2D">
      <w:pPr>
        <w:pStyle w:val="ManualHeading3"/>
        <w:rPr>
          <w:noProof/>
        </w:rPr>
      </w:pPr>
      <w:bookmarkStart w:id="180" w:name="_Toc514938056"/>
      <w:bookmarkStart w:id="181" w:name="_Toc520485055"/>
      <w:bookmarkStart w:id="182" w:name="_Toc160804599"/>
      <w:bookmarkStart w:id="183" w:name="_Toc167220298"/>
      <w:bookmarkStart w:id="184" w:name="_Toc177549032"/>
      <w:bookmarkEnd w:id="179"/>
      <w:r w:rsidRPr="00160A33">
        <w:rPr>
          <w:noProof/>
        </w:rPr>
        <w:t>3</w:t>
      </w:r>
      <w:r w:rsidRPr="00C3707B">
        <w:rPr>
          <w:noProof/>
        </w:rPr>
        <w:t>.</w:t>
      </w:r>
      <w:r w:rsidRPr="00160A33">
        <w:rPr>
          <w:noProof/>
        </w:rPr>
        <w:t>2</w:t>
      </w:r>
      <w:r w:rsidRPr="00C3707B">
        <w:rPr>
          <w:noProof/>
        </w:rPr>
        <w:t>.</w:t>
      </w:r>
      <w:r w:rsidRPr="00160A33">
        <w:rPr>
          <w:noProof/>
        </w:rPr>
        <w:t>6</w:t>
      </w:r>
      <w:r w:rsidRPr="00C3707B">
        <w:rPr>
          <w:noProof/>
        </w:rPr>
        <w:t>.</w:t>
      </w:r>
      <w:r w:rsidRPr="00C3707B">
        <w:rPr>
          <w:noProof/>
        </w:rPr>
        <w:tab/>
        <w:t>Verenigbaarheid met het huidige meerjarig financieel kader</w:t>
      </w:r>
      <w:bookmarkEnd w:id="180"/>
      <w:bookmarkEnd w:id="181"/>
      <w:bookmarkEnd w:id="182"/>
      <w:bookmarkEnd w:id="183"/>
      <w:bookmarkEnd w:id="184"/>
    </w:p>
    <w:p w14:paraId="24EE61D8" w14:textId="59380ED8" w:rsidR="00D37F2D" w:rsidRPr="00C3707B" w:rsidRDefault="00D37F2D" w:rsidP="00D37F2D">
      <w:pPr>
        <w:pStyle w:val="Text1"/>
        <w:rPr>
          <w:noProof/>
        </w:rPr>
      </w:pPr>
      <w:r w:rsidRPr="00C3707B">
        <w:rPr>
          <w:noProof/>
        </w:rPr>
        <w:t>Het voorstel/initiatief:</w:t>
      </w:r>
    </w:p>
    <w:p w14:paraId="682C57A2" w14:textId="77777777" w:rsidR="00D37F2D" w:rsidRPr="00C3707B" w:rsidRDefault="00D37F2D" w:rsidP="00D37F2D">
      <w:pPr>
        <w:pStyle w:val="ListDash1"/>
        <w:rPr>
          <w:noProof/>
        </w:rPr>
      </w:pPr>
      <w:r w:rsidRPr="00C3707B">
        <w:rPr>
          <w:rFonts w:ascii="Wingdings" w:hAnsi="Wingdings"/>
          <w:noProof/>
        </w:rPr>
        <w:t></w:t>
      </w:r>
      <w:r w:rsidRPr="00C3707B">
        <w:rPr>
          <w:noProof/>
        </w:rPr>
        <w:tab/>
        <w:t>kan volledig worden gefinancierd door middel van herschikking binnen de relevante rubriek van het meerjarig financieel kader (MFK)</w:t>
      </w:r>
    </w:p>
    <w:p w14:paraId="082ADC96" w14:textId="77777777" w:rsidR="00D37F2D" w:rsidRPr="00C3707B" w:rsidRDefault="00D37F2D" w:rsidP="00D37F2D">
      <w:pPr>
        <w:pStyle w:val="Text1"/>
        <w:pBdr>
          <w:top w:val="single" w:sz="4" w:space="1" w:color="auto"/>
          <w:left w:val="single" w:sz="4" w:space="4" w:color="auto"/>
          <w:bottom w:val="single" w:sz="4" w:space="1" w:color="auto"/>
          <w:right w:val="single" w:sz="4" w:space="4" w:color="auto"/>
        </w:pBdr>
        <w:rPr>
          <w:noProof/>
        </w:rPr>
      </w:pPr>
      <w:r w:rsidRPr="00C3707B">
        <w:rPr>
          <w:noProof/>
        </w:rPr>
        <w:t xml:space="preserve">De verhoging van de kredieten voor EMA-begrotingslijn </w:t>
      </w:r>
      <w:r w:rsidRPr="00160A33">
        <w:rPr>
          <w:noProof/>
        </w:rPr>
        <w:t>06</w:t>
      </w:r>
      <w:r w:rsidRPr="00C3707B">
        <w:rPr>
          <w:noProof/>
        </w:rPr>
        <w:t>.</w:t>
      </w:r>
      <w:r w:rsidRPr="00160A33">
        <w:rPr>
          <w:noProof/>
        </w:rPr>
        <w:t>100301</w:t>
      </w:r>
      <w:r w:rsidRPr="00C3707B">
        <w:rPr>
          <w:noProof/>
        </w:rPr>
        <w:t xml:space="preserve"> in de jaren </w:t>
      </w:r>
      <w:r w:rsidRPr="00160A33">
        <w:rPr>
          <w:noProof/>
        </w:rPr>
        <w:t>2026</w:t>
      </w:r>
      <w:r w:rsidRPr="00C3707B">
        <w:rPr>
          <w:noProof/>
        </w:rPr>
        <w:t xml:space="preserve"> en </w:t>
      </w:r>
      <w:r w:rsidRPr="00160A33">
        <w:rPr>
          <w:noProof/>
        </w:rPr>
        <w:t>2027</w:t>
      </w:r>
      <w:r w:rsidRPr="00C3707B">
        <w:rPr>
          <w:noProof/>
        </w:rPr>
        <w:t xml:space="preserve"> met </w:t>
      </w:r>
      <w:r w:rsidRPr="00160A33">
        <w:rPr>
          <w:noProof/>
        </w:rPr>
        <w:t>1</w:t>
      </w:r>
      <w:r w:rsidRPr="00C3707B">
        <w:rPr>
          <w:noProof/>
        </w:rPr>
        <w:t>,</w:t>
      </w:r>
      <w:r w:rsidRPr="00160A33">
        <w:rPr>
          <w:noProof/>
        </w:rPr>
        <w:t>4</w:t>
      </w:r>
      <w:r w:rsidRPr="00C3707B">
        <w:rPr>
          <w:noProof/>
        </w:rPr>
        <w:t> miljoen EUR zal plaatsvinden door een interne herschikking binnen rubriek </w:t>
      </w:r>
      <w:r w:rsidRPr="00160A33">
        <w:rPr>
          <w:noProof/>
        </w:rPr>
        <w:t>2</w:t>
      </w:r>
      <w:r w:rsidRPr="00C3707B">
        <w:rPr>
          <w:noProof/>
        </w:rPr>
        <w:t>b, d.w.z. door een gelijke verlaging van begrotingslijn </w:t>
      </w:r>
      <w:r w:rsidRPr="00160A33">
        <w:rPr>
          <w:noProof/>
        </w:rPr>
        <w:t>06</w:t>
      </w:r>
      <w:r w:rsidRPr="00C3707B">
        <w:rPr>
          <w:noProof/>
        </w:rPr>
        <w:t>.</w:t>
      </w:r>
      <w:r w:rsidRPr="00160A33">
        <w:rPr>
          <w:noProof/>
        </w:rPr>
        <w:t>0601</w:t>
      </w:r>
      <w:r w:rsidRPr="00C3707B">
        <w:rPr>
          <w:noProof/>
        </w:rPr>
        <w:t xml:space="preserve"> voor EU</w:t>
      </w:r>
      <w:r w:rsidRPr="00160A33">
        <w:rPr>
          <w:noProof/>
        </w:rPr>
        <w:t>4</w:t>
      </w:r>
      <w:r w:rsidRPr="00C3707B">
        <w:rPr>
          <w:noProof/>
        </w:rPr>
        <w:t>Health voor deze periode. De door de Commissie beheerde kredieten zullen binnen de bestaande financiële middelen van het EU</w:t>
      </w:r>
      <w:r w:rsidRPr="00160A33">
        <w:rPr>
          <w:noProof/>
        </w:rPr>
        <w:t>4</w:t>
      </w:r>
      <w:r w:rsidRPr="00C3707B">
        <w:rPr>
          <w:noProof/>
        </w:rPr>
        <w:t>Health-programma worden herschikt.</w:t>
      </w:r>
      <w:r w:rsidRPr="00C3707B">
        <w:rPr>
          <w:noProof/>
        </w:rPr>
        <w:tab/>
      </w:r>
    </w:p>
    <w:p w14:paraId="17F6A52D" w14:textId="77777777" w:rsidR="00D62518" w:rsidRDefault="00D37F2D" w:rsidP="00D37F2D">
      <w:pPr>
        <w:pStyle w:val="ListDash1"/>
        <w:rPr>
          <w:noProof/>
        </w:rPr>
      </w:pPr>
      <w:r w:rsidRPr="00C3707B">
        <w:rPr>
          <w:rFonts w:ascii="Wingdings" w:hAnsi="Wingdings"/>
          <w:noProof/>
        </w:rPr>
        <w:t></w:t>
      </w:r>
      <w:r w:rsidRPr="00C3707B">
        <w:rPr>
          <w:noProof/>
        </w:rPr>
        <w:tab/>
        <w:t>vereist een beroep op de niet-toegewezen marge in de desbetreffende rubriek van het MFK en/of op de speciale instrumenten zoals gedefinieerd in de MFK-verordening</w:t>
      </w:r>
    </w:p>
    <w:p w14:paraId="64C22DD8" w14:textId="13E6CA96" w:rsidR="00D37F2D" w:rsidRPr="00C3707B" w:rsidRDefault="00D37F2D" w:rsidP="00D37F2D">
      <w:pPr>
        <w:pStyle w:val="ListDash1"/>
        <w:rPr>
          <w:noProof/>
        </w:rPr>
      </w:pPr>
      <w:r w:rsidRPr="00C3707B">
        <w:rPr>
          <w:rFonts w:ascii="Wingdings" w:hAnsi="Wingdings"/>
          <w:noProof/>
        </w:rPr>
        <w:t></w:t>
      </w:r>
      <w:r w:rsidRPr="00C3707B">
        <w:rPr>
          <w:rFonts w:ascii="Wingdings" w:hAnsi="Wingdings"/>
          <w:noProof/>
        </w:rPr>
        <w:t></w:t>
      </w:r>
      <w:r w:rsidRPr="00C3707B">
        <w:rPr>
          <w:noProof/>
        </w:rPr>
        <w:t xml:space="preserve"> vereist een herziening van het MFK</w:t>
      </w:r>
    </w:p>
    <w:p w14:paraId="5894BDA6" w14:textId="77777777" w:rsidR="00D62518" w:rsidRDefault="00D37F2D" w:rsidP="00D37F2D">
      <w:pPr>
        <w:pStyle w:val="ManualHeading3"/>
        <w:rPr>
          <w:noProof/>
        </w:rPr>
      </w:pPr>
      <w:bookmarkStart w:id="185" w:name="_Toc514938058"/>
      <w:bookmarkStart w:id="186" w:name="_Toc520485056"/>
      <w:bookmarkStart w:id="187" w:name="_Toc160804600"/>
      <w:bookmarkStart w:id="188" w:name="_Toc167220299"/>
      <w:bookmarkStart w:id="189" w:name="_Toc177549033"/>
      <w:r w:rsidRPr="00160A33">
        <w:rPr>
          <w:noProof/>
        </w:rPr>
        <w:t>3</w:t>
      </w:r>
      <w:r w:rsidRPr="00C3707B">
        <w:rPr>
          <w:noProof/>
        </w:rPr>
        <w:t>.</w:t>
      </w:r>
      <w:r w:rsidRPr="00160A33">
        <w:rPr>
          <w:noProof/>
        </w:rPr>
        <w:t>2</w:t>
      </w:r>
      <w:r w:rsidRPr="00C3707B">
        <w:rPr>
          <w:noProof/>
        </w:rPr>
        <w:t>.</w:t>
      </w:r>
      <w:r w:rsidRPr="00160A33">
        <w:rPr>
          <w:noProof/>
        </w:rPr>
        <w:t>7</w:t>
      </w:r>
      <w:r w:rsidRPr="00C3707B">
        <w:rPr>
          <w:noProof/>
        </w:rPr>
        <w:t>.</w:t>
      </w:r>
      <w:r w:rsidRPr="00C3707B">
        <w:rPr>
          <w:noProof/>
        </w:rPr>
        <w:tab/>
        <w:t>Bijdragen van derden</w:t>
      </w:r>
      <w:bookmarkEnd w:id="185"/>
      <w:bookmarkEnd w:id="186"/>
      <w:bookmarkEnd w:id="187"/>
      <w:bookmarkEnd w:id="188"/>
      <w:bookmarkEnd w:id="189"/>
    </w:p>
    <w:p w14:paraId="796C6FCB" w14:textId="6C2B6A2A" w:rsidR="00D37F2D" w:rsidRPr="00C3707B" w:rsidRDefault="00D37F2D" w:rsidP="00D37F2D">
      <w:pPr>
        <w:pStyle w:val="Text1"/>
        <w:rPr>
          <w:noProof/>
        </w:rPr>
      </w:pPr>
      <w:r w:rsidRPr="00C3707B">
        <w:rPr>
          <w:noProof/>
        </w:rPr>
        <w:t>Het voorstel/initiatief:</w:t>
      </w:r>
    </w:p>
    <w:p w14:paraId="5009B056" w14:textId="77777777" w:rsidR="00D37F2D" w:rsidRPr="00C3707B" w:rsidRDefault="00D37F2D" w:rsidP="00D37F2D">
      <w:pPr>
        <w:pStyle w:val="ListDash1"/>
        <w:rPr>
          <w:noProof/>
        </w:rPr>
      </w:pPr>
      <w:r w:rsidRPr="00C3707B">
        <w:rPr>
          <w:rFonts w:ascii="Wingdings" w:hAnsi="Wingdings"/>
          <w:noProof/>
        </w:rPr>
        <w:t></w:t>
      </w:r>
      <w:r w:rsidRPr="00C3707B">
        <w:rPr>
          <w:noProof/>
        </w:rPr>
        <w:tab/>
        <w:t>voorziet niet in medefinanciering door derden</w:t>
      </w:r>
    </w:p>
    <w:p w14:paraId="1EBEBB2C" w14:textId="77777777" w:rsidR="00D37F2D" w:rsidRPr="00C3707B" w:rsidRDefault="00D37F2D" w:rsidP="00D37F2D">
      <w:pPr>
        <w:pStyle w:val="ListDash1"/>
        <w:rPr>
          <w:noProof/>
        </w:rPr>
      </w:pPr>
      <w:r w:rsidRPr="00C3707B">
        <w:rPr>
          <w:rFonts w:ascii="Wingdings" w:hAnsi="Wingdings"/>
          <w:noProof/>
        </w:rPr>
        <w:t></w:t>
      </w:r>
      <w:r w:rsidRPr="00C3707B">
        <w:rPr>
          <w:noProof/>
        </w:rPr>
        <w:tab/>
        <w:t>voorziet in medefinanciering door derden, zoals hieronder wordt geraamd:</w:t>
      </w:r>
    </w:p>
    <w:p w14:paraId="161F37FE" w14:textId="77777777" w:rsidR="00D37F2D" w:rsidRPr="00C3707B" w:rsidRDefault="00D37F2D" w:rsidP="00D37F2D">
      <w:pPr>
        <w:jc w:val="right"/>
        <w:rPr>
          <w:noProof/>
          <w:sz w:val="20"/>
        </w:rPr>
      </w:pPr>
      <w:r w:rsidRPr="00C3707B">
        <w:rPr>
          <w:noProof/>
          <w:sz w:val="20"/>
        </w:rPr>
        <w:t>Kredieten in miljoenen euro’s (tot op drie decimalen)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D37F2D" w:rsidRPr="00C3707B" w14:paraId="331AB297" w14:textId="77777777">
        <w:trPr>
          <w:cantSplit/>
        </w:trPr>
        <w:tc>
          <w:tcPr>
            <w:tcW w:w="1591" w:type="pct"/>
          </w:tcPr>
          <w:p w14:paraId="46B3B6CF" w14:textId="77777777" w:rsidR="00D37F2D" w:rsidRPr="00C3707B" w:rsidRDefault="00D37F2D">
            <w:pPr>
              <w:spacing w:before="60" w:after="60"/>
              <w:rPr>
                <w:noProof/>
                <w:sz w:val="20"/>
              </w:rPr>
            </w:pPr>
          </w:p>
        </w:tc>
        <w:tc>
          <w:tcPr>
            <w:tcW w:w="655" w:type="pct"/>
            <w:vAlign w:val="center"/>
          </w:tcPr>
          <w:p w14:paraId="7778EB21" w14:textId="77777777" w:rsidR="00D37F2D" w:rsidRPr="00C3707B" w:rsidRDefault="00D37F2D">
            <w:pPr>
              <w:jc w:val="center"/>
              <w:rPr>
                <w:noProof/>
                <w:sz w:val="20"/>
              </w:rPr>
            </w:pPr>
            <w:r w:rsidRPr="00C3707B">
              <w:rPr>
                <w:noProof/>
                <w:sz w:val="20"/>
              </w:rPr>
              <w:t>Jaar</w:t>
            </w:r>
            <w:r w:rsidRPr="00C3707B">
              <w:rPr>
                <w:noProof/>
              </w:rPr>
              <w:br/>
            </w:r>
            <w:r w:rsidRPr="00160A33">
              <w:rPr>
                <w:b/>
                <w:noProof/>
                <w:sz w:val="20"/>
              </w:rPr>
              <w:t>2024</w:t>
            </w:r>
          </w:p>
        </w:tc>
        <w:tc>
          <w:tcPr>
            <w:tcW w:w="655" w:type="pct"/>
            <w:vAlign w:val="center"/>
          </w:tcPr>
          <w:p w14:paraId="74E13936" w14:textId="77777777" w:rsidR="00D37F2D" w:rsidRPr="00C3707B" w:rsidRDefault="00D37F2D">
            <w:pPr>
              <w:jc w:val="center"/>
              <w:rPr>
                <w:noProof/>
                <w:sz w:val="20"/>
              </w:rPr>
            </w:pPr>
            <w:r w:rsidRPr="00C3707B">
              <w:rPr>
                <w:noProof/>
                <w:sz w:val="20"/>
              </w:rPr>
              <w:t>Jaar</w:t>
            </w:r>
            <w:r w:rsidRPr="00C3707B">
              <w:rPr>
                <w:noProof/>
              </w:rPr>
              <w:br/>
            </w:r>
            <w:r w:rsidRPr="00160A33">
              <w:rPr>
                <w:b/>
                <w:noProof/>
                <w:sz w:val="20"/>
              </w:rPr>
              <w:t>2025</w:t>
            </w:r>
          </w:p>
        </w:tc>
        <w:tc>
          <w:tcPr>
            <w:tcW w:w="655" w:type="pct"/>
            <w:vAlign w:val="center"/>
          </w:tcPr>
          <w:p w14:paraId="7F5CBFEE" w14:textId="77777777" w:rsidR="00D37F2D" w:rsidRPr="00C3707B" w:rsidRDefault="00D37F2D">
            <w:pPr>
              <w:jc w:val="center"/>
              <w:rPr>
                <w:noProof/>
                <w:sz w:val="20"/>
              </w:rPr>
            </w:pPr>
            <w:r w:rsidRPr="00C3707B">
              <w:rPr>
                <w:noProof/>
                <w:sz w:val="20"/>
              </w:rPr>
              <w:t>Jaar</w:t>
            </w:r>
            <w:r w:rsidRPr="00C3707B">
              <w:rPr>
                <w:noProof/>
              </w:rPr>
              <w:br/>
            </w:r>
            <w:r w:rsidRPr="00160A33">
              <w:rPr>
                <w:b/>
                <w:noProof/>
                <w:sz w:val="20"/>
              </w:rPr>
              <w:t>2026</w:t>
            </w:r>
          </w:p>
        </w:tc>
        <w:tc>
          <w:tcPr>
            <w:tcW w:w="655" w:type="pct"/>
            <w:vAlign w:val="center"/>
          </w:tcPr>
          <w:p w14:paraId="243BFC48" w14:textId="77777777" w:rsidR="00D37F2D" w:rsidRPr="00C3707B" w:rsidRDefault="00D37F2D">
            <w:pPr>
              <w:jc w:val="center"/>
              <w:rPr>
                <w:noProof/>
                <w:sz w:val="20"/>
              </w:rPr>
            </w:pPr>
            <w:r w:rsidRPr="00C3707B">
              <w:rPr>
                <w:noProof/>
                <w:sz w:val="20"/>
              </w:rPr>
              <w:t>Jaar</w:t>
            </w:r>
            <w:r w:rsidRPr="00C3707B">
              <w:rPr>
                <w:noProof/>
              </w:rPr>
              <w:br/>
            </w:r>
            <w:r w:rsidRPr="00160A33">
              <w:rPr>
                <w:b/>
                <w:noProof/>
                <w:sz w:val="20"/>
              </w:rPr>
              <w:t>2027</w:t>
            </w:r>
          </w:p>
        </w:tc>
        <w:tc>
          <w:tcPr>
            <w:tcW w:w="787" w:type="pct"/>
            <w:vAlign w:val="center"/>
          </w:tcPr>
          <w:p w14:paraId="2C4A2282" w14:textId="77777777" w:rsidR="00D37F2D" w:rsidRPr="00C3707B" w:rsidRDefault="00D37F2D">
            <w:pPr>
              <w:spacing w:before="60" w:after="60"/>
              <w:jc w:val="center"/>
              <w:rPr>
                <w:noProof/>
                <w:sz w:val="20"/>
              </w:rPr>
            </w:pPr>
            <w:r w:rsidRPr="00C3707B">
              <w:rPr>
                <w:noProof/>
                <w:sz w:val="20"/>
              </w:rPr>
              <w:t>Totaal</w:t>
            </w:r>
          </w:p>
        </w:tc>
      </w:tr>
      <w:tr w:rsidR="00D37F2D" w:rsidRPr="00C3707B" w14:paraId="5087882F" w14:textId="77777777">
        <w:trPr>
          <w:cantSplit/>
        </w:trPr>
        <w:tc>
          <w:tcPr>
            <w:tcW w:w="1591" w:type="pct"/>
          </w:tcPr>
          <w:p w14:paraId="22420AC5" w14:textId="77777777" w:rsidR="00D37F2D" w:rsidRPr="00C3707B" w:rsidRDefault="00D37F2D">
            <w:pPr>
              <w:rPr>
                <w:noProof/>
              </w:rPr>
            </w:pPr>
            <w:r w:rsidRPr="00C3707B">
              <w:rPr>
                <w:noProof/>
                <w:sz w:val="20"/>
              </w:rPr>
              <w:t>Medefinancieringsbron</w:t>
            </w:r>
            <w:r w:rsidRPr="00C3707B">
              <w:rPr>
                <w:i/>
                <w:noProof/>
                <w:sz w:val="20"/>
              </w:rPr>
              <w:t xml:space="preserve"> </w:t>
            </w:r>
          </w:p>
        </w:tc>
        <w:tc>
          <w:tcPr>
            <w:tcW w:w="655" w:type="pct"/>
            <w:vAlign w:val="center"/>
          </w:tcPr>
          <w:p w14:paraId="5AA3FF15" w14:textId="77777777" w:rsidR="00D37F2D" w:rsidRPr="00C3707B" w:rsidRDefault="00D37F2D">
            <w:pPr>
              <w:spacing w:before="60" w:after="60"/>
              <w:jc w:val="center"/>
              <w:rPr>
                <w:noProof/>
                <w:sz w:val="20"/>
              </w:rPr>
            </w:pPr>
          </w:p>
        </w:tc>
        <w:tc>
          <w:tcPr>
            <w:tcW w:w="655" w:type="pct"/>
            <w:vAlign w:val="center"/>
          </w:tcPr>
          <w:p w14:paraId="607DA876" w14:textId="77777777" w:rsidR="00D37F2D" w:rsidRPr="00C3707B" w:rsidRDefault="00D37F2D">
            <w:pPr>
              <w:spacing w:before="60" w:after="60"/>
              <w:jc w:val="center"/>
              <w:rPr>
                <w:noProof/>
                <w:sz w:val="20"/>
              </w:rPr>
            </w:pPr>
          </w:p>
        </w:tc>
        <w:tc>
          <w:tcPr>
            <w:tcW w:w="655" w:type="pct"/>
            <w:vAlign w:val="center"/>
          </w:tcPr>
          <w:p w14:paraId="4FB49CEB" w14:textId="77777777" w:rsidR="00D37F2D" w:rsidRPr="00C3707B" w:rsidRDefault="00D37F2D">
            <w:pPr>
              <w:spacing w:before="60" w:after="60"/>
              <w:jc w:val="center"/>
              <w:rPr>
                <w:noProof/>
                <w:sz w:val="20"/>
              </w:rPr>
            </w:pPr>
          </w:p>
        </w:tc>
        <w:tc>
          <w:tcPr>
            <w:tcW w:w="655" w:type="pct"/>
            <w:vAlign w:val="center"/>
          </w:tcPr>
          <w:p w14:paraId="5EF4CC58" w14:textId="77777777" w:rsidR="00D37F2D" w:rsidRPr="00C3707B" w:rsidRDefault="00D37F2D">
            <w:pPr>
              <w:spacing w:before="60" w:after="60"/>
              <w:jc w:val="center"/>
              <w:rPr>
                <w:noProof/>
                <w:sz w:val="20"/>
              </w:rPr>
            </w:pPr>
          </w:p>
        </w:tc>
        <w:tc>
          <w:tcPr>
            <w:tcW w:w="787" w:type="pct"/>
            <w:vAlign w:val="center"/>
          </w:tcPr>
          <w:p w14:paraId="7050382A" w14:textId="77777777" w:rsidR="00D37F2D" w:rsidRPr="00C3707B" w:rsidRDefault="00D37F2D">
            <w:pPr>
              <w:spacing w:before="60" w:after="60"/>
              <w:jc w:val="center"/>
              <w:rPr>
                <w:noProof/>
                <w:sz w:val="20"/>
              </w:rPr>
            </w:pPr>
          </w:p>
        </w:tc>
      </w:tr>
      <w:tr w:rsidR="00D37F2D" w:rsidRPr="00C3707B" w14:paraId="3F8E8EF8" w14:textId="77777777">
        <w:trPr>
          <w:cantSplit/>
        </w:trPr>
        <w:tc>
          <w:tcPr>
            <w:tcW w:w="1591" w:type="pct"/>
          </w:tcPr>
          <w:p w14:paraId="7A8066AF" w14:textId="77777777" w:rsidR="00D37F2D" w:rsidRPr="00C3707B" w:rsidRDefault="00D37F2D">
            <w:pPr>
              <w:spacing w:before="60" w:after="60"/>
              <w:jc w:val="left"/>
              <w:rPr>
                <w:noProof/>
                <w:sz w:val="20"/>
              </w:rPr>
            </w:pPr>
            <w:r w:rsidRPr="00C3707B">
              <w:rPr>
                <w:noProof/>
                <w:sz w:val="20"/>
              </w:rPr>
              <w:t xml:space="preserve">TOTAAL medegefinancierde kredieten </w:t>
            </w:r>
          </w:p>
        </w:tc>
        <w:tc>
          <w:tcPr>
            <w:tcW w:w="655" w:type="pct"/>
            <w:vAlign w:val="center"/>
          </w:tcPr>
          <w:p w14:paraId="2AF05231" w14:textId="77777777" w:rsidR="00D37F2D" w:rsidRPr="00C3707B" w:rsidRDefault="00D37F2D">
            <w:pPr>
              <w:spacing w:before="60" w:after="60"/>
              <w:jc w:val="center"/>
              <w:rPr>
                <w:noProof/>
                <w:sz w:val="20"/>
              </w:rPr>
            </w:pPr>
          </w:p>
        </w:tc>
        <w:tc>
          <w:tcPr>
            <w:tcW w:w="655" w:type="pct"/>
            <w:vAlign w:val="center"/>
          </w:tcPr>
          <w:p w14:paraId="608DFD23" w14:textId="77777777" w:rsidR="00D37F2D" w:rsidRPr="00C3707B" w:rsidRDefault="00D37F2D">
            <w:pPr>
              <w:spacing w:before="60" w:after="60"/>
              <w:jc w:val="center"/>
              <w:rPr>
                <w:noProof/>
                <w:sz w:val="20"/>
              </w:rPr>
            </w:pPr>
          </w:p>
        </w:tc>
        <w:tc>
          <w:tcPr>
            <w:tcW w:w="655" w:type="pct"/>
            <w:vAlign w:val="center"/>
          </w:tcPr>
          <w:p w14:paraId="423511AA" w14:textId="77777777" w:rsidR="00D37F2D" w:rsidRPr="00C3707B" w:rsidRDefault="00D37F2D">
            <w:pPr>
              <w:spacing w:before="60" w:after="60"/>
              <w:jc w:val="center"/>
              <w:rPr>
                <w:noProof/>
                <w:sz w:val="20"/>
              </w:rPr>
            </w:pPr>
          </w:p>
        </w:tc>
        <w:tc>
          <w:tcPr>
            <w:tcW w:w="655" w:type="pct"/>
            <w:vAlign w:val="center"/>
          </w:tcPr>
          <w:p w14:paraId="08F37A75" w14:textId="77777777" w:rsidR="00D37F2D" w:rsidRPr="00C3707B" w:rsidRDefault="00D37F2D">
            <w:pPr>
              <w:spacing w:before="60" w:after="60"/>
              <w:jc w:val="center"/>
              <w:rPr>
                <w:noProof/>
                <w:sz w:val="20"/>
              </w:rPr>
            </w:pPr>
          </w:p>
        </w:tc>
        <w:tc>
          <w:tcPr>
            <w:tcW w:w="787" w:type="pct"/>
            <w:vAlign w:val="center"/>
          </w:tcPr>
          <w:p w14:paraId="7FAD89DB" w14:textId="77777777" w:rsidR="00D37F2D" w:rsidRPr="00C3707B" w:rsidRDefault="00D37F2D">
            <w:pPr>
              <w:spacing w:before="60" w:after="60"/>
              <w:jc w:val="center"/>
              <w:rPr>
                <w:noProof/>
                <w:sz w:val="20"/>
              </w:rPr>
            </w:pPr>
          </w:p>
        </w:tc>
      </w:tr>
    </w:tbl>
    <w:p w14:paraId="735AB597" w14:textId="77777777" w:rsidR="00D62518" w:rsidRDefault="00D37F2D" w:rsidP="00D37F2D">
      <w:pPr>
        <w:outlineLvl w:val="1"/>
        <w:rPr>
          <w:noProof/>
        </w:rPr>
      </w:pPr>
      <w:r w:rsidRPr="00C3707B">
        <w:rPr>
          <w:noProof/>
        </w:rPr>
        <w:br/>
      </w:r>
      <w:bookmarkStart w:id="190" w:name="_Toc514938059"/>
      <w:bookmarkStart w:id="191" w:name="_Toc520485057"/>
      <w:bookmarkStart w:id="192" w:name="_Toc160804602"/>
      <w:bookmarkStart w:id="193" w:name="_Toc167220300"/>
      <w:bookmarkStart w:id="194" w:name="_Toc177549034"/>
      <w:bookmarkStart w:id="195" w:name="_Hlk166860179"/>
      <w:r w:rsidRPr="00160A33">
        <w:rPr>
          <w:noProof/>
        </w:rPr>
        <w:t>3</w:t>
      </w:r>
      <w:r w:rsidRPr="00C3707B">
        <w:rPr>
          <w:noProof/>
        </w:rPr>
        <w:t>.</w:t>
      </w:r>
      <w:r w:rsidRPr="00160A33">
        <w:rPr>
          <w:noProof/>
        </w:rPr>
        <w:t>3</w:t>
      </w:r>
      <w:r w:rsidRPr="00C3707B">
        <w:rPr>
          <w:noProof/>
        </w:rPr>
        <w:t>.</w:t>
      </w:r>
      <w:r w:rsidRPr="00C3707B">
        <w:rPr>
          <w:noProof/>
        </w:rPr>
        <w:tab/>
        <w:t>Geraamde gevolgen voor de ontvangsten</w:t>
      </w:r>
      <w:bookmarkEnd w:id="190"/>
      <w:bookmarkEnd w:id="191"/>
      <w:bookmarkEnd w:id="192"/>
      <w:bookmarkEnd w:id="193"/>
      <w:bookmarkEnd w:id="194"/>
    </w:p>
    <w:bookmarkEnd w:id="195"/>
    <w:p w14:paraId="7FFBBE38" w14:textId="5D3C74D3" w:rsidR="00D37F2D" w:rsidRPr="00C3707B" w:rsidRDefault="00D37F2D" w:rsidP="00D37F2D">
      <w:pPr>
        <w:pStyle w:val="ListDash1"/>
        <w:rPr>
          <w:noProof/>
        </w:rPr>
      </w:pPr>
      <w:r w:rsidRPr="00C3707B">
        <w:rPr>
          <w:rFonts w:ascii="Wingdings" w:hAnsi="Wingdings"/>
          <w:noProof/>
        </w:rPr>
        <w:t></w:t>
      </w:r>
      <w:r w:rsidRPr="00C3707B">
        <w:rPr>
          <w:noProof/>
        </w:rPr>
        <w:tab/>
        <w:t>Het voorstel/initiatief heeft geen financiële gevolgen voor de ontvangsten</w:t>
      </w:r>
    </w:p>
    <w:p w14:paraId="77BD5A35" w14:textId="77777777" w:rsidR="00D37F2D" w:rsidRPr="00C3707B" w:rsidRDefault="00D37F2D" w:rsidP="00D37F2D">
      <w:pPr>
        <w:pStyle w:val="ListDash1"/>
        <w:rPr>
          <w:noProof/>
        </w:rPr>
      </w:pPr>
      <w:r w:rsidRPr="00C3707B">
        <w:rPr>
          <w:rFonts w:ascii="Wingdings" w:hAnsi="Wingdings"/>
          <w:noProof/>
        </w:rPr>
        <w:t></w:t>
      </w:r>
      <w:r w:rsidRPr="00C3707B">
        <w:rPr>
          <w:noProof/>
        </w:rPr>
        <w:tab/>
        <w:t>Het voorstel/initiatief heeft de hieronder beschreven financiële gevolgen:</w:t>
      </w:r>
    </w:p>
    <w:p w14:paraId="53A90340" w14:textId="77777777" w:rsidR="00D62518" w:rsidRDefault="00D37F2D" w:rsidP="007E76F2">
      <w:pPr>
        <w:pStyle w:val="Tiret2"/>
        <w:numPr>
          <w:ilvl w:val="0"/>
          <w:numId w:val="19"/>
        </w:numPr>
        <w:rPr>
          <w:noProof/>
        </w:rPr>
      </w:pPr>
      <w:r w:rsidRPr="00C3707B">
        <w:rPr>
          <w:rFonts w:ascii="Wingdings" w:hAnsi="Wingdings"/>
          <w:noProof/>
        </w:rPr>
        <w:t></w:t>
      </w:r>
      <w:r w:rsidRPr="00C3707B">
        <w:rPr>
          <w:noProof/>
        </w:rPr>
        <w:tab/>
        <w:t>voor de eigen middelen</w:t>
      </w:r>
    </w:p>
    <w:p w14:paraId="03B74495" w14:textId="79F5541E" w:rsidR="00D37F2D" w:rsidRPr="00C3707B" w:rsidRDefault="00D37F2D" w:rsidP="0032759E">
      <w:pPr>
        <w:pStyle w:val="Tiret2"/>
        <w:rPr>
          <w:noProof/>
        </w:rPr>
      </w:pPr>
      <w:r w:rsidRPr="00C3707B">
        <w:rPr>
          <w:rFonts w:ascii="Wingdings" w:hAnsi="Wingdings"/>
          <w:noProof/>
        </w:rPr>
        <w:t></w:t>
      </w:r>
      <w:r w:rsidRPr="00C3707B">
        <w:rPr>
          <w:noProof/>
        </w:rPr>
        <w:tab/>
        <w:t>voor overige ontvangsten</w:t>
      </w:r>
    </w:p>
    <w:p w14:paraId="28CEADE5" w14:textId="77777777" w:rsidR="00D37F2D" w:rsidRPr="00C3707B" w:rsidRDefault="00D37F2D" w:rsidP="0032759E">
      <w:pPr>
        <w:pStyle w:val="Tiret2"/>
        <w:rPr>
          <w:noProof/>
        </w:rPr>
      </w:pPr>
      <w:r w:rsidRPr="00C3707B">
        <w:rPr>
          <w:rFonts w:ascii="Wingdings" w:hAnsi="Wingdings"/>
          <w:noProof/>
        </w:rPr>
        <w:t></w:t>
      </w:r>
      <w:r w:rsidRPr="00C3707B">
        <w:rPr>
          <w:noProof/>
        </w:rPr>
        <w:tab/>
        <w:t>geef aan of de ontvangsten worden toegewezen aan de begrotingsonderdelen voor uitgaven</w:t>
      </w:r>
    </w:p>
    <w:p w14:paraId="1BF1F2A6" w14:textId="65A50B2F" w:rsidR="00D37F2D" w:rsidRPr="00C3707B" w:rsidRDefault="00D37F2D" w:rsidP="00D37F2D">
      <w:pPr>
        <w:jc w:val="right"/>
        <w:rPr>
          <w:noProof/>
          <w:sz w:val="20"/>
        </w:rPr>
      </w:pPr>
      <w:r w:rsidRPr="00C3707B">
        <w:rPr>
          <w:noProof/>
          <w:sz w:val="20"/>
        </w:rPr>
        <w:t>in miljoenen euro’s (tot op drie decimalen)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D37F2D" w:rsidRPr="00C3707B" w14:paraId="13C5A3A0" w14:textId="77777777">
        <w:trPr>
          <w:trHeight w:val="388"/>
        </w:trPr>
        <w:tc>
          <w:tcPr>
            <w:tcW w:w="1423" w:type="pct"/>
            <w:vMerge w:val="restart"/>
            <w:vAlign w:val="center"/>
          </w:tcPr>
          <w:p w14:paraId="2BF69695" w14:textId="77777777" w:rsidR="00D37F2D" w:rsidRPr="00C3707B" w:rsidRDefault="00D37F2D">
            <w:pPr>
              <w:spacing w:before="40" w:after="40"/>
              <w:rPr>
                <w:noProof/>
                <w:sz w:val="18"/>
              </w:rPr>
            </w:pPr>
            <w:r w:rsidRPr="00C3707B">
              <w:rPr>
                <w:noProof/>
                <w:sz w:val="18"/>
              </w:rPr>
              <w:t>Begrotingsonderdeel voor ontvangsten:</w:t>
            </w:r>
          </w:p>
        </w:tc>
        <w:tc>
          <w:tcPr>
            <w:tcW w:w="869" w:type="pct"/>
            <w:vMerge w:val="restart"/>
            <w:vAlign w:val="center"/>
          </w:tcPr>
          <w:p w14:paraId="2DFBA886" w14:textId="77777777" w:rsidR="00D37F2D" w:rsidRPr="00C3707B" w:rsidRDefault="00D37F2D">
            <w:pPr>
              <w:jc w:val="center"/>
              <w:rPr>
                <w:noProof/>
                <w:sz w:val="18"/>
              </w:rPr>
            </w:pPr>
            <w:r w:rsidRPr="00C3707B">
              <w:rPr>
                <w:noProof/>
                <w:sz w:val="18"/>
              </w:rPr>
              <w:t>Voor het lopende begrotingsjaar beschikbare kredieten</w:t>
            </w:r>
          </w:p>
        </w:tc>
        <w:tc>
          <w:tcPr>
            <w:tcW w:w="2709" w:type="pct"/>
            <w:gridSpan w:val="4"/>
            <w:vAlign w:val="center"/>
          </w:tcPr>
          <w:p w14:paraId="2A7CE0B7" w14:textId="77777777" w:rsidR="00D37F2D" w:rsidRPr="00C3707B" w:rsidRDefault="00D37F2D">
            <w:pPr>
              <w:jc w:val="center"/>
              <w:rPr>
                <w:noProof/>
                <w:sz w:val="18"/>
              </w:rPr>
            </w:pPr>
            <w:r w:rsidRPr="00C3707B">
              <w:rPr>
                <w:noProof/>
                <w:sz w:val="18"/>
              </w:rPr>
              <w:t>Gevolgen van het voorstel/initiatief</w:t>
            </w:r>
            <w:r w:rsidRPr="00C3707B">
              <w:rPr>
                <w:rStyle w:val="FootnoteReference"/>
                <w:noProof/>
                <w:sz w:val="18"/>
                <w:szCs w:val="18"/>
              </w:rPr>
              <w:footnoteReference w:id="106"/>
            </w:r>
          </w:p>
        </w:tc>
      </w:tr>
      <w:tr w:rsidR="00D37F2D" w:rsidRPr="00C3707B" w14:paraId="344B8EA5" w14:textId="77777777">
        <w:trPr>
          <w:trHeight w:val="388"/>
        </w:trPr>
        <w:tc>
          <w:tcPr>
            <w:tcW w:w="1423" w:type="pct"/>
            <w:vMerge/>
          </w:tcPr>
          <w:p w14:paraId="2022EE1E" w14:textId="77777777" w:rsidR="00D37F2D" w:rsidRPr="00C3707B" w:rsidRDefault="00D37F2D">
            <w:pPr>
              <w:spacing w:before="40" w:after="40"/>
              <w:rPr>
                <w:noProof/>
                <w:sz w:val="18"/>
              </w:rPr>
            </w:pPr>
          </w:p>
        </w:tc>
        <w:tc>
          <w:tcPr>
            <w:tcW w:w="869" w:type="pct"/>
            <w:vMerge/>
          </w:tcPr>
          <w:p w14:paraId="7715C931" w14:textId="77777777" w:rsidR="00D37F2D" w:rsidRPr="00C3707B" w:rsidRDefault="00D37F2D">
            <w:pPr>
              <w:spacing w:beforeLines="40" w:before="96" w:afterLines="40" w:after="96"/>
              <w:rPr>
                <w:i/>
                <w:noProof/>
                <w:sz w:val="18"/>
              </w:rPr>
            </w:pPr>
          </w:p>
        </w:tc>
        <w:tc>
          <w:tcPr>
            <w:tcW w:w="911" w:type="pct"/>
            <w:vAlign w:val="center"/>
          </w:tcPr>
          <w:p w14:paraId="19D443E8" w14:textId="77777777" w:rsidR="00D37F2D" w:rsidRPr="00C3707B" w:rsidRDefault="00D37F2D">
            <w:pPr>
              <w:jc w:val="center"/>
              <w:rPr>
                <w:noProof/>
                <w:sz w:val="18"/>
              </w:rPr>
            </w:pPr>
            <w:r w:rsidRPr="00C3707B">
              <w:rPr>
                <w:noProof/>
                <w:sz w:val="18"/>
              </w:rPr>
              <w:t xml:space="preserve">Jaar </w:t>
            </w:r>
            <w:r w:rsidRPr="00160A33">
              <w:rPr>
                <w:b/>
                <w:noProof/>
                <w:sz w:val="18"/>
              </w:rPr>
              <w:t>2024</w:t>
            </w:r>
          </w:p>
        </w:tc>
        <w:tc>
          <w:tcPr>
            <w:tcW w:w="562" w:type="pct"/>
            <w:vAlign w:val="center"/>
          </w:tcPr>
          <w:p w14:paraId="7F3DCC5B" w14:textId="77777777" w:rsidR="00D37F2D" w:rsidRPr="00C3707B" w:rsidRDefault="00D37F2D">
            <w:pPr>
              <w:jc w:val="center"/>
              <w:rPr>
                <w:noProof/>
                <w:sz w:val="18"/>
              </w:rPr>
            </w:pPr>
            <w:r w:rsidRPr="00C3707B">
              <w:rPr>
                <w:noProof/>
                <w:sz w:val="18"/>
              </w:rPr>
              <w:t xml:space="preserve">Jaar </w:t>
            </w:r>
            <w:r w:rsidRPr="00160A33">
              <w:rPr>
                <w:b/>
                <w:noProof/>
                <w:sz w:val="18"/>
              </w:rPr>
              <w:t>2025</w:t>
            </w:r>
          </w:p>
        </w:tc>
        <w:tc>
          <w:tcPr>
            <w:tcW w:w="557" w:type="pct"/>
            <w:vAlign w:val="center"/>
          </w:tcPr>
          <w:p w14:paraId="00D5BE4B" w14:textId="77777777" w:rsidR="00D37F2D" w:rsidRPr="00C3707B" w:rsidRDefault="00D37F2D">
            <w:pPr>
              <w:jc w:val="center"/>
              <w:rPr>
                <w:noProof/>
                <w:sz w:val="18"/>
              </w:rPr>
            </w:pPr>
            <w:r w:rsidRPr="00C3707B">
              <w:rPr>
                <w:noProof/>
                <w:sz w:val="18"/>
              </w:rPr>
              <w:t xml:space="preserve">Jaar </w:t>
            </w:r>
            <w:r w:rsidRPr="00160A33">
              <w:rPr>
                <w:b/>
                <w:noProof/>
                <w:sz w:val="18"/>
              </w:rPr>
              <w:t>2026</w:t>
            </w:r>
          </w:p>
        </w:tc>
        <w:tc>
          <w:tcPr>
            <w:tcW w:w="679" w:type="pct"/>
            <w:vAlign w:val="center"/>
          </w:tcPr>
          <w:p w14:paraId="22F1E0D8" w14:textId="77777777" w:rsidR="00D37F2D" w:rsidRPr="00C3707B" w:rsidRDefault="00D37F2D">
            <w:pPr>
              <w:jc w:val="center"/>
              <w:rPr>
                <w:noProof/>
                <w:sz w:val="18"/>
              </w:rPr>
            </w:pPr>
            <w:r w:rsidRPr="00C3707B">
              <w:rPr>
                <w:noProof/>
                <w:sz w:val="18"/>
              </w:rPr>
              <w:t xml:space="preserve">Jaar </w:t>
            </w:r>
            <w:r w:rsidRPr="00160A33">
              <w:rPr>
                <w:b/>
                <w:noProof/>
                <w:sz w:val="18"/>
              </w:rPr>
              <w:t>2027</w:t>
            </w:r>
          </w:p>
        </w:tc>
      </w:tr>
      <w:tr w:rsidR="00D37F2D" w:rsidRPr="00C3707B" w14:paraId="3D5EB5D5" w14:textId="77777777">
        <w:trPr>
          <w:trHeight w:val="388"/>
        </w:trPr>
        <w:tc>
          <w:tcPr>
            <w:tcW w:w="1423" w:type="pct"/>
            <w:vAlign w:val="center"/>
          </w:tcPr>
          <w:p w14:paraId="51AC1C8E" w14:textId="77777777" w:rsidR="00D37F2D" w:rsidRPr="00C3707B" w:rsidRDefault="00D37F2D">
            <w:pPr>
              <w:spacing w:before="40" w:after="40"/>
              <w:rPr>
                <w:noProof/>
                <w:sz w:val="18"/>
              </w:rPr>
            </w:pPr>
            <w:r w:rsidRPr="00C3707B">
              <w:rPr>
                <w:noProof/>
                <w:sz w:val="18"/>
              </w:rPr>
              <w:t>Artikel ………….</w:t>
            </w:r>
          </w:p>
        </w:tc>
        <w:tc>
          <w:tcPr>
            <w:tcW w:w="869" w:type="pct"/>
          </w:tcPr>
          <w:p w14:paraId="52D05627" w14:textId="77777777" w:rsidR="00D37F2D" w:rsidRPr="00C3707B" w:rsidRDefault="00D37F2D">
            <w:pPr>
              <w:spacing w:beforeLines="40" w:before="96" w:afterLines="40" w:after="96"/>
              <w:jc w:val="center"/>
              <w:rPr>
                <w:i/>
                <w:noProof/>
                <w:sz w:val="18"/>
              </w:rPr>
            </w:pPr>
          </w:p>
        </w:tc>
        <w:tc>
          <w:tcPr>
            <w:tcW w:w="911" w:type="pct"/>
          </w:tcPr>
          <w:p w14:paraId="1D86012B" w14:textId="77777777" w:rsidR="00D37F2D" w:rsidRPr="00C3707B" w:rsidRDefault="00D37F2D">
            <w:pPr>
              <w:spacing w:beforeLines="40" w:before="96" w:afterLines="40" w:after="96"/>
              <w:jc w:val="center"/>
              <w:rPr>
                <w:noProof/>
                <w:sz w:val="18"/>
              </w:rPr>
            </w:pPr>
          </w:p>
        </w:tc>
        <w:tc>
          <w:tcPr>
            <w:tcW w:w="562" w:type="pct"/>
          </w:tcPr>
          <w:p w14:paraId="38E790C9" w14:textId="77777777" w:rsidR="00D37F2D" w:rsidRPr="00C3707B" w:rsidRDefault="00D37F2D">
            <w:pPr>
              <w:spacing w:beforeLines="40" w:before="96" w:afterLines="40" w:after="96"/>
              <w:jc w:val="center"/>
              <w:rPr>
                <w:noProof/>
                <w:sz w:val="18"/>
              </w:rPr>
            </w:pPr>
          </w:p>
        </w:tc>
        <w:tc>
          <w:tcPr>
            <w:tcW w:w="557" w:type="pct"/>
          </w:tcPr>
          <w:p w14:paraId="26AA3168" w14:textId="77777777" w:rsidR="00D37F2D" w:rsidRPr="00C3707B" w:rsidRDefault="00D37F2D">
            <w:pPr>
              <w:spacing w:beforeLines="40" w:before="96" w:afterLines="40" w:after="96"/>
              <w:jc w:val="center"/>
              <w:rPr>
                <w:noProof/>
                <w:sz w:val="18"/>
              </w:rPr>
            </w:pPr>
          </w:p>
        </w:tc>
        <w:tc>
          <w:tcPr>
            <w:tcW w:w="679" w:type="pct"/>
          </w:tcPr>
          <w:p w14:paraId="6A363A12" w14:textId="77777777" w:rsidR="00D37F2D" w:rsidRPr="00C3707B" w:rsidRDefault="00D37F2D">
            <w:pPr>
              <w:spacing w:beforeLines="40" w:before="96" w:afterLines="40" w:after="96"/>
              <w:jc w:val="center"/>
              <w:rPr>
                <w:noProof/>
                <w:sz w:val="18"/>
              </w:rPr>
            </w:pPr>
          </w:p>
        </w:tc>
      </w:tr>
    </w:tbl>
    <w:p w14:paraId="7572786E" w14:textId="77777777" w:rsidR="00D37F2D" w:rsidRPr="00C3707B" w:rsidRDefault="00D37F2D" w:rsidP="00D37F2D">
      <w:pPr>
        <w:pStyle w:val="Text1"/>
        <w:rPr>
          <w:noProof/>
          <w:szCs w:val="24"/>
        </w:rPr>
      </w:pPr>
      <w:r w:rsidRPr="00C3707B">
        <w:rPr>
          <w:noProof/>
        </w:rPr>
        <w:t>Vermeld voor de toegewezen ontvangsten de betrokken begrotingsonderdelen voor uitgaven.</w:t>
      </w:r>
    </w:p>
    <w:p w14:paraId="13032B1D" w14:textId="77777777" w:rsidR="00D37F2D" w:rsidRPr="00C3707B" w:rsidRDefault="00D37F2D" w:rsidP="00D37F2D">
      <w:pPr>
        <w:pStyle w:val="Text1"/>
        <w:rPr>
          <w:noProof/>
          <w:szCs w:val="24"/>
        </w:rPr>
      </w:pPr>
      <w:r w:rsidRPr="00C3707B">
        <w:rPr>
          <w:noProof/>
        </w:rPr>
        <w:t>Andere opmerkingen (bv. over de methode/formule voor de berekening van de gevolgen voor de ontvangsten of andere informatie).</w:t>
      </w:r>
    </w:p>
    <w:p w14:paraId="52C6724D" w14:textId="77777777" w:rsidR="00D37F2D" w:rsidRPr="00C3707B" w:rsidRDefault="00D37F2D" w:rsidP="00D37F2D">
      <w:pPr>
        <w:pStyle w:val="ManualHeading1"/>
        <w:rPr>
          <w:caps/>
          <w:noProof/>
        </w:rPr>
      </w:pPr>
      <w:bookmarkStart w:id="196" w:name="_Toc167220301"/>
      <w:bookmarkStart w:id="197" w:name="_Toc177549035"/>
      <w:r w:rsidRPr="00160A33">
        <w:rPr>
          <w:noProof/>
        </w:rPr>
        <w:t>4</w:t>
      </w:r>
      <w:r w:rsidRPr="00C3707B">
        <w:rPr>
          <w:noProof/>
        </w:rPr>
        <w:t>.</w:t>
      </w:r>
      <w:r w:rsidRPr="00C3707B">
        <w:rPr>
          <w:noProof/>
        </w:rPr>
        <w:tab/>
      </w:r>
      <w:bookmarkStart w:id="198" w:name="_Hlk167692977"/>
      <w:r w:rsidRPr="00C3707B">
        <w:rPr>
          <w:caps/>
          <w:noProof/>
        </w:rPr>
        <w:t>Digitale dimensies</w:t>
      </w:r>
      <w:bookmarkEnd w:id="196"/>
      <w:bookmarkEnd w:id="197"/>
    </w:p>
    <w:p w14:paraId="221BE08C" w14:textId="77777777" w:rsidR="00D37F2D" w:rsidRPr="00C3707B" w:rsidRDefault="00D37F2D" w:rsidP="00D37F2D">
      <w:pPr>
        <w:pStyle w:val="ManualHeading2"/>
        <w:rPr>
          <w:noProof/>
        </w:rPr>
      </w:pPr>
      <w:bookmarkStart w:id="199" w:name="_Toc167220302"/>
      <w:bookmarkStart w:id="200" w:name="_Toc177549037"/>
      <w:r w:rsidRPr="00160A33">
        <w:rPr>
          <w:noProof/>
        </w:rPr>
        <w:t>4</w:t>
      </w:r>
      <w:r w:rsidRPr="00C3707B">
        <w:rPr>
          <w:noProof/>
        </w:rPr>
        <w:t>.</w:t>
      </w:r>
      <w:r w:rsidRPr="00160A33">
        <w:rPr>
          <w:noProof/>
        </w:rPr>
        <w:t>1</w:t>
      </w:r>
      <w:r w:rsidRPr="00C3707B">
        <w:rPr>
          <w:noProof/>
        </w:rPr>
        <w:t>.</w:t>
      </w:r>
      <w:r w:rsidRPr="00C3707B">
        <w:rPr>
          <w:noProof/>
        </w:rPr>
        <w:tab/>
        <w:t>Voorschriften met digitale relevantie</w:t>
      </w:r>
      <w:bookmarkEnd w:id="199"/>
      <w:bookmarkEnd w:id="200"/>
    </w:p>
    <w:tbl>
      <w:tblPr>
        <w:tblStyle w:val="TableGrid"/>
        <w:tblW w:w="9072" w:type="dxa"/>
        <w:tblInd w:w="-5" w:type="dxa"/>
        <w:tblLayout w:type="fixed"/>
        <w:tblLook w:val="06A0" w:firstRow="1" w:lastRow="0" w:firstColumn="1" w:lastColumn="0" w:noHBand="1" w:noVBand="1"/>
      </w:tblPr>
      <w:tblGrid>
        <w:gridCol w:w="9072"/>
      </w:tblGrid>
      <w:tr w:rsidR="00D37F2D" w:rsidRPr="00C3707B" w14:paraId="73BDEE91" w14:textId="77777777">
        <w:trPr>
          <w:trHeight w:val="300"/>
        </w:trPr>
        <w:tc>
          <w:tcPr>
            <w:tcW w:w="9072" w:type="dxa"/>
          </w:tcPr>
          <w:tbl>
            <w:tblPr>
              <w:tblStyle w:val="TableGrid"/>
              <w:tblW w:w="12284" w:type="dxa"/>
              <w:tblLayout w:type="fixed"/>
              <w:tblLook w:val="04A0" w:firstRow="1" w:lastRow="0" w:firstColumn="1" w:lastColumn="0" w:noHBand="0" w:noVBand="1"/>
            </w:tblPr>
            <w:tblGrid>
              <w:gridCol w:w="1413"/>
              <w:gridCol w:w="2410"/>
              <w:gridCol w:w="1481"/>
              <w:gridCol w:w="1936"/>
              <w:gridCol w:w="5044"/>
            </w:tblGrid>
            <w:tr w:rsidR="00D37F2D" w:rsidRPr="00C3707B" w14:paraId="46A2BEA6" w14:textId="77777777">
              <w:tc>
                <w:tcPr>
                  <w:tcW w:w="1413" w:type="dxa"/>
                  <w:shd w:val="clear" w:color="auto" w:fill="auto"/>
                </w:tcPr>
                <w:p w14:paraId="228215E8" w14:textId="77777777" w:rsidR="00D37F2D" w:rsidRPr="00C3707B" w:rsidRDefault="00D37F2D">
                  <w:pPr>
                    <w:rPr>
                      <w:noProof/>
                    </w:rPr>
                  </w:pPr>
                  <w:r w:rsidRPr="00C3707B">
                    <w:rPr>
                      <w:b/>
                      <w:noProof/>
                      <w:sz w:val="18"/>
                    </w:rPr>
                    <w:t>Verwijzing naar het voorschrift</w:t>
                  </w:r>
                </w:p>
              </w:tc>
              <w:tc>
                <w:tcPr>
                  <w:tcW w:w="2410" w:type="dxa"/>
                  <w:shd w:val="clear" w:color="auto" w:fill="auto"/>
                </w:tcPr>
                <w:p w14:paraId="7BC7E1F0" w14:textId="77777777" w:rsidR="00D62518" w:rsidRDefault="00D37F2D">
                  <w:pPr>
                    <w:rPr>
                      <w:b/>
                      <w:noProof/>
                      <w:sz w:val="18"/>
                    </w:rPr>
                  </w:pPr>
                  <w:r w:rsidRPr="00C3707B">
                    <w:rPr>
                      <w:b/>
                      <w:noProof/>
                      <w:sz w:val="18"/>
                    </w:rPr>
                    <w:t>Beschrijving van het voorschrift</w:t>
                  </w:r>
                </w:p>
                <w:p w14:paraId="5479135A" w14:textId="15EE8DF0" w:rsidR="00D37F2D" w:rsidRPr="00C3707B" w:rsidRDefault="00D37F2D">
                  <w:pPr>
                    <w:rPr>
                      <w:noProof/>
                    </w:rPr>
                  </w:pPr>
                </w:p>
              </w:tc>
              <w:tc>
                <w:tcPr>
                  <w:tcW w:w="1481" w:type="dxa"/>
                  <w:shd w:val="clear" w:color="auto" w:fill="auto"/>
                </w:tcPr>
                <w:p w14:paraId="43E857E9" w14:textId="77777777" w:rsidR="00D37F2D" w:rsidRPr="00C3707B" w:rsidRDefault="00D37F2D">
                  <w:pPr>
                    <w:rPr>
                      <w:noProof/>
                    </w:rPr>
                  </w:pPr>
                  <w:r w:rsidRPr="00C3707B">
                    <w:rPr>
                      <w:b/>
                      <w:noProof/>
                      <w:sz w:val="18"/>
                    </w:rPr>
                    <w:t>Betrokken categorieën belanghebbenden</w:t>
                  </w:r>
                </w:p>
              </w:tc>
              <w:tc>
                <w:tcPr>
                  <w:tcW w:w="1936" w:type="dxa"/>
                  <w:shd w:val="clear" w:color="auto" w:fill="auto"/>
                </w:tcPr>
                <w:p w14:paraId="438154EB" w14:textId="77777777" w:rsidR="00D37F2D" w:rsidRPr="00C3707B" w:rsidRDefault="00D37F2D">
                  <w:pPr>
                    <w:rPr>
                      <w:noProof/>
                    </w:rPr>
                  </w:pPr>
                  <w:r w:rsidRPr="00C3707B">
                    <w:rPr>
                      <w:b/>
                      <w:noProof/>
                      <w:sz w:val="18"/>
                    </w:rPr>
                    <w:t xml:space="preserve">Processen op hoog niveau waarop dit voorschrift betrekking heeft </w:t>
                  </w:r>
                </w:p>
              </w:tc>
              <w:tc>
                <w:tcPr>
                  <w:tcW w:w="5044" w:type="dxa"/>
                  <w:shd w:val="clear" w:color="auto" w:fill="auto"/>
                </w:tcPr>
                <w:p w14:paraId="53A39BF4" w14:textId="77777777" w:rsidR="00D37F2D" w:rsidRPr="00C3707B" w:rsidRDefault="00D37F2D">
                  <w:pPr>
                    <w:rPr>
                      <w:noProof/>
                    </w:rPr>
                  </w:pPr>
                  <w:r w:rsidRPr="00C3707B">
                    <w:rPr>
                      <w:b/>
                      <w:noProof/>
                      <w:sz w:val="18"/>
                    </w:rPr>
                    <w:t>Categorie</w:t>
                  </w:r>
                </w:p>
              </w:tc>
            </w:tr>
            <w:tr w:rsidR="00D37F2D" w:rsidRPr="00C3707B" w14:paraId="687BCA2F" w14:textId="77777777">
              <w:tc>
                <w:tcPr>
                  <w:tcW w:w="1413" w:type="dxa"/>
                  <w:shd w:val="clear" w:color="auto" w:fill="auto"/>
                </w:tcPr>
                <w:p w14:paraId="6C78CC6E" w14:textId="77777777" w:rsidR="00D37F2D" w:rsidRPr="00C3707B" w:rsidRDefault="00D37F2D">
                  <w:pPr>
                    <w:jc w:val="left"/>
                    <w:rPr>
                      <w:noProof/>
                      <w:sz w:val="18"/>
                      <w:szCs w:val="18"/>
                    </w:rPr>
                  </w:pPr>
                  <w:r w:rsidRPr="00C3707B">
                    <w:rPr>
                      <w:noProof/>
                      <w:sz w:val="18"/>
                    </w:rPr>
                    <w:t>Artikel </w:t>
                  </w:r>
                  <w:r w:rsidRPr="00160A33">
                    <w:rPr>
                      <w:noProof/>
                      <w:sz w:val="18"/>
                    </w:rPr>
                    <w:t>6</w:t>
                  </w:r>
                  <w:r w:rsidRPr="00C3707B">
                    <w:rPr>
                      <w:noProof/>
                      <w:sz w:val="18"/>
                    </w:rPr>
                    <w:t>, lid </w:t>
                  </w:r>
                  <w:r w:rsidRPr="00160A33">
                    <w:rPr>
                      <w:noProof/>
                      <w:sz w:val="18"/>
                    </w:rPr>
                    <w:t>1</w:t>
                  </w:r>
                </w:p>
              </w:tc>
              <w:tc>
                <w:tcPr>
                  <w:tcW w:w="2410" w:type="dxa"/>
                  <w:shd w:val="clear" w:color="auto" w:fill="auto"/>
                </w:tcPr>
                <w:p w14:paraId="714787E7" w14:textId="77777777" w:rsidR="00D37F2D" w:rsidRPr="00C3707B" w:rsidRDefault="00D37F2D">
                  <w:pPr>
                    <w:rPr>
                      <w:noProof/>
                      <w:sz w:val="18"/>
                      <w:szCs w:val="18"/>
                    </w:rPr>
                  </w:pPr>
                  <w:r w:rsidRPr="00C3707B">
                    <w:rPr>
                      <w:noProof/>
                      <w:sz w:val="18"/>
                    </w:rPr>
                    <w:t>Erkenning van strategische projecten</w:t>
                  </w:r>
                </w:p>
              </w:tc>
              <w:tc>
                <w:tcPr>
                  <w:tcW w:w="1481" w:type="dxa"/>
                  <w:shd w:val="clear" w:color="auto" w:fill="auto"/>
                </w:tcPr>
                <w:p w14:paraId="60359124" w14:textId="77777777" w:rsidR="00D37F2D" w:rsidRPr="00C3707B" w:rsidRDefault="00D37F2D">
                  <w:pPr>
                    <w:rPr>
                      <w:noProof/>
                      <w:sz w:val="18"/>
                      <w:szCs w:val="14"/>
                    </w:rPr>
                  </w:pPr>
                  <w:r w:rsidRPr="00C3707B">
                    <w:rPr>
                      <w:noProof/>
                      <w:sz w:val="18"/>
                    </w:rPr>
                    <w:t>Projectontwikkelaar</w:t>
                  </w:r>
                </w:p>
                <w:p w14:paraId="020E0566" w14:textId="77777777" w:rsidR="00D37F2D" w:rsidRPr="00C3707B" w:rsidRDefault="00D37F2D">
                  <w:pPr>
                    <w:rPr>
                      <w:noProof/>
                      <w:sz w:val="18"/>
                      <w:szCs w:val="18"/>
                    </w:rPr>
                  </w:pPr>
                  <w:r w:rsidRPr="00C3707B">
                    <w:rPr>
                      <w:noProof/>
                      <w:sz w:val="18"/>
                    </w:rPr>
                    <w:t>Nationale autoriteit</w:t>
                  </w:r>
                </w:p>
              </w:tc>
              <w:tc>
                <w:tcPr>
                  <w:tcW w:w="1936" w:type="dxa"/>
                  <w:shd w:val="clear" w:color="auto" w:fill="auto"/>
                </w:tcPr>
                <w:p w14:paraId="6EF1BC12" w14:textId="77777777" w:rsidR="00D37F2D" w:rsidRPr="00C3707B" w:rsidRDefault="00D37F2D">
                  <w:pPr>
                    <w:rPr>
                      <w:noProof/>
                      <w:sz w:val="18"/>
                      <w:szCs w:val="18"/>
                    </w:rPr>
                  </w:pPr>
                  <w:r w:rsidRPr="00C3707B">
                    <w:rPr>
                      <w:noProof/>
                      <w:sz w:val="18"/>
                    </w:rPr>
                    <w:t>Verzoek om erkenning van strategisch project</w:t>
                  </w:r>
                </w:p>
              </w:tc>
              <w:tc>
                <w:tcPr>
                  <w:tcW w:w="5044" w:type="dxa"/>
                  <w:shd w:val="clear" w:color="auto" w:fill="auto"/>
                </w:tcPr>
                <w:p w14:paraId="4AC8EA37" w14:textId="77777777" w:rsidR="00D37F2D" w:rsidRPr="00C3707B" w:rsidRDefault="00D37F2D">
                  <w:pPr>
                    <w:rPr>
                      <w:noProof/>
                      <w:sz w:val="18"/>
                      <w:szCs w:val="14"/>
                    </w:rPr>
                  </w:pPr>
                  <w:r w:rsidRPr="00C3707B">
                    <w:rPr>
                      <w:noProof/>
                      <w:sz w:val="18"/>
                    </w:rPr>
                    <w:t>Gegevens</w:t>
                  </w:r>
                </w:p>
                <w:p w14:paraId="5E5D4BF0" w14:textId="77777777" w:rsidR="00D62518" w:rsidRDefault="00D37F2D">
                  <w:pPr>
                    <w:rPr>
                      <w:noProof/>
                      <w:sz w:val="18"/>
                    </w:rPr>
                  </w:pPr>
                  <w:r w:rsidRPr="00C3707B">
                    <w:rPr>
                      <w:noProof/>
                      <w:sz w:val="18"/>
                    </w:rPr>
                    <w:t>Digitale overheids-</w:t>
                  </w:r>
                </w:p>
                <w:p w14:paraId="338DF84F" w14:textId="3E33A568" w:rsidR="00D37F2D" w:rsidRPr="00C3707B" w:rsidRDefault="00D37F2D">
                  <w:pPr>
                    <w:rPr>
                      <w:noProof/>
                      <w:sz w:val="18"/>
                      <w:szCs w:val="18"/>
                    </w:rPr>
                  </w:pPr>
                  <w:r w:rsidRPr="00C3707B">
                    <w:rPr>
                      <w:noProof/>
                      <w:sz w:val="18"/>
                    </w:rPr>
                    <w:t>dienst</w:t>
                  </w:r>
                </w:p>
              </w:tc>
            </w:tr>
            <w:tr w:rsidR="00D37F2D" w:rsidRPr="00C3707B" w14:paraId="637455AC" w14:textId="77777777">
              <w:tc>
                <w:tcPr>
                  <w:tcW w:w="1413" w:type="dxa"/>
                  <w:shd w:val="clear" w:color="auto" w:fill="auto"/>
                </w:tcPr>
                <w:p w14:paraId="700864F5" w14:textId="77777777" w:rsidR="00D37F2D" w:rsidRPr="00C3707B" w:rsidRDefault="00D37F2D">
                  <w:pPr>
                    <w:jc w:val="left"/>
                    <w:rPr>
                      <w:rFonts w:eastAsiaTheme="minorHAnsi"/>
                      <w:noProof/>
                    </w:rPr>
                  </w:pPr>
                  <w:r w:rsidRPr="00C3707B">
                    <w:rPr>
                      <w:noProof/>
                      <w:sz w:val="18"/>
                    </w:rPr>
                    <w:t>Artikel </w:t>
                  </w:r>
                  <w:r w:rsidRPr="00160A33">
                    <w:rPr>
                      <w:noProof/>
                      <w:sz w:val="18"/>
                    </w:rPr>
                    <w:t>6</w:t>
                  </w:r>
                  <w:r w:rsidRPr="00C3707B">
                    <w:rPr>
                      <w:noProof/>
                      <w:sz w:val="18"/>
                    </w:rPr>
                    <w:t>, lid </w:t>
                  </w:r>
                  <w:r w:rsidRPr="00160A33">
                    <w:rPr>
                      <w:noProof/>
                      <w:sz w:val="18"/>
                    </w:rPr>
                    <w:t>2</w:t>
                  </w:r>
                </w:p>
              </w:tc>
              <w:tc>
                <w:tcPr>
                  <w:tcW w:w="2410" w:type="dxa"/>
                  <w:shd w:val="clear" w:color="auto" w:fill="auto"/>
                </w:tcPr>
                <w:p w14:paraId="0D15FCD3" w14:textId="77777777" w:rsidR="00D37F2D" w:rsidRPr="00C3707B" w:rsidRDefault="00D37F2D">
                  <w:pPr>
                    <w:rPr>
                      <w:noProof/>
                      <w:sz w:val="18"/>
                      <w:szCs w:val="18"/>
                    </w:rPr>
                  </w:pPr>
                  <w:r w:rsidRPr="00C3707B">
                    <w:rPr>
                      <w:noProof/>
                      <w:sz w:val="18"/>
                    </w:rPr>
                    <w:t xml:space="preserve">De lidstaten stellen de Commissie ervan in kennis welke autoriteit is aangewezen om strategische projecten te beoordelen en te bevestigen </w:t>
                  </w:r>
                </w:p>
              </w:tc>
              <w:tc>
                <w:tcPr>
                  <w:tcW w:w="1481" w:type="dxa"/>
                  <w:shd w:val="clear" w:color="auto" w:fill="auto"/>
                </w:tcPr>
                <w:p w14:paraId="1F90DAD5" w14:textId="77777777" w:rsidR="00D37F2D" w:rsidRPr="00C3707B" w:rsidRDefault="00D37F2D">
                  <w:pPr>
                    <w:rPr>
                      <w:noProof/>
                    </w:rPr>
                  </w:pPr>
                  <w:r w:rsidRPr="00C3707B">
                    <w:rPr>
                      <w:noProof/>
                      <w:sz w:val="18"/>
                    </w:rPr>
                    <w:t>Commissie, lidstaten</w:t>
                  </w:r>
                </w:p>
              </w:tc>
              <w:tc>
                <w:tcPr>
                  <w:tcW w:w="1936" w:type="dxa"/>
                  <w:shd w:val="clear" w:color="auto" w:fill="auto"/>
                </w:tcPr>
                <w:p w14:paraId="1327EF5B" w14:textId="77777777" w:rsidR="00D37F2D" w:rsidRPr="00C3707B" w:rsidRDefault="00D37F2D">
                  <w:pPr>
                    <w:rPr>
                      <w:noProof/>
                    </w:rPr>
                  </w:pPr>
                  <w:r w:rsidRPr="00C3707B">
                    <w:rPr>
                      <w:noProof/>
                      <w:sz w:val="18"/>
                    </w:rPr>
                    <w:t xml:space="preserve">Kennisgeving </w:t>
                  </w:r>
                </w:p>
              </w:tc>
              <w:tc>
                <w:tcPr>
                  <w:tcW w:w="5044" w:type="dxa"/>
                  <w:shd w:val="clear" w:color="auto" w:fill="auto"/>
                </w:tcPr>
                <w:p w14:paraId="7E161E97" w14:textId="77777777" w:rsidR="00D37F2D" w:rsidRPr="00C3707B" w:rsidRDefault="00D37F2D">
                  <w:pPr>
                    <w:rPr>
                      <w:noProof/>
                      <w:sz w:val="18"/>
                      <w:szCs w:val="18"/>
                    </w:rPr>
                  </w:pPr>
                  <w:r w:rsidRPr="00C3707B">
                    <w:rPr>
                      <w:noProof/>
                      <w:sz w:val="18"/>
                    </w:rPr>
                    <w:t>Gegevens</w:t>
                  </w:r>
                </w:p>
                <w:p w14:paraId="2B31A2E4" w14:textId="77777777" w:rsidR="00D62518" w:rsidRDefault="00D37F2D">
                  <w:pPr>
                    <w:rPr>
                      <w:noProof/>
                      <w:sz w:val="18"/>
                    </w:rPr>
                  </w:pPr>
                  <w:r w:rsidRPr="00C3707B">
                    <w:rPr>
                      <w:noProof/>
                      <w:sz w:val="18"/>
                    </w:rPr>
                    <w:t>Digitale overheids-</w:t>
                  </w:r>
                </w:p>
                <w:p w14:paraId="77F3EA66" w14:textId="3C372921" w:rsidR="00D37F2D" w:rsidRPr="00C3707B" w:rsidRDefault="00D37F2D">
                  <w:pPr>
                    <w:rPr>
                      <w:noProof/>
                    </w:rPr>
                  </w:pPr>
                  <w:r w:rsidRPr="00C3707B">
                    <w:rPr>
                      <w:noProof/>
                      <w:sz w:val="18"/>
                    </w:rPr>
                    <w:t>dienst</w:t>
                  </w:r>
                </w:p>
              </w:tc>
            </w:tr>
            <w:tr w:rsidR="00D37F2D" w:rsidRPr="00C3707B" w14:paraId="14E5EB68" w14:textId="77777777">
              <w:tc>
                <w:tcPr>
                  <w:tcW w:w="1413" w:type="dxa"/>
                  <w:shd w:val="clear" w:color="auto" w:fill="auto"/>
                </w:tcPr>
                <w:p w14:paraId="010782D3" w14:textId="77777777" w:rsidR="00D37F2D" w:rsidRPr="00C3707B" w:rsidRDefault="00D37F2D">
                  <w:pPr>
                    <w:jc w:val="left"/>
                    <w:rPr>
                      <w:noProof/>
                    </w:rPr>
                  </w:pPr>
                  <w:r w:rsidRPr="00C3707B">
                    <w:rPr>
                      <w:noProof/>
                      <w:sz w:val="18"/>
                    </w:rPr>
                    <w:t>Artikel </w:t>
                  </w:r>
                  <w:r w:rsidRPr="00160A33">
                    <w:rPr>
                      <w:noProof/>
                      <w:sz w:val="18"/>
                    </w:rPr>
                    <w:t>6</w:t>
                  </w:r>
                  <w:r w:rsidRPr="00C3707B">
                    <w:rPr>
                      <w:noProof/>
                      <w:sz w:val="18"/>
                    </w:rPr>
                    <w:t>, lid </w:t>
                  </w:r>
                  <w:r w:rsidRPr="00160A33">
                    <w:rPr>
                      <w:noProof/>
                      <w:sz w:val="18"/>
                    </w:rPr>
                    <w:t>3</w:t>
                  </w:r>
                </w:p>
              </w:tc>
              <w:tc>
                <w:tcPr>
                  <w:tcW w:w="2410" w:type="dxa"/>
                  <w:shd w:val="clear" w:color="auto" w:fill="auto"/>
                </w:tcPr>
                <w:p w14:paraId="18329C3E" w14:textId="77777777" w:rsidR="00D37F2D" w:rsidRPr="00C3707B" w:rsidRDefault="00D37F2D">
                  <w:pPr>
                    <w:rPr>
                      <w:noProof/>
                    </w:rPr>
                  </w:pPr>
                  <w:r w:rsidRPr="00C3707B">
                    <w:rPr>
                      <w:noProof/>
                      <w:sz w:val="18"/>
                    </w:rPr>
                    <w:t>De Commissie maakt de lijst van aangewezen autoriteiten van de lidstaten online bekend</w:t>
                  </w:r>
                </w:p>
              </w:tc>
              <w:tc>
                <w:tcPr>
                  <w:tcW w:w="1481" w:type="dxa"/>
                  <w:shd w:val="clear" w:color="auto" w:fill="auto"/>
                </w:tcPr>
                <w:p w14:paraId="68A0A3DB" w14:textId="77777777" w:rsidR="00D37F2D" w:rsidRPr="00C3707B" w:rsidRDefault="00D37F2D">
                  <w:pPr>
                    <w:rPr>
                      <w:noProof/>
                    </w:rPr>
                  </w:pPr>
                  <w:r w:rsidRPr="00C3707B">
                    <w:rPr>
                      <w:noProof/>
                      <w:sz w:val="18"/>
                    </w:rPr>
                    <w:t>Commissie, lidstaten</w:t>
                  </w:r>
                </w:p>
              </w:tc>
              <w:tc>
                <w:tcPr>
                  <w:tcW w:w="1936" w:type="dxa"/>
                  <w:shd w:val="clear" w:color="auto" w:fill="auto"/>
                </w:tcPr>
                <w:p w14:paraId="75BAE9C6" w14:textId="77777777" w:rsidR="00D37F2D" w:rsidRPr="00C3707B" w:rsidRDefault="00D37F2D">
                  <w:pPr>
                    <w:rPr>
                      <w:noProof/>
                    </w:rPr>
                  </w:pPr>
                  <w:r w:rsidRPr="00C3707B">
                    <w:rPr>
                      <w:noProof/>
                      <w:sz w:val="18"/>
                    </w:rPr>
                    <w:t xml:space="preserve">Bekendmaking </w:t>
                  </w:r>
                </w:p>
              </w:tc>
              <w:tc>
                <w:tcPr>
                  <w:tcW w:w="5044" w:type="dxa"/>
                  <w:shd w:val="clear" w:color="auto" w:fill="auto"/>
                </w:tcPr>
                <w:p w14:paraId="1EA757F4" w14:textId="77777777" w:rsidR="00D37F2D" w:rsidRPr="00C3707B" w:rsidRDefault="00D37F2D">
                  <w:pPr>
                    <w:rPr>
                      <w:noProof/>
                    </w:rPr>
                  </w:pPr>
                  <w:r w:rsidRPr="00C3707B">
                    <w:rPr>
                      <w:noProof/>
                      <w:sz w:val="18"/>
                    </w:rPr>
                    <w:t>Gegevens</w:t>
                  </w:r>
                </w:p>
              </w:tc>
            </w:tr>
            <w:tr w:rsidR="00D37F2D" w:rsidRPr="00C3707B" w14:paraId="2A6D2D05" w14:textId="77777777">
              <w:tc>
                <w:tcPr>
                  <w:tcW w:w="1413" w:type="dxa"/>
                  <w:shd w:val="clear" w:color="auto" w:fill="auto"/>
                </w:tcPr>
                <w:p w14:paraId="5384BE5C" w14:textId="77777777" w:rsidR="00D37F2D" w:rsidRPr="00C3707B" w:rsidRDefault="00D37F2D">
                  <w:pPr>
                    <w:jc w:val="left"/>
                    <w:rPr>
                      <w:noProof/>
                      <w:sz w:val="18"/>
                      <w:szCs w:val="18"/>
                    </w:rPr>
                  </w:pPr>
                  <w:r w:rsidRPr="00C3707B">
                    <w:rPr>
                      <w:noProof/>
                      <w:sz w:val="18"/>
                    </w:rPr>
                    <w:t>Artikel </w:t>
                  </w:r>
                  <w:r w:rsidRPr="00160A33">
                    <w:rPr>
                      <w:noProof/>
                      <w:sz w:val="18"/>
                    </w:rPr>
                    <w:t>12</w:t>
                  </w:r>
                </w:p>
              </w:tc>
              <w:tc>
                <w:tcPr>
                  <w:tcW w:w="2410" w:type="dxa"/>
                  <w:shd w:val="clear" w:color="auto" w:fill="auto"/>
                </w:tcPr>
                <w:p w14:paraId="2687B780" w14:textId="77777777" w:rsidR="00D37F2D" w:rsidRPr="00C3707B" w:rsidRDefault="00D37F2D">
                  <w:pPr>
                    <w:rPr>
                      <w:noProof/>
                      <w:sz w:val="18"/>
                      <w:szCs w:val="18"/>
                    </w:rPr>
                  </w:pPr>
                  <w:r w:rsidRPr="00C3707B">
                    <w:rPr>
                      <w:noProof/>
                      <w:sz w:val="18"/>
                    </w:rPr>
                    <w:t>Combinatie van milieubeoordelingen op verschillende rechtsgrondslagen via gezamenlijke of gecoördineerde procedures</w:t>
                  </w:r>
                </w:p>
              </w:tc>
              <w:tc>
                <w:tcPr>
                  <w:tcW w:w="1481" w:type="dxa"/>
                  <w:shd w:val="clear" w:color="auto" w:fill="auto"/>
                </w:tcPr>
                <w:p w14:paraId="3F976871" w14:textId="77777777" w:rsidR="00D37F2D" w:rsidRPr="00C3707B" w:rsidRDefault="00D37F2D">
                  <w:pPr>
                    <w:rPr>
                      <w:noProof/>
                      <w:sz w:val="18"/>
                      <w:szCs w:val="14"/>
                    </w:rPr>
                  </w:pPr>
                  <w:r w:rsidRPr="00C3707B">
                    <w:rPr>
                      <w:noProof/>
                      <w:sz w:val="18"/>
                    </w:rPr>
                    <w:t>Projectontwikkelaar</w:t>
                  </w:r>
                </w:p>
                <w:p w14:paraId="2E8E80B5" w14:textId="77777777" w:rsidR="00D37F2D" w:rsidRPr="00C3707B" w:rsidRDefault="00D37F2D">
                  <w:pPr>
                    <w:rPr>
                      <w:noProof/>
                      <w:sz w:val="18"/>
                      <w:szCs w:val="18"/>
                    </w:rPr>
                  </w:pPr>
                  <w:r w:rsidRPr="00C3707B">
                    <w:rPr>
                      <w:noProof/>
                      <w:sz w:val="18"/>
                    </w:rPr>
                    <w:t>Nationale autoriteit</w:t>
                  </w:r>
                </w:p>
              </w:tc>
              <w:tc>
                <w:tcPr>
                  <w:tcW w:w="1936" w:type="dxa"/>
                  <w:shd w:val="clear" w:color="auto" w:fill="auto"/>
                </w:tcPr>
                <w:p w14:paraId="2BEC6870" w14:textId="77777777" w:rsidR="00D37F2D" w:rsidRPr="00C3707B" w:rsidRDefault="00D37F2D">
                  <w:pPr>
                    <w:rPr>
                      <w:noProof/>
                      <w:sz w:val="18"/>
                      <w:szCs w:val="18"/>
                    </w:rPr>
                  </w:pPr>
                  <w:r w:rsidRPr="00C3707B">
                    <w:rPr>
                      <w:noProof/>
                      <w:sz w:val="18"/>
                    </w:rPr>
                    <w:t>Strategische projecten beoordelen op meer rechtsgrondslagen</w:t>
                  </w:r>
                </w:p>
              </w:tc>
              <w:tc>
                <w:tcPr>
                  <w:tcW w:w="5044" w:type="dxa"/>
                  <w:shd w:val="clear" w:color="auto" w:fill="auto"/>
                </w:tcPr>
                <w:p w14:paraId="6267F7A9" w14:textId="77777777" w:rsidR="00D62518" w:rsidRDefault="00D37F2D">
                  <w:pPr>
                    <w:rPr>
                      <w:noProof/>
                      <w:sz w:val="18"/>
                    </w:rPr>
                  </w:pPr>
                  <w:r w:rsidRPr="00C3707B">
                    <w:rPr>
                      <w:noProof/>
                      <w:sz w:val="18"/>
                    </w:rPr>
                    <w:t>Gegevens</w:t>
                  </w:r>
                </w:p>
                <w:p w14:paraId="73B08441" w14:textId="2A42DEBE" w:rsidR="00D37F2D" w:rsidRPr="00C3707B" w:rsidRDefault="00D37F2D">
                  <w:pPr>
                    <w:rPr>
                      <w:noProof/>
                      <w:sz w:val="18"/>
                      <w:szCs w:val="14"/>
                    </w:rPr>
                  </w:pPr>
                  <w:r w:rsidRPr="00C3707B">
                    <w:rPr>
                      <w:noProof/>
                      <w:sz w:val="18"/>
                    </w:rPr>
                    <w:t>Digitale oplossing</w:t>
                  </w:r>
                </w:p>
                <w:p w14:paraId="75AE7D24" w14:textId="77777777" w:rsidR="00D62518" w:rsidRDefault="00D37F2D">
                  <w:pPr>
                    <w:rPr>
                      <w:noProof/>
                      <w:sz w:val="18"/>
                    </w:rPr>
                  </w:pPr>
                  <w:r w:rsidRPr="00C3707B">
                    <w:rPr>
                      <w:noProof/>
                      <w:sz w:val="18"/>
                    </w:rPr>
                    <w:t>Digitale overheids-</w:t>
                  </w:r>
                </w:p>
                <w:p w14:paraId="726F145D" w14:textId="49950A07" w:rsidR="00D37F2D" w:rsidRPr="00C3707B" w:rsidRDefault="00D37F2D">
                  <w:pPr>
                    <w:rPr>
                      <w:noProof/>
                      <w:sz w:val="18"/>
                      <w:szCs w:val="18"/>
                    </w:rPr>
                  </w:pPr>
                  <w:r w:rsidRPr="00C3707B">
                    <w:rPr>
                      <w:noProof/>
                      <w:sz w:val="18"/>
                    </w:rPr>
                    <w:t>dienst</w:t>
                  </w:r>
                </w:p>
              </w:tc>
            </w:tr>
            <w:tr w:rsidR="00D37F2D" w:rsidRPr="00C3707B" w14:paraId="398BA4B5" w14:textId="77777777">
              <w:tc>
                <w:tcPr>
                  <w:tcW w:w="1413" w:type="dxa"/>
                  <w:shd w:val="clear" w:color="auto" w:fill="auto"/>
                </w:tcPr>
                <w:p w14:paraId="3964EEC3" w14:textId="77777777" w:rsidR="00D37F2D" w:rsidRPr="00C3707B" w:rsidRDefault="00D37F2D">
                  <w:pPr>
                    <w:jc w:val="left"/>
                    <w:rPr>
                      <w:noProof/>
                      <w:sz w:val="18"/>
                      <w:szCs w:val="14"/>
                    </w:rPr>
                  </w:pPr>
                  <w:r w:rsidRPr="00C3707B">
                    <w:rPr>
                      <w:noProof/>
                      <w:sz w:val="18"/>
                    </w:rPr>
                    <w:t>Artikel </w:t>
                  </w:r>
                  <w:r w:rsidRPr="00160A33">
                    <w:rPr>
                      <w:noProof/>
                      <w:sz w:val="18"/>
                    </w:rPr>
                    <w:t>13</w:t>
                  </w:r>
                </w:p>
                <w:p w14:paraId="70286F6D" w14:textId="77777777" w:rsidR="00D37F2D" w:rsidRPr="00C3707B" w:rsidRDefault="00D37F2D">
                  <w:pPr>
                    <w:jc w:val="left"/>
                    <w:rPr>
                      <w:noProof/>
                      <w:sz w:val="18"/>
                      <w:szCs w:val="14"/>
                    </w:rPr>
                  </w:pPr>
                  <w:r w:rsidRPr="00C3707B">
                    <w:rPr>
                      <w:noProof/>
                      <w:sz w:val="18"/>
                    </w:rPr>
                    <w:t>lid </w:t>
                  </w:r>
                  <w:r w:rsidRPr="00160A33">
                    <w:rPr>
                      <w:noProof/>
                      <w:sz w:val="18"/>
                    </w:rPr>
                    <w:t>1</w:t>
                  </w:r>
                </w:p>
              </w:tc>
              <w:tc>
                <w:tcPr>
                  <w:tcW w:w="2410" w:type="dxa"/>
                  <w:shd w:val="clear" w:color="auto" w:fill="auto"/>
                </w:tcPr>
                <w:p w14:paraId="5A479877" w14:textId="77777777" w:rsidR="00D37F2D" w:rsidRPr="00C3707B" w:rsidRDefault="00D37F2D">
                  <w:pPr>
                    <w:rPr>
                      <w:noProof/>
                      <w:sz w:val="18"/>
                      <w:szCs w:val="14"/>
                    </w:rPr>
                  </w:pPr>
                  <w:r w:rsidRPr="00C3707B">
                    <w:rPr>
                      <w:noProof/>
                      <w:sz w:val="18"/>
                    </w:rPr>
                    <w:t>Beschikbaarheid van relevante gegevens inzake ruimtelijke ordening</w:t>
                  </w:r>
                </w:p>
              </w:tc>
              <w:tc>
                <w:tcPr>
                  <w:tcW w:w="1481" w:type="dxa"/>
                  <w:shd w:val="clear" w:color="auto" w:fill="auto"/>
                </w:tcPr>
                <w:p w14:paraId="07B0EE6B" w14:textId="77777777" w:rsidR="00D37F2D" w:rsidRPr="00C3707B" w:rsidRDefault="00D37F2D">
                  <w:pPr>
                    <w:rPr>
                      <w:noProof/>
                      <w:sz w:val="18"/>
                      <w:szCs w:val="14"/>
                    </w:rPr>
                  </w:pPr>
                  <w:r w:rsidRPr="00C3707B">
                    <w:rPr>
                      <w:noProof/>
                      <w:sz w:val="18"/>
                    </w:rPr>
                    <w:t>Lidstaten</w:t>
                  </w:r>
                </w:p>
              </w:tc>
              <w:tc>
                <w:tcPr>
                  <w:tcW w:w="1936" w:type="dxa"/>
                  <w:shd w:val="clear" w:color="auto" w:fill="auto"/>
                </w:tcPr>
                <w:p w14:paraId="29B7228A" w14:textId="77777777" w:rsidR="00D37F2D" w:rsidRPr="00C3707B" w:rsidRDefault="00D37F2D">
                  <w:pPr>
                    <w:rPr>
                      <w:noProof/>
                      <w:sz w:val="18"/>
                      <w:szCs w:val="14"/>
                    </w:rPr>
                  </w:pPr>
                  <w:r w:rsidRPr="00C3707B">
                    <w:rPr>
                      <w:noProof/>
                      <w:sz w:val="18"/>
                    </w:rPr>
                    <w:t>Beschikbaar stellen van gegevens inzake ruimtelijke ordening</w:t>
                  </w:r>
                </w:p>
              </w:tc>
              <w:tc>
                <w:tcPr>
                  <w:tcW w:w="5044" w:type="dxa"/>
                  <w:shd w:val="clear" w:color="auto" w:fill="auto"/>
                </w:tcPr>
                <w:p w14:paraId="71B4CD4A" w14:textId="77777777" w:rsidR="00D37F2D" w:rsidRPr="00C3707B" w:rsidRDefault="00D37F2D">
                  <w:pPr>
                    <w:rPr>
                      <w:noProof/>
                      <w:sz w:val="18"/>
                      <w:szCs w:val="14"/>
                    </w:rPr>
                  </w:pPr>
                  <w:r w:rsidRPr="00C3707B">
                    <w:rPr>
                      <w:noProof/>
                      <w:sz w:val="18"/>
                    </w:rPr>
                    <w:t>Gegevens</w:t>
                  </w:r>
                </w:p>
                <w:p w14:paraId="403482D3" w14:textId="77777777" w:rsidR="00D37F2D" w:rsidRPr="00C3707B" w:rsidRDefault="00D37F2D">
                  <w:pPr>
                    <w:rPr>
                      <w:noProof/>
                      <w:sz w:val="18"/>
                      <w:szCs w:val="14"/>
                    </w:rPr>
                  </w:pPr>
                  <w:r w:rsidRPr="00C3707B">
                    <w:rPr>
                      <w:noProof/>
                      <w:sz w:val="18"/>
                    </w:rPr>
                    <w:t>Digitale oplossing</w:t>
                  </w:r>
                </w:p>
              </w:tc>
            </w:tr>
            <w:tr w:rsidR="00D37F2D" w:rsidRPr="00C3707B" w14:paraId="1391A137" w14:textId="77777777">
              <w:tc>
                <w:tcPr>
                  <w:tcW w:w="1413" w:type="dxa"/>
                  <w:shd w:val="clear" w:color="auto" w:fill="auto"/>
                </w:tcPr>
                <w:p w14:paraId="2469F039" w14:textId="77777777" w:rsidR="00D62518" w:rsidRDefault="00D37F2D">
                  <w:pPr>
                    <w:jc w:val="left"/>
                    <w:rPr>
                      <w:noProof/>
                      <w:sz w:val="18"/>
                    </w:rPr>
                  </w:pPr>
                  <w:r w:rsidRPr="00C3707B">
                    <w:rPr>
                      <w:noProof/>
                      <w:sz w:val="18"/>
                    </w:rPr>
                    <w:t>Artikel </w:t>
                  </w:r>
                  <w:r w:rsidRPr="00160A33">
                    <w:rPr>
                      <w:noProof/>
                      <w:sz w:val="18"/>
                    </w:rPr>
                    <w:t>13</w:t>
                  </w:r>
                </w:p>
                <w:p w14:paraId="06B09BED" w14:textId="4203BCAC" w:rsidR="00D37F2D" w:rsidRPr="00C3707B" w:rsidRDefault="00D37F2D">
                  <w:pPr>
                    <w:jc w:val="left"/>
                    <w:rPr>
                      <w:noProof/>
                      <w:sz w:val="18"/>
                      <w:szCs w:val="14"/>
                    </w:rPr>
                  </w:pPr>
                  <w:r w:rsidRPr="00C3707B">
                    <w:rPr>
                      <w:noProof/>
                      <w:sz w:val="18"/>
                    </w:rPr>
                    <w:t>lid </w:t>
                  </w:r>
                  <w:r w:rsidRPr="00160A33">
                    <w:rPr>
                      <w:noProof/>
                      <w:sz w:val="18"/>
                    </w:rPr>
                    <w:t>2</w:t>
                  </w:r>
                </w:p>
              </w:tc>
              <w:tc>
                <w:tcPr>
                  <w:tcW w:w="2410" w:type="dxa"/>
                  <w:shd w:val="clear" w:color="auto" w:fill="auto"/>
                </w:tcPr>
                <w:p w14:paraId="405A82C1" w14:textId="77777777" w:rsidR="00D37F2D" w:rsidRPr="00C3707B" w:rsidRDefault="00D37F2D">
                  <w:pPr>
                    <w:rPr>
                      <w:noProof/>
                      <w:sz w:val="18"/>
                      <w:szCs w:val="14"/>
                    </w:rPr>
                  </w:pPr>
                  <w:r w:rsidRPr="00C3707B">
                    <w:rPr>
                      <w:noProof/>
                      <w:sz w:val="18"/>
                    </w:rPr>
                    <w:t>Beoordelingen van combinatie van plannen</w:t>
                  </w:r>
                </w:p>
              </w:tc>
              <w:tc>
                <w:tcPr>
                  <w:tcW w:w="1481" w:type="dxa"/>
                  <w:shd w:val="clear" w:color="auto" w:fill="auto"/>
                </w:tcPr>
                <w:p w14:paraId="6B56EDAB" w14:textId="77777777" w:rsidR="00D37F2D" w:rsidRPr="00C3707B" w:rsidRDefault="00D37F2D">
                  <w:pPr>
                    <w:rPr>
                      <w:noProof/>
                      <w:sz w:val="18"/>
                      <w:szCs w:val="14"/>
                    </w:rPr>
                  </w:pPr>
                  <w:r w:rsidRPr="00C3707B">
                    <w:rPr>
                      <w:noProof/>
                      <w:sz w:val="18"/>
                    </w:rPr>
                    <w:t>Lidstaten</w:t>
                  </w:r>
                </w:p>
              </w:tc>
              <w:tc>
                <w:tcPr>
                  <w:tcW w:w="1936" w:type="dxa"/>
                  <w:shd w:val="clear" w:color="auto" w:fill="auto"/>
                </w:tcPr>
                <w:p w14:paraId="00E8A4DF" w14:textId="77777777" w:rsidR="00D37F2D" w:rsidRPr="00C3707B" w:rsidRDefault="00D37F2D">
                  <w:pPr>
                    <w:rPr>
                      <w:noProof/>
                      <w:sz w:val="18"/>
                      <w:szCs w:val="14"/>
                    </w:rPr>
                  </w:pPr>
                  <w:r w:rsidRPr="00C3707B">
                    <w:rPr>
                      <w:noProof/>
                      <w:sz w:val="18"/>
                    </w:rPr>
                    <w:t>Plannen beoordelen op meer rechtsgrondslagen</w:t>
                  </w:r>
                </w:p>
              </w:tc>
              <w:tc>
                <w:tcPr>
                  <w:tcW w:w="5044" w:type="dxa"/>
                  <w:shd w:val="clear" w:color="auto" w:fill="auto"/>
                </w:tcPr>
                <w:p w14:paraId="7809BA47" w14:textId="77777777" w:rsidR="00D37F2D" w:rsidRPr="00C3707B" w:rsidRDefault="00D37F2D">
                  <w:pPr>
                    <w:rPr>
                      <w:noProof/>
                      <w:sz w:val="18"/>
                      <w:szCs w:val="14"/>
                    </w:rPr>
                  </w:pPr>
                  <w:r w:rsidRPr="00C3707B">
                    <w:rPr>
                      <w:noProof/>
                      <w:sz w:val="18"/>
                    </w:rPr>
                    <w:t>Gegevens</w:t>
                  </w:r>
                </w:p>
                <w:p w14:paraId="77B2E35A" w14:textId="77777777" w:rsidR="00D62518" w:rsidRDefault="00D37F2D">
                  <w:pPr>
                    <w:rPr>
                      <w:noProof/>
                      <w:sz w:val="18"/>
                    </w:rPr>
                  </w:pPr>
                  <w:r w:rsidRPr="00C3707B">
                    <w:rPr>
                      <w:noProof/>
                      <w:sz w:val="18"/>
                    </w:rPr>
                    <w:t>Digitale overheids-</w:t>
                  </w:r>
                </w:p>
                <w:p w14:paraId="27160A30" w14:textId="0F31771A" w:rsidR="00D37F2D" w:rsidRPr="00C3707B" w:rsidRDefault="00D37F2D">
                  <w:pPr>
                    <w:rPr>
                      <w:noProof/>
                      <w:sz w:val="18"/>
                      <w:szCs w:val="14"/>
                    </w:rPr>
                  </w:pPr>
                  <w:r w:rsidRPr="00C3707B">
                    <w:rPr>
                      <w:noProof/>
                      <w:sz w:val="18"/>
                    </w:rPr>
                    <w:t>dienst</w:t>
                  </w:r>
                </w:p>
              </w:tc>
            </w:tr>
            <w:tr w:rsidR="00D37F2D" w:rsidRPr="00C3707B" w14:paraId="6DE8B133" w14:textId="77777777">
              <w:tc>
                <w:tcPr>
                  <w:tcW w:w="1413" w:type="dxa"/>
                  <w:shd w:val="clear" w:color="auto" w:fill="auto"/>
                </w:tcPr>
                <w:p w14:paraId="54E28349" w14:textId="77777777" w:rsidR="00D37F2D" w:rsidRPr="00C3707B" w:rsidRDefault="00D37F2D">
                  <w:pPr>
                    <w:jc w:val="left"/>
                    <w:rPr>
                      <w:noProof/>
                      <w:sz w:val="18"/>
                      <w:szCs w:val="14"/>
                    </w:rPr>
                  </w:pPr>
                  <w:r w:rsidRPr="00C3707B">
                    <w:rPr>
                      <w:noProof/>
                      <w:sz w:val="18"/>
                    </w:rPr>
                    <w:t>Artikel </w:t>
                  </w:r>
                  <w:r w:rsidRPr="00160A33">
                    <w:rPr>
                      <w:noProof/>
                      <w:sz w:val="18"/>
                    </w:rPr>
                    <w:t>16</w:t>
                  </w:r>
                </w:p>
              </w:tc>
              <w:tc>
                <w:tcPr>
                  <w:tcW w:w="2410" w:type="dxa"/>
                  <w:shd w:val="clear" w:color="auto" w:fill="auto"/>
                </w:tcPr>
                <w:p w14:paraId="10D36C3A" w14:textId="77777777" w:rsidR="00D37F2D" w:rsidRPr="00C3707B" w:rsidRDefault="00D37F2D">
                  <w:pPr>
                    <w:rPr>
                      <w:noProof/>
                      <w:sz w:val="18"/>
                      <w:szCs w:val="14"/>
                    </w:rPr>
                  </w:pPr>
                  <w:r w:rsidRPr="00C3707B">
                    <w:rPr>
                      <w:noProof/>
                      <w:sz w:val="18"/>
                    </w:rPr>
                    <w:t>Verzoek om beoordeling van de aanpak van kwetsbaarheid;</w:t>
                  </w:r>
                </w:p>
                <w:p w14:paraId="19EBA558" w14:textId="77777777" w:rsidR="00D37F2D" w:rsidRPr="00C3707B" w:rsidRDefault="00D37F2D">
                  <w:pPr>
                    <w:rPr>
                      <w:noProof/>
                      <w:sz w:val="18"/>
                      <w:szCs w:val="14"/>
                    </w:rPr>
                  </w:pPr>
                  <w:r w:rsidRPr="00C3707B">
                    <w:rPr>
                      <w:noProof/>
                      <w:sz w:val="18"/>
                    </w:rPr>
                    <w:t xml:space="preserve">informatievoorziening over het bestaan van strategische projecten om een bestaande kwetsbaarheid aan te pakken </w:t>
                  </w:r>
                </w:p>
              </w:tc>
              <w:tc>
                <w:tcPr>
                  <w:tcW w:w="1481" w:type="dxa"/>
                  <w:shd w:val="clear" w:color="auto" w:fill="auto"/>
                </w:tcPr>
                <w:p w14:paraId="0032E442" w14:textId="77777777" w:rsidR="00D37F2D" w:rsidRPr="00C3707B" w:rsidRDefault="00D37F2D">
                  <w:pPr>
                    <w:rPr>
                      <w:noProof/>
                      <w:sz w:val="18"/>
                      <w:szCs w:val="14"/>
                    </w:rPr>
                  </w:pPr>
                  <w:r w:rsidRPr="00C3707B">
                    <w:rPr>
                      <w:noProof/>
                      <w:sz w:val="18"/>
                    </w:rPr>
                    <w:t>Projectontwikkelaar,</w:t>
                  </w:r>
                </w:p>
                <w:p w14:paraId="3B6B6FCC" w14:textId="77777777" w:rsidR="00D37F2D" w:rsidRPr="00C3707B" w:rsidRDefault="00D37F2D">
                  <w:pPr>
                    <w:rPr>
                      <w:noProof/>
                      <w:sz w:val="18"/>
                      <w:szCs w:val="14"/>
                    </w:rPr>
                  </w:pPr>
                  <w:r w:rsidRPr="00C3707B">
                    <w:rPr>
                      <w:noProof/>
                      <w:sz w:val="18"/>
                    </w:rPr>
                    <w:t>aangewezen autoriteit,</w:t>
                  </w:r>
                </w:p>
                <w:p w14:paraId="23ACCB51" w14:textId="77777777" w:rsidR="00D37F2D" w:rsidRPr="00C3707B" w:rsidRDefault="00D37F2D">
                  <w:pPr>
                    <w:rPr>
                      <w:noProof/>
                      <w:sz w:val="18"/>
                      <w:szCs w:val="14"/>
                    </w:rPr>
                  </w:pPr>
                  <w:r w:rsidRPr="00C3707B">
                    <w:rPr>
                      <w:noProof/>
                      <w:sz w:val="18"/>
                    </w:rPr>
                    <w:t>Commissie</w:t>
                  </w:r>
                </w:p>
              </w:tc>
              <w:tc>
                <w:tcPr>
                  <w:tcW w:w="1936" w:type="dxa"/>
                  <w:shd w:val="clear" w:color="auto" w:fill="auto"/>
                </w:tcPr>
                <w:p w14:paraId="37009AFF" w14:textId="77777777" w:rsidR="00D37F2D" w:rsidRPr="00C3707B" w:rsidRDefault="00D37F2D">
                  <w:pPr>
                    <w:rPr>
                      <w:noProof/>
                      <w:sz w:val="18"/>
                      <w:szCs w:val="14"/>
                    </w:rPr>
                  </w:pPr>
                  <w:r w:rsidRPr="00C3707B">
                    <w:rPr>
                      <w:noProof/>
                      <w:sz w:val="18"/>
                    </w:rPr>
                    <w:t>Verzoek om beoordeling;</w:t>
                  </w:r>
                </w:p>
                <w:p w14:paraId="2D4707CC" w14:textId="77777777" w:rsidR="00D37F2D" w:rsidRPr="00C3707B" w:rsidRDefault="00D37F2D">
                  <w:pPr>
                    <w:rPr>
                      <w:noProof/>
                      <w:sz w:val="18"/>
                      <w:szCs w:val="14"/>
                    </w:rPr>
                  </w:pPr>
                </w:p>
                <w:p w14:paraId="1902EAD0" w14:textId="77777777" w:rsidR="00D37F2D" w:rsidRPr="00C3707B" w:rsidRDefault="00D37F2D">
                  <w:pPr>
                    <w:rPr>
                      <w:noProof/>
                      <w:sz w:val="18"/>
                      <w:szCs w:val="14"/>
                    </w:rPr>
                  </w:pPr>
                  <w:r w:rsidRPr="00C3707B">
                    <w:rPr>
                      <w:noProof/>
                      <w:sz w:val="18"/>
                    </w:rPr>
                    <w:t>informatieverstrekking over aangepakte kwetsbaarheden</w:t>
                  </w:r>
                </w:p>
              </w:tc>
              <w:tc>
                <w:tcPr>
                  <w:tcW w:w="5044" w:type="dxa"/>
                  <w:shd w:val="clear" w:color="auto" w:fill="auto"/>
                </w:tcPr>
                <w:p w14:paraId="1FF6EEE7" w14:textId="77777777" w:rsidR="00D37F2D" w:rsidRPr="00C3707B" w:rsidRDefault="00D37F2D">
                  <w:pPr>
                    <w:rPr>
                      <w:noProof/>
                      <w:sz w:val="18"/>
                      <w:szCs w:val="14"/>
                    </w:rPr>
                  </w:pPr>
                  <w:r w:rsidRPr="00C3707B">
                    <w:rPr>
                      <w:noProof/>
                      <w:sz w:val="18"/>
                    </w:rPr>
                    <w:t>Gegevens</w:t>
                  </w:r>
                </w:p>
                <w:p w14:paraId="5F37D661" w14:textId="77777777" w:rsidR="00D37F2D" w:rsidRPr="00C3707B" w:rsidRDefault="00D37F2D">
                  <w:pPr>
                    <w:rPr>
                      <w:noProof/>
                      <w:sz w:val="18"/>
                      <w:szCs w:val="14"/>
                    </w:rPr>
                  </w:pPr>
                  <w:r w:rsidRPr="00C3707B">
                    <w:rPr>
                      <w:noProof/>
                      <w:sz w:val="18"/>
                    </w:rPr>
                    <w:t>Digitale oplossing</w:t>
                  </w:r>
                </w:p>
                <w:p w14:paraId="4D6F62A6" w14:textId="77777777" w:rsidR="00D62518" w:rsidRDefault="00D37F2D">
                  <w:pPr>
                    <w:rPr>
                      <w:noProof/>
                      <w:sz w:val="18"/>
                    </w:rPr>
                  </w:pPr>
                  <w:r w:rsidRPr="00C3707B">
                    <w:rPr>
                      <w:noProof/>
                      <w:sz w:val="18"/>
                    </w:rPr>
                    <w:t>Digitale overheids-</w:t>
                  </w:r>
                </w:p>
                <w:p w14:paraId="2B33664F" w14:textId="24C8FBC4" w:rsidR="00D37F2D" w:rsidRPr="00C3707B" w:rsidRDefault="00D37F2D">
                  <w:pPr>
                    <w:rPr>
                      <w:noProof/>
                      <w:sz w:val="18"/>
                      <w:szCs w:val="14"/>
                    </w:rPr>
                  </w:pPr>
                  <w:r w:rsidRPr="00C3707B">
                    <w:rPr>
                      <w:noProof/>
                      <w:sz w:val="18"/>
                    </w:rPr>
                    <w:t>dienst</w:t>
                  </w:r>
                </w:p>
              </w:tc>
            </w:tr>
            <w:tr w:rsidR="00D37F2D" w:rsidRPr="00C3707B" w14:paraId="5EEE286A" w14:textId="77777777">
              <w:tc>
                <w:tcPr>
                  <w:tcW w:w="1413" w:type="dxa"/>
                  <w:shd w:val="clear" w:color="auto" w:fill="auto"/>
                </w:tcPr>
                <w:p w14:paraId="12E2DCD4" w14:textId="77777777" w:rsidR="00D37F2D" w:rsidRPr="00C3707B" w:rsidRDefault="00D37F2D">
                  <w:pPr>
                    <w:jc w:val="left"/>
                    <w:rPr>
                      <w:noProof/>
                      <w:sz w:val="18"/>
                      <w:szCs w:val="14"/>
                    </w:rPr>
                  </w:pPr>
                  <w:r w:rsidRPr="00C3707B">
                    <w:rPr>
                      <w:noProof/>
                      <w:sz w:val="18"/>
                    </w:rPr>
                    <w:t>Hoofdstuk IV</w:t>
                  </w:r>
                </w:p>
              </w:tc>
              <w:tc>
                <w:tcPr>
                  <w:tcW w:w="2410" w:type="dxa"/>
                  <w:shd w:val="clear" w:color="auto" w:fill="auto"/>
                </w:tcPr>
                <w:p w14:paraId="243E68B0" w14:textId="77777777" w:rsidR="00D37F2D" w:rsidRPr="00C3707B" w:rsidRDefault="00D37F2D">
                  <w:pPr>
                    <w:rPr>
                      <w:noProof/>
                      <w:sz w:val="18"/>
                      <w:szCs w:val="14"/>
                    </w:rPr>
                  </w:pPr>
                  <w:r w:rsidRPr="00C3707B">
                    <w:rPr>
                      <w:noProof/>
                      <w:sz w:val="18"/>
                    </w:rPr>
                    <w:t>Aanbestedingsregels voor kritieke geneesmiddelen</w:t>
                  </w:r>
                </w:p>
              </w:tc>
              <w:tc>
                <w:tcPr>
                  <w:tcW w:w="1481" w:type="dxa"/>
                  <w:shd w:val="clear" w:color="auto" w:fill="auto"/>
                </w:tcPr>
                <w:p w14:paraId="09430035" w14:textId="77777777" w:rsidR="00D37F2D" w:rsidRPr="00C3707B" w:rsidRDefault="00D37F2D">
                  <w:pPr>
                    <w:rPr>
                      <w:noProof/>
                      <w:sz w:val="18"/>
                      <w:szCs w:val="14"/>
                    </w:rPr>
                  </w:pPr>
                  <w:r w:rsidRPr="00C3707B">
                    <w:rPr>
                      <w:noProof/>
                      <w:sz w:val="18"/>
                    </w:rPr>
                    <w:t>Lidstaten,</w:t>
                  </w:r>
                </w:p>
                <w:p w14:paraId="6A6BA3AE" w14:textId="77777777" w:rsidR="00D37F2D" w:rsidRPr="00C3707B" w:rsidRDefault="00D37F2D">
                  <w:pPr>
                    <w:rPr>
                      <w:noProof/>
                      <w:sz w:val="18"/>
                      <w:szCs w:val="14"/>
                    </w:rPr>
                  </w:pPr>
                  <w:r w:rsidRPr="00C3707B">
                    <w:rPr>
                      <w:noProof/>
                      <w:sz w:val="18"/>
                    </w:rPr>
                    <w:t>overheidsdiensten, marktdeelnemers</w:t>
                  </w:r>
                </w:p>
              </w:tc>
              <w:tc>
                <w:tcPr>
                  <w:tcW w:w="1936" w:type="dxa"/>
                  <w:shd w:val="clear" w:color="auto" w:fill="auto"/>
                </w:tcPr>
                <w:p w14:paraId="3E732D6B" w14:textId="77777777" w:rsidR="00D37F2D" w:rsidRPr="00C3707B" w:rsidRDefault="00D37F2D">
                  <w:pPr>
                    <w:rPr>
                      <w:noProof/>
                      <w:sz w:val="18"/>
                      <w:szCs w:val="14"/>
                    </w:rPr>
                  </w:pPr>
                  <w:r w:rsidRPr="00C3707B">
                    <w:rPr>
                      <w:noProof/>
                      <w:sz w:val="18"/>
                    </w:rPr>
                    <w:t>Aanbestedingsprocedure starten</w:t>
                  </w:r>
                </w:p>
              </w:tc>
              <w:tc>
                <w:tcPr>
                  <w:tcW w:w="5044" w:type="dxa"/>
                  <w:shd w:val="clear" w:color="auto" w:fill="auto"/>
                </w:tcPr>
                <w:p w14:paraId="63A2283A" w14:textId="77777777" w:rsidR="00D37F2D" w:rsidRPr="00C3707B" w:rsidRDefault="00D37F2D">
                  <w:pPr>
                    <w:rPr>
                      <w:noProof/>
                      <w:sz w:val="18"/>
                      <w:szCs w:val="14"/>
                    </w:rPr>
                  </w:pPr>
                  <w:r w:rsidRPr="00C3707B">
                    <w:rPr>
                      <w:noProof/>
                      <w:sz w:val="18"/>
                    </w:rPr>
                    <w:t>Gegevens</w:t>
                  </w:r>
                </w:p>
              </w:tc>
            </w:tr>
            <w:tr w:rsidR="00D37F2D" w:rsidRPr="00C3707B" w14:paraId="25F3309B" w14:textId="77777777">
              <w:tc>
                <w:tcPr>
                  <w:tcW w:w="1413" w:type="dxa"/>
                  <w:shd w:val="clear" w:color="auto" w:fill="auto"/>
                </w:tcPr>
                <w:p w14:paraId="71914132" w14:textId="77777777" w:rsidR="00D37F2D" w:rsidRPr="00C3707B" w:rsidRDefault="00D37F2D">
                  <w:pPr>
                    <w:jc w:val="left"/>
                    <w:rPr>
                      <w:noProof/>
                      <w:sz w:val="18"/>
                      <w:szCs w:val="14"/>
                    </w:rPr>
                  </w:pPr>
                  <w:r w:rsidRPr="00C3707B">
                    <w:rPr>
                      <w:noProof/>
                      <w:sz w:val="18"/>
                    </w:rPr>
                    <w:t>Artikel </w:t>
                  </w:r>
                  <w:r w:rsidRPr="00160A33">
                    <w:rPr>
                      <w:noProof/>
                      <w:sz w:val="18"/>
                    </w:rPr>
                    <w:t>19</w:t>
                  </w:r>
                </w:p>
              </w:tc>
              <w:tc>
                <w:tcPr>
                  <w:tcW w:w="2410" w:type="dxa"/>
                  <w:shd w:val="clear" w:color="auto" w:fill="auto"/>
                </w:tcPr>
                <w:p w14:paraId="6C7F216F" w14:textId="77777777" w:rsidR="00D37F2D" w:rsidRPr="00C3707B" w:rsidRDefault="00D37F2D">
                  <w:pPr>
                    <w:rPr>
                      <w:noProof/>
                      <w:sz w:val="18"/>
                      <w:szCs w:val="14"/>
                    </w:rPr>
                  </w:pPr>
                  <w:r w:rsidRPr="00C3707B">
                    <w:rPr>
                      <w:noProof/>
                      <w:sz w:val="18"/>
                    </w:rPr>
                    <w:t>Kennisgeving van nationale programma’s</w:t>
                  </w:r>
                </w:p>
              </w:tc>
              <w:tc>
                <w:tcPr>
                  <w:tcW w:w="1481" w:type="dxa"/>
                  <w:shd w:val="clear" w:color="auto" w:fill="auto"/>
                </w:tcPr>
                <w:p w14:paraId="35849462" w14:textId="77777777" w:rsidR="00D62518" w:rsidRDefault="00D37F2D">
                  <w:pPr>
                    <w:rPr>
                      <w:noProof/>
                      <w:sz w:val="18"/>
                    </w:rPr>
                  </w:pPr>
                  <w:r w:rsidRPr="00C3707B">
                    <w:rPr>
                      <w:noProof/>
                      <w:sz w:val="18"/>
                    </w:rPr>
                    <w:t>Lidstaten,</w:t>
                  </w:r>
                </w:p>
                <w:p w14:paraId="023EF0E7" w14:textId="452848FB" w:rsidR="00D37F2D" w:rsidRPr="00C3707B" w:rsidRDefault="00D37F2D">
                  <w:pPr>
                    <w:rPr>
                      <w:noProof/>
                      <w:sz w:val="18"/>
                      <w:szCs w:val="14"/>
                    </w:rPr>
                  </w:pPr>
                  <w:r w:rsidRPr="00C3707B">
                    <w:rPr>
                      <w:noProof/>
                      <w:sz w:val="18"/>
                    </w:rPr>
                    <w:t>Commissie</w:t>
                  </w:r>
                </w:p>
                <w:p w14:paraId="43AC74BB" w14:textId="77777777" w:rsidR="00D37F2D" w:rsidRPr="00C3707B" w:rsidRDefault="00D37F2D">
                  <w:pPr>
                    <w:rPr>
                      <w:noProof/>
                      <w:sz w:val="18"/>
                      <w:szCs w:val="14"/>
                    </w:rPr>
                  </w:pPr>
                  <w:r w:rsidRPr="00C3707B">
                    <w:rPr>
                      <w:noProof/>
                      <w:sz w:val="18"/>
                    </w:rPr>
                    <w:t>groep kritieke geneesmiddelen</w:t>
                  </w:r>
                </w:p>
              </w:tc>
              <w:tc>
                <w:tcPr>
                  <w:tcW w:w="1936" w:type="dxa"/>
                  <w:shd w:val="clear" w:color="auto" w:fill="auto"/>
                </w:tcPr>
                <w:p w14:paraId="4A070739" w14:textId="77777777" w:rsidR="00D37F2D" w:rsidRPr="00C3707B" w:rsidRDefault="00D37F2D">
                  <w:pPr>
                    <w:rPr>
                      <w:noProof/>
                      <w:sz w:val="18"/>
                      <w:szCs w:val="14"/>
                    </w:rPr>
                  </w:pPr>
                  <w:r w:rsidRPr="00C3707B">
                    <w:rPr>
                      <w:noProof/>
                      <w:sz w:val="18"/>
                    </w:rPr>
                    <w:t>Kennisgeving van nationale programma’s</w:t>
                  </w:r>
                </w:p>
              </w:tc>
              <w:tc>
                <w:tcPr>
                  <w:tcW w:w="5044" w:type="dxa"/>
                  <w:shd w:val="clear" w:color="auto" w:fill="auto"/>
                </w:tcPr>
                <w:p w14:paraId="0AACE5A9" w14:textId="77777777" w:rsidR="00D37F2D" w:rsidRPr="00C3707B" w:rsidRDefault="00D37F2D">
                  <w:pPr>
                    <w:rPr>
                      <w:noProof/>
                      <w:sz w:val="18"/>
                      <w:szCs w:val="14"/>
                    </w:rPr>
                  </w:pPr>
                  <w:r w:rsidRPr="00C3707B">
                    <w:rPr>
                      <w:noProof/>
                      <w:sz w:val="18"/>
                    </w:rPr>
                    <w:t>Gegevens</w:t>
                  </w:r>
                </w:p>
              </w:tc>
            </w:tr>
          </w:tbl>
          <w:p w14:paraId="7D9C643A" w14:textId="77777777" w:rsidR="00D37F2D" w:rsidRPr="00C3707B" w:rsidRDefault="00D37F2D">
            <w:pPr>
              <w:rPr>
                <w:noProof/>
                <w:color w:val="0000FF"/>
              </w:rPr>
            </w:pPr>
          </w:p>
        </w:tc>
      </w:tr>
    </w:tbl>
    <w:p w14:paraId="58762749" w14:textId="77777777" w:rsidR="00D37F2D" w:rsidRPr="00C3707B" w:rsidRDefault="00D37F2D" w:rsidP="00D37F2D">
      <w:pPr>
        <w:pStyle w:val="ManualHeading2"/>
        <w:rPr>
          <w:noProof/>
        </w:rPr>
      </w:pPr>
      <w:bookmarkStart w:id="201" w:name="_Toc167220303"/>
      <w:bookmarkStart w:id="202" w:name="_Toc177549038"/>
      <w:r w:rsidRPr="00160A33">
        <w:rPr>
          <w:noProof/>
        </w:rPr>
        <w:t>4</w:t>
      </w:r>
      <w:r w:rsidRPr="00C3707B">
        <w:rPr>
          <w:noProof/>
        </w:rPr>
        <w:t>.</w:t>
      </w:r>
      <w:r w:rsidRPr="00160A33">
        <w:rPr>
          <w:noProof/>
        </w:rPr>
        <w:t>2</w:t>
      </w:r>
      <w:r w:rsidRPr="00C3707B">
        <w:rPr>
          <w:noProof/>
        </w:rPr>
        <w:t>.</w:t>
      </w:r>
      <w:r w:rsidRPr="00C3707B">
        <w:rPr>
          <w:noProof/>
        </w:rPr>
        <w:tab/>
        <w:t>Gegevens</w:t>
      </w:r>
      <w:bookmarkEnd w:id="201"/>
      <w:bookmarkEnd w:id="202"/>
    </w:p>
    <w:tbl>
      <w:tblPr>
        <w:tblStyle w:val="TableGrid"/>
        <w:tblW w:w="0" w:type="auto"/>
        <w:tblLook w:val="04A0" w:firstRow="1" w:lastRow="0" w:firstColumn="1" w:lastColumn="0" w:noHBand="0" w:noVBand="1"/>
      </w:tblPr>
      <w:tblGrid>
        <w:gridCol w:w="9287"/>
      </w:tblGrid>
      <w:tr w:rsidR="00D37F2D" w:rsidRPr="00C3707B" w14:paraId="321936C2" w14:textId="77777777">
        <w:tc>
          <w:tcPr>
            <w:tcW w:w="9063" w:type="dxa"/>
          </w:tcPr>
          <w:tbl>
            <w:tblPr>
              <w:tblStyle w:val="TableGrid"/>
              <w:tblW w:w="0" w:type="auto"/>
              <w:tblLook w:val="04A0" w:firstRow="1" w:lastRow="0" w:firstColumn="1" w:lastColumn="0" w:noHBand="0" w:noVBand="1"/>
            </w:tblPr>
            <w:tblGrid>
              <w:gridCol w:w="2944"/>
              <w:gridCol w:w="2944"/>
              <w:gridCol w:w="2944"/>
            </w:tblGrid>
            <w:tr w:rsidR="00D37F2D" w:rsidRPr="00C3707B" w14:paraId="3DFD5E5C" w14:textId="77777777">
              <w:tc>
                <w:tcPr>
                  <w:tcW w:w="2944" w:type="dxa"/>
                  <w:shd w:val="clear" w:color="auto" w:fill="auto"/>
                </w:tcPr>
                <w:p w14:paraId="47CE0A0A" w14:textId="77777777" w:rsidR="00D37F2D" w:rsidRPr="00C3707B" w:rsidRDefault="00D37F2D">
                  <w:pPr>
                    <w:rPr>
                      <w:b/>
                      <w:bCs/>
                      <w:noProof/>
                      <w:sz w:val="20"/>
                      <w:szCs w:val="16"/>
                    </w:rPr>
                  </w:pPr>
                  <w:r w:rsidRPr="00C3707B">
                    <w:rPr>
                      <w:b/>
                      <w:noProof/>
                      <w:sz w:val="20"/>
                    </w:rPr>
                    <w:t xml:space="preserve">Soort gegevens </w:t>
                  </w:r>
                </w:p>
              </w:tc>
              <w:tc>
                <w:tcPr>
                  <w:tcW w:w="2944" w:type="dxa"/>
                  <w:shd w:val="clear" w:color="auto" w:fill="auto"/>
                </w:tcPr>
                <w:p w14:paraId="4663F866" w14:textId="77777777" w:rsidR="00D37F2D" w:rsidRPr="00C3707B" w:rsidRDefault="00D37F2D">
                  <w:pPr>
                    <w:rPr>
                      <w:b/>
                      <w:bCs/>
                      <w:noProof/>
                      <w:sz w:val="20"/>
                      <w:szCs w:val="16"/>
                    </w:rPr>
                  </w:pPr>
                  <w:r w:rsidRPr="00C3707B">
                    <w:rPr>
                      <w:b/>
                      <w:noProof/>
                      <w:sz w:val="20"/>
                    </w:rPr>
                    <w:t>Verwijzing naar de voorschriften</w:t>
                  </w:r>
                </w:p>
              </w:tc>
              <w:tc>
                <w:tcPr>
                  <w:tcW w:w="2944" w:type="dxa"/>
                  <w:shd w:val="clear" w:color="auto" w:fill="auto"/>
                </w:tcPr>
                <w:p w14:paraId="043D47EF" w14:textId="77777777" w:rsidR="00D37F2D" w:rsidRPr="00C3707B" w:rsidRDefault="00D37F2D">
                  <w:pPr>
                    <w:rPr>
                      <w:b/>
                      <w:bCs/>
                      <w:noProof/>
                      <w:sz w:val="20"/>
                      <w:szCs w:val="16"/>
                    </w:rPr>
                  </w:pPr>
                  <w:r w:rsidRPr="00C3707B">
                    <w:rPr>
                      <w:b/>
                      <w:noProof/>
                      <w:sz w:val="20"/>
                    </w:rPr>
                    <w:t xml:space="preserve">Norm en/of specificatie </w:t>
                  </w:r>
                </w:p>
              </w:tc>
            </w:tr>
            <w:tr w:rsidR="00D37F2D" w:rsidRPr="00C3707B" w14:paraId="237320BB" w14:textId="77777777">
              <w:tc>
                <w:tcPr>
                  <w:tcW w:w="2944" w:type="dxa"/>
                  <w:shd w:val="clear" w:color="auto" w:fill="auto"/>
                </w:tcPr>
                <w:p w14:paraId="3C19D4A7" w14:textId="77777777" w:rsidR="00D37F2D" w:rsidRPr="00C3707B" w:rsidRDefault="00D37F2D">
                  <w:pPr>
                    <w:rPr>
                      <w:noProof/>
                    </w:rPr>
                  </w:pPr>
                  <w:r w:rsidRPr="00C3707B">
                    <w:rPr>
                      <w:noProof/>
                      <w:sz w:val="20"/>
                    </w:rPr>
                    <w:t>Lijst van autoriteiten van de lidstaten die zijn aangewezen voor de beoordeling en bevestiging van strategische projecten</w:t>
                  </w:r>
                </w:p>
              </w:tc>
              <w:tc>
                <w:tcPr>
                  <w:tcW w:w="2944" w:type="dxa"/>
                  <w:shd w:val="clear" w:color="auto" w:fill="auto"/>
                </w:tcPr>
                <w:p w14:paraId="45FFCD5B" w14:textId="77777777" w:rsidR="00D37F2D" w:rsidRPr="00C3707B" w:rsidRDefault="00D37F2D">
                  <w:pPr>
                    <w:rPr>
                      <w:noProof/>
                    </w:rPr>
                  </w:pPr>
                  <w:r w:rsidRPr="00C3707B">
                    <w:rPr>
                      <w:noProof/>
                      <w:sz w:val="20"/>
                    </w:rPr>
                    <w:t>Artikel </w:t>
                  </w:r>
                  <w:r w:rsidRPr="00160A33">
                    <w:rPr>
                      <w:noProof/>
                      <w:sz w:val="20"/>
                    </w:rPr>
                    <w:t>6</w:t>
                  </w:r>
                </w:p>
              </w:tc>
              <w:tc>
                <w:tcPr>
                  <w:tcW w:w="2944" w:type="dxa"/>
                  <w:shd w:val="clear" w:color="auto" w:fill="auto"/>
                </w:tcPr>
                <w:p w14:paraId="0175E8DD" w14:textId="77777777" w:rsidR="00D37F2D" w:rsidRPr="00C3707B" w:rsidRDefault="00D37F2D">
                  <w:pPr>
                    <w:rPr>
                      <w:noProof/>
                      <w:sz w:val="20"/>
                      <w:szCs w:val="16"/>
                    </w:rPr>
                  </w:pPr>
                  <w:r w:rsidRPr="00C3707B">
                    <w:rPr>
                      <w:noProof/>
                      <w:sz w:val="20"/>
                    </w:rPr>
                    <w:t>Standaardlijst van de lidstaten</w:t>
                  </w:r>
                </w:p>
              </w:tc>
            </w:tr>
            <w:tr w:rsidR="00D37F2D" w:rsidRPr="00C3707B" w14:paraId="4A308778" w14:textId="77777777">
              <w:tc>
                <w:tcPr>
                  <w:tcW w:w="2944" w:type="dxa"/>
                  <w:shd w:val="clear" w:color="auto" w:fill="auto"/>
                </w:tcPr>
                <w:p w14:paraId="12BB737D" w14:textId="77777777" w:rsidR="00D37F2D" w:rsidRPr="00C3707B" w:rsidRDefault="00D37F2D">
                  <w:pPr>
                    <w:rPr>
                      <w:noProof/>
                    </w:rPr>
                  </w:pPr>
                  <w:r w:rsidRPr="00C3707B">
                    <w:rPr>
                      <w:noProof/>
                      <w:sz w:val="20"/>
                    </w:rPr>
                    <w:t>Strategisch project</w:t>
                  </w:r>
                </w:p>
              </w:tc>
              <w:tc>
                <w:tcPr>
                  <w:tcW w:w="2944" w:type="dxa"/>
                  <w:shd w:val="clear" w:color="auto" w:fill="auto"/>
                </w:tcPr>
                <w:p w14:paraId="3C4A4150" w14:textId="77777777" w:rsidR="00D37F2D" w:rsidRPr="00C3707B" w:rsidRDefault="00D37F2D">
                  <w:pPr>
                    <w:rPr>
                      <w:noProof/>
                    </w:rPr>
                  </w:pPr>
                  <w:r w:rsidRPr="00C3707B">
                    <w:rPr>
                      <w:noProof/>
                      <w:sz w:val="20"/>
                    </w:rPr>
                    <w:t>Artikel </w:t>
                  </w:r>
                  <w:r w:rsidRPr="00160A33">
                    <w:rPr>
                      <w:noProof/>
                      <w:sz w:val="20"/>
                    </w:rPr>
                    <w:t>6</w:t>
                  </w:r>
                </w:p>
              </w:tc>
              <w:tc>
                <w:tcPr>
                  <w:tcW w:w="2944" w:type="dxa"/>
                  <w:shd w:val="clear" w:color="auto" w:fill="auto"/>
                </w:tcPr>
                <w:p w14:paraId="07B8736B" w14:textId="77777777" w:rsidR="00D37F2D" w:rsidRPr="00C3707B" w:rsidRDefault="00D37F2D">
                  <w:pPr>
                    <w:rPr>
                      <w:bCs/>
                      <w:noProof/>
                    </w:rPr>
                  </w:pPr>
                  <w:r w:rsidRPr="00C3707B">
                    <w:rPr>
                      <w:noProof/>
                      <w:sz w:val="20"/>
                    </w:rPr>
                    <w:t>Niet gedefinieerd</w:t>
                  </w:r>
                </w:p>
              </w:tc>
            </w:tr>
            <w:tr w:rsidR="00D37F2D" w:rsidRPr="00C3707B" w14:paraId="12F69EA8" w14:textId="77777777">
              <w:tc>
                <w:tcPr>
                  <w:tcW w:w="2944" w:type="dxa"/>
                  <w:shd w:val="clear" w:color="auto" w:fill="auto"/>
                </w:tcPr>
                <w:p w14:paraId="42C9D7E4" w14:textId="77777777" w:rsidR="00D37F2D" w:rsidRPr="00C3707B" w:rsidRDefault="00D37F2D">
                  <w:pPr>
                    <w:rPr>
                      <w:noProof/>
                      <w:sz w:val="20"/>
                      <w:szCs w:val="16"/>
                    </w:rPr>
                  </w:pPr>
                  <w:r w:rsidRPr="00C3707B">
                    <w:rPr>
                      <w:noProof/>
                      <w:sz w:val="20"/>
                    </w:rPr>
                    <w:t>Hoogste status van nationaal belang voor strategische projecten</w:t>
                  </w:r>
                </w:p>
              </w:tc>
              <w:tc>
                <w:tcPr>
                  <w:tcW w:w="2944" w:type="dxa"/>
                  <w:shd w:val="clear" w:color="auto" w:fill="auto"/>
                </w:tcPr>
                <w:p w14:paraId="546C22BD" w14:textId="77777777" w:rsidR="00D37F2D" w:rsidRPr="00C3707B" w:rsidRDefault="00D37F2D">
                  <w:pPr>
                    <w:rPr>
                      <w:noProof/>
                      <w:sz w:val="20"/>
                      <w:szCs w:val="16"/>
                    </w:rPr>
                  </w:pPr>
                  <w:r w:rsidRPr="00C3707B">
                    <w:rPr>
                      <w:noProof/>
                      <w:sz w:val="20"/>
                    </w:rPr>
                    <w:t>Artikel </w:t>
                  </w:r>
                  <w:r w:rsidRPr="00160A33">
                    <w:rPr>
                      <w:noProof/>
                      <w:sz w:val="20"/>
                    </w:rPr>
                    <w:t>9</w:t>
                  </w:r>
                </w:p>
              </w:tc>
              <w:tc>
                <w:tcPr>
                  <w:tcW w:w="2944" w:type="dxa"/>
                  <w:shd w:val="clear" w:color="auto" w:fill="auto"/>
                </w:tcPr>
                <w:p w14:paraId="537D8F7D" w14:textId="77777777" w:rsidR="00D37F2D" w:rsidRPr="00C3707B" w:rsidRDefault="00D37F2D">
                  <w:pPr>
                    <w:rPr>
                      <w:bCs/>
                      <w:noProof/>
                      <w:sz w:val="20"/>
                      <w:szCs w:val="16"/>
                    </w:rPr>
                  </w:pPr>
                  <w:r w:rsidRPr="00C3707B">
                    <w:rPr>
                      <w:noProof/>
                      <w:sz w:val="20"/>
                    </w:rPr>
                    <w:t>Niet gedefinieerd</w:t>
                  </w:r>
                </w:p>
              </w:tc>
            </w:tr>
            <w:tr w:rsidR="00D37F2D" w:rsidRPr="00C3707B" w14:paraId="3246D65B" w14:textId="77777777">
              <w:tc>
                <w:tcPr>
                  <w:tcW w:w="2944" w:type="dxa"/>
                  <w:shd w:val="clear" w:color="auto" w:fill="auto"/>
                </w:tcPr>
                <w:p w14:paraId="1A314A42" w14:textId="77777777" w:rsidR="00D37F2D" w:rsidRPr="00C3707B" w:rsidRDefault="00D37F2D">
                  <w:pPr>
                    <w:rPr>
                      <w:noProof/>
                      <w:sz w:val="20"/>
                      <w:szCs w:val="16"/>
                    </w:rPr>
                  </w:pPr>
                  <w:r w:rsidRPr="00C3707B">
                    <w:rPr>
                      <w:noProof/>
                      <w:sz w:val="20"/>
                    </w:rPr>
                    <w:t>Gecombineerde milieubeoordeling</w:t>
                  </w:r>
                </w:p>
              </w:tc>
              <w:tc>
                <w:tcPr>
                  <w:tcW w:w="2944" w:type="dxa"/>
                  <w:shd w:val="clear" w:color="auto" w:fill="auto"/>
                </w:tcPr>
                <w:p w14:paraId="6FFA746E" w14:textId="77777777" w:rsidR="00D37F2D" w:rsidRPr="00C3707B" w:rsidRDefault="00D37F2D">
                  <w:pPr>
                    <w:rPr>
                      <w:noProof/>
                      <w:sz w:val="20"/>
                      <w:szCs w:val="16"/>
                    </w:rPr>
                  </w:pPr>
                  <w:r w:rsidRPr="00C3707B">
                    <w:rPr>
                      <w:noProof/>
                      <w:sz w:val="20"/>
                    </w:rPr>
                    <w:t>Artikel </w:t>
                  </w:r>
                  <w:r w:rsidRPr="00160A33">
                    <w:rPr>
                      <w:noProof/>
                      <w:sz w:val="20"/>
                    </w:rPr>
                    <w:t>12</w:t>
                  </w:r>
                </w:p>
              </w:tc>
              <w:tc>
                <w:tcPr>
                  <w:tcW w:w="2944" w:type="dxa"/>
                  <w:shd w:val="clear" w:color="auto" w:fill="auto"/>
                </w:tcPr>
                <w:p w14:paraId="76519179" w14:textId="77777777" w:rsidR="00D37F2D" w:rsidRPr="00C3707B" w:rsidRDefault="00D37F2D">
                  <w:pPr>
                    <w:rPr>
                      <w:bCs/>
                      <w:noProof/>
                      <w:sz w:val="20"/>
                      <w:szCs w:val="16"/>
                    </w:rPr>
                  </w:pPr>
                  <w:r w:rsidRPr="00C3707B">
                    <w:rPr>
                      <w:noProof/>
                      <w:sz w:val="20"/>
                    </w:rPr>
                    <w:t>Gedefinieerd op basis van andere rechtsgrondslagen</w:t>
                  </w:r>
                </w:p>
              </w:tc>
            </w:tr>
            <w:tr w:rsidR="00D37F2D" w:rsidRPr="00C3707B" w14:paraId="4CE3C859" w14:textId="77777777">
              <w:tc>
                <w:tcPr>
                  <w:tcW w:w="2944" w:type="dxa"/>
                  <w:shd w:val="clear" w:color="auto" w:fill="auto"/>
                </w:tcPr>
                <w:p w14:paraId="629A1D39" w14:textId="77777777" w:rsidR="00D37F2D" w:rsidRPr="00C3707B" w:rsidRDefault="00D37F2D">
                  <w:pPr>
                    <w:rPr>
                      <w:noProof/>
                      <w:sz w:val="20"/>
                      <w:szCs w:val="16"/>
                    </w:rPr>
                  </w:pPr>
                  <w:r w:rsidRPr="00C3707B">
                    <w:rPr>
                      <w:noProof/>
                      <w:sz w:val="20"/>
                    </w:rPr>
                    <w:t>Gegevens inzake ruimtelijke ordening</w:t>
                  </w:r>
                </w:p>
              </w:tc>
              <w:tc>
                <w:tcPr>
                  <w:tcW w:w="2944" w:type="dxa"/>
                  <w:shd w:val="clear" w:color="auto" w:fill="auto"/>
                </w:tcPr>
                <w:p w14:paraId="4D600E70" w14:textId="77777777" w:rsidR="00D37F2D" w:rsidRPr="00C3707B" w:rsidRDefault="00D37F2D">
                  <w:pPr>
                    <w:jc w:val="left"/>
                    <w:rPr>
                      <w:noProof/>
                      <w:sz w:val="20"/>
                      <w:szCs w:val="16"/>
                    </w:rPr>
                  </w:pPr>
                  <w:r w:rsidRPr="00C3707B">
                    <w:rPr>
                      <w:noProof/>
                      <w:sz w:val="20"/>
                    </w:rPr>
                    <w:t>Artikel </w:t>
                  </w:r>
                  <w:r w:rsidRPr="00160A33">
                    <w:rPr>
                      <w:noProof/>
                      <w:sz w:val="20"/>
                    </w:rPr>
                    <w:t>13</w:t>
                  </w:r>
                </w:p>
                <w:p w14:paraId="7916CCC1" w14:textId="77777777" w:rsidR="00D37F2D" w:rsidRPr="00C3707B" w:rsidRDefault="00D37F2D">
                  <w:pPr>
                    <w:rPr>
                      <w:noProof/>
                      <w:sz w:val="20"/>
                      <w:szCs w:val="16"/>
                    </w:rPr>
                  </w:pPr>
                  <w:r w:rsidRPr="00C3707B">
                    <w:rPr>
                      <w:noProof/>
                      <w:sz w:val="20"/>
                    </w:rPr>
                    <w:t>lid </w:t>
                  </w:r>
                  <w:r w:rsidRPr="00160A33">
                    <w:rPr>
                      <w:noProof/>
                      <w:sz w:val="20"/>
                    </w:rPr>
                    <w:t>1</w:t>
                  </w:r>
                </w:p>
              </w:tc>
              <w:tc>
                <w:tcPr>
                  <w:tcW w:w="2944" w:type="dxa"/>
                  <w:shd w:val="clear" w:color="auto" w:fill="auto"/>
                </w:tcPr>
                <w:p w14:paraId="7ABA01CB" w14:textId="77777777" w:rsidR="00D37F2D" w:rsidRPr="00C3707B" w:rsidRDefault="00D37F2D">
                  <w:pPr>
                    <w:rPr>
                      <w:bCs/>
                      <w:noProof/>
                      <w:sz w:val="20"/>
                      <w:szCs w:val="16"/>
                    </w:rPr>
                  </w:pPr>
                  <w:r w:rsidRPr="00C3707B">
                    <w:rPr>
                      <w:noProof/>
                      <w:sz w:val="20"/>
                    </w:rPr>
                    <w:t>Niet gedefinieerd</w:t>
                  </w:r>
                </w:p>
              </w:tc>
            </w:tr>
            <w:tr w:rsidR="00D37F2D" w:rsidRPr="00C3707B" w14:paraId="5F683216" w14:textId="77777777">
              <w:tc>
                <w:tcPr>
                  <w:tcW w:w="2944" w:type="dxa"/>
                  <w:shd w:val="clear" w:color="auto" w:fill="auto"/>
                </w:tcPr>
                <w:p w14:paraId="5989E50F" w14:textId="77777777" w:rsidR="00D37F2D" w:rsidRPr="00C3707B" w:rsidRDefault="00D37F2D">
                  <w:pPr>
                    <w:rPr>
                      <w:noProof/>
                      <w:sz w:val="20"/>
                      <w:szCs w:val="16"/>
                    </w:rPr>
                  </w:pPr>
                  <w:r w:rsidRPr="00C3707B">
                    <w:rPr>
                      <w:noProof/>
                      <w:sz w:val="20"/>
                    </w:rPr>
                    <w:t>Gecombineerde stedenbouwkundige beoordelingen</w:t>
                  </w:r>
                </w:p>
              </w:tc>
              <w:tc>
                <w:tcPr>
                  <w:tcW w:w="2944" w:type="dxa"/>
                  <w:shd w:val="clear" w:color="auto" w:fill="auto"/>
                </w:tcPr>
                <w:p w14:paraId="1A254B6A" w14:textId="77777777" w:rsidR="00D37F2D" w:rsidRPr="00C3707B" w:rsidRDefault="00D37F2D">
                  <w:pPr>
                    <w:jc w:val="left"/>
                    <w:rPr>
                      <w:noProof/>
                      <w:sz w:val="20"/>
                      <w:szCs w:val="16"/>
                    </w:rPr>
                  </w:pPr>
                  <w:r w:rsidRPr="00C3707B">
                    <w:rPr>
                      <w:noProof/>
                      <w:sz w:val="20"/>
                    </w:rPr>
                    <w:t>Artikel </w:t>
                  </w:r>
                  <w:r w:rsidRPr="00160A33">
                    <w:rPr>
                      <w:noProof/>
                      <w:sz w:val="20"/>
                    </w:rPr>
                    <w:t>13</w:t>
                  </w:r>
                </w:p>
                <w:p w14:paraId="23CAE89E" w14:textId="77777777" w:rsidR="00D37F2D" w:rsidRPr="00C3707B" w:rsidRDefault="00D37F2D">
                  <w:pPr>
                    <w:jc w:val="left"/>
                    <w:rPr>
                      <w:noProof/>
                      <w:sz w:val="20"/>
                      <w:szCs w:val="16"/>
                    </w:rPr>
                  </w:pPr>
                  <w:r w:rsidRPr="00C3707B">
                    <w:rPr>
                      <w:noProof/>
                      <w:sz w:val="20"/>
                    </w:rPr>
                    <w:t>lid </w:t>
                  </w:r>
                  <w:r w:rsidRPr="00160A33">
                    <w:rPr>
                      <w:noProof/>
                      <w:sz w:val="20"/>
                    </w:rPr>
                    <w:t>2</w:t>
                  </w:r>
                </w:p>
              </w:tc>
              <w:tc>
                <w:tcPr>
                  <w:tcW w:w="2944" w:type="dxa"/>
                  <w:shd w:val="clear" w:color="auto" w:fill="auto"/>
                </w:tcPr>
                <w:p w14:paraId="3A4AB756" w14:textId="77777777" w:rsidR="00D37F2D" w:rsidRPr="00C3707B" w:rsidRDefault="00D37F2D">
                  <w:pPr>
                    <w:rPr>
                      <w:bCs/>
                      <w:noProof/>
                      <w:sz w:val="20"/>
                      <w:szCs w:val="16"/>
                    </w:rPr>
                  </w:pPr>
                  <w:r w:rsidRPr="00C3707B">
                    <w:rPr>
                      <w:noProof/>
                      <w:sz w:val="20"/>
                    </w:rPr>
                    <w:t>Niet gedefinieerd</w:t>
                  </w:r>
                </w:p>
              </w:tc>
            </w:tr>
            <w:tr w:rsidR="00D37F2D" w:rsidRPr="00C3707B" w14:paraId="65D73D52" w14:textId="77777777">
              <w:tc>
                <w:tcPr>
                  <w:tcW w:w="2944" w:type="dxa"/>
                  <w:shd w:val="clear" w:color="auto" w:fill="auto"/>
                </w:tcPr>
                <w:p w14:paraId="3B5659A6" w14:textId="77777777" w:rsidR="00D37F2D" w:rsidRPr="00C3707B" w:rsidRDefault="00D37F2D">
                  <w:pPr>
                    <w:rPr>
                      <w:noProof/>
                      <w:sz w:val="20"/>
                      <w:szCs w:val="16"/>
                    </w:rPr>
                  </w:pPr>
                  <w:r w:rsidRPr="00C3707B">
                    <w:rPr>
                      <w:noProof/>
                      <w:sz w:val="20"/>
                    </w:rPr>
                    <w:t>Beoordeling of strategische projecten betrekking hebben op een kwetsbaarheid in de toeleveringsketen</w:t>
                  </w:r>
                </w:p>
              </w:tc>
              <w:tc>
                <w:tcPr>
                  <w:tcW w:w="2944" w:type="dxa"/>
                  <w:shd w:val="clear" w:color="auto" w:fill="auto"/>
                </w:tcPr>
                <w:p w14:paraId="7AB9FF1B" w14:textId="77777777" w:rsidR="00D37F2D" w:rsidRPr="00C3707B" w:rsidRDefault="00D37F2D">
                  <w:pPr>
                    <w:jc w:val="left"/>
                    <w:rPr>
                      <w:noProof/>
                      <w:sz w:val="20"/>
                      <w:szCs w:val="16"/>
                    </w:rPr>
                  </w:pPr>
                  <w:r w:rsidRPr="00C3707B">
                    <w:rPr>
                      <w:noProof/>
                      <w:sz w:val="20"/>
                    </w:rPr>
                    <w:t>Artikel </w:t>
                  </w:r>
                  <w:r w:rsidRPr="00160A33">
                    <w:rPr>
                      <w:noProof/>
                      <w:sz w:val="20"/>
                    </w:rPr>
                    <w:t>16</w:t>
                  </w:r>
                </w:p>
              </w:tc>
              <w:tc>
                <w:tcPr>
                  <w:tcW w:w="2944" w:type="dxa"/>
                  <w:shd w:val="clear" w:color="auto" w:fill="auto"/>
                </w:tcPr>
                <w:p w14:paraId="4C7CABCA" w14:textId="77777777" w:rsidR="00D37F2D" w:rsidRPr="00C3707B" w:rsidRDefault="00D37F2D">
                  <w:pPr>
                    <w:rPr>
                      <w:bCs/>
                      <w:noProof/>
                      <w:sz w:val="20"/>
                      <w:szCs w:val="16"/>
                    </w:rPr>
                  </w:pPr>
                  <w:r w:rsidRPr="00C3707B">
                    <w:rPr>
                      <w:noProof/>
                      <w:sz w:val="20"/>
                    </w:rPr>
                    <w:t>Niet gedefinieerd</w:t>
                  </w:r>
                </w:p>
              </w:tc>
            </w:tr>
            <w:tr w:rsidR="00D37F2D" w:rsidRPr="00C3707B" w14:paraId="4B2CF1CE" w14:textId="77777777">
              <w:tc>
                <w:tcPr>
                  <w:tcW w:w="2944" w:type="dxa"/>
                  <w:shd w:val="clear" w:color="auto" w:fill="auto"/>
                </w:tcPr>
                <w:p w14:paraId="0D5863EF" w14:textId="77777777" w:rsidR="00D37F2D" w:rsidRPr="00C3707B" w:rsidRDefault="00D37F2D">
                  <w:pPr>
                    <w:rPr>
                      <w:noProof/>
                      <w:sz w:val="20"/>
                      <w:szCs w:val="16"/>
                    </w:rPr>
                  </w:pPr>
                  <w:r w:rsidRPr="00C3707B">
                    <w:rPr>
                      <w:noProof/>
                      <w:sz w:val="20"/>
                    </w:rPr>
                    <w:t>Nationale programma’s</w:t>
                  </w:r>
                </w:p>
              </w:tc>
              <w:tc>
                <w:tcPr>
                  <w:tcW w:w="2944" w:type="dxa"/>
                  <w:shd w:val="clear" w:color="auto" w:fill="auto"/>
                </w:tcPr>
                <w:p w14:paraId="12FE85F1" w14:textId="77777777" w:rsidR="00D37F2D" w:rsidRPr="00C3707B" w:rsidRDefault="00D37F2D">
                  <w:pPr>
                    <w:jc w:val="left"/>
                    <w:rPr>
                      <w:noProof/>
                      <w:sz w:val="20"/>
                      <w:szCs w:val="16"/>
                    </w:rPr>
                  </w:pPr>
                  <w:r w:rsidRPr="00C3707B">
                    <w:rPr>
                      <w:noProof/>
                      <w:sz w:val="20"/>
                    </w:rPr>
                    <w:t>Artikel </w:t>
                  </w:r>
                  <w:r w:rsidRPr="00160A33">
                    <w:rPr>
                      <w:noProof/>
                      <w:sz w:val="20"/>
                    </w:rPr>
                    <w:t>19</w:t>
                  </w:r>
                </w:p>
              </w:tc>
              <w:tc>
                <w:tcPr>
                  <w:tcW w:w="2944" w:type="dxa"/>
                  <w:shd w:val="clear" w:color="auto" w:fill="auto"/>
                </w:tcPr>
                <w:p w14:paraId="49653848" w14:textId="77777777" w:rsidR="00D37F2D" w:rsidRPr="00C3707B" w:rsidRDefault="00D37F2D">
                  <w:pPr>
                    <w:rPr>
                      <w:bCs/>
                      <w:noProof/>
                      <w:sz w:val="20"/>
                      <w:szCs w:val="16"/>
                    </w:rPr>
                  </w:pPr>
                  <w:r w:rsidRPr="00C3707B">
                    <w:rPr>
                      <w:noProof/>
                      <w:sz w:val="20"/>
                    </w:rPr>
                    <w:t>Niet gedefinieerd</w:t>
                  </w:r>
                </w:p>
              </w:tc>
            </w:tr>
          </w:tbl>
          <w:p w14:paraId="164548E6" w14:textId="77777777" w:rsidR="00D37F2D" w:rsidRPr="00C3707B" w:rsidRDefault="00D37F2D">
            <w:pPr>
              <w:rPr>
                <w:noProof/>
              </w:rPr>
            </w:pPr>
          </w:p>
          <w:p w14:paraId="7B0A69F5" w14:textId="77777777" w:rsidR="00D37F2D" w:rsidRPr="00C3707B" w:rsidRDefault="00D37F2D">
            <w:pPr>
              <w:rPr>
                <w:noProof/>
              </w:rPr>
            </w:pPr>
            <w:r w:rsidRPr="00C3707B">
              <w:rPr>
                <w:noProof/>
              </w:rPr>
              <w:t>De lijst van autoriteiten van de lidstaten die zijn aangewezen om strategische projecten te beoordelen en te bevestigen, zal worden gepubliceerd op de website ec.europa.eu, zodat ervoor wordt gezorgd dat deze vindbaar en toegankelijk is.</w:t>
            </w:r>
          </w:p>
          <w:p w14:paraId="5CC81A1C" w14:textId="77777777" w:rsidR="00D62518" w:rsidRDefault="00D37F2D">
            <w:pPr>
              <w:rPr>
                <w:noProof/>
              </w:rPr>
            </w:pPr>
            <w:r w:rsidRPr="00C3707B">
              <w:rPr>
                <w:noProof/>
              </w:rPr>
              <w:t>De handeling is in overeenstemming met het eenmaligheidsbeginsel, aangezien de verzameling van gegevens voor de identificatie van kritieke geneesmiddelen en de beoordeling van kwetsbaarheden in hun toeleveringsketens niet wordt gedupliceerd, doordat gegevens die zijn verzameld in het kader van de herziening van de algemene geneesmiddelenwetgeving opnieuw worden gebruikt.</w:t>
            </w:r>
          </w:p>
          <w:p w14:paraId="7B5F38B2" w14:textId="3A3D4D37" w:rsidR="00D37F2D" w:rsidRPr="00C3707B" w:rsidRDefault="00D37F2D">
            <w:pPr>
              <w:rPr>
                <w:noProof/>
              </w:rPr>
            </w:pPr>
            <w:r w:rsidRPr="00C3707B">
              <w:rPr>
                <w:noProof/>
              </w:rPr>
              <w:t>Gegevens met betrekking tot beoordelingen vallen onder de rechtsgrondslag op basis waarvan de beoordelingen moeten worden uitgevoerd.</w:t>
            </w:r>
          </w:p>
          <w:p w14:paraId="741E1632" w14:textId="77777777" w:rsidR="00D62518" w:rsidRDefault="00D37F2D">
            <w:pPr>
              <w:rPr>
                <w:noProof/>
              </w:rPr>
            </w:pPr>
            <w:r w:rsidRPr="00C3707B">
              <w:rPr>
                <w:noProof/>
              </w:rPr>
              <w:t>Gegevensstromen</w:t>
            </w:r>
          </w:p>
          <w:p w14:paraId="4C6BBF4B" w14:textId="039E89EE" w:rsidR="00D37F2D" w:rsidRPr="00C3707B" w:rsidRDefault="00622DE4">
            <w:pPr>
              <w:rPr>
                <w:noProof/>
              </w:rPr>
            </w:pPr>
            <w:r w:rsidRPr="00C3707B">
              <w:rPr>
                <w:noProof/>
                <w:lang w:val="en-GB" w:eastAsia="en-GB"/>
              </w:rPr>
              <w:drawing>
                <wp:inline distT="0" distB="0" distL="0" distR="0" wp14:anchorId="0C61EF13" wp14:editId="241D6AC5">
                  <wp:extent cx="3907595" cy="1457325"/>
                  <wp:effectExtent l="0" t="0" r="0" b="0"/>
                  <wp:docPr id="2075872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72579" name=""/>
                          <pic:cNvPicPr/>
                        </pic:nvPicPr>
                        <pic:blipFill>
                          <a:blip r:embed="rId22"/>
                          <a:stretch>
                            <a:fillRect/>
                          </a:stretch>
                        </pic:blipFill>
                        <pic:spPr>
                          <a:xfrm>
                            <a:off x="0" y="0"/>
                            <a:ext cx="3920019" cy="1461959"/>
                          </a:xfrm>
                          <a:prstGeom prst="rect">
                            <a:avLst/>
                          </a:prstGeom>
                        </pic:spPr>
                      </pic:pic>
                    </a:graphicData>
                  </a:graphic>
                </wp:inline>
              </w:drawing>
            </w:r>
          </w:p>
          <w:p w14:paraId="5C966C86" w14:textId="77777777" w:rsidR="00622DE4" w:rsidRPr="00C3707B" w:rsidRDefault="00622DE4">
            <w:pPr>
              <w:rPr>
                <w:noProof/>
              </w:rPr>
            </w:pPr>
          </w:p>
          <w:p w14:paraId="11CE2713" w14:textId="77777777" w:rsidR="00622DE4" w:rsidRPr="00C3707B" w:rsidRDefault="00622DE4">
            <w:pPr>
              <w:rPr>
                <w:noProof/>
              </w:rPr>
            </w:pPr>
          </w:p>
          <w:tbl>
            <w:tblPr>
              <w:tblStyle w:val="TableGrid"/>
              <w:tblW w:w="9242" w:type="dxa"/>
              <w:tblLook w:val="04A0" w:firstRow="1" w:lastRow="0" w:firstColumn="1" w:lastColumn="0" w:noHBand="0" w:noVBand="1"/>
            </w:tblPr>
            <w:tblGrid>
              <w:gridCol w:w="1748"/>
              <w:gridCol w:w="1317"/>
              <w:gridCol w:w="1604"/>
              <w:gridCol w:w="1604"/>
              <w:gridCol w:w="1730"/>
              <w:gridCol w:w="1058"/>
            </w:tblGrid>
            <w:tr w:rsidR="00D37F2D" w:rsidRPr="00C3707B" w14:paraId="6FF0EC9D" w14:textId="77777777">
              <w:trPr>
                <w:trHeight w:val="300"/>
              </w:trPr>
              <w:tc>
                <w:tcPr>
                  <w:tcW w:w="1526" w:type="dxa"/>
                  <w:tcBorders>
                    <w:top w:val="single" w:sz="4" w:space="0" w:color="auto"/>
                    <w:left w:val="single" w:sz="4" w:space="0" w:color="auto"/>
                    <w:bottom w:val="single" w:sz="4" w:space="0" w:color="auto"/>
                    <w:right w:val="single" w:sz="4" w:space="0" w:color="auto"/>
                  </w:tcBorders>
                  <w:hideMark/>
                </w:tcPr>
                <w:p w14:paraId="2CBDC7F0" w14:textId="77777777" w:rsidR="00D37F2D" w:rsidRPr="00C3707B" w:rsidRDefault="00D37F2D">
                  <w:pPr>
                    <w:jc w:val="left"/>
                    <w:rPr>
                      <w:b/>
                      <w:bCs/>
                      <w:noProof/>
                      <w:sz w:val="18"/>
                      <w:szCs w:val="14"/>
                    </w:rPr>
                  </w:pPr>
                  <w:r w:rsidRPr="00C3707B">
                    <w:rPr>
                      <w:b/>
                      <w:noProof/>
                      <w:sz w:val="18"/>
                    </w:rPr>
                    <w:t>Soort gegevens</w:t>
                  </w:r>
                </w:p>
              </w:tc>
              <w:tc>
                <w:tcPr>
                  <w:tcW w:w="2029" w:type="dxa"/>
                  <w:tcBorders>
                    <w:top w:val="single" w:sz="4" w:space="0" w:color="auto"/>
                    <w:left w:val="single" w:sz="4" w:space="0" w:color="auto"/>
                    <w:bottom w:val="single" w:sz="4" w:space="0" w:color="auto"/>
                    <w:right w:val="single" w:sz="4" w:space="0" w:color="auto"/>
                  </w:tcBorders>
                  <w:hideMark/>
                </w:tcPr>
                <w:p w14:paraId="07AC1955" w14:textId="77777777" w:rsidR="00D37F2D" w:rsidRPr="00C3707B" w:rsidRDefault="00D37F2D">
                  <w:pPr>
                    <w:jc w:val="left"/>
                    <w:rPr>
                      <w:b/>
                      <w:bCs/>
                      <w:noProof/>
                      <w:sz w:val="18"/>
                      <w:szCs w:val="14"/>
                    </w:rPr>
                  </w:pPr>
                  <w:r w:rsidRPr="00C3707B">
                    <w:rPr>
                      <w:b/>
                      <w:noProof/>
                      <w:sz w:val="18"/>
                    </w:rPr>
                    <w:t>Verwijzing(en) naar het/de voorschrift(en)</w:t>
                  </w:r>
                </w:p>
              </w:tc>
              <w:tc>
                <w:tcPr>
                  <w:tcW w:w="1207" w:type="dxa"/>
                  <w:tcBorders>
                    <w:top w:val="single" w:sz="4" w:space="0" w:color="auto"/>
                    <w:left w:val="single" w:sz="4" w:space="0" w:color="auto"/>
                    <w:bottom w:val="single" w:sz="4" w:space="0" w:color="auto"/>
                    <w:right w:val="single" w:sz="4" w:space="0" w:color="auto"/>
                  </w:tcBorders>
                  <w:hideMark/>
                </w:tcPr>
                <w:p w14:paraId="70548EDE" w14:textId="77777777" w:rsidR="00D37F2D" w:rsidRPr="00C3707B" w:rsidRDefault="00D37F2D">
                  <w:pPr>
                    <w:jc w:val="left"/>
                    <w:rPr>
                      <w:b/>
                      <w:bCs/>
                      <w:noProof/>
                      <w:sz w:val="18"/>
                      <w:szCs w:val="14"/>
                    </w:rPr>
                  </w:pPr>
                  <w:r w:rsidRPr="00C3707B">
                    <w:rPr>
                      <w:b/>
                      <w:noProof/>
                      <w:sz w:val="18"/>
                    </w:rPr>
                    <w:t>Actor die de gegevens verstrekt</w:t>
                  </w:r>
                </w:p>
              </w:tc>
              <w:tc>
                <w:tcPr>
                  <w:tcW w:w="1381" w:type="dxa"/>
                  <w:tcBorders>
                    <w:top w:val="single" w:sz="4" w:space="0" w:color="auto"/>
                    <w:left w:val="single" w:sz="4" w:space="0" w:color="auto"/>
                    <w:bottom w:val="single" w:sz="4" w:space="0" w:color="auto"/>
                    <w:right w:val="single" w:sz="4" w:space="0" w:color="auto"/>
                  </w:tcBorders>
                  <w:hideMark/>
                </w:tcPr>
                <w:p w14:paraId="76F9D54E" w14:textId="77777777" w:rsidR="00D37F2D" w:rsidRPr="00C3707B" w:rsidRDefault="00D37F2D">
                  <w:pPr>
                    <w:jc w:val="left"/>
                    <w:rPr>
                      <w:b/>
                      <w:bCs/>
                      <w:noProof/>
                      <w:sz w:val="18"/>
                      <w:szCs w:val="14"/>
                    </w:rPr>
                  </w:pPr>
                  <w:r w:rsidRPr="00C3707B">
                    <w:rPr>
                      <w:b/>
                      <w:noProof/>
                      <w:sz w:val="18"/>
                    </w:rPr>
                    <w:t>Actor die de gegevens ontvangt</w:t>
                  </w:r>
                </w:p>
              </w:tc>
              <w:tc>
                <w:tcPr>
                  <w:tcW w:w="1670" w:type="dxa"/>
                  <w:tcBorders>
                    <w:top w:val="single" w:sz="4" w:space="0" w:color="auto"/>
                    <w:left w:val="single" w:sz="4" w:space="0" w:color="auto"/>
                    <w:bottom w:val="single" w:sz="4" w:space="0" w:color="auto"/>
                    <w:right w:val="single" w:sz="4" w:space="0" w:color="auto"/>
                  </w:tcBorders>
                  <w:hideMark/>
                </w:tcPr>
                <w:p w14:paraId="6978F883" w14:textId="77777777" w:rsidR="00D37F2D" w:rsidRPr="00C3707B" w:rsidRDefault="00D37F2D">
                  <w:pPr>
                    <w:jc w:val="left"/>
                    <w:rPr>
                      <w:b/>
                      <w:bCs/>
                      <w:noProof/>
                      <w:sz w:val="18"/>
                      <w:szCs w:val="14"/>
                    </w:rPr>
                  </w:pPr>
                  <w:r w:rsidRPr="00C3707B">
                    <w:rPr>
                      <w:b/>
                      <w:noProof/>
                      <w:sz w:val="18"/>
                    </w:rPr>
                    <w:t>Aanleiding voor de gegevensuitwisseling</w:t>
                  </w:r>
                </w:p>
              </w:tc>
              <w:tc>
                <w:tcPr>
                  <w:tcW w:w="1429" w:type="dxa"/>
                  <w:tcBorders>
                    <w:top w:val="single" w:sz="4" w:space="0" w:color="auto"/>
                    <w:left w:val="single" w:sz="4" w:space="0" w:color="auto"/>
                    <w:bottom w:val="single" w:sz="4" w:space="0" w:color="auto"/>
                    <w:right w:val="single" w:sz="4" w:space="0" w:color="auto"/>
                  </w:tcBorders>
                  <w:hideMark/>
                </w:tcPr>
                <w:p w14:paraId="60E29813" w14:textId="77777777" w:rsidR="00D37F2D" w:rsidRPr="00C3707B" w:rsidRDefault="00D37F2D">
                  <w:pPr>
                    <w:jc w:val="left"/>
                    <w:rPr>
                      <w:b/>
                      <w:bCs/>
                      <w:noProof/>
                      <w:sz w:val="18"/>
                      <w:szCs w:val="14"/>
                    </w:rPr>
                  </w:pPr>
                  <w:r w:rsidRPr="00C3707B">
                    <w:rPr>
                      <w:b/>
                      <w:noProof/>
                      <w:sz w:val="18"/>
                    </w:rPr>
                    <w:t>Frequentie (indien van toepassing)</w:t>
                  </w:r>
                </w:p>
              </w:tc>
            </w:tr>
            <w:tr w:rsidR="00D37F2D" w:rsidRPr="00C3707B" w14:paraId="3958A0DE"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8B22977" w14:textId="77777777" w:rsidR="00D37F2D" w:rsidRPr="00C3707B" w:rsidRDefault="00D37F2D">
                  <w:pPr>
                    <w:jc w:val="left"/>
                    <w:rPr>
                      <w:noProof/>
                      <w:sz w:val="18"/>
                      <w:szCs w:val="14"/>
                    </w:rPr>
                  </w:pPr>
                  <w:r w:rsidRPr="00C3707B">
                    <w:rPr>
                      <w:noProof/>
                      <w:sz w:val="18"/>
                    </w:rPr>
                    <w:t>Lijst van autoriteiten van de lidstaten die zijn aangewezen voor de beoordeling en bevestiging van strategische projecten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5ED7965" w14:textId="77777777" w:rsidR="00D37F2D" w:rsidRPr="00C3707B" w:rsidRDefault="00D37F2D">
                  <w:pPr>
                    <w:jc w:val="left"/>
                    <w:rPr>
                      <w:noProof/>
                      <w:sz w:val="18"/>
                      <w:szCs w:val="14"/>
                    </w:rPr>
                  </w:pPr>
                  <w:r w:rsidRPr="00C3707B">
                    <w:rPr>
                      <w:noProof/>
                      <w:sz w:val="18"/>
                    </w:rPr>
                    <w:t>Artikel </w:t>
                  </w:r>
                  <w:r w:rsidRPr="00160A33">
                    <w:rPr>
                      <w:noProof/>
                      <w:sz w:val="18"/>
                    </w:rPr>
                    <w:t>6</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7256F640" w14:textId="77777777" w:rsidR="00D37F2D" w:rsidRPr="00C3707B" w:rsidRDefault="00D37F2D">
                  <w:pPr>
                    <w:jc w:val="left"/>
                    <w:rPr>
                      <w:noProof/>
                      <w:sz w:val="18"/>
                      <w:szCs w:val="14"/>
                    </w:rPr>
                  </w:pPr>
                  <w:r w:rsidRPr="00C3707B">
                    <w:rPr>
                      <w:noProof/>
                      <w:sz w:val="18"/>
                    </w:rPr>
                    <w:t>Lidstaten,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D31D7EF" w14:textId="77777777" w:rsidR="00D37F2D" w:rsidRPr="00C3707B" w:rsidRDefault="00D37F2D">
                  <w:pPr>
                    <w:jc w:val="left"/>
                    <w:rPr>
                      <w:noProof/>
                      <w:sz w:val="18"/>
                      <w:szCs w:val="14"/>
                    </w:rPr>
                  </w:pPr>
                  <w:r w:rsidRPr="00C3707B">
                    <w:rPr>
                      <w:noProof/>
                      <w:sz w:val="18"/>
                    </w:rPr>
                    <w:t>Commissie</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C35A7D7" w14:textId="77777777" w:rsidR="00D37F2D" w:rsidRPr="00C3707B" w:rsidRDefault="00D37F2D">
                  <w:pPr>
                    <w:jc w:val="left"/>
                    <w:rPr>
                      <w:noProof/>
                      <w:sz w:val="18"/>
                      <w:szCs w:val="14"/>
                    </w:rPr>
                  </w:pPr>
                  <w:r w:rsidRPr="00C3707B">
                    <w:rPr>
                      <w:noProof/>
                      <w:sz w:val="18"/>
                    </w:rPr>
                    <w:t>Niet gedefinieerd</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4174CFE7" w14:textId="77777777" w:rsidR="00D37F2D" w:rsidRPr="00C3707B" w:rsidRDefault="00D37F2D">
                  <w:pPr>
                    <w:jc w:val="left"/>
                    <w:rPr>
                      <w:noProof/>
                      <w:sz w:val="18"/>
                      <w:szCs w:val="14"/>
                    </w:rPr>
                  </w:pPr>
                  <w:r w:rsidRPr="00C3707B">
                    <w:rPr>
                      <w:noProof/>
                      <w:sz w:val="18"/>
                    </w:rPr>
                    <w:t>N.v.t.</w:t>
                  </w:r>
                </w:p>
              </w:tc>
            </w:tr>
            <w:tr w:rsidR="00D37F2D" w:rsidRPr="00C3707B" w14:paraId="29D2E379"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8203739" w14:textId="77777777" w:rsidR="00D37F2D" w:rsidRPr="00C3707B" w:rsidRDefault="00D37F2D">
                  <w:pPr>
                    <w:jc w:val="left"/>
                    <w:rPr>
                      <w:noProof/>
                      <w:sz w:val="18"/>
                      <w:szCs w:val="14"/>
                    </w:rPr>
                  </w:pPr>
                  <w:r w:rsidRPr="00C3707B">
                    <w:rPr>
                      <w:noProof/>
                      <w:sz w:val="18"/>
                    </w:rPr>
                    <w:t>Project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6F33FA1" w14:textId="77777777" w:rsidR="00D37F2D" w:rsidRPr="00C3707B" w:rsidRDefault="00D37F2D">
                  <w:pPr>
                    <w:jc w:val="left"/>
                    <w:rPr>
                      <w:noProof/>
                      <w:sz w:val="18"/>
                      <w:szCs w:val="14"/>
                    </w:rPr>
                  </w:pPr>
                  <w:r w:rsidRPr="00C3707B">
                    <w:rPr>
                      <w:noProof/>
                      <w:sz w:val="18"/>
                    </w:rPr>
                    <w:t>Artikel </w:t>
                  </w:r>
                  <w:r w:rsidRPr="00160A33">
                    <w:rPr>
                      <w:noProof/>
                      <w:sz w:val="18"/>
                    </w:rPr>
                    <w:t>6</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5CDCC69F" w14:textId="77777777" w:rsidR="00D37F2D" w:rsidRPr="00C3707B" w:rsidRDefault="00D37F2D">
                  <w:pPr>
                    <w:jc w:val="left"/>
                    <w:rPr>
                      <w:noProof/>
                      <w:sz w:val="18"/>
                      <w:szCs w:val="14"/>
                    </w:rPr>
                  </w:pPr>
                  <w:r w:rsidRPr="00C3707B">
                    <w:rPr>
                      <w:noProof/>
                      <w:sz w:val="18"/>
                    </w:rPr>
                    <w:t>Projectontwikkelaar</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CBCB860" w14:textId="77777777" w:rsidR="00D37F2D" w:rsidRPr="00C3707B" w:rsidRDefault="00D37F2D">
                  <w:pPr>
                    <w:jc w:val="left"/>
                    <w:rPr>
                      <w:noProof/>
                      <w:sz w:val="18"/>
                      <w:szCs w:val="14"/>
                    </w:rPr>
                  </w:pPr>
                  <w:r w:rsidRPr="00C3707B">
                    <w:rPr>
                      <w:noProof/>
                      <w:sz w:val="18"/>
                    </w:rPr>
                    <w:t>Aangewezen autoriteit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EFA02F6" w14:textId="77777777" w:rsidR="00D37F2D" w:rsidRPr="00C3707B" w:rsidRDefault="00D37F2D">
                  <w:pPr>
                    <w:jc w:val="left"/>
                    <w:rPr>
                      <w:noProof/>
                      <w:sz w:val="18"/>
                      <w:szCs w:val="14"/>
                    </w:rPr>
                  </w:pPr>
                  <w:r w:rsidRPr="00C3707B">
                    <w:rPr>
                      <w:noProof/>
                      <w:sz w:val="18"/>
                    </w:rPr>
                    <w:t>Op initiatief van de projectontwikkelaar</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285040CE" w14:textId="77777777" w:rsidR="00D37F2D" w:rsidRPr="00C3707B" w:rsidRDefault="00D37F2D">
                  <w:pPr>
                    <w:jc w:val="left"/>
                    <w:rPr>
                      <w:noProof/>
                      <w:sz w:val="18"/>
                      <w:szCs w:val="14"/>
                    </w:rPr>
                  </w:pPr>
                </w:p>
              </w:tc>
            </w:tr>
            <w:tr w:rsidR="00D37F2D" w:rsidRPr="00C3707B" w14:paraId="77741DA2"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A6D5B1F" w14:textId="77777777" w:rsidR="00D37F2D" w:rsidRPr="00C3707B" w:rsidRDefault="00D37F2D">
                  <w:pPr>
                    <w:jc w:val="left"/>
                    <w:rPr>
                      <w:noProof/>
                      <w:sz w:val="18"/>
                      <w:szCs w:val="14"/>
                    </w:rPr>
                  </w:pPr>
                  <w:r w:rsidRPr="00C3707B">
                    <w:rPr>
                      <w:noProof/>
                      <w:sz w:val="18"/>
                    </w:rPr>
                    <w:t>Strategisch project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04D76A5" w14:textId="77777777" w:rsidR="00D37F2D" w:rsidRPr="00C3707B" w:rsidRDefault="00D37F2D">
                  <w:pPr>
                    <w:jc w:val="left"/>
                    <w:rPr>
                      <w:noProof/>
                      <w:sz w:val="18"/>
                      <w:szCs w:val="14"/>
                    </w:rPr>
                  </w:pPr>
                  <w:r w:rsidRPr="00C3707B">
                    <w:rPr>
                      <w:noProof/>
                      <w:sz w:val="18"/>
                    </w:rPr>
                    <w:t>Artikel </w:t>
                  </w:r>
                  <w:r w:rsidRPr="00160A33">
                    <w:rPr>
                      <w:noProof/>
                      <w:sz w:val="18"/>
                    </w:rPr>
                    <w:t>6</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6CD9598" w14:textId="77777777" w:rsidR="00D37F2D" w:rsidRPr="00C3707B" w:rsidRDefault="00D37F2D">
                  <w:pPr>
                    <w:jc w:val="left"/>
                    <w:rPr>
                      <w:noProof/>
                      <w:sz w:val="18"/>
                      <w:szCs w:val="14"/>
                    </w:rPr>
                  </w:pPr>
                  <w:r w:rsidRPr="00C3707B">
                    <w:rPr>
                      <w:noProof/>
                      <w:sz w:val="18"/>
                    </w:rPr>
                    <w:t>Aangewezen autoriteit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7F0D995" w14:textId="77777777" w:rsidR="00D37F2D" w:rsidRPr="00C3707B" w:rsidRDefault="00D37F2D">
                  <w:pPr>
                    <w:jc w:val="left"/>
                    <w:rPr>
                      <w:noProof/>
                      <w:sz w:val="18"/>
                      <w:szCs w:val="14"/>
                    </w:rPr>
                  </w:pPr>
                  <w:r w:rsidRPr="00C3707B">
                    <w:rPr>
                      <w:noProof/>
                      <w:sz w:val="18"/>
                    </w:rPr>
                    <w:t>Projectontwikkelaar</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6DD82283" w14:textId="77777777" w:rsidR="00D37F2D" w:rsidRPr="00C3707B" w:rsidRDefault="00D37F2D">
                  <w:pPr>
                    <w:jc w:val="left"/>
                    <w:rPr>
                      <w:noProof/>
                      <w:sz w:val="18"/>
                      <w:szCs w:val="14"/>
                    </w:rPr>
                  </w:pPr>
                  <w:r w:rsidRPr="00C3707B">
                    <w:rPr>
                      <w:noProof/>
                      <w:sz w:val="18"/>
                    </w:rPr>
                    <w:t>Op verzoek van de projectontwikkelaar</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7B0DF52" w14:textId="77777777" w:rsidR="00D37F2D" w:rsidRPr="00C3707B" w:rsidRDefault="00D37F2D">
                  <w:pPr>
                    <w:jc w:val="left"/>
                    <w:rPr>
                      <w:noProof/>
                      <w:sz w:val="18"/>
                      <w:szCs w:val="14"/>
                    </w:rPr>
                  </w:pPr>
                  <w:r w:rsidRPr="00C3707B">
                    <w:rPr>
                      <w:noProof/>
                      <w:sz w:val="18"/>
                    </w:rPr>
                    <w:t>Geen vastgestelde termijn</w:t>
                  </w:r>
                </w:p>
              </w:tc>
            </w:tr>
            <w:tr w:rsidR="00D37F2D" w:rsidRPr="00C3707B" w14:paraId="79567EBA"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CA1CFAE" w14:textId="77777777" w:rsidR="00D37F2D" w:rsidRPr="00C3707B" w:rsidRDefault="00D37F2D">
                  <w:pPr>
                    <w:jc w:val="left"/>
                    <w:rPr>
                      <w:noProof/>
                      <w:sz w:val="18"/>
                      <w:szCs w:val="14"/>
                    </w:rPr>
                  </w:pPr>
                  <w:r w:rsidRPr="00C3707B">
                    <w:rPr>
                      <w:noProof/>
                      <w:sz w:val="18"/>
                    </w:rPr>
                    <w:t>Hoogste status van nationaal belang voor strategische projecten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6A91B8E" w14:textId="77777777" w:rsidR="00D37F2D" w:rsidRPr="00C3707B" w:rsidRDefault="00D37F2D">
                  <w:pPr>
                    <w:jc w:val="left"/>
                    <w:rPr>
                      <w:noProof/>
                      <w:sz w:val="18"/>
                      <w:szCs w:val="14"/>
                    </w:rPr>
                  </w:pPr>
                  <w:r w:rsidRPr="00C3707B">
                    <w:rPr>
                      <w:noProof/>
                      <w:sz w:val="18"/>
                    </w:rPr>
                    <w:t>Artikel </w:t>
                  </w:r>
                  <w:r w:rsidRPr="00160A33">
                    <w:rPr>
                      <w:noProof/>
                      <w:sz w:val="18"/>
                    </w:rPr>
                    <w:t>9</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4092EC28" w14:textId="77777777" w:rsidR="00D37F2D" w:rsidRPr="00C3707B" w:rsidRDefault="00D37F2D">
                  <w:pPr>
                    <w:jc w:val="left"/>
                    <w:rPr>
                      <w:noProof/>
                      <w:sz w:val="18"/>
                      <w:szCs w:val="14"/>
                    </w:rPr>
                  </w:pPr>
                  <w:r w:rsidRPr="00C3707B">
                    <w:rPr>
                      <w:noProof/>
                      <w:sz w:val="18"/>
                    </w:rPr>
                    <w:t>Nationale autoriteiten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F7A7EA4" w14:textId="77777777" w:rsidR="00D37F2D" w:rsidRPr="00C3707B" w:rsidRDefault="00D37F2D">
                  <w:pPr>
                    <w:jc w:val="left"/>
                    <w:rPr>
                      <w:noProof/>
                      <w:sz w:val="18"/>
                      <w:szCs w:val="14"/>
                    </w:rPr>
                  </w:pPr>
                  <w:r w:rsidRPr="00C3707B">
                    <w:rPr>
                      <w:noProof/>
                      <w:sz w:val="18"/>
                    </w:rPr>
                    <w:t>Ontwikkelaar van het strategisch project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95937AF" w14:textId="77777777" w:rsidR="00D37F2D" w:rsidRPr="00C3707B" w:rsidRDefault="00D37F2D">
                  <w:pPr>
                    <w:jc w:val="left"/>
                    <w:rPr>
                      <w:noProof/>
                      <w:sz w:val="18"/>
                      <w:szCs w:val="14"/>
                    </w:rPr>
                  </w:pPr>
                  <w:r w:rsidRPr="00C3707B">
                    <w:rPr>
                      <w:noProof/>
                      <w:sz w:val="18"/>
                    </w:rPr>
                    <w:t>Geen vastgestelde termijn</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6EBA3A2B" w14:textId="77777777" w:rsidR="00D37F2D" w:rsidRPr="00C3707B" w:rsidRDefault="00D37F2D">
                  <w:pPr>
                    <w:jc w:val="left"/>
                    <w:rPr>
                      <w:noProof/>
                      <w:sz w:val="18"/>
                      <w:szCs w:val="14"/>
                    </w:rPr>
                  </w:pPr>
                </w:p>
              </w:tc>
            </w:tr>
            <w:tr w:rsidR="00D37F2D" w:rsidRPr="00C3707B" w14:paraId="08882F02"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6489032" w14:textId="77777777" w:rsidR="00D37F2D" w:rsidRPr="00C3707B" w:rsidRDefault="00D37F2D">
                  <w:pPr>
                    <w:jc w:val="left"/>
                    <w:rPr>
                      <w:noProof/>
                      <w:sz w:val="18"/>
                      <w:szCs w:val="14"/>
                    </w:rPr>
                  </w:pPr>
                  <w:r w:rsidRPr="00C3707B">
                    <w:rPr>
                      <w:noProof/>
                      <w:sz w:val="18"/>
                    </w:rPr>
                    <w:t>Gecombineerde milieubeoordeling</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8D093ED" w14:textId="77777777" w:rsidR="00D37F2D" w:rsidRPr="00C3707B" w:rsidRDefault="00D37F2D">
                  <w:pPr>
                    <w:jc w:val="left"/>
                    <w:rPr>
                      <w:noProof/>
                      <w:sz w:val="18"/>
                      <w:szCs w:val="14"/>
                    </w:rPr>
                  </w:pPr>
                  <w:r w:rsidRPr="00C3707B">
                    <w:rPr>
                      <w:noProof/>
                      <w:sz w:val="18"/>
                    </w:rPr>
                    <w:t>Artikel </w:t>
                  </w:r>
                  <w:r w:rsidRPr="00160A33">
                    <w:rPr>
                      <w:noProof/>
                      <w:sz w:val="18"/>
                    </w:rPr>
                    <w:t>12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4C7A2B1" w14:textId="77777777" w:rsidR="00D37F2D" w:rsidRPr="00C3707B" w:rsidRDefault="00D37F2D">
                  <w:pPr>
                    <w:jc w:val="left"/>
                    <w:rPr>
                      <w:noProof/>
                      <w:sz w:val="18"/>
                      <w:szCs w:val="14"/>
                    </w:rPr>
                  </w:pPr>
                  <w:r w:rsidRPr="00C3707B">
                    <w:rPr>
                      <w:noProof/>
                      <w:sz w:val="18"/>
                    </w:rPr>
                    <w:t>Bevoegde autoriteit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9B957F6" w14:textId="77777777" w:rsidR="00D37F2D" w:rsidRPr="00C3707B" w:rsidRDefault="00D37F2D">
                  <w:pPr>
                    <w:jc w:val="left"/>
                    <w:rPr>
                      <w:noProof/>
                      <w:sz w:val="18"/>
                      <w:szCs w:val="14"/>
                    </w:rPr>
                  </w:pPr>
                  <w:r w:rsidRPr="00C3707B">
                    <w:rPr>
                      <w:noProof/>
                      <w:sz w:val="18"/>
                    </w:rPr>
                    <w:t>Ontwikkelaar van het strategisch project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36705547" w14:textId="77777777" w:rsidR="00D37F2D" w:rsidRPr="00C3707B" w:rsidRDefault="00D37F2D">
                  <w:pPr>
                    <w:jc w:val="left"/>
                    <w:rPr>
                      <w:noProof/>
                      <w:sz w:val="18"/>
                      <w:szCs w:val="14"/>
                    </w:rPr>
                  </w:pPr>
                  <w:r w:rsidRPr="00C3707B">
                    <w:rPr>
                      <w:noProof/>
                      <w:sz w:val="18"/>
                    </w:rPr>
                    <w:t xml:space="preserve">Binnen </w:t>
                  </w:r>
                  <w:r w:rsidRPr="00160A33">
                    <w:rPr>
                      <w:noProof/>
                      <w:sz w:val="18"/>
                    </w:rPr>
                    <w:t>45</w:t>
                  </w:r>
                  <w:r w:rsidRPr="00C3707B">
                    <w:rPr>
                      <w:noProof/>
                      <w:sz w:val="18"/>
                    </w:rPr>
                    <w:t> dagen na ontvangst van alle noodzakelijke informatie, behoudens uitzonderingen</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0E8467A0" w14:textId="77777777" w:rsidR="00D37F2D" w:rsidRPr="00C3707B" w:rsidRDefault="00D37F2D">
                  <w:pPr>
                    <w:jc w:val="left"/>
                    <w:rPr>
                      <w:noProof/>
                      <w:sz w:val="18"/>
                      <w:szCs w:val="14"/>
                    </w:rPr>
                  </w:pPr>
                </w:p>
              </w:tc>
            </w:tr>
            <w:tr w:rsidR="00D37F2D" w:rsidRPr="00C3707B" w14:paraId="2F00B00C"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B8016F2" w14:textId="77777777" w:rsidR="00D37F2D" w:rsidRPr="00C3707B" w:rsidRDefault="00D37F2D">
                  <w:pPr>
                    <w:jc w:val="left"/>
                    <w:rPr>
                      <w:noProof/>
                      <w:sz w:val="18"/>
                      <w:szCs w:val="14"/>
                    </w:rPr>
                  </w:pPr>
                  <w:r w:rsidRPr="00C3707B">
                    <w:rPr>
                      <w:noProof/>
                      <w:sz w:val="18"/>
                    </w:rPr>
                    <w:t>Gegevens inzake ruimtelijke ordening</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BFD3D19" w14:textId="77777777" w:rsidR="00D37F2D" w:rsidRPr="00C3707B" w:rsidRDefault="00D37F2D">
                  <w:pPr>
                    <w:jc w:val="left"/>
                    <w:rPr>
                      <w:noProof/>
                      <w:sz w:val="18"/>
                      <w:szCs w:val="14"/>
                    </w:rPr>
                  </w:pPr>
                  <w:r w:rsidRPr="00C3707B">
                    <w:rPr>
                      <w:noProof/>
                      <w:sz w:val="18"/>
                    </w:rPr>
                    <w:t>Artikel </w:t>
                  </w:r>
                  <w:r w:rsidRPr="00160A33">
                    <w:rPr>
                      <w:noProof/>
                      <w:sz w:val="18"/>
                    </w:rPr>
                    <w:t>13</w:t>
                  </w:r>
                  <w:r w:rsidRPr="00C3707B">
                    <w:rPr>
                      <w:noProof/>
                      <w:sz w:val="18"/>
                    </w:rPr>
                    <w:t>, lid </w:t>
                  </w:r>
                  <w:r w:rsidRPr="00160A33">
                    <w:rPr>
                      <w:noProof/>
                      <w:sz w:val="18"/>
                    </w:rPr>
                    <w:t>1</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2D1DB33D" w14:textId="77777777" w:rsidR="00D37F2D" w:rsidRPr="00C3707B" w:rsidRDefault="00D37F2D">
                  <w:pPr>
                    <w:jc w:val="left"/>
                    <w:rPr>
                      <w:noProof/>
                      <w:sz w:val="18"/>
                      <w:szCs w:val="14"/>
                    </w:rPr>
                  </w:pPr>
                  <w:r w:rsidRPr="00C3707B">
                    <w:rPr>
                      <w:noProof/>
                      <w:sz w:val="18"/>
                    </w:rPr>
                    <w:t>Lidstaten,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771E5C1" w14:textId="77777777" w:rsidR="00D37F2D" w:rsidRPr="00C3707B" w:rsidRDefault="00D37F2D">
                  <w:pPr>
                    <w:jc w:val="left"/>
                    <w:rPr>
                      <w:noProof/>
                      <w:sz w:val="18"/>
                      <w:szCs w:val="14"/>
                    </w:rPr>
                  </w:pPr>
                  <w:r w:rsidRPr="00C3707B">
                    <w:rPr>
                      <w:noProof/>
                      <w:sz w:val="18"/>
                    </w:rPr>
                    <w:t>Algemeen publiek</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1787F89B" w14:textId="77777777" w:rsidR="00D37F2D" w:rsidRPr="00C3707B" w:rsidRDefault="00D37F2D">
                  <w:pPr>
                    <w:jc w:val="left"/>
                    <w:rPr>
                      <w:noProof/>
                      <w:sz w:val="18"/>
                      <w:szCs w:val="14"/>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658FD77" w14:textId="77777777" w:rsidR="00D37F2D" w:rsidRPr="00C3707B" w:rsidRDefault="00D37F2D">
                  <w:pPr>
                    <w:jc w:val="left"/>
                    <w:rPr>
                      <w:noProof/>
                      <w:sz w:val="18"/>
                      <w:szCs w:val="14"/>
                    </w:rPr>
                  </w:pPr>
                </w:p>
              </w:tc>
            </w:tr>
            <w:tr w:rsidR="00D37F2D" w:rsidRPr="00C3707B" w14:paraId="22825C47"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86E92D4" w14:textId="77777777" w:rsidR="00D37F2D" w:rsidRPr="00C3707B" w:rsidRDefault="00D37F2D">
                  <w:pPr>
                    <w:jc w:val="left"/>
                    <w:rPr>
                      <w:noProof/>
                      <w:sz w:val="18"/>
                      <w:szCs w:val="14"/>
                    </w:rPr>
                  </w:pPr>
                  <w:r w:rsidRPr="00C3707B">
                    <w:rPr>
                      <w:noProof/>
                      <w:sz w:val="20"/>
                    </w:rPr>
                    <w:t>Gecombineerde stedenbouwkundige beoordelingen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5039A05" w14:textId="77777777" w:rsidR="00D37F2D" w:rsidRPr="00C3707B" w:rsidRDefault="00D37F2D">
                  <w:pPr>
                    <w:jc w:val="left"/>
                    <w:rPr>
                      <w:noProof/>
                      <w:sz w:val="18"/>
                      <w:szCs w:val="14"/>
                    </w:rPr>
                  </w:pPr>
                  <w:r w:rsidRPr="00C3707B">
                    <w:rPr>
                      <w:noProof/>
                      <w:sz w:val="18"/>
                    </w:rPr>
                    <w:t>Artikel </w:t>
                  </w:r>
                  <w:r w:rsidRPr="00160A33">
                    <w:rPr>
                      <w:noProof/>
                      <w:sz w:val="18"/>
                    </w:rPr>
                    <w:t>13</w:t>
                  </w:r>
                  <w:r w:rsidRPr="00C3707B">
                    <w:rPr>
                      <w:noProof/>
                      <w:sz w:val="18"/>
                    </w:rPr>
                    <w:t>, lid </w:t>
                  </w:r>
                  <w:r w:rsidRPr="00160A33">
                    <w:rPr>
                      <w:noProof/>
                      <w:sz w:val="18"/>
                    </w:rPr>
                    <w:t>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063884D7" w14:textId="77777777" w:rsidR="00D37F2D" w:rsidRPr="00C3707B" w:rsidRDefault="00D37F2D">
                  <w:pPr>
                    <w:jc w:val="left"/>
                    <w:rPr>
                      <w:noProof/>
                      <w:sz w:val="18"/>
                      <w:szCs w:val="14"/>
                    </w:rPr>
                  </w:pPr>
                  <w:r w:rsidRPr="00C3707B">
                    <w:rPr>
                      <w:noProof/>
                      <w:sz w:val="18"/>
                    </w:rPr>
                    <w:t>Bevoegde autoriteiten van de lidstaten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14CE979" w14:textId="77777777" w:rsidR="00D37F2D" w:rsidRPr="00C3707B" w:rsidRDefault="00D37F2D">
                  <w:pPr>
                    <w:jc w:val="left"/>
                    <w:rPr>
                      <w:noProof/>
                      <w:sz w:val="18"/>
                      <w:szCs w:val="14"/>
                    </w:rPr>
                  </w:pPr>
                  <w:r w:rsidRPr="00C3707B">
                    <w:rPr>
                      <w:noProof/>
                      <w:sz w:val="18"/>
                    </w:rPr>
                    <w:t>Ontwikkelaar van het strategisch project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3EA597BB" w14:textId="77777777" w:rsidR="00D37F2D" w:rsidRPr="00C3707B" w:rsidRDefault="00D37F2D">
                  <w:pPr>
                    <w:jc w:val="left"/>
                    <w:rPr>
                      <w:noProof/>
                      <w:sz w:val="18"/>
                      <w:szCs w:val="14"/>
                    </w:rPr>
                  </w:pPr>
                  <w:r w:rsidRPr="00C3707B">
                    <w:rPr>
                      <w:noProof/>
                      <w:sz w:val="18"/>
                    </w:rPr>
                    <w:t>Geen vastgestelde termijn</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71BAB36D" w14:textId="77777777" w:rsidR="00D37F2D" w:rsidRPr="00C3707B" w:rsidRDefault="00D37F2D">
                  <w:pPr>
                    <w:jc w:val="left"/>
                    <w:rPr>
                      <w:noProof/>
                      <w:sz w:val="18"/>
                      <w:szCs w:val="14"/>
                    </w:rPr>
                  </w:pPr>
                </w:p>
              </w:tc>
            </w:tr>
            <w:tr w:rsidR="00D37F2D" w:rsidRPr="00C3707B" w14:paraId="24990180"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7E1AD70C" w14:textId="77777777" w:rsidR="00D37F2D" w:rsidRPr="00C3707B" w:rsidRDefault="00D37F2D">
                  <w:pPr>
                    <w:jc w:val="left"/>
                    <w:rPr>
                      <w:noProof/>
                      <w:sz w:val="20"/>
                      <w:szCs w:val="16"/>
                    </w:rPr>
                  </w:pPr>
                  <w:r w:rsidRPr="00C3707B">
                    <w:rPr>
                      <w:noProof/>
                      <w:sz w:val="20"/>
                    </w:rPr>
                    <w:t>Verzoek om beoordeling van de aanpak van kwetsbaarheid met strategische projecten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6B8DD98" w14:textId="77777777" w:rsidR="00D37F2D" w:rsidRPr="00C3707B" w:rsidRDefault="00D37F2D">
                  <w:pPr>
                    <w:jc w:val="left"/>
                    <w:rPr>
                      <w:noProof/>
                      <w:sz w:val="18"/>
                      <w:szCs w:val="14"/>
                    </w:rPr>
                  </w:pPr>
                  <w:r w:rsidRPr="00C3707B">
                    <w:rPr>
                      <w:noProof/>
                      <w:sz w:val="18"/>
                    </w:rPr>
                    <w:t>Artikel </w:t>
                  </w:r>
                  <w:r w:rsidRPr="00160A33">
                    <w:rPr>
                      <w:noProof/>
                      <w:sz w:val="18"/>
                    </w:rPr>
                    <w:t>16</w:t>
                  </w:r>
                  <w:r w:rsidRPr="00C3707B">
                    <w:rPr>
                      <w:noProof/>
                      <w:sz w:val="18"/>
                    </w:rPr>
                    <w:t>, lid </w:t>
                  </w:r>
                  <w:r w:rsidRPr="00160A33">
                    <w:rPr>
                      <w:noProof/>
                      <w:sz w:val="18"/>
                    </w:rPr>
                    <w:t>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5D1A0255" w14:textId="77777777" w:rsidR="00D37F2D" w:rsidRPr="00C3707B" w:rsidRDefault="00D37F2D">
                  <w:pPr>
                    <w:jc w:val="left"/>
                    <w:rPr>
                      <w:noProof/>
                      <w:sz w:val="18"/>
                      <w:szCs w:val="14"/>
                    </w:rPr>
                  </w:pPr>
                  <w:r w:rsidRPr="00C3707B">
                    <w:rPr>
                      <w:noProof/>
                      <w:sz w:val="18"/>
                    </w:rPr>
                    <w:t>Ontwikkelaar van het strategisch project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9D86938" w14:textId="77777777" w:rsidR="00D37F2D" w:rsidRPr="00C3707B" w:rsidRDefault="00D37F2D">
                  <w:pPr>
                    <w:jc w:val="left"/>
                    <w:rPr>
                      <w:noProof/>
                      <w:sz w:val="18"/>
                      <w:szCs w:val="14"/>
                    </w:rPr>
                  </w:pPr>
                  <w:r w:rsidRPr="00C3707B">
                    <w:rPr>
                      <w:noProof/>
                      <w:sz w:val="18"/>
                    </w:rPr>
                    <w:t>Aangewezen autoriteit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E496A3B" w14:textId="77777777" w:rsidR="00D37F2D" w:rsidRPr="00C3707B" w:rsidRDefault="00D37F2D">
                  <w:pPr>
                    <w:jc w:val="left"/>
                    <w:rPr>
                      <w:noProof/>
                      <w:sz w:val="18"/>
                      <w:szCs w:val="14"/>
                    </w:rPr>
                  </w:pPr>
                  <w:r w:rsidRPr="00C3707B">
                    <w:rPr>
                      <w:noProof/>
                      <w:sz w:val="18"/>
                    </w:rPr>
                    <w:t>Op initiatief van de projectontwikkelaar</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17D0797" w14:textId="77777777" w:rsidR="00D37F2D" w:rsidRPr="00C3707B" w:rsidRDefault="00D37F2D">
                  <w:pPr>
                    <w:jc w:val="left"/>
                    <w:rPr>
                      <w:noProof/>
                      <w:sz w:val="18"/>
                      <w:szCs w:val="14"/>
                    </w:rPr>
                  </w:pPr>
                </w:p>
              </w:tc>
            </w:tr>
            <w:tr w:rsidR="00D37F2D" w:rsidRPr="00C3707B" w14:paraId="02D1BF51"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CDB5695" w14:textId="77777777" w:rsidR="00D37F2D" w:rsidRPr="00C3707B" w:rsidRDefault="00D37F2D">
                  <w:pPr>
                    <w:jc w:val="left"/>
                    <w:rPr>
                      <w:noProof/>
                      <w:sz w:val="20"/>
                      <w:szCs w:val="16"/>
                    </w:rPr>
                  </w:pPr>
                  <w:r w:rsidRPr="00C3707B">
                    <w:rPr>
                      <w:noProof/>
                      <w:sz w:val="20"/>
                    </w:rPr>
                    <w:t>Beoordeling van de aanpak van kwetsbaarheid met strategische projecten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59545C2" w14:textId="77777777" w:rsidR="00D37F2D" w:rsidRPr="00C3707B" w:rsidRDefault="00D37F2D">
                  <w:pPr>
                    <w:jc w:val="left"/>
                    <w:rPr>
                      <w:noProof/>
                      <w:sz w:val="18"/>
                      <w:szCs w:val="14"/>
                    </w:rPr>
                  </w:pPr>
                  <w:r w:rsidRPr="00C3707B">
                    <w:rPr>
                      <w:noProof/>
                      <w:sz w:val="18"/>
                    </w:rPr>
                    <w:t>Artikel </w:t>
                  </w:r>
                  <w:r w:rsidRPr="00160A33">
                    <w:rPr>
                      <w:noProof/>
                      <w:sz w:val="18"/>
                    </w:rPr>
                    <w:t>16</w:t>
                  </w:r>
                  <w:r w:rsidRPr="00C3707B">
                    <w:rPr>
                      <w:noProof/>
                      <w:sz w:val="18"/>
                    </w:rPr>
                    <w:t>, lid </w:t>
                  </w:r>
                  <w:r w:rsidRPr="00160A33">
                    <w:rPr>
                      <w:noProof/>
                      <w:sz w:val="18"/>
                    </w:rPr>
                    <w:t>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AA1DCB8" w14:textId="77777777" w:rsidR="00D37F2D" w:rsidRPr="00C3707B" w:rsidRDefault="00D37F2D">
                  <w:pPr>
                    <w:jc w:val="left"/>
                    <w:rPr>
                      <w:noProof/>
                      <w:sz w:val="18"/>
                      <w:szCs w:val="14"/>
                    </w:rPr>
                  </w:pPr>
                  <w:r w:rsidRPr="00C3707B">
                    <w:rPr>
                      <w:noProof/>
                      <w:sz w:val="18"/>
                    </w:rPr>
                    <w:t>Aangewezen autoriteit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E9D765A" w14:textId="77777777" w:rsidR="00D37F2D" w:rsidRPr="00C3707B" w:rsidRDefault="00D37F2D">
                  <w:pPr>
                    <w:jc w:val="left"/>
                    <w:rPr>
                      <w:noProof/>
                      <w:sz w:val="18"/>
                      <w:szCs w:val="14"/>
                    </w:rPr>
                  </w:pPr>
                  <w:r w:rsidRPr="00C3707B">
                    <w:rPr>
                      <w:noProof/>
                      <w:sz w:val="18"/>
                    </w:rPr>
                    <w:t>Ontwikkelaar van het strategisch project</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59D25008" w14:textId="77777777" w:rsidR="00D37F2D" w:rsidRPr="00C3707B" w:rsidRDefault="00D37F2D">
                  <w:pPr>
                    <w:jc w:val="left"/>
                    <w:rPr>
                      <w:noProof/>
                      <w:sz w:val="18"/>
                      <w:szCs w:val="14"/>
                    </w:rPr>
                  </w:pPr>
                  <w:r w:rsidRPr="00C3707B">
                    <w:rPr>
                      <w:noProof/>
                      <w:sz w:val="18"/>
                    </w:rPr>
                    <w:t xml:space="preserve">Binnen </w:t>
                  </w:r>
                  <w:r w:rsidRPr="00160A33">
                    <w:rPr>
                      <w:noProof/>
                      <w:sz w:val="18"/>
                    </w:rPr>
                    <w:t>15</w:t>
                  </w:r>
                  <w:r w:rsidRPr="00C3707B">
                    <w:rPr>
                      <w:noProof/>
                      <w:sz w:val="18"/>
                    </w:rPr>
                    <w:t xml:space="preserve"> werkdagen </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74552DFA" w14:textId="77777777" w:rsidR="00D37F2D" w:rsidRPr="00C3707B" w:rsidRDefault="00D37F2D">
                  <w:pPr>
                    <w:jc w:val="left"/>
                    <w:rPr>
                      <w:noProof/>
                      <w:sz w:val="18"/>
                      <w:szCs w:val="14"/>
                    </w:rPr>
                  </w:pPr>
                </w:p>
              </w:tc>
            </w:tr>
            <w:tr w:rsidR="00D37F2D" w:rsidRPr="00C3707B" w14:paraId="614FB78F"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3A544B1" w14:textId="77777777" w:rsidR="00D37F2D" w:rsidRPr="00C3707B" w:rsidRDefault="00D37F2D">
                  <w:pPr>
                    <w:jc w:val="left"/>
                    <w:rPr>
                      <w:noProof/>
                      <w:sz w:val="20"/>
                      <w:szCs w:val="16"/>
                    </w:rPr>
                  </w:pPr>
                  <w:r w:rsidRPr="00C3707B">
                    <w:rPr>
                      <w:noProof/>
                      <w:sz w:val="20"/>
                    </w:rPr>
                    <w:t>Beoordeling van de aanpak van kwetsbaarheid met strategische projecten</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64911F8" w14:textId="77777777" w:rsidR="00D37F2D" w:rsidRPr="00C3707B" w:rsidRDefault="00D37F2D">
                  <w:pPr>
                    <w:jc w:val="left"/>
                    <w:rPr>
                      <w:noProof/>
                      <w:sz w:val="18"/>
                      <w:szCs w:val="14"/>
                    </w:rPr>
                  </w:pPr>
                  <w:r w:rsidRPr="00C3707B">
                    <w:rPr>
                      <w:noProof/>
                      <w:sz w:val="18"/>
                    </w:rPr>
                    <w:t>Artikel </w:t>
                  </w:r>
                  <w:r w:rsidRPr="00160A33">
                    <w:rPr>
                      <w:noProof/>
                      <w:sz w:val="18"/>
                    </w:rPr>
                    <w:t>16</w:t>
                  </w:r>
                  <w:r w:rsidRPr="00C3707B">
                    <w:rPr>
                      <w:noProof/>
                      <w:sz w:val="18"/>
                    </w:rPr>
                    <w:t>, lid </w:t>
                  </w:r>
                  <w:r w:rsidRPr="00160A33">
                    <w:rPr>
                      <w:noProof/>
                      <w:sz w:val="18"/>
                    </w:rPr>
                    <w:t>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2C433581" w14:textId="77777777" w:rsidR="00D37F2D" w:rsidRPr="00C3707B" w:rsidRDefault="00D37F2D">
                  <w:pPr>
                    <w:jc w:val="left"/>
                    <w:rPr>
                      <w:noProof/>
                      <w:sz w:val="18"/>
                      <w:szCs w:val="14"/>
                    </w:rPr>
                  </w:pPr>
                  <w:r w:rsidRPr="00C3707B">
                    <w:rPr>
                      <w:noProof/>
                      <w:sz w:val="18"/>
                    </w:rPr>
                    <w:t>Aangewezen autoriteit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9686A9C" w14:textId="77777777" w:rsidR="00D37F2D" w:rsidRPr="00C3707B" w:rsidRDefault="00D37F2D">
                  <w:pPr>
                    <w:jc w:val="left"/>
                    <w:rPr>
                      <w:noProof/>
                      <w:sz w:val="18"/>
                      <w:szCs w:val="14"/>
                    </w:rPr>
                  </w:pPr>
                  <w:r w:rsidRPr="00C3707B">
                    <w:rPr>
                      <w:noProof/>
                      <w:sz w:val="18"/>
                    </w:rPr>
                    <w:t>Commissie</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5CEA6DC" w14:textId="77777777" w:rsidR="00D37F2D" w:rsidRPr="00C3707B" w:rsidRDefault="00D37F2D">
                  <w:pPr>
                    <w:jc w:val="left"/>
                    <w:rPr>
                      <w:noProof/>
                      <w:sz w:val="18"/>
                      <w:szCs w:val="14"/>
                    </w:rPr>
                  </w:pPr>
                  <w:r w:rsidRPr="00C3707B">
                    <w:rPr>
                      <w:noProof/>
                      <w:sz w:val="18"/>
                    </w:rPr>
                    <w:t>Indien met een strategisch project een bestaande kwetsbaarheid in de toeleveringsketen wordt aangepakt</w:t>
                  </w:r>
                </w:p>
                <w:p w14:paraId="03E404A4" w14:textId="77777777" w:rsidR="00D37F2D" w:rsidRPr="00C3707B" w:rsidRDefault="00D37F2D">
                  <w:pPr>
                    <w:jc w:val="left"/>
                    <w:rPr>
                      <w:noProof/>
                      <w:sz w:val="18"/>
                      <w:szCs w:val="14"/>
                    </w:rPr>
                  </w:pPr>
                  <w:r w:rsidRPr="00C3707B">
                    <w:rPr>
                      <w:noProof/>
                      <w:sz w:val="18"/>
                    </w:rPr>
                    <w:t>Geen vastgestelde termijn</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D92BC53" w14:textId="77777777" w:rsidR="00D37F2D" w:rsidRPr="00C3707B" w:rsidRDefault="00D37F2D">
                  <w:pPr>
                    <w:jc w:val="left"/>
                    <w:rPr>
                      <w:noProof/>
                      <w:sz w:val="18"/>
                      <w:szCs w:val="14"/>
                    </w:rPr>
                  </w:pPr>
                </w:p>
              </w:tc>
            </w:tr>
            <w:tr w:rsidR="00D37F2D" w:rsidRPr="00C3707B" w14:paraId="6D2F7ACA" w14:textId="77777777">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A41C902" w14:textId="77777777" w:rsidR="00D37F2D" w:rsidRPr="00C3707B" w:rsidRDefault="00D37F2D">
                  <w:pPr>
                    <w:jc w:val="left"/>
                    <w:rPr>
                      <w:noProof/>
                      <w:sz w:val="20"/>
                      <w:szCs w:val="16"/>
                    </w:rPr>
                  </w:pPr>
                  <w:r w:rsidRPr="00C3707B">
                    <w:rPr>
                      <w:noProof/>
                      <w:sz w:val="20"/>
                    </w:rPr>
                    <w:t>Nationale programma’s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8C92652" w14:textId="77777777" w:rsidR="00D37F2D" w:rsidRPr="00C3707B" w:rsidRDefault="00D37F2D">
                  <w:pPr>
                    <w:jc w:val="left"/>
                    <w:rPr>
                      <w:noProof/>
                      <w:sz w:val="18"/>
                      <w:szCs w:val="14"/>
                    </w:rPr>
                  </w:pPr>
                  <w:r w:rsidRPr="00C3707B">
                    <w:rPr>
                      <w:noProof/>
                      <w:sz w:val="18"/>
                    </w:rPr>
                    <w:t>Artikel </w:t>
                  </w:r>
                  <w:r w:rsidRPr="00160A33">
                    <w:rPr>
                      <w:noProof/>
                      <w:sz w:val="18"/>
                    </w:rPr>
                    <w:t>19</w:t>
                  </w:r>
                  <w:r w:rsidRPr="00C3707B">
                    <w:rPr>
                      <w:noProof/>
                      <w:sz w:val="18"/>
                    </w:rPr>
                    <w:t>, lid </w:t>
                  </w:r>
                  <w:r w:rsidRPr="00160A33">
                    <w:rPr>
                      <w:noProof/>
                      <w:sz w:val="18"/>
                    </w:rPr>
                    <w:t>2</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37CFF467" w14:textId="77777777" w:rsidR="00D37F2D" w:rsidRPr="00C3707B" w:rsidRDefault="00D37F2D">
                  <w:pPr>
                    <w:jc w:val="left"/>
                    <w:rPr>
                      <w:noProof/>
                      <w:sz w:val="18"/>
                      <w:szCs w:val="14"/>
                    </w:rPr>
                  </w:pPr>
                  <w:r w:rsidRPr="00C3707B">
                    <w:rPr>
                      <w:noProof/>
                      <w:sz w:val="18"/>
                    </w:rPr>
                    <w:t>Lidstaten,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FDFDA60" w14:textId="77777777" w:rsidR="00D37F2D" w:rsidRPr="00C3707B" w:rsidRDefault="00D37F2D">
                  <w:pPr>
                    <w:jc w:val="left"/>
                    <w:rPr>
                      <w:noProof/>
                      <w:sz w:val="18"/>
                      <w:szCs w:val="14"/>
                    </w:rPr>
                  </w:pPr>
                  <w:r w:rsidRPr="00C3707B">
                    <w:rPr>
                      <w:noProof/>
                      <w:sz w:val="18"/>
                    </w:rPr>
                    <w:t>Commissie</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9C96F3E" w14:textId="77777777" w:rsidR="00D37F2D" w:rsidRPr="00C3707B" w:rsidRDefault="00D37F2D">
                  <w:pPr>
                    <w:jc w:val="left"/>
                    <w:rPr>
                      <w:noProof/>
                      <w:sz w:val="18"/>
                      <w:szCs w:val="14"/>
                    </w:rPr>
                  </w:pPr>
                  <w:r w:rsidRPr="00C3707B">
                    <w:rPr>
                      <w:noProof/>
                      <w:sz w:val="18"/>
                    </w:rPr>
                    <w:t xml:space="preserve">Uiterlijk </w:t>
                  </w:r>
                  <w:r w:rsidRPr="00160A33">
                    <w:rPr>
                      <w:noProof/>
                      <w:sz w:val="18"/>
                    </w:rPr>
                    <w:t>6</w:t>
                  </w:r>
                  <w:r w:rsidRPr="00C3707B">
                    <w:rPr>
                      <w:noProof/>
                      <w:sz w:val="18"/>
                    </w:rPr>
                    <w:t> maanden na inwerkingtreding van deze verordening;</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0FBD5340" w14:textId="77777777" w:rsidR="00D37F2D" w:rsidRPr="00C3707B" w:rsidRDefault="00D37F2D">
                  <w:pPr>
                    <w:jc w:val="left"/>
                    <w:rPr>
                      <w:noProof/>
                      <w:color w:val="FF0000"/>
                      <w:sz w:val="18"/>
                      <w:szCs w:val="14"/>
                    </w:rPr>
                  </w:pPr>
                </w:p>
              </w:tc>
            </w:tr>
          </w:tbl>
          <w:p w14:paraId="51868E98" w14:textId="77777777" w:rsidR="00D37F2D" w:rsidRPr="00C3707B" w:rsidRDefault="00D37F2D">
            <w:pPr>
              <w:rPr>
                <w:noProof/>
                <w:color w:val="0000FF"/>
              </w:rPr>
            </w:pPr>
          </w:p>
        </w:tc>
      </w:tr>
    </w:tbl>
    <w:p w14:paraId="0C568CA4" w14:textId="77777777" w:rsidR="00D37F2D" w:rsidRPr="00C3707B" w:rsidRDefault="00D37F2D" w:rsidP="00D37F2D">
      <w:pPr>
        <w:pStyle w:val="ManualHeading2"/>
        <w:rPr>
          <w:noProof/>
        </w:rPr>
      </w:pPr>
      <w:bookmarkStart w:id="203" w:name="_Toc167220305"/>
      <w:bookmarkStart w:id="204" w:name="_Toc177549039"/>
      <w:r w:rsidRPr="00160A33">
        <w:rPr>
          <w:noProof/>
        </w:rPr>
        <w:t>4</w:t>
      </w:r>
      <w:r w:rsidRPr="00C3707B">
        <w:rPr>
          <w:noProof/>
        </w:rPr>
        <w:t>.</w:t>
      </w:r>
      <w:r w:rsidRPr="00160A33">
        <w:rPr>
          <w:noProof/>
        </w:rPr>
        <w:t>3</w:t>
      </w:r>
      <w:r w:rsidRPr="00C3707B">
        <w:rPr>
          <w:noProof/>
        </w:rPr>
        <w:t>.</w:t>
      </w:r>
      <w:r w:rsidRPr="00C3707B">
        <w:rPr>
          <w:noProof/>
        </w:rPr>
        <w:tab/>
        <w:t>Digitale oplossingen</w:t>
      </w:r>
      <w:bookmarkEnd w:id="203"/>
      <w:bookmarkEnd w:id="204"/>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D37F2D" w:rsidRPr="00C3707B" w14:paraId="62EDED77" w14:textId="77777777">
        <w:tc>
          <w:tcPr>
            <w:tcW w:w="9067" w:type="dxa"/>
          </w:tcPr>
          <w:p w14:paraId="4796D9E6" w14:textId="77777777" w:rsidR="00D62518" w:rsidRDefault="00D37F2D">
            <w:pPr>
              <w:rPr>
                <w:noProof/>
              </w:rPr>
            </w:pPr>
            <w:r w:rsidRPr="00C3707B">
              <w:rPr>
                <w:noProof/>
              </w:rPr>
              <w:t>Er wordt geen nieuwe digitale oplossing voorzien.</w:t>
            </w:r>
          </w:p>
          <w:p w14:paraId="0BDAC616" w14:textId="414678D8" w:rsidR="00D37F2D" w:rsidRPr="00C3707B" w:rsidRDefault="00D37F2D">
            <w:pPr>
              <w:rPr>
                <w:noProof/>
              </w:rPr>
            </w:pPr>
          </w:p>
        </w:tc>
      </w:tr>
    </w:tbl>
    <w:p w14:paraId="5CBBE644" w14:textId="77777777" w:rsidR="00D37F2D" w:rsidRPr="00C3707B" w:rsidRDefault="00D37F2D" w:rsidP="00D37F2D">
      <w:pPr>
        <w:pStyle w:val="ManualHeading2"/>
        <w:rPr>
          <w:rStyle w:val="Emphasis"/>
          <w:b w:val="0"/>
          <w:bCs/>
          <w:i w:val="0"/>
          <w:iCs w:val="0"/>
          <w:noProof/>
        </w:rPr>
      </w:pPr>
      <w:bookmarkStart w:id="205" w:name="_Toc167220304"/>
      <w:bookmarkStart w:id="206" w:name="_Toc177549040"/>
      <w:r w:rsidRPr="00160A33">
        <w:rPr>
          <w:rStyle w:val="Emphasis"/>
          <w:noProof/>
        </w:rPr>
        <w:t>4</w:t>
      </w:r>
      <w:r w:rsidRPr="00C3707B">
        <w:rPr>
          <w:rStyle w:val="Emphasis"/>
          <w:noProof/>
        </w:rPr>
        <w:t>.</w:t>
      </w:r>
      <w:r w:rsidRPr="00160A33">
        <w:rPr>
          <w:rStyle w:val="Emphasis"/>
          <w:noProof/>
        </w:rPr>
        <w:t>4</w:t>
      </w:r>
      <w:r w:rsidRPr="00C3707B">
        <w:rPr>
          <w:rStyle w:val="Emphasis"/>
          <w:noProof/>
        </w:rPr>
        <w:t>.</w:t>
      </w:r>
      <w:r w:rsidRPr="00C3707B">
        <w:rPr>
          <w:noProof/>
        </w:rPr>
        <w:tab/>
      </w:r>
      <w:r w:rsidRPr="00C3707B">
        <w:rPr>
          <w:rStyle w:val="Emphasis"/>
          <w:noProof/>
        </w:rPr>
        <w:t>Interoperabiliteitsbeoordeling</w:t>
      </w:r>
      <w:bookmarkEnd w:id="205"/>
      <w:bookmarkEnd w:id="206"/>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D37F2D" w:rsidRPr="00C3707B" w14:paraId="71768FE1" w14:textId="77777777">
        <w:trPr>
          <w:trHeight w:val="300"/>
        </w:trPr>
        <w:tc>
          <w:tcPr>
            <w:tcW w:w="9067" w:type="dxa"/>
          </w:tcPr>
          <w:tbl>
            <w:tblPr>
              <w:tblStyle w:val="TableGrid"/>
              <w:tblW w:w="0" w:type="auto"/>
              <w:tblLayout w:type="fixed"/>
              <w:tblLook w:val="04A0" w:firstRow="1" w:lastRow="0" w:firstColumn="1" w:lastColumn="0" w:noHBand="0" w:noVBand="1"/>
            </w:tblPr>
            <w:tblGrid>
              <w:gridCol w:w="1413"/>
              <w:gridCol w:w="2410"/>
              <w:gridCol w:w="1481"/>
              <w:gridCol w:w="3490"/>
            </w:tblGrid>
            <w:tr w:rsidR="00D37F2D" w:rsidRPr="00C3707B" w14:paraId="59E4976B" w14:textId="77777777">
              <w:tc>
                <w:tcPr>
                  <w:tcW w:w="1413" w:type="dxa"/>
                  <w:shd w:val="clear" w:color="auto" w:fill="DBE5F1" w:themeFill="accent1" w:themeFillTint="33"/>
                </w:tcPr>
                <w:p w14:paraId="2F7D9818" w14:textId="77777777" w:rsidR="00D37F2D" w:rsidRPr="00C3707B" w:rsidRDefault="00D37F2D">
                  <w:pPr>
                    <w:framePr w:hSpace="141" w:wrap="around" w:vAnchor="text" w:hAnchor="margin" w:y="36"/>
                    <w:rPr>
                      <w:noProof/>
                    </w:rPr>
                  </w:pPr>
                  <w:r w:rsidRPr="00C3707B">
                    <w:rPr>
                      <w:noProof/>
                    </w:rPr>
                    <w:t>Verwijzing naar de wettelijke bepaling</w:t>
                  </w:r>
                </w:p>
              </w:tc>
              <w:tc>
                <w:tcPr>
                  <w:tcW w:w="2410" w:type="dxa"/>
                  <w:shd w:val="clear" w:color="auto" w:fill="DBE5F1" w:themeFill="accent1" w:themeFillTint="33"/>
                </w:tcPr>
                <w:p w14:paraId="00409EF3" w14:textId="77777777" w:rsidR="00D37F2D" w:rsidRPr="00C3707B" w:rsidRDefault="00D37F2D">
                  <w:pPr>
                    <w:framePr w:hSpace="141" w:wrap="around" w:vAnchor="text" w:hAnchor="margin" w:y="36"/>
                    <w:rPr>
                      <w:noProof/>
                    </w:rPr>
                  </w:pPr>
                  <w:r w:rsidRPr="00C3707B">
                    <w:rPr>
                      <w:noProof/>
                    </w:rPr>
                    <w:t>Beschrijving van het voorschrift</w:t>
                  </w:r>
                </w:p>
                <w:p w14:paraId="4A1E75AB" w14:textId="77777777" w:rsidR="00D37F2D" w:rsidRPr="00C3707B" w:rsidRDefault="00D37F2D">
                  <w:pPr>
                    <w:framePr w:hSpace="141" w:wrap="around" w:vAnchor="text" w:hAnchor="margin" w:y="36"/>
                    <w:rPr>
                      <w:noProof/>
                    </w:rPr>
                  </w:pPr>
                </w:p>
              </w:tc>
              <w:tc>
                <w:tcPr>
                  <w:tcW w:w="1481" w:type="dxa"/>
                  <w:shd w:val="clear" w:color="auto" w:fill="DBE5F1" w:themeFill="accent1" w:themeFillTint="33"/>
                </w:tcPr>
                <w:p w14:paraId="0D94ED1A" w14:textId="77777777" w:rsidR="00D37F2D" w:rsidRPr="00C3707B" w:rsidRDefault="00D37F2D">
                  <w:pPr>
                    <w:framePr w:hSpace="141" w:wrap="around" w:vAnchor="text" w:hAnchor="margin" w:y="36"/>
                    <w:rPr>
                      <w:noProof/>
                    </w:rPr>
                  </w:pPr>
                  <w:r w:rsidRPr="00C3707B">
                    <w:rPr>
                      <w:noProof/>
                    </w:rPr>
                    <w:t>Interactie over de grenzen van de lidstaten heen, tussen EU-entiteiten of tussen EU-entiteiten en openbare lichamen</w:t>
                  </w:r>
                </w:p>
              </w:tc>
              <w:tc>
                <w:tcPr>
                  <w:tcW w:w="3490" w:type="dxa"/>
                  <w:shd w:val="clear" w:color="auto" w:fill="DBE5F1" w:themeFill="accent1" w:themeFillTint="33"/>
                </w:tcPr>
                <w:p w14:paraId="2558C75A" w14:textId="77777777" w:rsidR="00D37F2D" w:rsidRPr="00C3707B" w:rsidRDefault="00D37F2D">
                  <w:pPr>
                    <w:framePr w:hSpace="141" w:wrap="around" w:vAnchor="text" w:hAnchor="margin" w:y="36"/>
                    <w:rPr>
                      <w:noProof/>
                    </w:rPr>
                  </w:pPr>
                  <w:r w:rsidRPr="00C3707B">
                    <w:rPr>
                      <w:noProof/>
                    </w:rPr>
                    <w:t xml:space="preserve">Effecten op grensoverschrijdende interoperabiliteit </w:t>
                  </w:r>
                </w:p>
              </w:tc>
            </w:tr>
            <w:tr w:rsidR="00D37F2D" w:rsidRPr="00C3707B" w14:paraId="67C68406" w14:textId="77777777">
              <w:trPr>
                <w:trHeight w:val="2358"/>
              </w:trPr>
              <w:tc>
                <w:tcPr>
                  <w:tcW w:w="1413" w:type="dxa"/>
                </w:tcPr>
                <w:p w14:paraId="3191C7E7" w14:textId="77777777" w:rsidR="00D37F2D" w:rsidRPr="00C3707B" w:rsidRDefault="00D37F2D">
                  <w:pPr>
                    <w:framePr w:hSpace="141" w:wrap="around" w:vAnchor="text" w:hAnchor="margin" w:y="36"/>
                    <w:jc w:val="left"/>
                    <w:rPr>
                      <w:noProof/>
                    </w:rPr>
                  </w:pPr>
                  <w:r w:rsidRPr="00C3707B">
                    <w:rPr>
                      <w:noProof/>
                    </w:rPr>
                    <w:t>Artikel </w:t>
                  </w:r>
                  <w:r w:rsidRPr="00160A33">
                    <w:rPr>
                      <w:noProof/>
                    </w:rPr>
                    <w:t>6</w:t>
                  </w:r>
                  <w:r w:rsidRPr="00C3707B">
                    <w:rPr>
                      <w:noProof/>
                    </w:rPr>
                    <w:t>, lid </w:t>
                  </w:r>
                  <w:r w:rsidRPr="00160A33">
                    <w:rPr>
                      <w:noProof/>
                    </w:rPr>
                    <w:t>2</w:t>
                  </w:r>
                </w:p>
              </w:tc>
              <w:tc>
                <w:tcPr>
                  <w:tcW w:w="2410" w:type="dxa"/>
                </w:tcPr>
                <w:p w14:paraId="40AEAF33" w14:textId="77777777" w:rsidR="00D37F2D" w:rsidRPr="00C3707B" w:rsidRDefault="00D37F2D">
                  <w:pPr>
                    <w:framePr w:hSpace="141" w:wrap="around" w:vAnchor="text" w:hAnchor="margin" w:y="36"/>
                    <w:rPr>
                      <w:noProof/>
                    </w:rPr>
                  </w:pPr>
                  <w:r w:rsidRPr="00C3707B">
                    <w:rPr>
                      <w:noProof/>
                    </w:rPr>
                    <w:t xml:space="preserve">De lidstaten stellen de Commissie ervan in kennis welke autoriteit is aangewezen om strategische projecten te beoordelen en te bevestigen </w:t>
                  </w:r>
                </w:p>
              </w:tc>
              <w:tc>
                <w:tcPr>
                  <w:tcW w:w="4971" w:type="dxa"/>
                  <w:gridSpan w:val="2"/>
                  <w:vMerge w:val="restart"/>
                </w:tcPr>
                <w:p w14:paraId="08841FE8" w14:textId="77777777" w:rsidR="00D37F2D" w:rsidRPr="00C3707B" w:rsidRDefault="00D37F2D">
                  <w:pPr>
                    <w:framePr w:hSpace="141" w:wrap="around" w:vAnchor="text" w:hAnchor="margin" w:y="36"/>
                    <w:jc w:val="center"/>
                    <w:rPr>
                      <w:noProof/>
                    </w:rPr>
                  </w:pPr>
                </w:p>
                <w:p w14:paraId="4FC8BBBB" w14:textId="77777777" w:rsidR="00D37F2D" w:rsidRPr="00C3707B" w:rsidRDefault="00D37F2D">
                  <w:pPr>
                    <w:framePr w:hSpace="141" w:wrap="around" w:vAnchor="text" w:hAnchor="margin" w:y="36"/>
                    <w:jc w:val="center"/>
                    <w:rPr>
                      <w:noProof/>
                    </w:rPr>
                  </w:pPr>
                </w:p>
                <w:p w14:paraId="62D6D477" w14:textId="77777777" w:rsidR="00D37F2D" w:rsidRPr="00C3707B" w:rsidRDefault="00D37F2D">
                  <w:pPr>
                    <w:framePr w:hSpace="141" w:wrap="around" w:vAnchor="text" w:hAnchor="margin" w:y="36"/>
                    <w:jc w:val="center"/>
                    <w:rPr>
                      <w:noProof/>
                    </w:rPr>
                  </w:pPr>
                  <w:r w:rsidRPr="00C3707B">
                    <w:rPr>
                      <w:noProof/>
                    </w:rPr>
                    <w:t>Geen interactie; slechts één kennisgeving en/of bekendmaking</w:t>
                  </w:r>
                </w:p>
                <w:p w14:paraId="66A1C9C5" w14:textId="77777777" w:rsidR="00D37F2D" w:rsidRPr="00C3707B" w:rsidRDefault="00D37F2D">
                  <w:pPr>
                    <w:framePr w:hSpace="141" w:wrap="around" w:vAnchor="text" w:hAnchor="margin" w:y="36"/>
                    <w:rPr>
                      <w:noProof/>
                    </w:rPr>
                  </w:pPr>
                </w:p>
              </w:tc>
            </w:tr>
            <w:tr w:rsidR="00D37F2D" w:rsidRPr="00C3707B" w14:paraId="19D52553" w14:textId="77777777">
              <w:tc>
                <w:tcPr>
                  <w:tcW w:w="1413" w:type="dxa"/>
                </w:tcPr>
                <w:p w14:paraId="45C3C4E1" w14:textId="77777777" w:rsidR="00D37F2D" w:rsidRPr="00C3707B" w:rsidRDefault="00D37F2D">
                  <w:pPr>
                    <w:framePr w:hSpace="141" w:wrap="around" w:vAnchor="text" w:hAnchor="margin" w:y="36"/>
                    <w:jc w:val="left"/>
                    <w:rPr>
                      <w:noProof/>
                    </w:rPr>
                  </w:pPr>
                  <w:r w:rsidRPr="00C3707B">
                    <w:rPr>
                      <w:noProof/>
                    </w:rPr>
                    <w:t>Artikel </w:t>
                  </w:r>
                  <w:r w:rsidRPr="00160A33">
                    <w:rPr>
                      <w:noProof/>
                    </w:rPr>
                    <w:t>6</w:t>
                  </w:r>
                  <w:r w:rsidRPr="00C3707B">
                    <w:rPr>
                      <w:noProof/>
                    </w:rPr>
                    <w:t>, lid </w:t>
                  </w:r>
                  <w:r w:rsidRPr="00160A33">
                    <w:rPr>
                      <w:noProof/>
                    </w:rPr>
                    <w:t>3</w:t>
                  </w:r>
                </w:p>
              </w:tc>
              <w:tc>
                <w:tcPr>
                  <w:tcW w:w="2410" w:type="dxa"/>
                </w:tcPr>
                <w:p w14:paraId="0264B865" w14:textId="77777777" w:rsidR="00D37F2D" w:rsidRPr="00C3707B" w:rsidRDefault="00D37F2D">
                  <w:pPr>
                    <w:framePr w:hSpace="141" w:wrap="around" w:vAnchor="text" w:hAnchor="margin" w:y="36"/>
                    <w:rPr>
                      <w:noProof/>
                    </w:rPr>
                  </w:pPr>
                  <w:r w:rsidRPr="00C3707B">
                    <w:rPr>
                      <w:noProof/>
                    </w:rPr>
                    <w:t>De Commissie maakt de lijst van aangewezen autoriteiten van de lidstaten online bekend</w:t>
                  </w:r>
                </w:p>
              </w:tc>
              <w:tc>
                <w:tcPr>
                  <w:tcW w:w="4971" w:type="dxa"/>
                  <w:gridSpan w:val="2"/>
                  <w:vMerge/>
                </w:tcPr>
                <w:p w14:paraId="6D02A732" w14:textId="77777777" w:rsidR="00D37F2D" w:rsidRPr="00C3707B" w:rsidRDefault="00D37F2D">
                  <w:pPr>
                    <w:framePr w:hSpace="141" w:wrap="around" w:vAnchor="text" w:hAnchor="margin" w:y="36"/>
                    <w:rPr>
                      <w:noProof/>
                    </w:rPr>
                  </w:pPr>
                </w:p>
              </w:tc>
            </w:tr>
          </w:tbl>
          <w:p w14:paraId="2105AACF" w14:textId="77777777" w:rsidR="00D37F2D" w:rsidRPr="00C3707B" w:rsidRDefault="00D37F2D">
            <w:pPr>
              <w:rPr>
                <w:i/>
                <w:iCs/>
                <w:noProof/>
                <w:color w:val="215868" w:themeColor="accent5" w:themeShade="80"/>
              </w:rPr>
            </w:pPr>
          </w:p>
        </w:tc>
      </w:tr>
    </w:tbl>
    <w:p w14:paraId="6C7A8BEB" w14:textId="77777777" w:rsidR="00D37F2D" w:rsidRPr="00C3707B" w:rsidRDefault="00D37F2D" w:rsidP="00D37F2D">
      <w:pPr>
        <w:pStyle w:val="ManualHeading2"/>
        <w:rPr>
          <w:noProof/>
        </w:rPr>
      </w:pPr>
      <w:bookmarkStart w:id="207" w:name="_Toc167220306"/>
      <w:bookmarkStart w:id="208" w:name="_Toc177549041"/>
      <w:r w:rsidRPr="00160A33">
        <w:rPr>
          <w:noProof/>
        </w:rPr>
        <w:t>4</w:t>
      </w:r>
      <w:r w:rsidRPr="00C3707B">
        <w:rPr>
          <w:noProof/>
        </w:rPr>
        <w:t>.</w:t>
      </w:r>
      <w:r w:rsidRPr="00160A33">
        <w:rPr>
          <w:noProof/>
        </w:rPr>
        <w:t>5</w:t>
      </w:r>
      <w:r w:rsidRPr="00C3707B">
        <w:rPr>
          <w:noProof/>
        </w:rPr>
        <w:t>.</w:t>
      </w:r>
      <w:r w:rsidRPr="00C3707B">
        <w:rPr>
          <w:noProof/>
        </w:rPr>
        <w:tab/>
        <w:t>Maatregelen ter ondersteuning van de digitale uitvoering</w:t>
      </w:r>
      <w:bookmarkEnd w:id="207"/>
      <w:bookmarkEnd w:id="208"/>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D37F2D" w:rsidRPr="00C3707B" w14:paraId="7B4B524E" w14:textId="77777777">
        <w:tc>
          <w:tcPr>
            <w:tcW w:w="9067" w:type="dxa"/>
          </w:tcPr>
          <w:p w14:paraId="3456A6D7" w14:textId="68D5A49D" w:rsidR="00D37F2D" w:rsidRPr="00C3707B" w:rsidRDefault="00D37F2D">
            <w:pPr>
              <w:rPr>
                <w:noProof/>
                <w:color w:val="0000FF"/>
              </w:rPr>
            </w:pPr>
          </w:p>
        </w:tc>
      </w:tr>
      <w:bookmarkEnd w:id="198"/>
    </w:tbl>
    <w:p w14:paraId="13A17020" w14:textId="77777777" w:rsidR="00D37F2D" w:rsidRPr="00C3707B" w:rsidRDefault="00D37F2D" w:rsidP="00D37F2D">
      <w:pPr>
        <w:rPr>
          <w:noProof/>
        </w:rPr>
      </w:pPr>
    </w:p>
    <w:sectPr w:rsidR="00D37F2D" w:rsidRPr="00C3707B" w:rsidSect="00C21E5E">
      <w:headerReference w:type="default" r:id="rId23"/>
      <w:footerReference w:type="default" r:id="rId24"/>
      <w:footnotePr>
        <w:numRestart w:val="eachSect"/>
      </w:footnotePr>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0FCE0" w14:textId="77777777" w:rsidR="009143BC" w:rsidRDefault="009143BC" w:rsidP="004C5377">
      <w:pPr>
        <w:spacing w:before="0" w:after="0"/>
      </w:pPr>
      <w:r>
        <w:separator/>
      </w:r>
    </w:p>
  </w:endnote>
  <w:endnote w:type="continuationSeparator" w:id="0">
    <w:p w14:paraId="1483B81B" w14:textId="77777777" w:rsidR="009143BC" w:rsidRDefault="009143BC" w:rsidP="004C5377">
      <w:pPr>
        <w:spacing w:before="0" w:after="0"/>
      </w:pPr>
      <w:r>
        <w:continuationSeparator/>
      </w:r>
    </w:p>
  </w:endnote>
  <w:endnote w:type="continuationNotice" w:id="1">
    <w:p w14:paraId="12D28EC4" w14:textId="77777777" w:rsidR="009143BC" w:rsidRDefault="009143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7180" w14:textId="3CC32B25" w:rsidR="00C21E5E" w:rsidRPr="00C21E5E" w:rsidRDefault="00C21E5E" w:rsidP="00C21E5E">
    <w:pPr>
      <w:pStyle w:val="Footer"/>
      <w:rPr>
        <w:rFonts w:ascii="Arial" w:hAnsi="Arial" w:cs="Arial"/>
        <w:b/>
        <w:sz w:val="48"/>
      </w:rPr>
    </w:pPr>
    <w:r w:rsidRPr="00C21E5E">
      <w:rPr>
        <w:rFonts w:ascii="Arial" w:hAnsi="Arial" w:cs="Arial"/>
        <w:b/>
        <w:sz w:val="48"/>
      </w:rPr>
      <w:t>NL</w:t>
    </w:r>
    <w:r w:rsidRPr="00C21E5E">
      <w:rPr>
        <w:rFonts w:ascii="Arial" w:hAnsi="Arial" w:cs="Arial"/>
        <w:b/>
        <w:sz w:val="48"/>
      </w:rPr>
      <w:tab/>
    </w:r>
    <w:r w:rsidRPr="00C21E5E">
      <w:rPr>
        <w:rFonts w:ascii="Arial" w:hAnsi="Arial" w:cs="Arial"/>
        <w:b/>
        <w:sz w:val="48"/>
      </w:rPr>
      <w:tab/>
    </w:r>
    <w:r w:rsidRPr="00C21E5E">
      <w:tab/>
    </w:r>
    <w:r w:rsidRPr="00C21E5E">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085D" w14:textId="61EF3001" w:rsidR="00C21E5E" w:rsidRPr="00C21E5E" w:rsidRDefault="00C21E5E" w:rsidP="00C21E5E">
    <w:pPr>
      <w:pStyle w:val="Footer"/>
      <w:rPr>
        <w:rFonts w:ascii="Arial" w:hAnsi="Arial" w:cs="Arial"/>
        <w:b/>
        <w:sz w:val="48"/>
      </w:rPr>
    </w:pPr>
    <w:r w:rsidRPr="00C21E5E">
      <w:rPr>
        <w:rFonts w:ascii="Arial" w:hAnsi="Arial" w:cs="Arial"/>
        <w:b/>
        <w:sz w:val="48"/>
      </w:rPr>
      <w:t>NL</w:t>
    </w:r>
    <w:r w:rsidRPr="00C21E5E">
      <w:rPr>
        <w:rFonts w:ascii="Arial" w:hAnsi="Arial" w:cs="Arial"/>
        <w:b/>
        <w:sz w:val="48"/>
      </w:rPr>
      <w:tab/>
    </w:r>
    <w:r w:rsidRPr="00C21E5E">
      <w:rPr>
        <w:rFonts w:ascii="Arial" w:hAnsi="Arial" w:cs="Arial"/>
        <w:b/>
        <w:sz w:val="48"/>
      </w:rPr>
      <w:tab/>
    </w:r>
    <w:r w:rsidRPr="00C21E5E">
      <w:tab/>
    </w:r>
    <w:r w:rsidRPr="00C21E5E">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7876" w14:textId="77777777" w:rsidR="00C21E5E" w:rsidRDefault="00C21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52A5" w14:textId="6FA83F2A" w:rsidR="00C21E5E" w:rsidRPr="00C21E5E" w:rsidRDefault="00C21E5E" w:rsidP="00C21E5E">
    <w:pPr>
      <w:pStyle w:val="Footer"/>
      <w:rPr>
        <w:rFonts w:ascii="Arial" w:hAnsi="Arial" w:cs="Arial"/>
        <w:b/>
        <w:sz w:val="48"/>
      </w:rPr>
    </w:pPr>
    <w:r w:rsidRPr="00C21E5E">
      <w:rPr>
        <w:rFonts w:ascii="Arial" w:hAnsi="Arial" w:cs="Arial"/>
        <w:b/>
        <w:sz w:val="48"/>
      </w:rPr>
      <w:t>NL</w:t>
    </w:r>
    <w:r w:rsidRPr="00C21E5E">
      <w:rPr>
        <w:rFonts w:ascii="Arial" w:hAnsi="Arial" w:cs="Arial"/>
        <w:b/>
        <w:sz w:val="48"/>
      </w:rPr>
      <w:tab/>
    </w:r>
    <w:r>
      <w:fldChar w:fldCharType="begin"/>
    </w:r>
    <w:r>
      <w:instrText xml:space="preserve"> PAGE  \* MERGEFORMAT </w:instrText>
    </w:r>
    <w:r>
      <w:fldChar w:fldCharType="separate"/>
    </w:r>
    <w:r w:rsidR="00414DF4">
      <w:rPr>
        <w:noProof/>
      </w:rPr>
      <w:t>49</w:t>
    </w:r>
    <w:r>
      <w:fldChar w:fldCharType="end"/>
    </w:r>
    <w:r>
      <w:tab/>
    </w:r>
    <w:r w:rsidRPr="00C21E5E">
      <w:tab/>
    </w:r>
    <w:r w:rsidRPr="00C21E5E">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9E5A1" w14:textId="77777777" w:rsidR="00C21E5E" w:rsidRDefault="00C21E5E" w:rsidP="00C21E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03CB" w14:textId="03E7B12F" w:rsidR="00C21E5E" w:rsidRPr="00C21E5E" w:rsidRDefault="00C21E5E" w:rsidP="00C21E5E">
    <w:pPr>
      <w:pStyle w:val="FooterLandscape"/>
      <w:rPr>
        <w:rFonts w:ascii="Arial" w:hAnsi="Arial" w:cs="Arial"/>
        <w:b/>
        <w:sz w:val="48"/>
      </w:rPr>
    </w:pPr>
    <w:r w:rsidRPr="00C21E5E">
      <w:rPr>
        <w:rFonts w:ascii="Arial" w:hAnsi="Arial" w:cs="Arial"/>
        <w:b/>
        <w:sz w:val="48"/>
      </w:rPr>
      <w:t>NL</w:t>
    </w:r>
    <w:r w:rsidRPr="00C21E5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21E5E">
      <w:tab/>
    </w:r>
    <w:r w:rsidRPr="00C21E5E">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83EC" w14:textId="7D050628" w:rsidR="00C21E5E" w:rsidRPr="00C21E5E" w:rsidRDefault="00C21E5E" w:rsidP="00C21E5E">
    <w:pPr>
      <w:pStyle w:val="Footer"/>
      <w:rPr>
        <w:rFonts w:ascii="Arial" w:hAnsi="Arial" w:cs="Arial"/>
        <w:b/>
        <w:sz w:val="48"/>
      </w:rPr>
    </w:pPr>
    <w:r w:rsidRPr="00C21E5E">
      <w:rPr>
        <w:rFonts w:ascii="Arial" w:hAnsi="Arial" w:cs="Arial"/>
        <w:b/>
        <w:sz w:val="48"/>
      </w:rPr>
      <w:t>NL</w:t>
    </w:r>
    <w:r w:rsidRPr="00C21E5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21E5E">
      <w:tab/>
    </w:r>
    <w:r w:rsidRPr="00C21E5E">
      <w:rPr>
        <w:rFonts w:ascii="Arial" w:hAnsi="Arial" w:cs="Arial"/>
        <w:b/>
        <w:sz w:val="48"/>
      </w:rPr>
      <w:t>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78E19" w14:textId="77777777" w:rsidR="009143BC" w:rsidRDefault="009143BC" w:rsidP="004C5377">
      <w:pPr>
        <w:spacing w:before="0" w:after="0"/>
      </w:pPr>
      <w:r>
        <w:separator/>
      </w:r>
    </w:p>
  </w:footnote>
  <w:footnote w:type="continuationSeparator" w:id="0">
    <w:p w14:paraId="0A1631F9" w14:textId="77777777" w:rsidR="009143BC" w:rsidRDefault="009143BC" w:rsidP="004C5377">
      <w:pPr>
        <w:spacing w:before="0" w:after="0"/>
      </w:pPr>
      <w:r>
        <w:continuationSeparator/>
      </w:r>
    </w:p>
  </w:footnote>
  <w:footnote w:type="continuationNotice" w:id="1">
    <w:p w14:paraId="43000E2C" w14:textId="77777777" w:rsidR="009143BC" w:rsidRDefault="009143BC">
      <w:pPr>
        <w:spacing w:before="0" w:after="0"/>
      </w:pPr>
    </w:p>
  </w:footnote>
  <w:footnote w:id="2">
    <w:p w14:paraId="34888AE9" w14:textId="77777777" w:rsidR="004C5377" w:rsidRPr="00622DE4" w:rsidRDefault="004C5377" w:rsidP="004C5377">
      <w:pPr>
        <w:pStyle w:val="FootnoteText"/>
      </w:pPr>
      <w:r>
        <w:rPr>
          <w:rStyle w:val="FootnoteReference"/>
        </w:rPr>
        <w:footnoteRef/>
      </w:r>
      <w:r w:rsidRPr="00622DE4">
        <w:tab/>
      </w:r>
      <w:hyperlink r:id="rId1" w:history="1">
        <w:r w:rsidRPr="00622DE4">
          <w:rPr>
            <w:rStyle w:val="Hyperlink"/>
          </w:rPr>
          <w:t>Effectbeoordelingsverslag en samenvatting bij de herziening van de algemene geneesmiddelenwetgeving, bijlage </w:t>
        </w:r>
        <w:r w:rsidRPr="00160A33">
          <w:rPr>
            <w:rStyle w:val="Hyperlink"/>
          </w:rPr>
          <w:t>5</w:t>
        </w:r>
        <w:r w:rsidRPr="00622DE4">
          <w:rPr>
            <w:rStyle w:val="Hyperlink"/>
          </w:rPr>
          <w:t xml:space="preserve">, </w:t>
        </w:r>
        <w:r w:rsidRPr="00160A33">
          <w:rPr>
            <w:rStyle w:val="Hyperlink"/>
          </w:rPr>
          <w:t>2023</w:t>
        </w:r>
      </w:hyperlink>
      <w:r w:rsidRPr="00622DE4">
        <w:t>.</w:t>
      </w:r>
    </w:p>
  </w:footnote>
  <w:footnote w:id="3">
    <w:p w14:paraId="7545E535" w14:textId="77777777" w:rsidR="004C5377" w:rsidRPr="005D0E22" w:rsidRDefault="004C5377" w:rsidP="004C5377">
      <w:pPr>
        <w:pStyle w:val="FootnoteText"/>
        <w:rPr>
          <w:lang w:val="en-IE"/>
        </w:rPr>
      </w:pPr>
      <w:r>
        <w:rPr>
          <w:rStyle w:val="FootnoteReference"/>
        </w:rPr>
        <w:footnoteRef/>
      </w:r>
      <w:r w:rsidRPr="005D0E22">
        <w:rPr>
          <w:lang w:val="en-IE"/>
        </w:rPr>
        <w:tab/>
      </w:r>
      <w:hyperlink r:id="rId2" w:history="1">
        <w:r w:rsidRPr="005D0E22">
          <w:rPr>
            <w:rStyle w:val="Hyperlink"/>
            <w:lang w:val="en-IE"/>
          </w:rPr>
          <w:t xml:space="preserve">IQVIA White paper, </w:t>
        </w:r>
        <w:r w:rsidRPr="005D0E22">
          <w:rPr>
            <w:rStyle w:val="Hyperlink"/>
            <w:i/>
            <w:iCs/>
            <w:lang w:val="en-IE"/>
          </w:rPr>
          <w:t>Beneath the Surface: Unravelling the True Value of Generic Medicines</w:t>
        </w:r>
        <w:r w:rsidRPr="005D0E22">
          <w:rPr>
            <w:rStyle w:val="Hyperlink"/>
            <w:lang w:val="en-IE"/>
          </w:rPr>
          <w:t xml:space="preserve">, april </w:t>
        </w:r>
        <w:r w:rsidRPr="00160A33">
          <w:rPr>
            <w:rStyle w:val="Hyperlink"/>
            <w:lang w:val="en-IE"/>
          </w:rPr>
          <w:t>2024</w:t>
        </w:r>
      </w:hyperlink>
      <w:r w:rsidRPr="005D0E22">
        <w:rPr>
          <w:lang w:val="en-IE"/>
        </w:rPr>
        <w:t>.</w:t>
      </w:r>
    </w:p>
  </w:footnote>
  <w:footnote w:id="4">
    <w:p w14:paraId="157716EC" w14:textId="77777777" w:rsidR="004C5377" w:rsidRPr="00622DE4" w:rsidRDefault="004C5377" w:rsidP="004C5377">
      <w:pPr>
        <w:pStyle w:val="FootnoteText"/>
      </w:pPr>
      <w:r>
        <w:rPr>
          <w:rStyle w:val="FootnoteReference"/>
        </w:rPr>
        <w:footnoteRef/>
      </w:r>
      <w:r w:rsidRPr="00622DE4">
        <w:tab/>
      </w:r>
      <w:hyperlink r:id="rId3" w:history="1">
        <w:r w:rsidRPr="00622DE4">
          <w:rPr>
            <w:rStyle w:val="Hyperlink"/>
          </w:rPr>
          <w:t>Generic and hybrid medicines | Europees Geneesmiddelenbureau (EMA)</w:t>
        </w:r>
      </w:hyperlink>
      <w:r w:rsidRPr="00622DE4">
        <w:t>.</w:t>
      </w:r>
    </w:p>
  </w:footnote>
  <w:footnote w:id="5">
    <w:p w14:paraId="14B7082B" w14:textId="49C716B2" w:rsidR="004C5377" w:rsidRPr="000A0E33" w:rsidRDefault="004C5377" w:rsidP="004C5377">
      <w:pPr>
        <w:pStyle w:val="FootnoteText"/>
      </w:pPr>
      <w:r>
        <w:rPr>
          <w:rStyle w:val="FootnoteReference"/>
        </w:rPr>
        <w:footnoteRef/>
      </w:r>
      <w:r w:rsidRPr="000A0E33">
        <w:tab/>
      </w:r>
      <w:hyperlink r:id="rId4" w:history="1">
        <w:r w:rsidRPr="000A0E33">
          <w:rPr>
            <w:rStyle w:val="Hyperlink"/>
          </w:rPr>
          <w:t>Patent protection in the EU</w:t>
        </w:r>
        <w:r w:rsidR="00B51A78">
          <w:rPr>
            <w:rStyle w:val="Hyperlink"/>
          </w:rPr>
          <w:t> </w:t>
        </w:r>
        <w:r w:rsidRPr="000A0E33">
          <w:rPr>
            <w:rStyle w:val="Hyperlink"/>
          </w:rPr>
          <w:t>— Europese Commissie</w:t>
        </w:r>
      </w:hyperlink>
      <w:r w:rsidRPr="000A0E33">
        <w:t>.</w:t>
      </w:r>
    </w:p>
  </w:footnote>
  <w:footnote w:id="6">
    <w:p w14:paraId="4CC12872" w14:textId="2645FACA" w:rsidR="004C5377" w:rsidRPr="00622DE4" w:rsidRDefault="004C5377" w:rsidP="004C5377">
      <w:pPr>
        <w:pStyle w:val="FootnoteText"/>
      </w:pPr>
      <w:r>
        <w:rPr>
          <w:rStyle w:val="FootnoteReference"/>
        </w:rPr>
        <w:footnoteRef/>
      </w:r>
      <w:r w:rsidRPr="00622DE4">
        <w:tab/>
      </w:r>
      <w:hyperlink r:id="rId5" w:anchor="work-package-5" w:history="1">
        <w:r w:rsidRPr="00622DE4">
          <w:rPr>
            <w:rStyle w:val="Hyperlink"/>
          </w:rPr>
          <w:t>CHESSMEN (</w:t>
        </w:r>
        <w:r w:rsidRPr="00160A33">
          <w:rPr>
            <w:rStyle w:val="Hyperlink"/>
          </w:rPr>
          <w:t>2024</w:t>
        </w:r>
        <w:r w:rsidRPr="00622DE4">
          <w:rPr>
            <w:rStyle w:val="Hyperlink"/>
          </w:rPr>
          <w:t>), Verslag van de analyse van onderliggende oorzaken</w:t>
        </w:r>
      </w:hyperlink>
      <w:r w:rsidRPr="00622DE4">
        <w:t>.</w:t>
      </w:r>
    </w:p>
  </w:footnote>
  <w:footnote w:id="7">
    <w:p w14:paraId="29397A8D" w14:textId="77777777" w:rsidR="004C5377" w:rsidRPr="00622DE4" w:rsidRDefault="004C5377" w:rsidP="004C5377">
      <w:pPr>
        <w:pStyle w:val="FootnoteText"/>
      </w:pPr>
      <w:r>
        <w:rPr>
          <w:rStyle w:val="FootnoteReference"/>
        </w:rPr>
        <w:footnoteRef/>
      </w:r>
      <w:r w:rsidRPr="00622DE4">
        <w:tab/>
        <w:t xml:space="preserve">Zie bijvoorbeeld </w:t>
      </w:r>
      <w:hyperlink r:id="rId6" w:history="1">
        <w:r w:rsidRPr="00622DE4">
          <w:rPr>
            <w:rStyle w:val="Hyperlink"/>
          </w:rPr>
          <w:t xml:space="preserve">de resolutie van het Europees Parlement van </w:t>
        </w:r>
        <w:r w:rsidRPr="00160A33">
          <w:rPr>
            <w:rStyle w:val="Hyperlink"/>
          </w:rPr>
          <w:t>2</w:t>
        </w:r>
        <w:r w:rsidRPr="00622DE4">
          <w:rPr>
            <w:rStyle w:val="Hyperlink"/>
          </w:rPr>
          <w:t xml:space="preserve"> maart </w:t>
        </w:r>
        <w:r w:rsidRPr="00160A33">
          <w:rPr>
            <w:rStyle w:val="Hyperlink"/>
          </w:rPr>
          <w:t>2017</w:t>
        </w:r>
        <w:r w:rsidRPr="00622DE4">
          <w:rPr>
            <w:rStyle w:val="Hyperlink"/>
          </w:rPr>
          <w:t xml:space="preserve"> over EU-opties voor een betere toegang tot geneesmiddelen</w:t>
        </w:r>
      </w:hyperlink>
      <w:r w:rsidRPr="00622DE4">
        <w:t xml:space="preserve"> en </w:t>
      </w:r>
      <w:hyperlink r:id="rId7" w:history="1">
        <w:r w:rsidRPr="00622DE4">
          <w:rPr>
            <w:rStyle w:val="Hyperlink"/>
          </w:rPr>
          <w:t>de conclusies van de Raad Epsco (</w:t>
        </w:r>
        <w:r w:rsidRPr="00160A33">
          <w:rPr>
            <w:rStyle w:val="Hyperlink"/>
          </w:rPr>
          <w:t>2021</w:t>
        </w:r>
        <w:r w:rsidRPr="00622DE4">
          <w:rPr>
            <w:rStyle w:val="Hyperlink"/>
          </w:rPr>
          <w:t>/C </w:t>
        </w:r>
        <w:r w:rsidRPr="00160A33">
          <w:rPr>
            <w:rStyle w:val="Hyperlink"/>
          </w:rPr>
          <w:t>269</w:t>
        </w:r>
        <w:r w:rsidRPr="00622DE4">
          <w:rPr>
            <w:rStyle w:val="Hyperlink"/>
          </w:rPr>
          <w:t> I/</w:t>
        </w:r>
        <w:r w:rsidRPr="00160A33">
          <w:rPr>
            <w:rStyle w:val="Hyperlink"/>
          </w:rPr>
          <w:t>02</w:t>
        </w:r>
        <w:r w:rsidRPr="00622DE4">
          <w:rPr>
            <w:rStyle w:val="Hyperlink"/>
          </w:rPr>
          <w:t>)</w:t>
        </w:r>
      </w:hyperlink>
      <w:r w:rsidRPr="00622DE4">
        <w:t>.</w:t>
      </w:r>
    </w:p>
  </w:footnote>
  <w:footnote w:id="8">
    <w:p w14:paraId="1D1F4499" w14:textId="282D8334" w:rsidR="004C5377" w:rsidRPr="00622DE4" w:rsidRDefault="004C5377" w:rsidP="004C5377">
      <w:pPr>
        <w:pStyle w:val="FootnoteText"/>
      </w:pPr>
      <w:r>
        <w:rPr>
          <w:rStyle w:val="FootnoteReference"/>
        </w:rPr>
        <w:footnoteRef/>
      </w:r>
      <w:r w:rsidRPr="00622DE4">
        <w:tab/>
      </w:r>
      <w:hyperlink r:id="rId8" w:history="1">
        <w:r w:rsidRPr="00622DE4">
          <w:rPr>
            <w:rStyle w:val="Hyperlink"/>
          </w:rPr>
          <w:t>Een farmaceutische strategie voor Europa</w:t>
        </w:r>
        <w:r w:rsidR="00B51A78">
          <w:rPr>
            <w:rStyle w:val="Hyperlink"/>
          </w:rPr>
          <w:t> </w:t>
        </w:r>
        <w:r w:rsidRPr="00622DE4">
          <w:rPr>
            <w:rStyle w:val="Hyperlink"/>
          </w:rPr>
          <w:t>— Europese Commissie (europa.eu)</w:t>
        </w:r>
      </w:hyperlink>
      <w:r w:rsidRPr="00622DE4">
        <w:t>.</w:t>
      </w:r>
    </w:p>
  </w:footnote>
  <w:footnote w:id="9">
    <w:p w14:paraId="53975F19" w14:textId="5FC77C67" w:rsidR="004C5377" w:rsidRPr="00622DE4" w:rsidRDefault="004C5377" w:rsidP="004C5377">
      <w:pPr>
        <w:pStyle w:val="FootnoteText"/>
        <w:rPr>
          <w:rStyle w:val="Hyperlink"/>
        </w:rPr>
      </w:pPr>
      <w:r>
        <w:rPr>
          <w:rStyle w:val="FootnoteReference"/>
        </w:rPr>
        <w:footnoteRef/>
      </w:r>
      <w:r w:rsidRPr="00622DE4">
        <w:tab/>
      </w:r>
      <w:hyperlink r:id="rId9" w:history="1">
        <w:r w:rsidRPr="00622DE4">
          <w:rPr>
            <w:rStyle w:val="Hyperlink"/>
          </w:rPr>
          <w:t>Gestructureerde dialoog over de voorzieningszekerheid van geneesmiddelen</w:t>
        </w:r>
        <w:r w:rsidR="00B51A78">
          <w:rPr>
            <w:rStyle w:val="Hyperlink"/>
          </w:rPr>
          <w:t> </w:t>
        </w:r>
        <w:r w:rsidRPr="00622DE4">
          <w:rPr>
            <w:rStyle w:val="Hyperlink"/>
          </w:rPr>
          <w:t>— Europese Commissie (europa.eu)</w:t>
        </w:r>
      </w:hyperlink>
      <w:r w:rsidRPr="00622DE4">
        <w:t>.</w:t>
      </w:r>
    </w:p>
  </w:footnote>
  <w:footnote w:id="10">
    <w:p w14:paraId="712820CA" w14:textId="77777777" w:rsidR="004C5377" w:rsidRPr="005D0E22" w:rsidRDefault="004C5377" w:rsidP="004C5377">
      <w:pPr>
        <w:pStyle w:val="FootnoteText"/>
        <w:rPr>
          <w:rStyle w:val="Hyperlink"/>
          <w:lang w:val="en-IE"/>
        </w:rPr>
      </w:pPr>
      <w:r>
        <w:rPr>
          <w:rStyle w:val="FootnoteReference"/>
        </w:rPr>
        <w:footnoteRef/>
      </w:r>
      <w:r w:rsidRPr="005D0E22">
        <w:rPr>
          <w:lang w:val="en-IE"/>
        </w:rPr>
        <w:tab/>
      </w:r>
      <w:hyperlink r:id="rId10" w:history="1">
        <w:r w:rsidRPr="005D0E22">
          <w:rPr>
            <w:rStyle w:val="Hyperlink"/>
            <w:lang w:val="en-IE"/>
          </w:rPr>
          <w:t>mp_vulnerabilities_global-supply_swd_en.pdf (europa.eu)</w:t>
        </w:r>
      </w:hyperlink>
      <w:r w:rsidRPr="005D0E22">
        <w:rPr>
          <w:lang w:val="en-IE"/>
        </w:rPr>
        <w:t>.</w:t>
      </w:r>
    </w:p>
  </w:footnote>
  <w:footnote w:id="11">
    <w:p w14:paraId="2B7ED600" w14:textId="77777777" w:rsidR="004C5377" w:rsidRPr="00622DE4" w:rsidRDefault="004C5377" w:rsidP="004C5377">
      <w:pPr>
        <w:pStyle w:val="FootnoteText"/>
      </w:pPr>
      <w:r>
        <w:rPr>
          <w:rStyle w:val="FootnoteReference"/>
        </w:rPr>
        <w:footnoteRef/>
      </w:r>
      <w:r w:rsidRPr="00622DE4">
        <w:tab/>
      </w:r>
      <w:hyperlink r:id="rId11" w:history="1">
        <w:r w:rsidRPr="00622DE4">
          <w:rPr>
            <w:rStyle w:val="Hyperlink"/>
          </w:rPr>
          <w:t>Hervorming van de geneesmiddelenwetgeving van de EU (europa.eu)</w:t>
        </w:r>
      </w:hyperlink>
      <w:r w:rsidRPr="00622DE4">
        <w:t>. De voorstellen omvatten maatregelen voor de aanpak van structurele tekorten en de verbetering van een continue voorzieningszekerheid van kritieke geneesmiddelen door het invoeren van strengere leveringsverplichtingen, eerdere kennisgeving en een grotere rol voor het EMA bij de coördinatie daarvan met de lidstaten. Er worden ook maatregelen voorgesteld om de toeleveringsketens van kritieke geneesmiddelen te versterken door voor alle geneesmiddelen een Europees waarschuwingssysteem voor tekorten en plannen voor de preventie van tekorten in te voeren.</w:t>
      </w:r>
    </w:p>
  </w:footnote>
  <w:footnote w:id="12">
    <w:p w14:paraId="3BE49824" w14:textId="77777777" w:rsidR="004C5377" w:rsidRPr="00622DE4" w:rsidRDefault="004C5377" w:rsidP="004C5377">
      <w:pPr>
        <w:pStyle w:val="FootnoteText"/>
      </w:pPr>
      <w:r>
        <w:rPr>
          <w:rStyle w:val="FootnoteReference"/>
        </w:rPr>
        <w:footnoteRef/>
      </w:r>
      <w:r w:rsidRPr="00622DE4">
        <w:tab/>
      </w:r>
      <w:hyperlink r:id="rId12" w:history="1">
        <w:r w:rsidRPr="00622DE4">
          <w:rPr>
            <w:rStyle w:val="Hyperlink"/>
          </w:rPr>
          <w:t xml:space="preserve">Verordening (EU) </w:t>
        </w:r>
        <w:r w:rsidRPr="00160A33">
          <w:rPr>
            <w:rStyle w:val="Hyperlink"/>
          </w:rPr>
          <w:t>2022</w:t>
        </w:r>
        <w:r w:rsidRPr="00622DE4">
          <w:rPr>
            <w:rStyle w:val="Hyperlink"/>
          </w:rPr>
          <w:t>/</w:t>
        </w:r>
        <w:r w:rsidRPr="00160A33">
          <w:rPr>
            <w:rStyle w:val="Hyperlink"/>
          </w:rPr>
          <w:t>123</w:t>
        </w:r>
        <w:r w:rsidRPr="00622DE4">
          <w:rPr>
            <w:rStyle w:val="Hyperlink"/>
          </w:rPr>
          <w:t xml:space="preserve"> van het Europees Parlement en de Raad van </w:t>
        </w:r>
        <w:r w:rsidRPr="00160A33">
          <w:rPr>
            <w:rStyle w:val="Hyperlink"/>
          </w:rPr>
          <w:t>25</w:t>
        </w:r>
        <w:r w:rsidRPr="00622DE4">
          <w:rPr>
            <w:rStyle w:val="Hyperlink"/>
          </w:rPr>
          <w:t xml:space="preserve"> januari </w:t>
        </w:r>
        <w:r w:rsidRPr="00160A33">
          <w:rPr>
            <w:rStyle w:val="Hyperlink"/>
          </w:rPr>
          <w:t>2022</w:t>
        </w:r>
        <w:r w:rsidRPr="00622DE4">
          <w:rPr>
            <w:rStyle w:val="Hyperlink"/>
          </w:rPr>
          <w:t xml:space="preserve"> betreffende een grotere rol van het Europees Geneesmiddelenbureau inzake crisisparaatheid en -beheersing op het gebied van geneesmiddelen en medische hulpmiddelen</w:t>
        </w:r>
      </w:hyperlink>
      <w:r w:rsidRPr="00622DE4">
        <w:t>.</w:t>
      </w:r>
    </w:p>
  </w:footnote>
  <w:footnote w:id="13">
    <w:p w14:paraId="4BAD6442" w14:textId="77777777" w:rsidR="004C5377" w:rsidRPr="00622DE4" w:rsidRDefault="004C5377" w:rsidP="004C5377">
      <w:pPr>
        <w:pStyle w:val="FootnoteText"/>
      </w:pPr>
      <w:r>
        <w:rPr>
          <w:rStyle w:val="FootnoteReference"/>
        </w:rPr>
        <w:footnoteRef/>
      </w:r>
      <w:r w:rsidRPr="00622DE4">
        <w:tab/>
      </w:r>
      <w:hyperlink r:id="rId13" w:history="1">
        <w:r w:rsidRPr="00622DE4">
          <w:rPr>
            <w:rStyle w:val="Hyperlink"/>
          </w:rPr>
          <w:t>Mededeling geneesmiddelentekorten</w:t>
        </w:r>
      </w:hyperlink>
      <w:r w:rsidRPr="00622DE4">
        <w:t>.</w:t>
      </w:r>
    </w:p>
  </w:footnote>
  <w:footnote w:id="14">
    <w:p w14:paraId="55EC273E" w14:textId="77777777" w:rsidR="004C5377" w:rsidRPr="00622DE4" w:rsidRDefault="004C5377" w:rsidP="004C5377">
      <w:pPr>
        <w:pStyle w:val="FootnoteText"/>
      </w:pPr>
      <w:r>
        <w:rPr>
          <w:rStyle w:val="FootnoteReference"/>
        </w:rPr>
        <w:footnoteRef/>
      </w:r>
      <w:r w:rsidRPr="00622DE4">
        <w:tab/>
      </w:r>
      <w:hyperlink r:id="rId14" w:history="1">
        <w:r w:rsidRPr="00622DE4">
          <w:rPr>
            <w:rStyle w:val="Hyperlink"/>
          </w:rPr>
          <w:t>Lijst van de Unie van kritieke geneesmiddelen | Europees Geneesmiddelenbureau (EMA)</w:t>
        </w:r>
      </w:hyperlink>
      <w:r w:rsidRPr="00622DE4">
        <w:t>.</w:t>
      </w:r>
    </w:p>
  </w:footnote>
  <w:footnote w:id="15">
    <w:p w14:paraId="5FAA6B9C" w14:textId="4DE34AFB" w:rsidR="004C5377" w:rsidRPr="00622DE4" w:rsidRDefault="004C5377" w:rsidP="004C5377">
      <w:pPr>
        <w:pStyle w:val="FootnoteText"/>
      </w:pPr>
      <w:r>
        <w:rPr>
          <w:rStyle w:val="FootnoteReference"/>
        </w:rPr>
        <w:footnoteRef/>
      </w:r>
      <w:r w:rsidRPr="00622DE4">
        <w:tab/>
      </w:r>
      <w:hyperlink r:id="rId15" w:history="1">
        <w:r w:rsidRPr="00622DE4">
          <w:rPr>
            <w:rStyle w:val="Hyperlink"/>
          </w:rPr>
          <w:t>Alliantie voor kritieke geneesmiddelen</w:t>
        </w:r>
        <w:r w:rsidR="00B51A78">
          <w:rPr>
            <w:rStyle w:val="Hyperlink"/>
          </w:rPr>
          <w:t> </w:t>
        </w:r>
        <w:r w:rsidRPr="00622DE4">
          <w:rPr>
            <w:rStyle w:val="Hyperlink"/>
          </w:rPr>
          <w:t>— Europese Commissie</w:t>
        </w:r>
      </w:hyperlink>
      <w:r w:rsidRPr="00622DE4">
        <w:t>.</w:t>
      </w:r>
    </w:p>
  </w:footnote>
  <w:footnote w:id="16">
    <w:p w14:paraId="27EF23B4" w14:textId="77777777" w:rsidR="004C5377" w:rsidRPr="00622DE4" w:rsidRDefault="004C5377" w:rsidP="004C5377">
      <w:pPr>
        <w:pStyle w:val="FootnoteText"/>
      </w:pPr>
      <w:r>
        <w:rPr>
          <w:rStyle w:val="FootnoteReference"/>
        </w:rPr>
        <w:footnoteRef/>
      </w:r>
      <w:r w:rsidRPr="00622DE4">
        <w:tab/>
      </w:r>
      <w:hyperlink r:id="rId16" w:history="1">
        <w:r w:rsidRPr="00622DE4">
          <w:rPr>
            <w:rStyle w:val="Hyperlink"/>
          </w:rPr>
          <w:t xml:space="preserve"> https://ec.europa.eu/commission/presscorner/detail/nl/ip_</w:t>
        </w:r>
        <w:r w:rsidRPr="00160A33">
          <w:rPr>
            <w:rStyle w:val="Hyperlink"/>
          </w:rPr>
          <w:t>24</w:t>
        </w:r>
        <w:r w:rsidRPr="00622DE4">
          <w:rPr>
            <w:rStyle w:val="Hyperlink"/>
          </w:rPr>
          <w:t>_</w:t>
        </w:r>
        <w:r w:rsidRPr="00160A33">
          <w:rPr>
            <w:rStyle w:val="Hyperlink"/>
          </w:rPr>
          <w:t>2229</w:t>
        </w:r>
      </w:hyperlink>
      <w:r w:rsidRPr="00622DE4">
        <w:t>.</w:t>
      </w:r>
    </w:p>
  </w:footnote>
  <w:footnote w:id="17">
    <w:p w14:paraId="1C3976AD" w14:textId="77777777" w:rsidR="004C5377" w:rsidRPr="00622DE4" w:rsidRDefault="004C5377" w:rsidP="004C5377">
      <w:pPr>
        <w:pStyle w:val="FootnoteText"/>
        <w:rPr>
          <w:lang w:val="it-IT"/>
        </w:rPr>
      </w:pPr>
      <w:r>
        <w:rPr>
          <w:rStyle w:val="FootnoteReference"/>
        </w:rPr>
        <w:footnoteRef/>
      </w:r>
      <w:r w:rsidRPr="00622DE4">
        <w:rPr>
          <w:lang w:val="it-IT"/>
        </w:rPr>
        <w:tab/>
      </w:r>
      <w:hyperlink r:id="rId17" w:history="1">
        <w:r w:rsidRPr="00160A33">
          <w:rPr>
            <w:rStyle w:val="Hyperlink"/>
            <w:lang w:val="it-IT"/>
          </w:rPr>
          <w:t>3</w:t>
        </w:r>
        <w:r w:rsidRPr="00622DE4">
          <w:rPr>
            <w:rStyle w:val="Hyperlink"/>
            <w:lang w:val="it-IT"/>
          </w:rPr>
          <w:t>da</w:t>
        </w:r>
        <w:r w:rsidRPr="00160A33">
          <w:rPr>
            <w:rStyle w:val="Hyperlink"/>
            <w:lang w:val="it-IT"/>
          </w:rPr>
          <w:t>9</w:t>
        </w:r>
        <w:r w:rsidRPr="00622DE4">
          <w:rPr>
            <w:rStyle w:val="Hyperlink"/>
            <w:lang w:val="it-IT"/>
          </w:rPr>
          <w:t>dfc</w:t>
        </w:r>
        <w:r w:rsidRPr="00160A33">
          <w:rPr>
            <w:rStyle w:val="Hyperlink"/>
            <w:lang w:val="it-IT"/>
          </w:rPr>
          <w:t>0</w:t>
        </w:r>
        <w:r w:rsidRPr="00622DE4">
          <w:rPr>
            <w:rStyle w:val="Hyperlink"/>
            <w:lang w:val="it-IT"/>
          </w:rPr>
          <w:t>-c</w:t>
        </w:r>
        <w:r w:rsidRPr="00160A33">
          <w:rPr>
            <w:rStyle w:val="Hyperlink"/>
            <w:lang w:val="it-IT"/>
          </w:rPr>
          <w:t>5</w:t>
        </w:r>
        <w:r w:rsidRPr="00622DE4">
          <w:rPr>
            <w:rStyle w:val="Hyperlink"/>
            <w:lang w:val="it-IT"/>
          </w:rPr>
          <w:t>e</w:t>
        </w:r>
        <w:r w:rsidRPr="00160A33">
          <w:rPr>
            <w:rStyle w:val="Hyperlink"/>
            <w:lang w:val="it-IT"/>
          </w:rPr>
          <w:t>0</w:t>
        </w:r>
        <w:r w:rsidRPr="00622DE4">
          <w:rPr>
            <w:rStyle w:val="Hyperlink"/>
            <w:lang w:val="it-IT"/>
          </w:rPr>
          <w:t>-</w:t>
        </w:r>
        <w:r w:rsidRPr="00160A33">
          <w:rPr>
            <w:rStyle w:val="Hyperlink"/>
            <w:lang w:val="it-IT"/>
          </w:rPr>
          <w:t>4583</w:t>
        </w:r>
        <w:r w:rsidRPr="00622DE4">
          <w:rPr>
            <w:rStyle w:val="Hyperlink"/>
            <w:lang w:val="it-IT"/>
          </w:rPr>
          <w:t>-a</w:t>
        </w:r>
        <w:r w:rsidRPr="00160A33">
          <w:rPr>
            <w:rStyle w:val="Hyperlink"/>
            <w:lang w:val="it-IT"/>
          </w:rPr>
          <w:t>0</w:t>
        </w:r>
        <w:r w:rsidRPr="00622DE4">
          <w:rPr>
            <w:rStyle w:val="Hyperlink"/>
            <w:lang w:val="it-IT"/>
          </w:rPr>
          <w:t>f</w:t>
        </w:r>
        <w:r w:rsidRPr="00160A33">
          <w:rPr>
            <w:rStyle w:val="Hyperlink"/>
            <w:lang w:val="it-IT"/>
          </w:rPr>
          <w:t>1</w:t>
        </w:r>
        <w:r w:rsidRPr="00622DE4">
          <w:rPr>
            <w:rStyle w:val="Hyperlink"/>
            <w:lang w:val="it-IT"/>
          </w:rPr>
          <w:t>-</w:t>
        </w:r>
        <w:r w:rsidRPr="00160A33">
          <w:rPr>
            <w:rStyle w:val="Hyperlink"/>
            <w:lang w:val="it-IT"/>
          </w:rPr>
          <w:t>1652</w:t>
        </w:r>
        <w:r w:rsidRPr="00622DE4">
          <w:rPr>
            <w:rStyle w:val="Hyperlink"/>
            <w:lang w:val="it-IT"/>
          </w:rPr>
          <w:t>c</w:t>
        </w:r>
        <w:r w:rsidRPr="00160A33">
          <w:rPr>
            <w:rStyle w:val="Hyperlink"/>
            <w:lang w:val="it-IT"/>
          </w:rPr>
          <w:t>7</w:t>
        </w:r>
        <w:r w:rsidRPr="00622DE4">
          <w:rPr>
            <w:rStyle w:val="Hyperlink"/>
            <w:lang w:val="it-IT"/>
          </w:rPr>
          <w:t>c</w:t>
        </w:r>
        <w:r w:rsidRPr="00160A33">
          <w:rPr>
            <w:rStyle w:val="Hyperlink"/>
            <w:lang w:val="it-IT"/>
          </w:rPr>
          <w:t>18</w:t>
        </w:r>
        <w:r w:rsidRPr="00622DE4">
          <w:rPr>
            <w:rStyle w:val="Hyperlink"/>
            <w:lang w:val="it-IT"/>
          </w:rPr>
          <w:t>c</w:t>
        </w:r>
        <w:r w:rsidRPr="00160A33">
          <w:rPr>
            <w:rStyle w:val="Hyperlink"/>
            <w:lang w:val="it-IT"/>
          </w:rPr>
          <w:t>3</w:t>
        </w:r>
        <w:r w:rsidRPr="00622DE4">
          <w:rPr>
            <w:rStyle w:val="Hyperlink"/>
            <w:lang w:val="it-IT"/>
          </w:rPr>
          <w:t>c_en</w:t>
        </w:r>
      </w:hyperlink>
      <w:r w:rsidRPr="00622DE4">
        <w:rPr>
          <w:lang w:val="it-IT"/>
        </w:rPr>
        <w:t>.</w:t>
      </w:r>
    </w:p>
  </w:footnote>
  <w:footnote w:id="18">
    <w:p w14:paraId="638A8CDC" w14:textId="77777777" w:rsidR="004C5377" w:rsidRPr="00622DE4" w:rsidRDefault="004C5377" w:rsidP="004C5377">
      <w:pPr>
        <w:pStyle w:val="FootnoteText"/>
        <w:rPr>
          <w:lang w:val="it-IT"/>
        </w:rPr>
      </w:pPr>
      <w:r>
        <w:rPr>
          <w:rStyle w:val="FootnoteReference"/>
        </w:rPr>
        <w:footnoteRef/>
      </w:r>
      <w:r w:rsidRPr="00622DE4">
        <w:rPr>
          <w:lang w:val="it-IT"/>
        </w:rPr>
        <w:tab/>
      </w:r>
      <w:hyperlink r:id="rId18" w:history="1">
        <w:r w:rsidRPr="00622DE4">
          <w:rPr>
            <w:rStyle w:val="Hyperlink"/>
            <w:lang w:val="it-IT"/>
          </w:rPr>
          <w:t>https://commission.europa.eu/document/download/b</w:t>
        </w:r>
        <w:r w:rsidRPr="00160A33">
          <w:rPr>
            <w:rStyle w:val="Hyperlink"/>
            <w:lang w:val="it-IT"/>
          </w:rPr>
          <w:t>1817</w:t>
        </w:r>
        <w:r w:rsidRPr="00622DE4">
          <w:rPr>
            <w:rStyle w:val="Hyperlink"/>
            <w:lang w:val="it-IT"/>
          </w:rPr>
          <w:t>a</w:t>
        </w:r>
        <w:r w:rsidRPr="00160A33">
          <w:rPr>
            <w:rStyle w:val="Hyperlink"/>
            <w:lang w:val="it-IT"/>
          </w:rPr>
          <w:t>1</w:t>
        </w:r>
        <w:r w:rsidRPr="00622DE4">
          <w:rPr>
            <w:rStyle w:val="Hyperlink"/>
            <w:lang w:val="it-IT"/>
          </w:rPr>
          <w:t>b-e</w:t>
        </w:r>
        <w:r w:rsidRPr="00160A33">
          <w:rPr>
            <w:rStyle w:val="Hyperlink"/>
            <w:lang w:val="it-IT"/>
          </w:rPr>
          <w:t>62</w:t>
        </w:r>
        <w:r w:rsidRPr="00622DE4">
          <w:rPr>
            <w:rStyle w:val="Hyperlink"/>
            <w:lang w:val="it-IT"/>
          </w:rPr>
          <w:t>e-</w:t>
        </w:r>
        <w:r w:rsidRPr="00160A33">
          <w:rPr>
            <w:rStyle w:val="Hyperlink"/>
            <w:lang w:val="it-IT"/>
          </w:rPr>
          <w:t>4949</w:t>
        </w:r>
        <w:r w:rsidRPr="00622DE4">
          <w:rPr>
            <w:rStyle w:val="Hyperlink"/>
            <w:lang w:val="it-IT"/>
          </w:rPr>
          <w:t>-bbb</w:t>
        </w:r>
        <w:r w:rsidRPr="00160A33">
          <w:rPr>
            <w:rStyle w:val="Hyperlink"/>
            <w:lang w:val="it-IT"/>
          </w:rPr>
          <w:t>8</w:t>
        </w:r>
        <w:r w:rsidRPr="00622DE4">
          <w:rPr>
            <w:rStyle w:val="Hyperlink"/>
            <w:lang w:val="it-IT"/>
          </w:rPr>
          <w:t>-ebf</w:t>
        </w:r>
        <w:r w:rsidRPr="00160A33">
          <w:rPr>
            <w:rStyle w:val="Hyperlink"/>
            <w:lang w:val="it-IT"/>
          </w:rPr>
          <w:t>29</w:t>
        </w:r>
        <w:r w:rsidRPr="00622DE4">
          <w:rPr>
            <w:rStyle w:val="Hyperlink"/>
            <w:lang w:val="it-IT"/>
          </w:rPr>
          <w:t>b</w:t>
        </w:r>
        <w:r w:rsidRPr="00160A33">
          <w:rPr>
            <w:rStyle w:val="Hyperlink"/>
            <w:lang w:val="it-IT"/>
          </w:rPr>
          <w:t>54</w:t>
        </w:r>
        <w:r w:rsidRPr="00622DE4">
          <w:rPr>
            <w:rStyle w:val="Hyperlink"/>
            <w:lang w:val="it-IT"/>
          </w:rPr>
          <w:t>c</w:t>
        </w:r>
        <w:r w:rsidRPr="00160A33">
          <w:rPr>
            <w:rStyle w:val="Hyperlink"/>
            <w:lang w:val="it-IT"/>
          </w:rPr>
          <w:t>8</w:t>
        </w:r>
        <w:r w:rsidRPr="00622DE4">
          <w:rPr>
            <w:rStyle w:val="Hyperlink"/>
            <w:lang w:val="it-IT"/>
          </w:rPr>
          <w:t>bd_en?filename=Mission%</w:t>
        </w:r>
        <w:r w:rsidRPr="00160A33">
          <w:rPr>
            <w:rStyle w:val="Hyperlink"/>
            <w:lang w:val="it-IT"/>
          </w:rPr>
          <w:t>20</w:t>
        </w:r>
        <w:r w:rsidRPr="00622DE4">
          <w:rPr>
            <w:rStyle w:val="Hyperlink"/>
            <w:lang w:val="it-IT"/>
          </w:rPr>
          <w:t>letter%</w:t>
        </w:r>
        <w:r w:rsidRPr="00160A33">
          <w:rPr>
            <w:rStyle w:val="Hyperlink"/>
            <w:lang w:val="it-IT"/>
          </w:rPr>
          <w:t>20</w:t>
        </w:r>
        <w:r w:rsidRPr="00622DE4">
          <w:rPr>
            <w:rStyle w:val="Hyperlink"/>
            <w:lang w:val="it-IT"/>
          </w:rPr>
          <w:t>-%</w:t>
        </w:r>
        <w:r w:rsidRPr="00160A33">
          <w:rPr>
            <w:rStyle w:val="Hyperlink"/>
            <w:lang w:val="it-IT"/>
          </w:rPr>
          <w:t>20</w:t>
        </w:r>
        <w:r w:rsidRPr="00622DE4">
          <w:rPr>
            <w:rStyle w:val="Hyperlink"/>
            <w:lang w:val="it-IT"/>
          </w:rPr>
          <w:t>VARHELYI.pdf</w:t>
        </w:r>
      </w:hyperlink>
      <w:r w:rsidRPr="00622DE4">
        <w:rPr>
          <w:lang w:val="it-IT"/>
        </w:rPr>
        <w:t>.</w:t>
      </w:r>
    </w:p>
  </w:footnote>
  <w:footnote w:id="19">
    <w:p w14:paraId="554AAEBC" w14:textId="2623E158" w:rsidR="004C5377" w:rsidRPr="00622DE4" w:rsidRDefault="004C5377" w:rsidP="004C5377">
      <w:pPr>
        <w:pStyle w:val="FootnoteText"/>
      </w:pPr>
      <w:r>
        <w:rPr>
          <w:rStyle w:val="FootnoteReference"/>
        </w:rPr>
        <w:footnoteRef/>
      </w:r>
      <w:r w:rsidRPr="00622DE4">
        <w:tab/>
      </w:r>
      <w:hyperlink r:id="rId19" w:history="1">
        <w:r w:rsidRPr="00622DE4">
          <w:rPr>
            <w:rStyle w:val="Hyperlink"/>
          </w:rPr>
          <w:t>Europese gezondheidsunie</w:t>
        </w:r>
        <w:r w:rsidR="00B51A78">
          <w:rPr>
            <w:rStyle w:val="Hyperlink"/>
          </w:rPr>
          <w:t> </w:t>
        </w:r>
        <w:r w:rsidRPr="00622DE4">
          <w:rPr>
            <w:rStyle w:val="Hyperlink"/>
          </w:rPr>
          <w:t>— Europese Commissie</w:t>
        </w:r>
      </w:hyperlink>
      <w:r w:rsidRPr="00622DE4">
        <w:t>.</w:t>
      </w:r>
    </w:p>
  </w:footnote>
  <w:footnote w:id="20">
    <w:p w14:paraId="2D1E41D5" w14:textId="77777777" w:rsidR="004C5377" w:rsidRPr="00622DE4" w:rsidRDefault="004C5377" w:rsidP="004C5377">
      <w:pPr>
        <w:pStyle w:val="FootnoteText"/>
      </w:pPr>
      <w:r>
        <w:rPr>
          <w:rStyle w:val="FootnoteReference"/>
        </w:rPr>
        <w:footnoteRef/>
      </w:r>
      <w:r w:rsidRPr="00622DE4">
        <w:tab/>
        <w:t xml:space="preserve">Bijvoorbeeld de </w:t>
      </w:r>
      <w:hyperlink r:id="rId20" w:history="1">
        <w:r w:rsidRPr="00622DE4">
          <w:rPr>
            <w:rStyle w:val="Hyperlink"/>
          </w:rPr>
          <w:t>Europese verordening kritieke grondstoffen</w:t>
        </w:r>
      </w:hyperlink>
      <w:r w:rsidRPr="00622DE4">
        <w:t xml:space="preserve"> en de </w:t>
      </w:r>
      <w:hyperlink r:id="rId21" w:history="1">
        <w:r w:rsidRPr="00622DE4">
          <w:rPr>
            <w:rStyle w:val="Hyperlink"/>
          </w:rPr>
          <w:t>verordening voor een nettonulindustrie</w:t>
        </w:r>
      </w:hyperlink>
      <w:r w:rsidRPr="00622DE4">
        <w:t>.</w:t>
      </w:r>
    </w:p>
  </w:footnote>
  <w:footnote w:id="21">
    <w:p w14:paraId="7CD0528E" w14:textId="1BF58AC4" w:rsidR="004C5377" w:rsidRPr="00622DE4" w:rsidRDefault="004C5377" w:rsidP="004C5377">
      <w:pPr>
        <w:pStyle w:val="FootnoteText"/>
      </w:pPr>
      <w:r>
        <w:rPr>
          <w:rStyle w:val="FootnoteReference"/>
        </w:rPr>
        <w:footnoteRef/>
      </w:r>
      <w:r w:rsidRPr="00622DE4">
        <w:tab/>
      </w:r>
      <w:hyperlink r:id="rId22" w:history="1">
        <w:r w:rsidRPr="00622DE4">
          <w:rPr>
            <w:rStyle w:val="Hyperlink"/>
          </w:rPr>
          <w:t>Weesgeneesmiddelen</w:t>
        </w:r>
        <w:r w:rsidR="00B51A78">
          <w:rPr>
            <w:rStyle w:val="Hyperlink"/>
          </w:rPr>
          <w:t> </w:t>
        </w:r>
        <w:r w:rsidRPr="00622DE4">
          <w:rPr>
            <w:rStyle w:val="Hyperlink"/>
          </w:rPr>
          <w:t>— Europese Commissie</w:t>
        </w:r>
      </w:hyperlink>
      <w:r w:rsidRPr="00622DE4">
        <w:t>.</w:t>
      </w:r>
    </w:p>
  </w:footnote>
  <w:footnote w:id="22">
    <w:p w14:paraId="5EFC0B0B" w14:textId="77777777" w:rsidR="004C5377" w:rsidRPr="00622DE4" w:rsidRDefault="004C5377" w:rsidP="004C5377">
      <w:pPr>
        <w:pStyle w:val="FootnoteText"/>
      </w:pPr>
      <w:r>
        <w:rPr>
          <w:rStyle w:val="FootnoteReference"/>
        </w:rPr>
        <w:footnoteRef/>
      </w:r>
      <w:r w:rsidRPr="00622DE4">
        <w:tab/>
      </w:r>
      <w:hyperlink r:id="rId23" w:history="1">
        <w:r w:rsidRPr="00622DE4">
          <w:rPr>
            <w:rStyle w:val="Hyperlink"/>
          </w:rPr>
          <w:t>Geconsolideerde versie van het Verdrag betreffende de Europese Unie</w:t>
        </w:r>
      </w:hyperlink>
      <w:r w:rsidRPr="00622DE4">
        <w:t>).</w:t>
      </w:r>
    </w:p>
  </w:footnote>
  <w:footnote w:id="23">
    <w:p w14:paraId="06408FC6" w14:textId="6B700A3B" w:rsidR="004C5377" w:rsidRPr="00622DE4" w:rsidRDefault="004C5377" w:rsidP="004C5377">
      <w:pPr>
        <w:pStyle w:val="FootnoteText"/>
      </w:pPr>
      <w:r>
        <w:rPr>
          <w:rStyle w:val="FootnoteReference"/>
        </w:rPr>
        <w:footnoteRef/>
      </w:r>
      <w:r w:rsidRPr="00622DE4">
        <w:tab/>
      </w:r>
      <w:hyperlink r:id="rId24" w:history="1">
        <w:r w:rsidRPr="00622DE4">
          <w:rPr>
            <w:rStyle w:val="Hyperlink"/>
          </w:rPr>
          <w:t>Hervorming van de geneesmiddelenwetgeving van de EU</w:t>
        </w:r>
        <w:r w:rsidR="00B51A78">
          <w:rPr>
            <w:rStyle w:val="Hyperlink"/>
          </w:rPr>
          <w:t> </w:t>
        </w:r>
        <w:r w:rsidRPr="00622DE4">
          <w:rPr>
            <w:rStyle w:val="Hyperlink"/>
          </w:rPr>
          <w:t>— Europese Commissie</w:t>
        </w:r>
      </w:hyperlink>
      <w:r w:rsidRPr="00622DE4">
        <w:t>.</w:t>
      </w:r>
    </w:p>
  </w:footnote>
  <w:footnote w:id="24">
    <w:p w14:paraId="75D84C2F" w14:textId="35A37334" w:rsidR="004C5377" w:rsidRPr="00622DE4" w:rsidRDefault="004C5377" w:rsidP="004C5377">
      <w:pPr>
        <w:pStyle w:val="FootnoteText"/>
      </w:pPr>
      <w:r>
        <w:rPr>
          <w:rStyle w:val="FootnoteReference"/>
        </w:rPr>
        <w:footnoteRef/>
      </w:r>
      <w:r w:rsidRPr="00622DE4">
        <w:tab/>
      </w:r>
      <w:hyperlink r:id="rId25" w:history="1">
        <w:r w:rsidRPr="00622DE4">
          <w:rPr>
            <w:rStyle w:val="Hyperlink"/>
          </w:rPr>
          <w:t>Een farmaceutische strategie voor Europa</w:t>
        </w:r>
        <w:r w:rsidR="00B51A78">
          <w:rPr>
            <w:rStyle w:val="Hyperlink"/>
          </w:rPr>
          <w:t> </w:t>
        </w:r>
        <w:r w:rsidRPr="00622DE4">
          <w:rPr>
            <w:rStyle w:val="Hyperlink"/>
          </w:rPr>
          <w:t>— Europese Commissie (europa.eu)</w:t>
        </w:r>
      </w:hyperlink>
      <w:r w:rsidRPr="00622DE4">
        <w:t>.</w:t>
      </w:r>
    </w:p>
  </w:footnote>
  <w:footnote w:id="25">
    <w:p w14:paraId="05EF9C31" w14:textId="2116D400" w:rsidR="004C5377" w:rsidRPr="00622DE4" w:rsidRDefault="004C5377" w:rsidP="004C5377">
      <w:pPr>
        <w:pStyle w:val="FootnoteText"/>
      </w:pPr>
      <w:r>
        <w:rPr>
          <w:rStyle w:val="FootnoteReference"/>
        </w:rPr>
        <w:footnoteRef/>
      </w:r>
      <w:r w:rsidRPr="00622DE4">
        <w:tab/>
      </w:r>
      <w:hyperlink r:id="rId26" w:history="1">
        <w:r w:rsidRPr="00622DE4">
          <w:rPr>
            <w:rStyle w:val="Hyperlink"/>
          </w:rPr>
          <w:t>Verordening COM(</w:t>
        </w:r>
        <w:r w:rsidRPr="00160A33">
          <w:rPr>
            <w:rStyle w:val="Hyperlink"/>
          </w:rPr>
          <w:t>2023</w:t>
        </w:r>
        <w:r w:rsidRPr="00622DE4">
          <w:rPr>
            <w:rStyle w:val="Hyperlink"/>
          </w:rPr>
          <w:t>)</w:t>
        </w:r>
        <w:r w:rsidR="001D2B35">
          <w:rPr>
            <w:rStyle w:val="Hyperlink"/>
          </w:rPr>
          <w:t xml:space="preserve"> </w:t>
        </w:r>
        <w:r w:rsidRPr="00160A33">
          <w:rPr>
            <w:rStyle w:val="Hyperlink"/>
          </w:rPr>
          <w:t>193</w:t>
        </w:r>
        <w:r w:rsidRPr="00622DE4">
          <w:rPr>
            <w:rStyle w:val="Hyperlink"/>
          </w:rPr>
          <w:t xml:space="preserve"> final</w:t>
        </w:r>
      </w:hyperlink>
      <w:r w:rsidRPr="00622DE4">
        <w:t>, Hoofdstuk X.</w:t>
      </w:r>
    </w:p>
  </w:footnote>
  <w:footnote w:id="26">
    <w:p w14:paraId="5447B3AE" w14:textId="199E46B3" w:rsidR="004C5377" w:rsidRPr="00622DE4" w:rsidRDefault="004C5377" w:rsidP="004C5377">
      <w:pPr>
        <w:pStyle w:val="FootnoteText"/>
      </w:pPr>
      <w:r>
        <w:rPr>
          <w:rStyle w:val="FootnoteReference"/>
        </w:rPr>
        <w:footnoteRef/>
      </w:r>
      <w:r w:rsidRPr="00622DE4">
        <w:tab/>
      </w:r>
      <w:hyperlink r:id="rId27" w:history="1">
        <w:r w:rsidRPr="00622DE4">
          <w:rPr>
            <w:rStyle w:val="Hyperlink"/>
          </w:rPr>
          <w:t>Gestructureerde dialoog over de voorzieningszekerheid van geneesmiddelen</w:t>
        </w:r>
        <w:r w:rsidR="00B51A78">
          <w:rPr>
            <w:rStyle w:val="Hyperlink"/>
          </w:rPr>
          <w:t> </w:t>
        </w:r>
        <w:r w:rsidRPr="00622DE4">
          <w:rPr>
            <w:rStyle w:val="Hyperlink"/>
          </w:rPr>
          <w:t>— Europese Commissie</w:t>
        </w:r>
      </w:hyperlink>
      <w:r w:rsidRPr="00622DE4">
        <w:t>.</w:t>
      </w:r>
    </w:p>
  </w:footnote>
  <w:footnote w:id="27">
    <w:p w14:paraId="5DC4F6AC" w14:textId="77777777" w:rsidR="004C5377" w:rsidRPr="005D0E22" w:rsidRDefault="004C5377" w:rsidP="004C5377">
      <w:pPr>
        <w:pStyle w:val="FootnoteText"/>
        <w:rPr>
          <w:rStyle w:val="Hyperlink"/>
          <w:lang w:val="en-IE"/>
        </w:rPr>
      </w:pPr>
      <w:r>
        <w:rPr>
          <w:rStyle w:val="FootnoteReference"/>
        </w:rPr>
        <w:footnoteRef/>
      </w:r>
      <w:r w:rsidRPr="005D0E22">
        <w:rPr>
          <w:lang w:val="en-IE"/>
        </w:rPr>
        <w:tab/>
      </w:r>
      <w:hyperlink r:id="rId28" w:history="1">
        <w:r w:rsidRPr="005D0E22">
          <w:rPr>
            <w:rStyle w:val="Hyperlink"/>
            <w:lang w:val="en-IE"/>
          </w:rPr>
          <w:t>mp_vulnerabilities_global-supply_swd_en.pdf (europa.eu)</w:t>
        </w:r>
      </w:hyperlink>
      <w:r w:rsidRPr="005D0E22">
        <w:rPr>
          <w:lang w:val="en-IE"/>
        </w:rPr>
        <w:t>.</w:t>
      </w:r>
    </w:p>
  </w:footnote>
  <w:footnote w:id="28">
    <w:p w14:paraId="683803DE" w14:textId="77777777" w:rsidR="004C5377" w:rsidRPr="00622DE4" w:rsidRDefault="004C5377" w:rsidP="004C5377">
      <w:pPr>
        <w:pStyle w:val="FootnoteText"/>
      </w:pPr>
      <w:r>
        <w:rPr>
          <w:rStyle w:val="FootnoteReference"/>
        </w:rPr>
        <w:footnoteRef/>
      </w:r>
      <w:r w:rsidRPr="00622DE4">
        <w:tab/>
      </w:r>
      <w:hyperlink r:id="rId29" w:history="1">
        <w:r w:rsidRPr="00622DE4">
          <w:rPr>
            <w:rStyle w:val="Hyperlink"/>
          </w:rPr>
          <w:t xml:space="preserve">Verordening (EU) </w:t>
        </w:r>
        <w:r w:rsidRPr="00160A33">
          <w:rPr>
            <w:rStyle w:val="Hyperlink"/>
          </w:rPr>
          <w:t>2022</w:t>
        </w:r>
        <w:r w:rsidRPr="00622DE4">
          <w:rPr>
            <w:rStyle w:val="Hyperlink"/>
          </w:rPr>
          <w:t>/</w:t>
        </w:r>
        <w:r w:rsidRPr="00160A33">
          <w:rPr>
            <w:rStyle w:val="Hyperlink"/>
          </w:rPr>
          <w:t>123</w:t>
        </w:r>
        <w:r w:rsidRPr="00622DE4">
          <w:rPr>
            <w:rStyle w:val="Hyperlink"/>
          </w:rPr>
          <w:t xml:space="preserve"> van het Europees Parlement en de Raad van </w:t>
        </w:r>
        <w:r w:rsidRPr="00160A33">
          <w:rPr>
            <w:rStyle w:val="Hyperlink"/>
          </w:rPr>
          <w:t>25</w:t>
        </w:r>
        <w:r w:rsidRPr="00622DE4">
          <w:rPr>
            <w:rStyle w:val="Hyperlink"/>
          </w:rPr>
          <w:t xml:space="preserve"> januari </w:t>
        </w:r>
        <w:r w:rsidRPr="00160A33">
          <w:rPr>
            <w:rStyle w:val="Hyperlink"/>
          </w:rPr>
          <w:t>2022</w:t>
        </w:r>
        <w:r w:rsidRPr="00622DE4">
          <w:rPr>
            <w:rStyle w:val="Hyperlink"/>
          </w:rPr>
          <w:t xml:space="preserve"> betreffende een grotere rol van het Europees Geneesmiddelenbureau inzake crisisparaatheid en -beheersing op het gebied van geneesmiddelen en medische hulpmiddelen</w:t>
        </w:r>
      </w:hyperlink>
      <w:r w:rsidRPr="00622DE4">
        <w:t>.</w:t>
      </w:r>
    </w:p>
  </w:footnote>
  <w:footnote w:id="29">
    <w:p w14:paraId="47F93E41" w14:textId="4CE003B7" w:rsidR="004C5377" w:rsidRPr="00622DE4" w:rsidRDefault="004C5377" w:rsidP="004C5377">
      <w:pPr>
        <w:pStyle w:val="FootnoteText"/>
      </w:pPr>
      <w:r>
        <w:rPr>
          <w:rStyle w:val="FootnoteReference"/>
        </w:rPr>
        <w:footnoteRef/>
      </w:r>
      <w:r w:rsidRPr="00622DE4">
        <w:tab/>
      </w:r>
      <w:hyperlink r:id="rId30" w:history="1">
        <w:r w:rsidRPr="00622DE4">
          <w:rPr>
            <w:rStyle w:val="Hyperlink"/>
          </w:rPr>
          <w:t>Europees platform voor de monitoring van tekorten (ESMP)</w:t>
        </w:r>
      </w:hyperlink>
      <w:r w:rsidRPr="00622DE4">
        <w:t>,</w:t>
      </w:r>
      <w:hyperlink r:id="rId31" w:history="1">
        <w:r w:rsidRPr="00622DE4">
          <w:rPr>
            <w:rStyle w:val="Hyperlink"/>
          </w:rPr>
          <w:t>Europees Geneesmiddelenbureau (EMA)</w:t>
        </w:r>
      </w:hyperlink>
      <w:r w:rsidRPr="00622DE4">
        <w:t>/ Het platform is met ingang van januari</w:t>
      </w:r>
      <w:r w:rsidR="00C30615">
        <w:t> </w:t>
      </w:r>
      <w:r w:rsidRPr="00160A33">
        <w:t>2025</w:t>
      </w:r>
      <w:r w:rsidRPr="00622DE4">
        <w:t xml:space="preserve"> volledig operationeel.</w:t>
      </w:r>
    </w:p>
  </w:footnote>
  <w:footnote w:id="30">
    <w:p w14:paraId="3FD61EF4" w14:textId="77777777" w:rsidR="004C5377" w:rsidRPr="00C3707B" w:rsidRDefault="004C5377" w:rsidP="004C5377">
      <w:pPr>
        <w:pStyle w:val="FootnoteText"/>
        <w:rPr>
          <w:lang w:val="de-DE"/>
        </w:rPr>
      </w:pPr>
      <w:r>
        <w:rPr>
          <w:rStyle w:val="FootnoteReference"/>
        </w:rPr>
        <w:footnoteRef/>
      </w:r>
      <w:r w:rsidRPr="00C3707B">
        <w:rPr>
          <w:lang w:val="de-DE"/>
        </w:rPr>
        <w:tab/>
      </w:r>
      <w:hyperlink r:id="rId32" w:history="1">
        <w:r w:rsidRPr="00C3707B">
          <w:rPr>
            <w:rStyle w:val="Hyperlink"/>
            <w:lang w:val="de-DE"/>
          </w:rPr>
          <w:t xml:space="preserve">Verordening (EU) </w:t>
        </w:r>
        <w:r w:rsidRPr="00160A33">
          <w:rPr>
            <w:rStyle w:val="Hyperlink"/>
            <w:lang w:val="de-DE"/>
          </w:rPr>
          <w:t>2022</w:t>
        </w:r>
        <w:r w:rsidRPr="00C3707B">
          <w:rPr>
            <w:rStyle w:val="Hyperlink"/>
            <w:lang w:val="de-DE"/>
          </w:rPr>
          <w:t>/</w:t>
        </w:r>
        <w:r w:rsidRPr="00160A33">
          <w:rPr>
            <w:rStyle w:val="Hyperlink"/>
            <w:lang w:val="de-DE"/>
          </w:rPr>
          <w:t>2371</w:t>
        </w:r>
        <w:r w:rsidRPr="00C3707B">
          <w:rPr>
            <w:rStyle w:val="Hyperlink"/>
            <w:lang w:val="de-DE"/>
          </w:rPr>
          <w:t xml:space="preserve"> — NL — EUR-Lex</w:t>
        </w:r>
      </w:hyperlink>
      <w:r w:rsidRPr="00C3707B">
        <w:rPr>
          <w:lang w:val="de-DE"/>
        </w:rPr>
        <w:t>.</w:t>
      </w:r>
    </w:p>
  </w:footnote>
  <w:footnote w:id="31">
    <w:p w14:paraId="146E3A3B" w14:textId="77777777" w:rsidR="004C5377" w:rsidRPr="00C3707B" w:rsidRDefault="004C5377" w:rsidP="004C5377">
      <w:pPr>
        <w:pStyle w:val="FootnoteText"/>
        <w:rPr>
          <w:lang w:val="de-DE"/>
        </w:rPr>
      </w:pPr>
      <w:r>
        <w:rPr>
          <w:rStyle w:val="FootnoteReference"/>
        </w:rPr>
        <w:footnoteRef/>
      </w:r>
      <w:r w:rsidRPr="00C3707B">
        <w:rPr>
          <w:lang w:val="de-DE"/>
        </w:rPr>
        <w:tab/>
      </w:r>
      <w:hyperlink r:id="rId33" w:history="1">
        <w:r w:rsidRPr="00C3707B">
          <w:rPr>
            <w:rStyle w:val="Hyperlink"/>
            <w:lang w:val="de-DE"/>
          </w:rPr>
          <w:t xml:space="preserve">Verordening (EU) </w:t>
        </w:r>
        <w:r w:rsidRPr="00160A33">
          <w:rPr>
            <w:rStyle w:val="Hyperlink"/>
            <w:lang w:val="de-DE"/>
          </w:rPr>
          <w:t>2022</w:t>
        </w:r>
        <w:r w:rsidRPr="00C3707B">
          <w:rPr>
            <w:rStyle w:val="Hyperlink"/>
            <w:lang w:val="de-DE"/>
          </w:rPr>
          <w:t>/</w:t>
        </w:r>
        <w:r w:rsidRPr="00160A33">
          <w:rPr>
            <w:rStyle w:val="Hyperlink"/>
            <w:lang w:val="de-DE"/>
          </w:rPr>
          <w:t>2372</w:t>
        </w:r>
        <w:r w:rsidRPr="00C3707B">
          <w:rPr>
            <w:rStyle w:val="Hyperlink"/>
            <w:lang w:val="de-DE"/>
          </w:rPr>
          <w:t xml:space="preserve"> — NL — EUR-Lex</w:t>
        </w:r>
      </w:hyperlink>
      <w:r w:rsidRPr="00C3707B">
        <w:rPr>
          <w:lang w:val="de-DE"/>
        </w:rPr>
        <w:t>.</w:t>
      </w:r>
    </w:p>
  </w:footnote>
  <w:footnote w:id="32">
    <w:p w14:paraId="63BC96C3" w14:textId="1D142A9F" w:rsidR="004C5377" w:rsidRPr="00C3707B" w:rsidRDefault="004C5377" w:rsidP="004C5377">
      <w:pPr>
        <w:pStyle w:val="FootnoteText"/>
        <w:rPr>
          <w:lang w:val="de-DE"/>
        </w:rPr>
      </w:pPr>
      <w:r>
        <w:rPr>
          <w:rStyle w:val="FootnoteReference"/>
        </w:rPr>
        <w:footnoteRef/>
      </w:r>
      <w:r w:rsidRPr="00C3707B">
        <w:rPr>
          <w:lang w:val="de-DE"/>
        </w:rPr>
        <w:tab/>
      </w:r>
      <w:hyperlink r:id="rId34" w:history="1">
        <w:r w:rsidRPr="00C3707B">
          <w:rPr>
            <w:rStyle w:val="Hyperlink"/>
            <w:lang w:val="de-DE"/>
          </w:rPr>
          <w:t xml:space="preserve">Verordening (EU) </w:t>
        </w:r>
        <w:r w:rsidRPr="00160A33">
          <w:rPr>
            <w:rStyle w:val="Hyperlink"/>
            <w:lang w:val="de-DE"/>
          </w:rPr>
          <w:t>2021</w:t>
        </w:r>
        <w:r w:rsidRPr="00C3707B">
          <w:rPr>
            <w:rStyle w:val="Hyperlink"/>
            <w:lang w:val="de-DE"/>
          </w:rPr>
          <w:t>/</w:t>
        </w:r>
        <w:r w:rsidRPr="00160A33">
          <w:rPr>
            <w:rStyle w:val="Hyperlink"/>
            <w:lang w:val="de-DE"/>
          </w:rPr>
          <w:t>2282</w:t>
        </w:r>
        <w:r w:rsidR="00B51A78">
          <w:rPr>
            <w:rStyle w:val="Hyperlink"/>
            <w:lang w:val="de-DE"/>
          </w:rPr>
          <w:t> </w:t>
        </w:r>
        <w:r w:rsidRPr="00C3707B">
          <w:rPr>
            <w:rStyle w:val="Hyperlink"/>
            <w:lang w:val="de-DE"/>
          </w:rPr>
          <w:t>— NL</w:t>
        </w:r>
        <w:r w:rsidR="00B51A78">
          <w:rPr>
            <w:rStyle w:val="Hyperlink"/>
            <w:lang w:val="de-DE"/>
          </w:rPr>
          <w:t> </w:t>
        </w:r>
        <w:r w:rsidRPr="00C3707B">
          <w:rPr>
            <w:rStyle w:val="Hyperlink"/>
            <w:lang w:val="de-DE"/>
          </w:rPr>
          <w:t>— EUR-Lex</w:t>
        </w:r>
      </w:hyperlink>
      <w:r w:rsidRPr="00C3707B">
        <w:rPr>
          <w:lang w:val="de-DE"/>
        </w:rPr>
        <w:t>.</w:t>
      </w:r>
    </w:p>
  </w:footnote>
  <w:footnote w:id="33">
    <w:p w14:paraId="54F0B2EC" w14:textId="77777777" w:rsidR="004C5377" w:rsidRPr="00622DE4" w:rsidRDefault="004C5377" w:rsidP="004C5377">
      <w:pPr>
        <w:pStyle w:val="FootnoteText"/>
      </w:pPr>
      <w:r>
        <w:rPr>
          <w:rStyle w:val="FootnoteReference"/>
        </w:rPr>
        <w:footnoteRef/>
      </w:r>
      <w:r w:rsidRPr="00622DE4">
        <w:tab/>
      </w:r>
      <w:hyperlink r:id="rId35" w:history="1">
        <w:r w:rsidRPr="00622DE4">
          <w:rPr>
            <w:rStyle w:val="Hyperlink"/>
          </w:rPr>
          <w:t>Alliantie voor kritieke geneesmiddelen — Europese Commissie</w:t>
        </w:r>
      </w:hyperlink>
      <w:r w:rsidRPr="00622DE4">
        <w:t>.</w:t>
      </w:r>
    </w:p>
  </w:footnote>
  <w:footnote w:id="34">
    <w:p w14:paraId="310CD9C8" w14:textId="77777777" w:rsidR="004C5377" w:rsidRPr="00622DE4" w:rsidRDefault="004C5377" w:rsidP="004C5377">
      <w:pPr>
        <w:pStyle w:val="FootnoteText"/>
      </w:pPr>
      <w:r>
        <w:rPr>
          <w:rStyle w:val="FootnoteReference"/>
        </w:rPr>
        <w:footnoteRef/>
      </w:r>
      <w:r w:rsidRPr="00622DE4">
        <w:tab/>
        <w:t xml:space="preserve">Een kompas voor concurrentievermogen dat nieuwe plannen bevat voor duurzame welvaart en concurrentievermogen in Europa, zie ook: </w:t>
      </w:r>
      <w:hyperlink r:id="rId36" w:history="1">
        <w:r w:rsidRPr="00622DE4">
          <w:rPr>
            <w:rStyle w:val="Hyperlink"/>
          </w:rPr>
          <w:t>Concurrentievermogen — Europese Commissie</w:t>
        </w:r>
      </w:hyperlink>
      <w:r w:rsidRPr="00622DE4">
        <w:t>.</w:t>
      </w:r>
    </w:p>
  </w:footnote>
  <w:footnote w:id="35">
    <w:p w14:paraId="550BA386" w14:textId="7252CE49" w:rsidR="004C5377" w:rsidRPr="00622DE4" w:rsidRDefault="004C5377" w:rsidP="004C5377">
      <w:pPr>
        <w:pStyle w:val="FootnoteText"/>
      </w:pPr>
      <w:r>
        <w:rPr>
          <w:rStyle w:val="FootnoteReference"/>
        </w:rPr>
        <w:footnoteRef/>
      </w:r>
      <w:r w:rsidRPr="00622DE4">
        <w:tab/>
        <w:t xml:space="preserve">Zie ook: </w:t>
      </w:r>
      <w:hyperlink r:id="rId37" w:history="1">
        <w:r w:rsidRPr="00622DE4">
          <w:rPr>
            <w:rStyle w:val="Hyperlink"/>
          </w:rPr>
          <w:t>Hoofdstuk </w:t>
        </w:r>
        <w:r w:rsidRPr="00160A33">
          <w:rPr>
            <w:rStyle w:val="Hyperlink"/>
          </w:rPr>
          <w:t>1</w:t>
        </w:r>
      </w:hyperlink>
      <w:hyperlink r:id="rId38" w:history="1">
        <w:r w:rsidRPr="00622DE4">
          <w:rPr>
            <w:rStyle w:val="Hyperlink"/>
          </w:rPr>
          <w:t>Geneesmiddelen</w:t>
        </w:r>
        <w:r w:rsidR="00B51A78">
          <w:rPr>
            <w:rStyle w:val="Hyperlink"/>
          </w:rPr>
          <w:t> </w:t>
        </w:r>
        <w:r w:rsidRPr="00622DE4">
          <w:rPr>
            <w:rStyle w:val="Hyperlink"/>
          </w:rPr>
          <w:t>— een sterk ecosysteem dat op een belangrijke tweesprong staat (Farmaceutische strategie voor Europa)</w:t>
        </w:r>
      </w:hyperlink>
      <w:r w:rsidRPr="00622DE4">
        <w:t>.</w:t>
      </w:r>
    </w:p>
  </w:footnote>
  <w:footnote w:id="36">
    <w:p w14:paraId="3A8D2BAA" w14:textId="562E340C" w:rsidR="004C5377" w:rsidRPr="00622DE4" w:rsidRDefault="004C5377" w:rsidP="004C5377">
      <w:pPr>
        <w:pStyle w:val="FootnoteText"/>
      </w:pPr>
      <w:r>
        <w:rPr>
          <w:rStyle w:val="FootnoteReference"/>
        </w:rPr>
        <w:footnoteRef/>
      </w:r>
      <w:r w:rsidRPr="00622DE4">
        <w:tab/>
      </w:r>
      <w:hyperlink r:id="rId39" w:history="1">
        <w:r w:rsidRPr="00622DE4">
          <w:rPr>
            <w:rStyle w:val="Hyperlink"/>
          </w:rPr>
          <w:t xml:space="preserve">Verordening (EU) </w:t>
        </w:r>
        <w:r w:rsidRPr="00160A33">
          <w:rPr>
            <w:rStyle w:val="Hyperlink"/>
          </w:rPr>
          <w:t>2021</w:t>
        </w:r>
        <w:r w:rsidRPr="00622DE4">
          <w:rPr>
            <w:rStyle w:val="Hyperlink"/>
          </w:rPr>
          <w:t>/</w:t>
        </w:r>
        <w:r w:rsidRPr="00160A33">
          <w:rPr>
            <w:rStyle w:val="Hyperlink"/>
          </w:rPr>
          <w:t>695</w:t>
        </w:r>
        <w:r w:rsidRPr="00622DE4">
          <w:rPr>
            <w:rStyle w:val="Hyperlink"/>
          </w:rPr>
          <w:t xml:space="preserve"> van het Europees Parlement en de Raad van </w:t>
        </w:r>
        <w:r w:rsidRPr="00160A33">
          <w:rPr>
            <w:rStyle w:val="Hyperlink"/>
          </w:rPr>
          <w:t>28</w:t>
        </w:r>
        <w:r w:rsidR="00C30615">
          <w:rPr>
            <w:rStyle w:val="Hyperlink"/>
          </w:rPr>
          <w:t> </w:t>
        </w:r>
        <w:r w:rsidRPr="00622DE4">
          <w:rPr>
            <w:rStyle w:val="Hyperlink"/>
          </w:rPr>
          <w:t xml:space="preserve">april </w:t>
        </w:r>
        <w:r w:rsidRPr="00160A33">
          <w:rPr>
            <w:rStyle w:val="Hyperlink"/>
          </w:rPr>
          <w:t>2021</w:t>
        </w:r>
        <w:r w:rsidRPr="00622DE4">
          <w:rPr>
            <w:rStyle w:val="Hyperlink"/>
          </w:rPr>
          <w:t xml:space="preserve"> tot vaststelling van Horizon Europa — het kaderprogramma voor onderzoek en innovatie, tot vaststelling van de regels voor deelname en verspreiding en tot intrekking van Verordeningen (EU) nr.</w:t>
        </w:r>
        <w:r w:rsidR="008D2355">
          <w:rPr>
            <w:rStyle w:val="Hyperlink"/>
          </w:rPr>
          <w:t> </w:t>
        </w:r>
        <w:r w:rsidRPr="00160A33">
          <w:rPr>
            <w:rStyle w:val="Hyperlink"/>
          </w:rPr>
          <w:t>1290</w:t>
        </w:r>
        <w:r w:rsidRPr="00622DE4">
          <w:rPr>
            <w:rStyle w:val="Hyperlink"/>
          </w:rPr>
          <w:t>/</w:t>
        </w:r>
        <w:r w:rsidRPr="00160A33">
          <w:rPr>
            <w:rStyle w:val="Hyperlink"/>
          </w:rPr>
          <w:t>2013</w:t>
        </w:r>
        <w:r w:rsidRPr="00622DE4">
          <w:rPr>
            <w:rStyle w:val="Hyperlink"/>
          </w:rPr>
          <w:t xml:space="preserve"> en (EU) nr.</w:t>
        </w:r>
        <w:r w:rsidR="008D2355">
          <w:rPr>
            <w:rStyle w:val="Hyperlink"/>
          </w:rPr>
          <w:t> </w:t>
        </w:r>
        <w:r w:rsidRPr="00160A33">
          <w:rPr>
            <w:rStyle w:val="Hyperlink"/>
          </w:rPr>
          <w:t>1291</w:t>
        </w:r>
        <w:r w:rsidRPr="00622DE4">
          <w:rPr>
            <w:rStyle w:val="Hyperlink"/>
          </w:rPr>
          <w:t>/</w:t>
        </w:r>
        <w:r w:rsidRPr="00160A33">
          <w:rPr>
            <w:rStyle w:val="Hyperlink"/>
          </w:rPr>
          <w:t>2013</w:t>
        </w:r>
      </w:hyperlink>
      <w:r w:rsidRPr="00622DE4">
        <w:t>.</w:t>
      </w:r>
    </w:p>
  </w:footnote>
  <w:footnote w:id="37">
    <w:p w14:paraId="54D0E662" w14:textId="77777777" w:rsidR="004C5377" w:rsidRPr="00622DE4" w:rsidRDefault="004C5377" w:rsidP="004C5377">
      <w:pPr>
        <w:pStyle w:val="FootnoteText"/>
      </w:pPr>
      <w:r>
        <w:rPr>
          <w:rStyle w:val="FootnoteReference"/>
        </w:rPr>
        <w:footnoteRef/>
      </w:r>
      <w:r w:rsidRPr="00622DE4">
        <w:tab/>
      </w:r>
      <w:hyperlink r:id="rId40" w:history="1">
        <w:r w:rsidRPr="00622DE4">
          <w:rPr>
            <w:rStyle w:val="Hyperlink"/>
          </w:rPr>
          <w:t>Een nieuwe industriestrategie voor Europa</w:t>
        </w:r>
      </w:hyperlink>
      <w:r w:rsidRPr="00622DE4">
        <w:t>.</w:t>
      </w:r>
    </w:p>
  </w:footnote>
  <w:footnote w:id="38">
    <w:p w14:paraId="6D231E55" w14:textId="77777777" w:rsidR="004C5377" w:rsidRPr="005D0E22" w:rsidRDefault="004C5377" w:rsidP="004C5377">
      <w:pPr>
        <w:pStyle w:val="FootnoteText"/>
        <w:rPr>
          <w:lang w:val="en-IE"/>
        </w:rPr>
      </w:pPr>
      <w:r>
        <w:rPr>
          <w:rStyle w:val="FootnoteReference"/>
        </w:rPr>
        <w:footnoteRef/>
      </w:r>
      <w:r w:rsidRPr="005D0E22">
        <w:rPr>
          <w:lang w:val="en-IE"/>
        </w:rPr>
        <w:tab/>
      </w:r>
      <w:hyperlink r:id="rId41" w:history="1">
        <w:r w:rsidRPr="005D0E22">
          <w:rPr>
            <w:rStyle w:val="Hyperlink"/>
            <w:lang w:val="en-IE"/>
          </w:rPr>
          <w:t>Clean Industrial Deal — Europese Commissie</w:t>
        </w:r>
      </w:hyperlink>
      <w:r w:rsidRPr="005D0E22">
        <w:rPr>
          <w:lang w:val="en-IE"/>
        </w:rPr>
        <w:t>.</w:t>
      </w:r>
    </w:p>
  </w:footnote>
  <w:footnote w:id="39">
    <w:p w14:paraId="774F8FD2" w14:textId="77777777" w:rsidR="004C5377" w:rsidRPr="00622DE4" w:rsidRDefault="004C5377" w:rsidP="004C5377">
      <w:pPr>
        <w:pStyle w:val="FootnoteText"/>
      </w:pPr>
      <w:r>
        <w:rPr>
          <w:rStyle w:val="FootnoteReference"/>
        </w:rPr>
        <w:footnoteRef/>
      </w:r>
      <w:r w:rsidRPr="00622DE4">
        <w:tab/>
      </w:r>
      <w:hyperlink r:id="rId42" w:history="1">
        <w:r w:rsidRPr="00622DE4">
          <w:rPr>
            <w:rStyle w:val="Hyperlink"/>
          </w:rPr>
          <w:t>Financieel Reglement van de EU — Europese Commissie</w:t>
        </w:r>
      </w:hyperlink>
      <w:r w:rsidRPr="00622DE4">
        <w:t>.</w:t>
      </w:r>
    </w:p>
  </w:footnote>
  <w:footnote w:id="40">
    <w:p w14:paraId="424D6FB0" w14:textId="77777777" w:rsidR="004C5377" w:rsidRPr="00622DE4" w:rsidRDefault="004C5377" w:rsidP="004C5377">
      <w:pPr>
        <w:pStyle w:val="FootnoteText"/>
      </w:pPr>
      <w:r>
        <w:rPr>
          <w:rStyle w:val="FootnoteReference"/>
        </w:rPr>
        <w:footnoteRef/>
      </w:r>
      <w:r w:rsidRPr="00622DE4">
        <w:tab/>
      </w:r>
      <w:hyperlink r:id="rId43" w:history="1">
        <w:r w:rsidRPr="00622DE4">
          <w:rPr>
            <w:rStyle w:val="Hyperlink"/>
          </w:rPr>
          <w:t>Commissie lanceert verzoek om input en openbare raadpleging over de evaluatie van de richtlijnen inzake overheidsopdrachten — Europese Commissie</w:t>
        </w:r>
      </w:hyperlink>
      <w:r w:rsidRPr="00622DE4">
        <w:t>.</w:t>
      </w:r>
    </w:p>
  </w:footnote>
  <w:footnote w:id="41">
    <w:p w14:paraId="2FC28B47" w14:textId="77777777" w:rsidR="004C5377" w:rsidRPr="00622DE4" w:rsidRDefault="004C5377" w:rsidP="004C5377">
      <w:pPr>
        <w:pStyle w:val="FootnoteText"/>
      </w:pPr>
      <w:r>
        <w:rPr>
          <w:rStyle w:val="FootnoteReference"/>
        </w:rPr>
        <w:footnoteRef/>
      </w:r>
      <w:r w:rsidRPr="00622DE4">
        <w:tab/>
      </w:r>
      <w:hyperlink r:id="rId44" w:history="1">
        <w:r w:rsidRPr="00622DE4">
          <w:rPr>
            <w:rStyle w:val="Hyperlink"/>
          </w:rPr>
          <w:t xml:space="preserve">Vereenvoudiging van regels inzake duurzaamheid en EU-investeringen door de Commissie levert meer dan </w:t>
        </w:r>
        <w:r w:rsidRPr="00160A33">
          <w:rPr>
            <w:rStyle w:val="Hyperlink"/>
          </w:rPr>
          <w:t>6</w:t>
        </w:r>
        <w:r w:rsidRPr="00622DE4">
          <w:rPr>
            <w:rStyle w:val="Hyperlink"/>
          </w:rPr>
          <w:t> miljard euro op aan verlichting van administratieve lasten — Europese Commissie</w:t>
        </w:r>
      </w:hyperlink>
      <w:r w:rsidRPr="00622DE4">
        <w:t>.</w:t>
      </w:r>
    </w:p>
  </w:footnote>
  <w:footnote w:id="42">
    <w:p w14:paraId="5566028D" w14:textId="77777777" w:rsidR="004C5377" w:rsidRPr="00622DE4" w:rsidRDefault="004C5377" w:rsidP="004C5377">
      <w:pPr>
        <w:pStyle w:val="FootnoteText"/>
      </w:pPr>
      <w:r>
        <w:rPr>
          <w:rStyle w:val="FootnoteReference"/>
        </w:rPr>
        <w:footnoteRef/>
      </w:r>
      <w:r w:rsidRPr="00622DE4">
        <w:tab/>
      </w:r>
      <w:hyperlink r:id="rId45" w:history="1">
        <w:r w:rsidRPr="00622DE4">
          <w:rPr>
            <w:rStyle w:val="Hyperlink"/>
          </w:rPr>
          <w:t xml:space="preserve">Verordening (EU) </w:t>
        </w:r>
        <w:r w:rsidRPr="00160A33">
          <w:rPr>
            <w:rStyle w:val="Hyperlink"/>
          </w:rPr>
          <w:t>2024</w:t>
        </w:r>
        <w:r w:rsidRPr="00622DE4">
          <w:rPr>
            <w:rStyle w:val="Hyperlink"/>
          </w:rPr>
          <w:t>/</w:t>
        </w:r>
        <w:r w:rsidRPr="00160A33">
          <w:rPr>
            <w:rStyle w:val="Hyperlink"/>
          </w:rPr>
          <w:t>1689</w:t>
        </w:r>
        <w:r w:rsidRPr="00622DE4">
          <w:rPr>
            <w:rStyle w:val="Hyperlink"/>
          </w:rPr>
          <w:t xml:space="preserve"> van het Europees Parlement en de Raad van </w:t>
        </w:r>
        <w:r w:rsidRPr="00160A33">
          <w:rPr>
            <w:rStyle w:val="Hyperlink"/>
          </w:rPr>
          <w:t>13</w:t>
        </w:r>
        <w:r w:rsidRPr="00622DE4">
          <w:rPr>
            <w:rStyle w:val="Hyperlink"/>
          </w:rPr>
          <w:t xml:space="preserve"> juni </w:t>
        </w:r>
        <w:r w:rsidRPr="00160A33">
          <w:rPr>
            <w:rStyle w:val="Hyperlink"/>
          </w:rPr>
          <w:t>2024</w:t>
        </w:r>
        <w:r w:rsidRPr="00622DE4">
          <w:rPr>
            <w:rStyle w:val="Hyperlink"/>
          </w:rPr>
          <w:t xml:space="preserve"> tot vaststelling van geharmoniseerde regels betreffende artificiële intelligentie en tot wijziging van de Verordeningen (EG) nr. </w:t>
        </w:r>
        <w:r w:rsidRPr="00160A33">
          <w:rPr>
            <w:rStyle w:val="Hyperlink"/>
          </w:rPr>
          <w:t>300</w:t>
        </w:r>
        <w:r w:rsidRPr="00622DE4">
          <w:rPr>
            <w:rStyle w:val="Hyperlink"/>
          </w:rPr>
          <w:t>/</w:t>
        </w:r>
        <w:r w:rsidRPr="00160A33">
          <w:rPr>
            <w:rStyle w:val="Hyperlink"/>
          </w:rPr>
          <w:t>2008</w:t>
        </w:r>
        <w:r w:rsidRPr="00622DE4">
          <w:rPr>
            <w:rStyle w:val="Hyperlink"/>
          </w:rPr>
          <w:t>, (EU) nr. </w:t>
        </w:r>
        <w:r w:rsidRPr="00160A33">
          <w:rPr>
            <w:rStyle w:val="Hyperlink"/>
          </w:rPr>
          <w:t>167</w:t>
        </w:r>
        <w:r w:rsidRPr="00622DE4">
          <w:rPr>
            <w:rStyle w:val="Hyperlink"/>
          </w:rPr>
          <w:t>/</w:t>
        </w:r>
        <w:r w:rsidRPr="00160A33">
          <w:rPr>
            <w:rStyle w:val="Hyperlink"/>
          </w:rPr>
          <w:t>2013</w:t>
        </w:r>
        <w:r w:rsidRPr="00622DE4">
          <w:rPr>
            <w:rStyle w:val="Hyperlink"/>
          </w:rPr>
          <w:t>, (EU) nr. </w:t>
        </w:r>
        <w:r w:rsidRPr="00160A33">
          <w:rPr>
            <w:rStyle w:val="Hyperlink"/>
          </w:rPr>
          <w:t>168</w:t>
        </w:r>
        <w:r w:rsidRPr="00622DE4">
          <w:rPr>
            <w:rStyle w:val="Hyperlink"/>
          </w:rPr>
          <w:t>/</w:t>
        </w:r>
        <w:r w:rsidRPr="00160A33">
          <w:rPr>
            <w:rStyle w:val="Hyperlink"/>
          </w:rPr>
          <w:t>2013</w:t>
        </w:r>
        <w:r w:rsidRPr="00622DE4">
          <w:rPr>
            <w:rStyle w:val="Hyperlink"/>
          </w:rPr>
          <w:t xml:space="preserve">, (EU) </w:t>
        </w:r>
        <w:r w:rsidRPr="00160A33">
          <w:rPr>
            <w:rStyle w:val="Hyperlink"/>
          </w:rPr>
          <w:t>2018</w:t>
        </w:r>
        <w:r w:rsidRPr="00622DE4">
          <w:rPr>
            <w:rStyle w:val="Hyperlink"/>
          </w:rPr>
          <w:t>/</w:t>
        </w:r>
        <w:r w:rsidRPr="00160A33">
          <w:rPr>
            <w:rStyle w:val="Hyperlink"/>
          </w:rPr>
          <w:t>858</w:t>
        </w:r>
        <w:r w:rsidRPr="00622DE4">
          <w:rPr>
            <w:rStyle w:val="Hyperlink"/>
          </w:rPr>
          <w:t xml:space="preserve">, (EU) </w:t>
        </w:r>
        <w:r w:rsidRPr="00160A33">
          <w:rPr>
            <w:rStyle w:val="Hyperlink"/>
          </w:rPr>
          <w:t>2018</w:t>
        </w:r>
        <w:r w:rsidRPr="00622DE4">
          <w:rPr>
            <w:rStyle w:val="Hyperlink"/>
          </w:rPr>
          <w:t>/</w:t>
        </w:r>
        <w:r w:rsidRPr="00160A33">
          <w:rPr>
            <w:rStyle w:val="Hyperlink"/>
          </w:rPr>
          <w:t>1139</w:t>
        </w:r>
        <w:r w:rsidRPr="00622DE4">
          <w:rPr>
            <w:rStyle w:val="Hyperlink"/>
          </w:rPr>
          <w:t xml:space="preserve"> en (EU) </w:t>
        </w:r>
        <w:r w:rsidRPr="00160A33">
          <w:rPr>
            <w:rStyle w:val="Hyperlink"/>
          </w:rPr>
          <w:t>2019</w:t>
        </w:r>
        <w:r w:rsidRPr="00622DE4">
          <w:rPr>
            <w:rStyle w:val="Hyperlink"/>
          </w:rPr>
          <w:t>/</w:t>
        </w:r>
        <w:r w:rsidRPr="00160A33">
          <w:rPr>
            <w:rStyle w:val="Hyperlink"/>
          </w:rPr>
          <w:t>2144</w:t>
        </w:r>
        <w:r w:rsidRPr="00622DE4">
          <w:rPr>
            <w:rStyle w:val="Hyperlink"/>
          </w:rPr>
          <w:t xml:space="preserve">, en de Richtlijnen </w:t>
        </w:r>
        <w:r w:rsidRPr="00160A33">
          <w:rPr>
            <w:rStyle w:val="Hyperlink"/>
          </w:rPr>
          <w:t>2014</w:t>
        </w:r>
        <w:r w:rsidRPr="00622DE4">
          <w:rPr>
            <w:rStyle w:val="Hyperlink"/>
          </w:rPr>
          <w:t>/</w:t>
        </w:r>
        <w:r w:rsidRPr="00160A33">
          <w:rPr>
            <w:rStyle w:val="Hyperlink"/>
          </w:rPr>
          <w:t>90</w:t>
        </w:r>
        <w:r w:rsidRPr="00622DE4">
          <w:rPr>
            <w:rStyle w:val="Hyperlink"/>
          </w:rPr>
          <w:t xml:space="preserve">/EU, (EU) </w:t>
        </w:r>
        <w:r w:rsidRPr="00160A33">
          <w:rPr>
            <w:rStyle w:val="Hyperlink"/>
          </w:rPr>
          <w:t>2016</w:t>
        </w:r>
        <w:r w:rsidRPr="00622DE4">
          <w:rPr>
            <w:rStyle w:val="Hyperlink"/>
          </w:rPr>
          <w:t>/</w:t>
        </w:r>
        <w:r w:rsidRPr="00160A33">
          <w:rPr>
            <w:rStyle w:val="Hyperlink"/>
          </w:rPr>
          <w:t>797</w:t>
        </w:r>
        <w:r w:rsidRPr="00622DE4">
          <w:rPr>
            <w:rStyle w:val="Hyperlink"/>
          </w:rPr>
          <w:t xml:space="preserve"> en (EU) </w:t>
        </w:r>
        <w:r w:rsidRPr="00160A33">
          <w:rPr>
            <w:rStyle w:val="Hyperlink"/>
          </w:rPr>
          <w:t>2020</w:t>
        </w:r>
        <w:r w:rsidRPr="00622DE4">
          <w:rPr>
            <w:rStyle w:val="Hyperlink"/>
          </w:rPr>
          <w:t>/</w:t>
        </w:r>
        <w:r w:rsidRPr="00160A33">
          <w:rPr>
            <w:rStyle w:val="Hyperlink"/>
          </w:rPr>
          <w:t>1828</w:t>
        </w:r>
      </w:hyperlink>
      <w:r w:rsidRPr="00622DE4">
        <w:t>.</w:t>
      </w:r>
    </w:p>
  </w:footnote>
  <w:footnote w:id="43">
    <w:p w14:paraId="457CBA4F" w14:textId="77777777" w:rsidR="004C5377" w:rsidRPr="00622DE4" w:rsidRDefault="004C5377" w:rsidP="004C5377">
      <w:pPr>
        <w:pStyle w:val="FootnoteText"/>
      </w:pPr>
      <w:r>
        <w:rPr>
          <w:rStyle w:val="FootnoteReference"/>
        </w:rPr>
        <w:footnoteRef/>
      </w:r>
      <w:r w:rsidRPr="00622DE4">
        <w:tab/>
      </w:r>
      <w:hyperlink r:id="rId46" w:history="1">
        <w:r w:rsidRPr="00622DE4">
          <w:rPr>
            <w:rStyle w:val="Hyperlink"/>
          </w:rPr>
          <w:t xml:space="preserve">Richtlijn (EU) </w:t>
        </w:r>
        <w:r w:rsidRPr="00160A33">
          <w:rPr>
            <w:rStyle w:val="Hyperlink"/>
          </w:rPr>
          <w:t>2022</w:t>
        </w:r>
        <w:r w:rsidRPr="00622DE4">
          <w:rPr>
            <w:rStyle w:val="Hyperlink"/>
          </w:rPr>
          <w:t>/</w:t>
        </w:r>
        <w:r w:rsidRPr="00160A33">
          <w:rPr>
            <w:rStyle w:val="Hyperlink"/>
          </w:rPr>
          <w:t>2555</w:t>
        </w:r>
        <w:r w:rsidRPr="00622DE4">
          <w:rPr>
            <w:rStyle w:val="Hyperlink"/>
          </w:rPr>
          <w:t xml:space="preserve"> van het Europees Parlement en de Raad van </w:t>
        </w:r>
        <w:r w:rsidRPr="00160A33">
          <w:rPr>
            <w:rStyle w:val="Hyperlink"/>
          </w:rPr>
          <w:t>14</w:t>
        </w:r>
        <w:r w:rsidRPr="00622DE4">
          <w:rPr>
            <w:rStyle w:val="Hyperlink"/>
          </w:rPr>
          <w:t xml:space="preserve"> december </w:t>
        </w:r>
        <w:r w:rsidRPr="00160A33">
          <w:rPr>
            <w:rStyle w:val="Hyperlink"/>
          </w:rPr>
          <w:t>2022</w:t>
        </w:r>
        <w:r w:rsidRPr="00622DE4">
          <w:rPr>
            <w:rStyle w:val="Hyperlink"/>
          </w:rPr>
          <w:t xml:space="preserve"> betreffende maatregelen voor een hoog gezamenlijk niveau van cyberbeveiliging in de Unie, tot wijziging van Verordening (EU) nr. </w:t>
        </w:r>
        <w:r w:rsidRPr="00160A33">
          <w:rPr>
            <w:rStyle w:val="Hyperlink"/>
          </w:rPr>
          <w:t>910</w:t>
        </w:r>
        <w:r w:rsidRPr="00622DE4">
          <w:rPr>
            <w:rStyle w:val="Hyperlink"/>
          </w:rPr>
          <w:t>/</w:t>
        </w:r>
        <w:r w:rsidRPr="00160A33">
          <w:rPr>
            <w:rStyle w:val="Hyperlink"/>
          </w:rPr>
          <w:t>2014</w:t>
        </w:r>
        <w:r w:rsidRPr="00622DE4">
          <w:rPr>
            <w:rStyle w:val="Hyperlink"/>
          </w:rPr>
          <w:t xml:space="preserve"> en Richtlijn (EU) </w:t>
        </w:r>
        <w:r w:rsidRPr="00160A33">
          <w:rPr>
            <w:rStyle w:val="Hyperlink"/>
          </w:rPr>
          <w:t>2018</w:t>
        </w:r>
        <w:r w:rsidRPr="00622DE4">
          <w:rPr>
            <w:rStyle w:val="Hyperlink"/>
          </w:rPr>
          <w:t>/</w:t>
        </w:r>
        <w:r w:rsidRPr="00160A33">
          <w:rPr>
            <w:rStyle w:val="Hyperlink"/>
          </w:rPr>
          <w:t>1972</w:t>
        </w:r>
        <w:r w:rsidRPr="00622DE4">
          <w:rPr>
            <w:rStyle w:val="Hyperlink"/>
          </w:rPr>
          <w:t xml:space="preserve"> en tot intrekking van Richtlijn (EU) </w:t>
        </w:r>
        <w:r w:rsidRPr="00160A33">
          <w:rPr>
            <w:rStyle w:val="Hyperlink"/>
          </w:rPr>
          <w:t>2016</w:t>
        </w:r>
        <w:r w:rsidRPr="00622DE4">
          <w:rPr>
            <w:rStyle w:val="Hyperlink"/>
          </w:rPr>
          <w:t>/</w:t>
        </w:r>
        <w:r w:rsidRPr="00160A33">
          <w:rPr>
            <w:rStyle w:val="Hyperlink"/>
          </w:rPr>
          <w:t>1148</w:t>
        </w:r>
        <w:r w:rsidRPr="00622DE4">
          <w:rPr>
            <w:rStyle w:val="Hyperlink"/>
          </w:rPr>
          <w:t xml:space="preserve"> (NIS </w:t>
        </w:r>
        <w:r w:rsidRPr="00160A33">
          <w:rPr>
            <w:rStyle w:val="Hyperlink"/>
          </w:rPr>
          <w:t>2</w:t>
        </w:r>
        <w:r w:rsidRPr="00622DE4">
          <w:rPr>
            <w:rStyle w:val="Hyperlink"/>
          </w:rPr>
          <w:t>-richtlijn)</w:t>
        </w:r>
      </w:hyperlink>
      <w:r w:rsidRPr="00622DE4">
        <w:t>.</w:t>
      </w:r>
    </w:p>
  </w:footnote>
  <w:footnote w:id="44">
    <w:p w14:paraId="5D042F6E" w14:textId="77777777" w:rsidR="004C5377" w:rsidRPr="00622DE4" w:rsidRDefault="004C5377" w:rsidP="004C5377">
      <w:pPr>
        <w:pStyle w:val="FootnoteText"/>
      </w:pPr>
      <w:r>
        <w:rPr>
          <w:rStyle w:val="FootnoteReference"/>
        </w:rPr>
        <w:footnoteRef/>
      </w:r>
      <w:r w:rsidRPr="00622DE4">
        <w:tab/>
      </w:r>
      <w:hyperlink r:id="rId47" w:history="1">
        <w:r w:rsidRPr="00622DE4">
          <w:rPr>
            <w:rStyle w:val="Hyperlink"/>
          </w:rPr>
          <w:t xml:space="preserve">Verordening (EU) </w:t>
        </w:r>
        <w:r w:rsidRPr="00160A33">
          <w:rPr>
            <w:rStyle w:val="Hyperlink"/>
          </w:rPr>
          <w:t>2024</w:t>
        </w:r>
        <w:r w:rsidRPr="00622DE4">
          <w:rPr>
            <w:rStyle w:val="Hyperlink"/>
          </w:rPr>
          <w:t>/</w:t>
        </w:r>
        <w:r w:rsidRPr="00160A33">
          <w:rPr>
            <w:rStyle w:val="Hyperlink"/>
          </w:rPr>
          <w:t>903</w:t>
        </w:r>
        <w:r w:rsidRPr="00622DE4">
          <w:rPr>
            <w:rStyle w:val="Hyperlink"/>
          </w:rPr>
          <w:t xml:space="preserve"> van het Europees Parlement en de Raad van </w:t>
        </w:r>
        <w:r w:rsidRPr="00160A33">
          <w:rPr>
            <w:rStyle w:val="Hyperlink"/>
          </w:rPr>
          <w:t>13</w:t>
        </w:r>
        <w:r w:rsidRPr="00622DE4">
          <w:rPr>
            <w:rStyle w:val="Hyperlink"/>
          </w:rPr>
          <w:t xml:space="preserve"> maart </w:t>
        </w:r>
        <w:r w:rsidRPr="00160A33">
          <w:rPr>
            <w:rStyle w:val="Hyperlink"/>
          </w:rPr>
          <w:t>2024</w:t>
        </w:r>
        <w:r w:rsidRPr="00622DE4">
          <w:rPr>
            <w:rStyle w:val="Hyperlink"/>
          </w:rPr>
          <w:t xml:space="preserve"> tot vaststelling van maatregelen voor een hoog niveau van interoperabiliteit van de overheidssector in de Unie (verordening Interoperabel Europa)</w:t>
        </w:r>
      </w:hyperlink>
      <w:r w:rsidRPr="00622DE4">
        <w:t>.</w:t>
      </w:r>
    </w:p>
  </w:footnote>
  <w:footnote w:id="45">
    <w:p w14:paraId="049C7AC9" w14:textId="77777777" w:rsidR="004C5377" w:rsidRPr="00622DE4" w:rsidRDefault="004C5377" w:rsidP="004C5377">
      <w:pPr>
        <w:pStyle w:val="FootnoteText"/>
      </w:pPr>
      <w:r>
        <w:rPr>
          <w:rStyle w:val="FootnoteReference"/>
        </w:rPr>
        <w:footnoteRef/>
      </w:r>
      <w:r w:rsidRPr="00622DE4">
        <w:tab/>
      </w:r>
      <w:hyperlink r:id="rId48" w:history="1">
        <w:r w:rsidRPr="00622DE4">
          <w:rPr>
            <w:rStyle w:val="Hyperlink"/>
          </w:rPr>
          <w:t>TED — EU-aanbestedingen, Supplement op het Publicatieblad — TED</w:t>
        </w:r>
      </w:hyperlink>
      <w:r w:rsidRPr="00622DE4">
        <w:t>.</w:t>
      </w:r>
    </w:p>
  </w:footnote>
  <w:footnote w:id="46">
    <w:p w14:paraId="021F331C" w14:textId="77777777" w:rsidR="004C5377" w:rsidRPr="00622DE4" w:rsidRDefault="004C5377" w:rsidP="004C5377">
      <w:pPr>
        <w:pStyle w:val="FootnoteText"/>
      </w:pPr>
      <w:r>
        <w:rPr>
          <w:rStyle w:val="FootnoteReference"/>
        </w:rPr>
        <w:footnoteRef/>
      </w:r>
      <w:r w:rsidRPr="00622DE4">
        <w:tab/>
      </w:r>
      <w:hyperlink r:id="rId49" w:history="1">
        <w:r w:rsidRPr="00622DE4">
          <w:rPr>
            <w:rStyle w:val="Hyperlink"/>
          </w:rPr>
          <w:t>Hervorming van de geneesmiddelenwetgeving van de EU — Europese Commissie</w:t>
        </w:r>
      </w:hyperlink>
      <w:r w:rsidRPr="00622DE4">
        <w:t>.</w:t>
      </w:r>
    </w:p>
  </w:footnote>
  <w:footnote w:id="47">
    <w:p w14:paraId="01F87498" w14:textId="77777777" w:rsidR="004C5377" w:rsidRPr="00622DE4" w:rsidRDefault="004C5377" w:rsidP="004C5377">
      <w:pPr>
        <w:pStyle w:val="FootnoteText"/>
      </w:pPr>
      <w:r>
        <w:rPr>
          <w:rStyle w:val="FootnoteReference"/>
        </w:rPr>
        <w:footnoteRef/>
      </w:r>
      <w:r w:rsidRPr="00622DE4">
        <w:tab/>
      </w:r>
      <w:hyperlink r:id="rId50" w:anchor=":~:text=the%20preliminary%20conclusions.-,The%20structured%20dialogue%20initiative,compromising%20the%20affordability%20of%20medicines." w:history="1">
        <w:r w:rsidRPr="00622DE4">
          <w:rPr>
            <w:rStyle w:val="Hyperlink"/>
          </w:rPr>
          <w:t>Gestructureerde dialoog over de voorzieningszekerheid van geneesmiddelen — Europese Commissie</w:t>
        </w:r>
      </w:hyperlink>
      <w:r w:rsidRPr="00622DE4">
        <w:t>.</w:t>
      </w:r>
    </w:p>
  </w:footnote>
  <w:footnote w:id="48">
    <w:p w14:paraId="339DA045" w14:textId="77777777" w:rsidR="004C5377" w:rsidRPr="00622DE4" w:rsidRDefault="004C5377" w:rsidP="004C5377">
      <w:pPr>
        <w:pStyle w:val="FootnoteText"/>
      </w:pPr>
      <w:r>
        <w:rPr>
          <w:rStyle w:val="FootnoteReference"/>
        </w:rPr>
        <w:footnoteRef/>
      </w:r>
      <w:r w:rsidRPr="00622DE4">
        <w:tab/>
      </w:r>
      <w:hyperlink r:id="rId51" w:history="1">
        <w:r w:rsidRPr="00622DE4">
          <w:rPr>
            <w:rStyle w:val="Hyperlink"/>
          </w:rPr>
          <w:t>Alliantie voor kritieke geneesmiddelen — Europese Commissie</w:t>
        </w:r>
      </w:hyperlink>
      <w:r w:rsidRPr="00622DE4">
        <w:t>.</w:t>
      </w:r>
    </w:p>
  </w:footnote>
  <w:footnote w:id="49">
    <w:p w14:paraId="411A589E" w14:textId="77777777" w:rsidR="004C5377" w:rsidRPr="00622DE4" w:rsidRDefault="004C5377" w:rsidP="004C5377">
      <w:pPr>
        <w:pStyle w:val="FootnoteText"/>
      </w:pPr>
      <w:r>
        <w:rPr>
          <w:rStyle w:val="FootnoteReference"/>
        </w:rPr>
        <w:footnoteRef/>
      </w:r>
      <w:r w:rsidRPr="00622DE4">
        <w:tab/>
      </w:r>
      <w:hyperlink r:id="rId52" w:history="1">
        <w:r w:rsidRPr="00622DE4">
          <w:rPr>
            <w:rStyle w:val="Hyperlink"/>
          </w:rPr>
          <w:t>Hervorming van de geneesmiddelenwetgeving van de EU — Europese Commissie</w:t>
        </w:r>
      </w:hyperlink>
      <w:r w:rsidRPr="00622DE4">
        <w:t>.</w:t>
      </w:r>
    </w:p>
  </w:footnote>
  <w:footnote w:id="50">
    <w:p w14:paraId="2AC68AA1" w14:textId="77777777" w:rsidR="004C5377" w:rsidRPr="00622DE4" w:rsidRDefault="004C5377" w:rsidP="004C5377">
      <w:pPr>
        <w:pStyle w:val="FootnoteText"/>
        <w:rPr>
          <w:lang w:val="fr-BE"/>
        </w:rPr>
      </w:pPr>
      <w:r>
        <w:rPr>
          <w:rStyle w:val="FootnoteReference"/>
        </w:rPr>
        <w:footnoteRef/>
      </w:r>
      <w:r w:rsidRPr="00622DE4">
        <w:rPr>
          <w:lang w:val="fr-BE"/>
        </w:rPr>
        <w:tab/>
      </w:r>
      <w:hyperlink r:id="rId53" w:history="1">
        <w:r w:rsidRPr="00622DE4">
          <w:rPr>
            <w:rStyle w:val="Hyperlink"/>
            <w:lang w:val="fr-BE"/>
          </w:rPr>
          <w:t>Future-proofing pharmaceutical legislation — Bureau voor publicaties van de EU</w:t>
        </w:r>
      </w:hyperlink>
      <w:r w:rsidRPr="00622DE4">
        <w:rPr>
          <w:lang w:val="fr-BE"/>
        </w:rPr>
        <w:t>.</w:t>
      </w:r>
    </w:p>
  </w:footnote>
  <w:footnote w:id="51">
    <w:p w14:paraId="1DC1052D" w14:textId="1A05AA1A" w:rsidR="004C5377" w:rsidRPr="00622DE4" w:rsidRDefault="004C5377" w:rsidP="004C5377">
      <w:pPr>
        <w:pStyle w:val="FootnoteText"/>
      </w:pPr>
      <w:r>
        <w:rPr>
          <w:rStyle w:val="FootnoteReference"/>
        </w:rPr>
        <w:footnoteRef/>
      </w:r>
      <w:r w:rsidRPr="00622DE4">
        <w:tab/>
        <w:t>De lijst met organisaties kan hier worden geraadpleegd:</w:t>
      </w:r>
      <w:r w:rsidR="005D0E22">
        <w:tab/>
      </w:r>
      <w:r w:rsidRPr="00622DE4">
        <w:br/>
      </w:r>
      <w:hyperlink r:id="rId54" w:history="1">
        <w:r w:rsidRPr="00622DE4">
          <w:rPr>
            <w:rStyle w:val="Hyperlink"/>
          </w:rPr>
          <w:t>https://health.ec.europa.eu/document/download/bd</w:t>
        </w:r>
        <w:r w:rsidRPr="00160A33">
          <w:rPr>
            <w:rStyle w:val="Hyperlink"/>
          </w:rPr>
          <w:t>92</w:t>
        </w:r>
        <w:r w:rsidRPr="00622DE4">
          <w:rPr>
            <w:rStyle w:val="Hyperlink"/>
          </w:rPr>
          <w:t>f</w:t>
        </w:r>
        <w:r w:rsidRPr="00160A33">
          <w:rPr>
            <w:rStyle w:val="Hyperlink"/>
          </w:rPr>
          <w:t>46</w:t>
        </w:r>
        <w:r w:rsidRPr="00622DE4">
          <w:rPr>
            <w:rStyle w:val="Hyperlink"/>
          </w:rPr>
          <w:t>c-</w:t>
        </w:r>
        <w:r w:rsidRPr="00160A33">
          <w:rPr>
            <w:rStyle w:val="Hyperlink"/>
          </w:rPr>
          <w:t>4</w:t>
        </w:r>
        <w:r w:rsidRPr="00622DE4">
          <w:rPr>
            <w:rStyle w:val="Hyperlink"/>
          </w:rPr>
          <w:t>c</w:t>
        </w:r>
        <w:r w:rsidRPr="00160A33">
          <w:rPr>
            <w:rStyle w:val="Hyperlink"/>
          </w:rPr>
          <w:t>55</w:t>
        </w:r>
        <w:r w:rsidRPr="00622DE4">
          <w:rPr>
            <w:rStyle w:val="Hyperlink"/>
          </w:rPr>
          <w:t>-</w:t>
        </w:r>
        <w:r w:rsidRPr="00160A33">
          <w:rPr>
            <w:rStyle w:val="Hyperlink"/>
          </w:rPr>
          <w:t>4</w:t>
        </w:r>
        <w:r w:rsidRPr="00622DE4">
          <w:rPr>
            <w:rStyle w:val="Hyperlink"/>
          </w:rPr>
          <w:t>fed-</w:t>
        </w:r>
        <w:r w:rsidRPr="00160A33">
          <w:rPr>
            <w:rStyle w:val="Hyperlink"/>
          </w:rPr>
          <w:t>8642</w:t>
        </w:r>
        <w:r w:rsidRPr="00622DE4">
          <w:rPr>
            <w:rStyle w:val="Hyperlink"/>
          </w:rPr>
          <w:t>-</w:t>
        </w:r>
        <w:r w:rsidRPr="00160A33">
          <w:rPr>
            <w:rStyle w:val="Hyperlink"/>
          </w:rPr>
          <w:t>81</w:t>
        </w:r>
        <w:r w:rsidRPr="00622DE4">
          <w:rPr>
            <w:rStyle w:val="Hyperlink"/>
          </w:rPr>
          <w:t>b</w:t>
        </w:r>
        <w:r w:rsidRPr="00160A33">
          <w:rPr>
            <w:rStyle w:val="Hyperlink"/>
          </w:rPr>
          <w:t>0</w:t>
        </w:r>
        <w:r w:rsidRPr="00622DE4">
          <w:rPr>
            <w:rStyle w:val="Hyperlink"/>
          </w:rPr>
          <w:t>aa</w:t>
        </w:r>
        <w:r w:rsidRPr="00160A33">
          <w:rPr>
            <w:rStyle w:val="Hyperlink"/>
          </w:rPr>
          <w:t>30</w:t>
        </w:r>
        <w:r w:rsidRPr="00622DE4">
          <w:rPr>
            <w:rStyle w:val="Hyperlink"/>
          </w:rPr>
          <w:t>ff</w:t>
        </w:r>
        <w:r w:rsidRPr="00160A33">
          <w:rPr>
            <w:rStyle w:val="Hyperlink"/>
          </w:rPr>
          <w:t>22</w:t>
        </w:r>
        <w:r w:rsidRPr="00622DE4">
          <w:rPr>
            <w:rStyle w:val="Hyperlink"/>
          </w:rPr>
          <w:t>_en?filename=structured-dialogue_lp_en.pdf</w:t>
        </w:r>
      </w:hyperlink>
      <w:r w:rsidRPr="00622DE4">
        <w:t>.</w:t>
      </w:r>
    </w:p>
  </w:footnote>
  <w:footnote w:id="52">
    <w:p w14:paraId="10F05C27" w14:textId="77777777" w:rsidR="004C5377" w:rsidRPr="00622DE4" w:rsidRDefault="004C5377" w:rsidP="004C5377">
      <w:pPr>
        <w:pStyle w:val="FootnoteText"/>
      </w:pPr>
      <w:r>
        <w:rPr>
          <w:rStyle w:val="FootnoteReference"/>
        </w:rPr>
        <w:footnoteRef/>
      </w:r>
      <w:r w:rsidRPr="00622DE4">
        <w:tab/>
      </w:r>
      <w:hyperlink r:id="rId55" w:history="1">
        <w:r w:rsidRPr="00622DE4">
          <w:rPr>
            <w:rStyle w:val="Hyperlink"/>
          </w:rPr>
          <w:t>Hervorming van de geneesmiddelenwetgeving van de EU — Europese Commissie</w:t>
        </w:r>
      </w:hyperlink>
      <w:r w:rsidRPr="00622DE4">
        <w:t>.</w:t>
      </w:r>
    </w:p>
  </w:footnote>
  <w:footnote w:id="53">
    <w:p w14:paraId="700BFE9C" w14:textId="77777777" w:rsidR="004C5377" w:rsidRPr="00622DE4" w:rsidRDefault="004C5377" w:rsidP="004C5377">
      <w:pPr>
        <w:pStyle w:val="FootnoteText"/>
        <w:rPr>
          <w:color w:val="0000FF"/>
          <w:u w:val="single"/>
        </w:rPr>
      </w:pPr>
      <w:r>
        <w:rPr>
          <w:rStyle w:val="FootnoteReference"/>
        </w:rPr>
        <w:footnoteRef/>
      </w:r>
      <w:r w:rsidRPr="00622DE4">
        <w:tab/>
        <w:t>Zie bijlage </w:t>
      </w:r>
      <w:r w:rsidRPr="00160A33">
        <w:t>2</w:t>
      </w:r>
      <w:r w:rsidRPr="00622DE4">
        <w:t xml:space="preserve"> samenvattend verslag (raadpleging van belanghebbenden) voor de hervorming van de geneesmiddelenwetgeving van de EU: </w:t>
      </w:r>
      <w:hyperlink r:id="rId56" w:history="1">
        <w:r w:rsidRPr="00622DE4">
          <w:rPr>
            <w:rStyle w:val="Hyperlink"/>
          </w:rPr>
          <w:t xml:space="preserve">GP_Annexes </w:t>
        </w:r>
        <w:r w:rsidRPr="00160A33">
          <w:rPr>
            <w:rStyle w:val="Hyperlink"/>
          </w:rPr>
          <w:t>1</w:t>
        </w:r>
        <w:r w:rsidRPr="00622DE4">
          <w:rPr>
            <w:rStyle w:val="Hyperlink"/>
          </w:rPr>
          <w:t xml:space="preserve"> to </w:t>
        </w:r>
        <w:r w:rsidRPr="00160A33">
          <w:rPr>
            <w:rStyle w:val="Hyperlink"/>
          </w:rPr>
          <w:t>4</w:t>
        </w:r>
        <w:r w:rsidRPr="00622DE4">
          <w:rPr>
            <w:rStyle w:val="Hyperlink"/>
          </w:rPr>
          <w:t xml:space="preserve"> - </w:t>
        </w:r>
        <w:r w:rsidRPr="00160A33">
          <w:rPr>
            <w:rStyle w:val="Hyperlink"/>
          </w:rPr>
          <w:t>6</w:t>
        </w:r>
        <w:r w:rsidRPr="00622DE4">
          <w:rPr>
            <w:rStyle w:val="Hyperlink"/>
          </w:rPr>
          <w:t xml:space="preserve"> to </w:t>
        </w:r>
        <w:r w:rsidRPr="00160A33">
          <w:rPr>
            <w:rStyle w:val="Hyperlink"/>
          </w:rPr>
          <w:t>9</w:t>
        </w:r>
        <w:r w:rsidRPr="00622DE4">
          <w:rPr>
            <w:rStyle w:val="Hyperlink"/>
          </w:rPr>
          <w:t xml:space="preserve"> - </w:t>
        </w:r>
        <w:r w:rsidRPr="00160A33">
          <w:rPr>
            <w:rStyle w:val="Hyperlink"/>
          </w:rPr>
          <w:t>14</w:t>
        </w:r>
        <w:r w:rsidRPr="00622DE4">
          <w:rPr>
            <w:rStyle w:val="Hyperlink"/>
          </w:rPr>
          <w:t xml:space="preserve"> to </w:t>
        </w:r>
        <w:r w:rsidRPr="00160A33">
          <w:rPr>
            <w:rStyle w:val="Hyperlink"/>
          </w:rPr>
          <w:t>16</w:t>
        </w:r>
        <w:r w:rsidRPr="00622DE4">
          <w:rPr>
            <w:rStyle w:val="Hyperlink"/>
          </w:rPr>
          <w:t>_v</w:t>
        </w:r>
        <w:r w:rsidRPr="00160A33">
          <w:rPr>
            <w:rStyle w:val="Hyperlink"/>
          </w:rPr>
          <w:t>28102022</w:t>
        </w:r>
      </w:hyperlink>
      <w:r w:rsidRPr="00622DE4">
        <w:t>.</w:t>
      </w:r>
    </w:p>
  </w:footnote>
  <w:footnote w:id="54">
    <w:p w14:paraId="17339A97" w14:textId="77777777" w:rsidR="004C5377" w:rsidRPr="00622DE4" w:rsidRDefault="004C5377" w:rsidP="004C5377">
      <w:pPr>
        <w:pStyle w:val="FootnoteText"/>
        <w:rPr>
          <w:highlight w:val="yellow"/>
        </w:rPr>
      </w:pPr>
      <w:r>
        <w:rPr>
          <w:rStyle w:val="FootnoteReference"/>
        </w:rPr>
        <w:footnoteRef/>
      </w:r>
      <w:r w:rsidRPr="00622DE4">
        <w:tab/>
      </w:r>
      <w:hyperlink r:id="rId57" w:anchor="strategic-report" w:history="1">
        <w:r w:rsidRPr="00622DE4">
          <w:rPr>
            <w:rStyle w:val="Hyperlink"/>
          </w:rPr>
          <w:t>Alliantie voor kritieke geneesmiddelen — Europese Commissie</w:t>
        </w:r>
      </w:hyperlink>
      <w:r w:rsidRPr="00622DE4">
        <w:t>.</w:t>
      </w:r>
    </w:p>
  </w:footnote>
  <w:footnote w:id="55">
    <w:p w14:paraId="31BE4655" w14:textId="665B614A" w:rsidR="004C5377" w:rsidRPr="00622DE4" w:rsidRDefault="004C5377" w:rsidP="004C5377">
      <w:pPr>
        <w:pStyle w:val="FootnoteText"/>
      </w:pPr>
      <w:r>
        <w:rPr>
          <w:rStyle w:val="FootnoteReference"/>
        </w:rPr>
        <w:footnoteRef/>
      </w:r>
      <w:r w:rsidRPr="00622DE4">
        <w:tab/>
        <w:t>Economisch voordeligste inschrijving (most economically advantageous tender, MEAT) waarmee los van enkel prijsoverwegingen meer aandacht kan worden gegeven aan kwaliteit.</w:t>
      </w:r>
    </w:p>
  </w:footnote>
  <w:footnote w:id="56">
    <w:p w14:paraId="6B9CFC8C" w14:textId="77777777" w:rsidR="004C5377" w:rsidRPr="00622DE4" w:rsidRDefault="004C5377" w:rsidP="004C5377">
      <w:pPr>
        <w:pStyle w:val="FootnoteText"/>
      </w:pPr>
      <w:r>
        <w:rPr>
          <w:rStyle w:val="FootnoteReference"/>
        </w:rPr>
        <w:footnoteRef/>
      </w:r>
      <w:r w:rsidRPr="00622DE4">
        <w:tab/>
      </w:r>
      <w:hyperlink r:id="rId58" w:history="1">
        <w:r w:rsidRPr="00622DE4">
          <w:rPr>
            <w:color w:val="0000FF"/>
            <w:u w:val="single"/>
          </w:rPr>
          <w:t>Wetgeving inzake kritieke geneesmiddelen</w:t>
        </w:r>
      </w:hyperlink>
      <w:r w:rsidRPr="00622DE4">
        <w:t>.</w:t>
      </w:r>
    </w:p>
  </w:footnote>
  <w:footnote w:id="57">
    <w:p w14:paraId="0091869E" w14:textId="77777777" w:rsidR="004C5377" w:rsidRPr="00622DE4" w:rsidRDefault="004C5377" w:rsidP="004C5377">
      <w:pPr>
        <w:pStyle w:val="FootnoteText"/>
      </w:pPr>
      <w:r>
        <w:rPr>
          <w:rStyle w:val="FootnoteReference"/>
        </w:rPr>
        <w:footnoteRef/>
      </w:r>
      <w:r w:rsidRPr="00622DE4">
        <w:tab/>
      </w:r>
      <w:hyperlink r:id="rId59" w:history="1">
        <w:r w:rsidRPr="00622DE4">
          <w:rPr>
            <w:rStyle w:val="Hyperlink"/>
          </w:rPr>
          <w:t>Lijst van de Unie van kritieke geneesmiddelen</w:t>
        </w:r>
      </w:hyperlink>
      <w:r w:rsidRPr="00622DE4">
        <w:t>,</w:t>
      </w:r>
      <w:hyperlink r:id="rId60" w:history="1">
        <w:r w:rsidRPr="00622DE4">
          <w:rPr>
            <w:rStyle w:val="Hyperlink"/>
          </w:rPr>
          <w:t>Europees Geneesmiddelenbureau (EMA)</w:t>
        </w:r>
      </w:hyperlink>
      <w:r w:rsidRPr="00622DE4">
        <w:t>.</w:t>
      </w:r>
    </w:p>
  </w:footnote>
  <w:footnote w:id="58">
    <w:p w14:paraId="69E60355" w14:textId="77777777" w:rsidR="004C5377" w:rsidRPr="00622DE4" w:rsidRDefault="004C5377" w:rsidP="004C5377">
      <w:pPr>
        <w:pStyle w:val="FootnoteText"/>
        <w:rPr>
          <w:rStyle w:val="FootnoteReference"/>
        </w:rPr>
      </w:pPr>
      <w:r>
        <w:rPr>
          <w:rStyle w:val="FootnoteReference"/>
        </w:rPr>
        <w:footnoteRef/>
      </w:r>
      <w:r w:rsidRPr="00622DE4">
        <w:tab/>
      </w:r>
      <w:hyperlink r:id="rId61" w:history="1">
        <w:r w:rsidRPr="00622DE4">
          <w:rPr>
            <w:rStyle w:val="Hyperlink"/>
          </w:rPr>
          <w:t>Uit een beoordeling door de Commissie blijkt dat toeleveringsketens van kritieke geneesmiddelen moeten worden versterkt — Europese Commissie</w:t>
        </w:r>
      </w:hyperlink>
      <w:r w:rsidRPr="00622DE4">
        <w:t>.</w:t>
      </w:r>
    </w:p>
  </w:footnote>
  <w:footnote w:id="59">
    <w:p w14:paraId="381ACCF7" w14:textId="5AB0366A" w:rsidR="004C5377" w:rsidRPr="00622DE4" w:rsidRDefault="004C5377" w:rsidP="004C5377">
      <w:pPr>
        <w:pStyle w:val="FootnoteText"/>
      </w:pPr>
      <w:r>
        <w:rPr>
          <w:rStyle w:val="FootnoteReference"/>
        </w:rPr>
        <w:footnoteRef/>
      </w:r>
      <w:r w:rsidRPr="00622DE4">
        <w:tab/>
      </w:r>
      <w:hyperlink r:id="rId62" w:history="1">
        <w:r w:rsidRPr="00622DE4">
          <w:rPr>
            <w:rStyle w:val="Hyperlink"/>
          </w:rPr>
          <w:t>https://op.europa.eu/s/z</w:t>
        </w:r>
        <w:r w:rsidRPr="00160A33">
          <w:rPr>
            <w:rStyle w:val="Hyperlink"/>
          </w:rPr>
          <w:t>1</w:t>
        </w:r>
        <w:r w:rsidRPr="00622DE4">
          <w:rPr>
            <w:rStyle w:val="Hyperlink"/>
          </w:rPr>
          <w:t>Rz</w:t>
        </w:r>
      </w:hyperlink>
      <w:r w:rsidRPr="00622DE4">
        <w:t>.</w:t>
      </w:r>
    </w:p>
  </w:footnote>
  <w:footnote w:id="60">
    <w:p w14:paraId="7735F30C" w14:textId="77777777" w:rsidR="004C5377" w:rsidRPr="00622DE4" w:rsidRDefault="004C5377" w:rsidP="004C5377">
      <w:pPr>
        <w:pStyle w:val="FootnoteText"/>
        <w:rPr>
          <w:rStyle w:val="Hyperlink"/>
        </w:rPr>
      </w:pPr>
      <w:r>
        <w:rPr>
          <w:rStyle w:val="FootnoteReference"/>
        </w:rPr>
        <w:footnoteRef/>
      </w:r>
      <w:r w:rsidRPr="00622DE4">
        <w:tab/>
      </w:r>
      <w:hyperlink r:id="rId63" w:history="1">
        <w:r w:rsidRPr="00622DE4">
          <w:rPr>
            <w:rStyle w:val="Hyperlink"/>
          </w:rPr>
          <w:t>https://efcg.cefic.org/wp-content/uploads/</w:t>
        </w:r>
        <w:r w:rsidRPr="00160A33">
          <w:rPr>
            <w:rStyle w:val="Hyperlink"/>
          </w:rPr>
          <w:t>2025</w:t>
        </w:r>
        <w:r w:rsidRPr="00622DE4">
          <w:rPr>
            <w:rStyle w:val="Hyperlink"/>
          </w:rPr>
          <w:t>/</w:t>
        </w:r>
        <w:r w:rsidRPr="00160A33">
          <w:rPr>
            <w:rStyle w:val="Hyperlink"/>
          </w:rPr>
          <w:t>01</w:t>
        </w:r>
        <w:r w:rsidRPr="00622DE4">
          <w:rPr>
            <w:rStyle w:val="Hyperlink"/>
          </w:rPr>
          <w:t>/Advancy-Sicos-report-extract-protected.pdf</w:t>
        </w:r>
      </w:hyperlink>
      <w:r w:rsidRPr="00622DE4">
        <w:t>.</w:t>
      </w:r>
    </w:p>
  </w:footnote>
  <w:footnote w:id="61">
    <w:p w14:paraId="6BBA12F6" w14:textId="77777777" w:rsidR="004C5377" w:rsidRPr="00622DE4" w:rsidRDefault="004C5377" w:rsidP="004C5377">
      <w:pPr>
        <w:pStyle w:val="FootnoteText"/>
      </w:pPr>
      <w:r>
        <w:rPr>
          <w:rStyle w:val="FootnoteReference"/>
        </w:rPr>
        <w:footnoteRef/>
      </w:r>
      <w:r w:rsidRPr="00622DE4">
        <w:tab/>
      </w:r>
      <w:hyperlink r:id="rId64" w:history="1">
        <w:r w:rsidRPr="00622DE4">
          <w:rPr>
            <w:rStyle w:val="Hyperlink"/>
          </w:rPr>
          <w:t>https://www.oecd.org/en/publications/shortages-of-medicines-in-oecd-countries_b</w:t>
        </w:r>
        <w:r w:rsidRPr="00160A33">
          <w:rPr>
            <w:rStyle w:val="Hyperlink"/>
          </w:rPr>
          <w:t>5</w:t>
        </w:r>
        <w:r w:rsidRPr="00622DE4">
          <w:rPr>
            <w:rStyle w:val="Hyperlink"/>
          </w:rPr>
          <w:t>d</w:t>
        </w:r>
        <w:r w:rsidRPr="00160A33">
          <w:rPr>
            <w:rStyle w:val="Hyperlink"/>
          </w:rPr>
          <w:t>9</w:t>
        </w:r>
        <w:r w:rsidRPr="00622DE4">
          <w:rPr>
            <w:rStyle w:val="Hyperlink"/>
          </w:rPr>
          <w:t>e</w:t>
        </w:r>
        <w:r w:rsidRPr="00160A33">
          <w:rPr>
            <w:rStyle w:val="Hyperlink"/>
          </w:rPr>
          <w:t>15</w:t>
        </w:r>
        <w:r w:rsidRPr="00622DE4">
          <w:rPr>
            <w:rStyle w:val="Hyperlink"/>
          </w:rPr>
          <w:t>d-en.html</w:t>
        </w:r>
      </w:hyperlink>
      <w:r w:rsidRPr="00622DE4">
        <w:t>.</w:t>
      </w:r>
    </w:p>
  </w:footnote>
  <w:footnote w:id="62">
    <w:p w14:paraId="5C764E18" w14:textId="77777777" w:rsidR="004C5377" w:rsidRPr="00622DE4" w:rsidRDefault="004C5377" w:rsidP="004C5377">
      <w:pPr>
        <w:pStyle w:val="FootnoteText"/>
      </w:pPr>
      <w:r>
        <w:rPr>
          <w:rStyle w:val="FootnoteReference"/>
        </w:rPr>
        <w:footnoteRef/>
      </w:r>
      <w:r w:rsidRPr="00622DE4">
        <w:tab/>
        <w:t xml:space="preserve">Verordening (EU, Euratom) </w:t>
      </w:r>
      <w:r w:rsidRPr="00160A33">
        <w:t>2020</w:t>
      </w:r>
      <w:r w:rsidRPr="00622DE4">
        <w:t>/</w:t>
      </w:r>
      <w:r w:rsidRPr="00160A33">
        <w:t>2093</w:t>
      </w:r>
      <w:r w:rsidRPr="00622DE4">
        <w:t xml:space="preserve"> van de Raad van </w:t>
      </w:r>
      <w:r w:rsidRPr="00160A33">
        <w:t>17</w:t>
      </w:r>
      <w:r w:rsidRPr="00622DE4">
        <w:t xml:space="preserve"> december </w:t>
      </w:r>
      <w:r w:rsidRPr="00160A33">
        <w:t>2020</w:t>
      </w:r>
      <w:r w:rsidRPr="00622DE4">
        <w:t xml:space="preserve"> tot bepaling van het meerjarig financieel kader voor de jaren </w:t>
      </w:r>
      <w:r w:rsidRPr="00160A33">
        <w:t>2021</w:t>
      </w:r>
      <w:r w:rsidRPr="00622DE4">
        <w:t>-</w:t>
      </w:r>
      <w:r w:rsidRPr="00160A33">
        <w:t>2027</w:t>
      </w:r>
      <w:r w:rsidRPr="00622DE4">
        <w:t xml:space="preserve"> (PB L </w:t>
      </w:r>
      <w:r w:rsidRPr="00160A33">
        <w:t>433</w:t>
      </w:r>
      <w:r w:rsidRPr="00622DE4">
        <w:t xml:space="preserve">I van </w:t>
      </w:r>
      <w:r w:rsidRPr="00160A33">
        <w:t>22</w:t>
      </w:r>
      <w:r w:rsidRPr="00622DE4">
        <w:t>.</w:t>
      </w:r>
      <w:r w:rsidRPr="00160A33">
        <w:t>12</w:t>
      </w:r>
      <w:r w:rsidRPr="00622DE4">
        <w:t>.</w:t>
      </w:r>
      <w:r w:rsidRPr="00160A33">
        <w:t>2020</w:t>
      </w:r>
      <w:r w:rsidRPr="00622DE4">
        <w:t>, blz. </w:t>
      </w:r>
      <w:r w:rsidRPr="00160A33">
        <w:t>11</w:t>
      </w:r>
      <w:r w:rsidRPr="00622DE4">
        <w:t>).</w:t>
      </w:r>
    </w:p>
  </w:footnote>
  <w:footnote w:id="63">
    <w:p w14:paraId="419EC9C2" w14:textId="77777777" w:rsidR="004C5377" w:rsidRPr="00622DE4" w:rsidRDefault="004C5377" w:rsidP="004C5377">
      <w:pPr>
        <w:pStyle w:val="FootnoteText"/>
      </w:pPr>
      <w:r>
        <w:rPr>
          <w:rStyle w:val="FootnoteReference"/>
        </w:rPr>
        <w:footnoteRef/>
      </w:r>
      <w:r w:rsidRPr="00622DE4">
        <w:tab/>
        <w:t xml:space="preserve">Verordening (EU) </w:t>
      </w:r>
      <w:r w:rsidRPr="00160A33">
        <w:t>2021</w:t>
      </w:r>
      <w:r w:rsidRPr="00622DE4">
        <w:t>/</w:t>
      </w:r>
      <w:r w:rsidRPr="00160A33">
        <w:t>522</w:t>
      </w:r>
      <w:r w:rsidRPr="00622DE4">
        <w:t xml:space="preserve"> van het Europees Parlement en de Raad van </w:t>
      </w:r>
      <w:r w:rsidRPr="00160A33">
        <w:t>24</w:t>
      </w:r>
      <w:r w:rsidRPr="00622DE4">
        <w:t xml:space="preserve"> maart </w:t>
      </w:r>
      <w:r w:rsidRPr="00160A33">
        <w:t>2021</w:t>
      </w:r>
      <w:r w:rsidRPr="00622DE4">
        <w:t xml:space="preserve"> tot vaststelling van een actieprogramma voor de Unie op het gebied van gezondheid (“EU</w:t>
      </w:r>
      <w:r w:rsidRPr="00160A33">
        <w:t>4</w:t>
      </w:r>
      <w:r w:rsidRPr="00622DE4">
        <w:t>Health-programma”) voor de periode </w:t>
      </w:r>
      <w:r w:rsidRPr="00160A33">
        <w:t>2021</w:t>
      </w:r>
      <w:r w:rsidRPr="00622DE4">
        <w:t>-</w:t>
      </w:r>
      <w:r w:rsidRPr="00160A33">
        <w:t>2027</w:t>
      </w:r>
      <w:r w:rsidRPr="00622DE4">
        <w:t>, en tot intrekking van Verordening (EU) nr. </w:t>
      </w:r>
      <w:r w:rsidRPr="00160A33">
        <w:t>282</w:t>
      </w:r>
      <w:r w:rsidRPr="00622DE4">
        <w:t>/</w:t>
      </w:r>
      <w:r w:rsidRPr="00160A33">
        <w:t>2014</w:t>
      </w:r>
      <w:r w:rsidRPr="00622DE4">
        <w:t xml:space="preserve"> (PB L </w:t>
      </w:r>
      <w:r w:rsidRPr="00160A33">
        <w:t>107</w:t>
      </w:r>
      <w:r w:rsidRPr="00622DE4">
        <w:t xml:space="preserve"> van </w:t>
      </w:r>
      <w:r w:rsidRPr="00160A33">
        <w:t>26</w:t>
      </w:r>
      <w:r w:rsidRPr="00622DE4">
        <w:t>.</w:t>
      </w:r>
      <w:r w:rsidRPr="00160A33">
        <w:t>3</w:t>
      </w:r>
      <w:r w:rsidRPr="00622DE4">
        <w:t>.</w:t>
      </w:r>
      <w:r w:rsidRPr="00160A33">
        <w:t>2021</w:t>
      </w:r>
      <w:r w:rsidRPr="00622DE4">
        <w:t>, blz. </w:t>
      </w:r>
      <w:r w:rsidRPr="00160A33">
        <w:t>1</w:t>
      </w:r>
      <w:r w:rsidRPr="00622DE4">
        <w:t>).</w:t>
      </w:r>
    </w:p>
  </w:footnote>
  <w:footnote w:id="64">
    <w:p w14:paraId="03AEE58E" w14:textId="1519359D" w:rsidR="004C5377" w:rsidRPr="00622DE4" w:rsidRDefault="004C5377" w:rsidP="004C5377">
      <w:pPr>
        <w:pStyle w:val="FootnoteText"/>
      </w:pPr>
      <w:r>
        <w:rPr>
          <w:rStyle w:val="FootnoteReference"/>
        </w:rPr>
        <w:footnoteRef/>
      </w:r>
      <w:r w:rsidRPr="00622DE4">
        <w:tab/>
        <w:t xml:space="preserve">Verordening (EU) </w:t>
      </w:r>
      <w:r w:rsidRPr="00160A33">
        <w:t>2021</w:t>
      </w:r>
      <w:r w:rsidRPr="00622DE4">
        <w:t>/</w:t>
      </w:r>
      <w:r w:rsidRPr="00160A33">
        <w:t>695</w:t>
      </w:r>
      <w:r w:rsidRPr="00622DE4">
        <w:t xml:space="preserve"> van het Europees Parlement en de Raad van </w:t>
      </w:r>
      <w:r w:rsidRPr="00160A33">
        <w:t>28</w:t>
      </w:r>
      <w:r w:rsidRPr="00622DE4">
        <w:t xml:space="preserve"> april </w:t>
      </w:r>
      <w:r w:rsidRPr="00160A33">
        <w:t>2021</w:t>
      </w:r>
      <w:r w:rsidRPr="00622DE4">
        <w:t xml:space="preserve"> tot vaststelling van Horizon Europa</w:t>
      </w:r>
      <w:r w:rsidR="00B51A78">
        <w:t> </w:t>
      </w:r>
      <w:r w:rsidRPr="00622DE4">
        <w:t>— het kaderprogramma voor onderzoek en innovatie, tot vaststelling van de regels voor deelname en verspreiding en tot intrekking van de Verordeningen (EU) nr. </w:t>
      </w:r>
      <w:r w:rsidRPr="00160A33">
        <w:t>1290</w:t>
      </w:r>
      <w:r w:rsidRPr="00622DE4">
        <w:t>/</w:t>
      </w:r>
      <w:r w:rsidRPr="00160A33">
        <w:t>2013</w:t>
      </w:r>
      <w:r w:rsidRPr="00622DE4">
        <w:t xml:space="preserve"> en (EU) nr. </w:t>
      </w:r>
      <w:r w:rsidRPr="00160A33">
        <w:t>1291</w:t>
      </w:r>
      <w:r w:rsidRPr="00622DE4">
        <w:t>/</w:t>
      </w:r>
      <w:r w:rsidRPr="00160A33">
        <w:t>2013</w:t>
      </w:r>
      <w:r w:rsidRPr="00622DE4">
        <w:t xml:space="preserve"> (PB L </w:t>
      </w:r>
      <w:r w:rsidRPr="00160A33">
        <w:t>170</w:t>
      </w:r>
      <w:r w:rsidRPr="00622DE4">
        <w:t xml:space="preserve"> van </w:t>
      </w:r>
      <w:r w:rsidRPr="00160A33">
        <w:t>12</w:t>
      </w:r>
      <w:r w:rsidRPr="00622DE4">
        <w:t>.</w:t>
      </w:r>
      <w:r w:rsidRPr="00160A33">
        <w:t>5</w:t>
      </w:r>
      <w:r w:rsidRPr="00622DE4">
        <w:t>.</w:t>
      </w:r>
      <w:r w:rsidRPr="00160A33">
        <w:t>2021</w:t>
      </w:r>
      <w:r w:rsidRPr="00622DE4">
        <w:t>, blz. </w:t>
      </w:r>
      <w:r w:rsidRPr="00160A33">
        <w:t>1</w:t>
      </w:r>
      <w:r w:rsidRPr="00622DE4">
        <w:t>).</w:t>
      </w:r>
    </w:p>
  </w:footnote>
  <w:footnote w:id="65">
    <w:p w14:paraId="67A93666" w14:textId="77777777" w:rsidR="004C5377" w:rsidRPr="00622DE4" w:rsidRDefault="004C5377" w:rsidP="004C5377">
      <w:pPr>
        <w:pStyle w:val="FootnoteText"/>
      </w:pPr>
      <w:r>
        <w:rPr>
          <w:rStyle w:val="FootnoteReference"/>
        </w:rPr>
        <w:footnoteRef/>
      </w:r>
      <w:r w:rsidRPr="00622DE4">
        <w:tab/>
        <w:t xml:space="preserve">Verordening (EU) </w:t>
      </w:r>
      <w:r w:rsidRPr="00160A33">
        <w:t>2021</w:t>
      </w:r>
      <w:r w:rsidRPr="00622DE4">
        <w:t>/</w:t>
      </w:r>
      <w:r w:rsidRPr="00160A33">
        <w:t>694</w:t>
      </w:r>
      <w:r w:rsidRPr="00622DE4">
        <w:t xml:space="preserve"> van het Europees Parlement en de Raad van </w:t>
      </w:r>
      <w:r w:rsidRPr="00160A33">
        <w:t>29</w:t>
      </w:r>
      <w:r w:rsidRPr="00622DE4">
        <w:t xml:space="preserve"> april </w:t>
      </w:r>
      <w:r w:rsidRPr="00160A33">
        <w:t>2021</w:t>
      </w:r>
      <w:r w:rsidRPr="00622DE4">
        <w:t xml:space="preserve"> tot oprichting van het programma Digitaal Europa en tot intrekking van Besluit (EU) </w:t>
      </w:r>
      <w:r w:rsidRPr="00160A33">
        <w:t>2015</w:t>
      </w:r>
      <w:r w:rsidRPr="00622DE4">
        <w:t>/</w:t>
      </w:r>
      <w:r w:rsidRPr="00160A33">
        <w:t>2240</w:t>
      </w:r>
      <w:r w:rsidRPr="00622DE4">
        <w:t xml:space="preserve"> (PB L </w:t>
      </w:r>
      <w:r w:rsidRPr="00160A33">
        <w:t>166</w:t>
      </w:r>
      <w:r w:rsidRPr="00622DE4">
        <w:t xml:space="preserve"> van </w:t>
      </w:r>
      <w:r w:rsidRPr="00160A33">
        <w:t>11</w:t>
      </w:r>
      <w:r w:rsidRPr="00622DE4">
        <w:t>.</w:t>
      </w:r>
      <w:r w:rsidRPr="00160A33">
        <w:t>5</w:t>
      </w:r>
      <w:r w:rsidRPr="00622DE4">
        <w:t>.</w:t>
      </w:r>
      <w:r w:rsidRPr="00160A33">
        <w:t>2021</w:t>
      </w:r>
      <w:r w:rsidRPr="00622DE4">
        <w:t>, blz. </w:t>
      </w:r>
      <w:r w:rsidRPr="00160A33">
        <w:t>1</w:t>
      </w:r>
      <w:r w:rsidRPr="00622DE4">
        <w:t>).</w:t>
      </w:r>
    </w:p>
  </w:footnote>
  <w:footnote w:id="66">
    <w:p w14:paraId="6198E1A3" w14:textId="724691CB" w:rsidR="00EE2AB0" w:rsidRPr="00622DE4" w:rsidRDefault="00EE2AB0" w:rsidP="00EE2AB0">
      <w:pPr>
        <w:pStyle w:val="FootnoteText"/>
      </w:pPr>
      <w:r>
        <w:rPr>
          <w:rStyle w:val="FootnoteReference"/>
        </w:rPr>
        <w:footnoteRef/>
      </w:r>
      <w:r w:rsidRPr="00622DE4">
        <w:tab/>
        <w:t>PB C , blz. .</w:t>
      </w:r>
    </w:p>
  </w:footnote>
  <w:footnote w:id="67">
    <w:p w14:paraId="41150A59" w14:textId="2143125D" w:rsidR="00917777" w:rsidRPr="00622DE4" w:rsidRDefault="00917777" w:rsidP="00917777">
      <w:pPr>
        <w:pStyle w:val="FootnoteText"/>
      </w:pPr>
      <w:r>
        <w:rPr>
          <w:rStyle w:val="FootnoteReference"/>
        </w:rPr>
        <w:footnoteRef/>
      </w:r>
      <w:r w:rsidRPr="00622DE4">
        <w:tab/>
        <w:t>Verordening (EU)</w:t>
      </w:r>
      <w:r w:rsidR="00C30615">
        <w:t xml:space="preserve"> </w:t>
      </w:r>
      <w:r w:rsidRPr="00160A33">
        <w:t>2022</w:t>
      </w:r>
      <w:r w:rsidRPr="00622DE4">
        <w:t>/</w:t>
      </w:r>
      <w:r w:rsidRPr="00160A33">
        <w:t>123</w:t>
      </w:r>
      <w:r w:rsidRPr="00622DE4">
        <w:t xml:space="preserve"> van het Europees Parlement en de Raad van </w:t>
      </w:r>
      <w:r w:rsidRPr="00160A33">
        <w:t>25</w:t>
      </w:r>
      <w:r w:rsidRPr="00622DE4">
        <w:t xml:space="preserve"> januari </w:t>
      </w:r>
      <w:r w:rsidRPr="00160A33">
        <w:t>2022</w:t>
      </w:r>
      <w:r w:rsidRPr="00622DE4">
        <w:t xml:space="preserve"> betreffende een grotere rol van het Europees Geneesmiddelenbureau inzake crisisparaatheid en -beheersing op het gebied van geneesmiddelen en medische hulpmiddelen (PB</w:t>
      </w:r>
      <w:r w:rsidR="00C30615">
        <w:t xml:space="preserve"> </w:t>
      </w:r>
      <w:r w:rsidRPr="00622DE4">
        <w:t>L </w:t>
      </w:r>
      <w:r w:rsidRPr="00160A33">
        <w:t>20</w:t>
      </w:r>
      <w:r w:rsidRPr="00622DE4">
        <w:t xml:space="preserve"> van </w:t>
      </w:r>
      <w:r w:rsidRPr="00160A33">
        <w:t>31</w:t>
      </w:r>
      <w:r w:rsidRPr="00622DE4">
        <w:t>.</w:t>
      </w:r>
      <w:r w:rsidRPr="00160A33">
        <w:t>2</w:t>
      </w:r>
      <w:r w:rsidRPr="00622DE4">
        <w:t>.</w:t>
      </w:r>
      <w:r w:rsidRPr="00160A33">
        <w:t>2022</w:t>
      </w:r>
      <w:r w:rsidRPr="00622DE4">
        <w:t>, blz. </w:t>
      </w:r>
      <w:r w:rsidRPr="00160A33">
        <w:t>1</w:t>
      </w:r>
      <w:r w:rsidRPr="00622DE4">
        <w:t>, ELI:</w:t>
      </w:r>
      <w:r w:rsidR="00A97EC7">
        <w:t xml:space="preserve"> </w:t>
      </w:r>
      <w:hyperlink r:id="rId65" w:history="1">
        <w:r w:rsidR="00A97EC7" w:rsidRPr="00B44E1D">
          <w:rPr>
            <w:rStyle w:val="Hyperlink"/>
          </w:rPr>
          <w:t>http://data.europa.eu/eli/reg/</w:t>
        </w:r>
        <w:r w:rsidR="00A97EC7" w:rsidRPr="00160A33">
          <w:rPr>
            <w:rStyle w:val="Hyperlink"/>
          </w:rPr>
          <w:t>2022</w:t>
        </w:r>
        <w:r w:rsidR="00A97EC7" w:rsidRPr="00B44E1D">
          <w:rPr>
            <w:rStyle w:val="Hyperlink"/>
          </w:rPr>
          <w:t>/</w:t>
        </w:r>
        <w:r w:rsidR="00A97EC7" w:rsidRPr="00160A33">
          <w:rPr>
            <w:rStyle w:val="Hyperlink"/>
          </w:rPr>
          <w:t>123</w:t>
        </w:r>
        <w:r w:rsidR="00A97EC7" w:rsidRPr="00B44E1D">
          <w:rPr>
            <w:rStyle w:val="Hyperlink"/>
          </w:rPr>
          <w:t>/oj</w:t>
        </w:r>
      </w:hyperlink>
      <w:r w:rsidRPr="00622DE4">
        <w:t>).</w:t>
      </w:r>
    </w:p>
  </w:footnote>
  <w:footnote w:id="68">
    <w:p w14:paraId="5F3AD3E5" w14:textId="77777777" w:rsidR="00917777" w:rsidRPr="00622DE4" w:rsidRDefault="00917777" w:rsidP="00917777">
      <w:pPr>
        <w:pStyle w:val="FootnoteText"/>
      </w:pPr>
      <w:r>
        <w:rPr>
          <w:rStyle w:val="FootnoteReference"/>
        </w:rPr>
        <w:footnoteRef/>
      </w:r>
      <w:r w:rsidRPr="00622DE4">
        <w:tab/>
        <w:t>Verordening (EU) .../... van het Europees Parlement en de Raad tot vaststelling van procedures van de Unie voor het verlenen van vergunningen en het toezicht met betrekking tot geneesmiddelen voor menselijk gebruik en tot vaststelling van regels voor het Europees Geneesmiddelenbureau, tot wijziging van Verordening (EG) nr. </w:t>
      </w:r>
      <w:r w:rsidRPr="00160A33">
        <w:t>1394</w:t>
      </w:r>
      <w:r w:rsidRPr="00622DE4">
        <w:t>/</w:t>
      </w:r>
      <w:r w:rsidRPr="00160A33">
        <w:t>2007</w:t>
      </w:r>
      <w:r w:rsidRPr="00622DE4">
        <w:t xml:space="preserve"> en Verordening (EU) nr. </w:t>
      </w:r>
      <w:r w:rsidRPr="00160A33">
        <w:t>536</w:t>
      </w:r>
      <w:r w:rsidRPr="00622DE4">
        <w:t>/</w:t>
      </w:r>
      <w:r w:rsidRPr="00160A33">
        <w:t>2014</w:t>
      </w:r>
      <w:r w:rsidRPr="00622DE4">
        <w:t xml:space="preserve"> en tot intrekking van Verordening (EG) nr. </w:t>
      </w:r>
      <w:r w:rsidRPr="00160A33">
        <w:t>726</w:t>
      </w:r>
      <w:r w:rsidRPr="00622DE4">
        <w:t>/</w:t>
      </w:r>
      <w:r w:rsidRPr="00160A33">
        <w:t>2004</w:t>
      </w:r>
      <w:r w:rsidRPr="00622DE4">
        <w:t>, Verordening (EG) nr. </w:t>
      </w:r>
      <w:r w:rsidRPr="00160A33">
        <w:t>141</w:t>
      </w:r>
      <w:r w:rsidRPr="00622DE4">
        <w:t>/</w:t>
      </w:r>
      <w:r w:rsidRPr="00160A33">
        <w:t>2000</w:t>
      </w:r>
      <w:r w:rsidRPr="00622DE4">
        <w:t xml:space="preserve"> en Verordening (EG) nr. </w:t>
      </w:r>
      <w:r w:rsidRPr="00160A33">
        <w:t>1901</w:t>
      </w:r>
      <w:r w:rsidRPr="00622DE4">
        <w:t>/</w:t>
      </w:r>
      <w:r w:rsidRPr="00160A33">
        <w:t>2006</w:t>
      </w:r>
      <w:r w:rsidRPr="00622DE4">
        <w:t xml:space="preserve"> (PB ... [</w:t>
      </w:r>
      <w:r w:rsidRPr="00622DE4">
        <w:rPr>
          <w:i/>
        </w:rPr>
        <w:t>OP: Please complete publication references</w:t>
      </w:r>
      <w:r w:rsidRPr="00622DE4">
        <w:t>]).</w:t>
      </w:r>
    </w:p>
  </w:footnote>
  <w:footnote w:id="69">
    <w:p w14:paraId="6EDFD0AE" w14:textId="4D703CDD" w:rsidR="00BE431F" w:rsidRPr="00622DE4" w:rsidRDefault="00BE431F">
      <w:pPr>
        <w:pStyle w:val="FootnoteText"/>
      </w:pPr>
      <w:r>
        <w:rPr>
          <w:rStyle w:val="FootnoteReference"/>
        </w:rPr>
        <w:footnoteRef/>
      </w:r>
      <w:r w:rsidRPr="00622DE4">
        <w:tab/>
        <w:t>Verordening (EU)</w:t>
      </w:r>
      <w:r w:rsidR="00C30615">
        <w:t xml:space="preserve"> </w:t>
      </w:r>
      <w:r w:rsidRPr="00160A33">
        <w:t>2021</w:t>
      </w:r>
      <w:r w:rsidRPr="00622DE4">
        <w:t>/</w:t>
      </w:r>
      <w:r w:rsidRPr="00160A33">
        <w:t>522</w:t>
      </w:r>
      <w:r w:rsidRPr="00622DE4">
        <w:t xml:space="preserve"> van het Europees Parlement en de Raad van </w:t>
      </w:r>
      <w:r w:rsidRPr="00160A33">
        <w:t>24</w:t>
      </w:r>
      <w:r w:rsidRPr="00622DE4">
        <w:t xml:space="preserve"> maart </w:t>
      </w:r>
      <w:r w:rsidRPr="00160A33">
        <w:t>2021</w:t>
      </w:r>
      <w:r w:rsidRPr="00622DE4">
        <w:t xml:space="preserve"> tot vaststelling van een actieprogramma voor de Unie op het gebied van gezondheid (“EU</w:t>
      </w:r>
      <w:r w:rsidRPr="00160A33">
        <w:t>4</w:t>
      </w:r>
      <w:r w:rsidRPr="00622DE4">
        <w:t xml:space="preserve">Health-programma”) voor de periode </w:t>
      </w:r>
      <w:r w:rsidRPr="00160A33">
        <w:t>2021</w:t>
      </w:r>
      <w:r w:rsidRPr="00622DE4">
        <w:t>-</w:t>
      </w:r>
      <w:r w:rsidRPr="00160A33">
        <w:t>2027</w:t>
      </w:r>
      <w:r w:rsidRPr="00622DE4">
        <w:t>, en tot intrekking van Verordening (EU) nr. </w:t>
      </w:r>
      <w:r w:rsidRPr="00160A33">
        <w:t>282</w:t>
      </w:r>
      <w:r w:rsidRPr="00622DE4">
        <w:t>/</w:t>
      </w:r>
      <w:r w:rsidRPr="00160A33">
        <w:t>2014</w:t>
      </w:r>
      <w:r w:rsidRPr="00622DE4">
        <w:t xml:space="preserve"> (PB</w:t>
      </w:r>
      <w:r w:rsidR="00C30615">
        <w:t xml:space="preserve"> </w:t>
      </w:r>
      <w:r w:rsidRPr="00622DE4">
        <w:t>L </w:t>
      </w:r>
      <w:r w:rsidRPr="00160A33">
        <w:t>107</w:t>
      </w:r>
      <w:r w:rsidRPr="00622DE4">
        <w:t xml:space="preserve"> van </w:t>
      </w:r>
      <w:r w:rsidRPr="00160A33">
        <w:t>26</w:t>
      </w:r>
      <w:r w:rsidRPr="00622DE4">
        <w:t>.</w:t>
      </w:r>
      <w:r w:rsidRPr="00160A33">
        <w:t>3</w:t>
      </w:r>
      <w:r w:rsidRPr="00622DE4">
        <w:t>.</w:t>
      </w:r>
      <w:r w:rsidRPr="00160A33">
        <w:t>2021</w:t>
      </w:r>
      <w:r w:rsidRPr="00622DE4">
        <w:t>, blz. </w:t>
      </w:r>
      <w:r w:rsidRPr="00160A33">
        <w:t>1</w:t>
      </w:r>
      <w:r w:rsidRPr="00622DE4">
        <w:t>, ELI:</w:t>
      </w:r>
      <w:r w:rsidR="00160A33">
        <w:rPr>
          <w:color w:val="333333"/>
          <w:shd w:val="clear" w:color="auto" w:fill="FFFFFF"/>
        </w:rPr>
        <w:t xml:space="preserve"> </w:t>
      </w:r>
      <w:hyperlink r:id="rId66" w:history="1">
        <w:r w:rsidR="00160A33" w:rsidRPr="00635C1A">
          <w:rPr>
            <w:rStyle w:val="Hyperlink"/>
            <w:shd w:val="clear" w:color="auto" w:fill="FFFFFF"/>
          </w:rPr>
          <w:t>http://data.europa.eu/eli/reg/</w:t>
        </w:r>
        <w:r w:rsidR="00160A33" w:rsidRPr="00160A33">
          <w:rPr>
            <w:rStyle w:val="Hyperlink"/>
            <w:shd w:val="clear" w:color="auto" w:fill="FFFFFF"/>
          </w:rPr>
          <w:t>2021</w:t>
        </w:r>
        <w:r w:rsidR="00160A33" w:rsidRPr="00635C1A">
          <w:rPr>
            <w:rStyle w:val="Hyperlink"/>
            <w:shd w:val="clear" w:color="auto" w:fill="FFFFFF"/>
          </w:rPr>
          <w:t>/</w:t>
        </w:r>
        <w:r w:rsidR="00160A33" w:rsidRPr="00160A33">
          <w:rPr>
            <w:rStyle w:val="Hyperlink"/>
            <w:shd w:val="clear" w:color="auto" w:fill="FFFFFF"/>
          </w:rPr>
          <w:t>522</w:t>
        </w:r>
        <w:r w:rsidR="00160A33" w:rsidRPr="00635C1A">
          <w:rPr>
            <w:rStyle w:val="Hyperlink"/>
            <w:shd w:val="clear" w:color="auto" w:fill="FFFFFF"/>
          </w:rPr>
          <w:t>/oj</w:t>
        </w:r>
      </w:hyperlink>
      <w:r w:rsidRPr="00622DE4">
        <w:t>).</w:t>
      </w:r>
    </w:p>
  </w:footnote>
  <w:footnote w:id="70">
    <w:p w14:paraId="1B5590E9" w14:textId="7364D035" w:rsidR="00BE431F" w:rsidRPr="00622DE4" w:rsidRDefault="00BE431F">
      <w:pPr>
        <w:pStyle w:val="FootnoteText"/>
      </w:pPr>
      <w:r>
        <w:rPr>
          <w:rStyle w:val="FootnoteReference"/>
        </w:rPr>
        <w:footnoteRef/>
      </w:r>
      <w:r w:rsidRPr="00622DE4">
        <w:tab/>
        <w:t xml:space="preserve">Verordening (EU) </w:t>
      </w:r>
      <w:r w:rsidRPr="00160A33">
        <w:t>2021</w:t>
      </w:r>
      <w:r w:rsidRPr="00622DE4">
        <w:t>/</w:t>
      </w:r>
      <w:r w:rsidRPr="00160A33">
        <w:t>694</w:t>
      </w:r>
      <w:r w:rsidRPr="00622DE4">
        <w:t xml:space="preserve"> van het Europees Parlement en de Raad van </w:t>
      </w:r>
      <w:r w:rsidRPr="00160A33">
        <w:t>29</w:t>
      </w:r>
      <w:r w:rsidRPr="00622DE4">
        <w:t xml:space="preserve"> april </w:t>
      </w:r>
      <w:r w:rsidRPr="00160A33">
        <w:t>2021</w:t>
      </w:r>
      <w:r w:rsidRPr="00622DE4">
        <w:t xml:space="preserve"> tot oprichting van het programma Digitaal Europa en tot intrekking van Besluit (EU) </w:t>
      </w:r>
      <w:r w:rsidRPr="00160A33">
        <w:t>2015</w:t>
      </w:r>
      <w:r w:rsidRPr="00622DE4">
        <w:t>/</w:t>
      </w:r>
      <w:r w:rsidRPr="00160A33">
        <w:t>2240</w:t>
      </w:r>
      <w:r w:rsidRPr="00622DE4">
        <w:t xml:space="preserve"> (PB L </w:t>
      </w:r>
      <w:r w:rsidRPr="00160A33">
        <w:t>166</w:t>
      </w:r>
      <w:r w:rsidRPr="00622DE4">
        <w:t xml:space="preserve"> van </w:t>
      </w:r>
      <w:r w:rsidRPr="00160A33">
        <w:t>11</w:t>
      </w:r>
      <w:r w:rsidRPr="00622DE4">
        <w:t>.</w:t>
      </w:r>
      <w:r w:rsidRPr="00160A33">
        <w:t>5</w:t>
      </w:r>
      <w:r w:rsidRPr="00622DE4">
        <w:t>.</w:t>
      </w:r>
      <w:r w:rsidRPr="00160A33">
        <w:t>2021</w:t>
      </w:r>
      <w:r w:rsidRPr="00622DE4">
        <w:t>, blz. </w:t>
      </w:r>
      <w:r w:rsidRPr="00160A33">
        <w:t>1</w:t>
      </w:r>
      <w:r w:rsidRPr="00622DE4">
        <w:t>, ELI:</w:t>
      </w:r>
      <w:r w:rsidR="00160A33">
        <w:t xml:space="preserve"> </w:t>
      </w:r>
      <w:hyperlink r:id="rId67" w:tooltip="Geeft toegang tot dit document via de ELI URI." w:history="1">
        <w:r w:rsidRPr="00622DE4">
          <w:rPr>
            <w:color w:val="23527C"/>
            <w:u w:val="single"/>
            <w:shd w:val="clear" w:color="auto" w:fill="FFFFFF"/>
          </w:rPr>
          <w:t>http://data.europa.eu/eli/reg/</w:t>
        </w:r>
        <w:r w:rsidRPr="00160A33">
          <w:rPr>
            <w:color w:val="23527C"/>
            <w:u w:val="single"/>
            <w:shd w:val="clear" w:color="auto" w:fill="FFFFFF"/>
          </w:rPr>
          <w:t>2021</w:t>
        </w:r>
        <w:r w:rsidRPr="00622DE4">
          <w:rPr>
            <w:color w:val="23527C"/>
            <w:u w:val="single"/>
            <w:shd w:val="clear" w:color="auto" w:fill="FFFFFF"/>
          </w:rPr>
          <w:t>/</w:t>
        </w:r>
        <w:r w:rsidRPr="00160A33">
          <w:rPr>
            <w:color w:val="23527C"/>
            <w:u w:val="single"/>
            <w:shd w:val="clear" w:color="auto" w:fill="FFFFFF"/>
          </w:rPr>
          <w:t>694</w:t>
        </w:r>
        <w:r w:rsidRPr="00622DE4">
          <w:rPr>
            <w:color w:val="23527C"/>
            <w:u w:val="single"/>
            <w:shd w:val="clear" w:color="auto" w:fill="FFFFFF"/>
          </w:rPr>
          <w:t>/</w:t>
        </w:r>
        <w:r w:rsidRPr="00160A33">
          <w:rPr>
            <w:color w:val="23527C"/>
            <w:u w:val="single"/>
            <w:shd w:val="clear" w:color="auto" w:fill="FFFFFF"/>
          </w:rPr>
          <w:t>2023</w:t>
        </w:r>
        <w:r w:rsidRPr="00622DE4">
          <w:rPr>
            <w:color w:val="23527C"/>
            <w:u w:val="single"/>
            <w:shd w:val="clear" w:color="auto" w:fill="FFFFFF"/>
          </w:rPr>
          <w:t>-</w:t>
        </w:r>
        <w:r w:rsidRPr="00160A33">
          <w:rPr>
            <w:color w:val="23527C"/>
            <w:u w:val="single"/>
            <w:shd w:val="clear" w:color="auto" w:fill="FFFFFF"/>
          </w:rPr>
          <w:t>09</w:t>
        </w:r>
        <w:r w:rsidRPr="00622DE4">
          <w:rPr>
            <w:color w:val="23527C"/>
            <w:u w:val="single"/>
            <w:shd w:val="clear" w:color="auto" w:fill="FFFFFF"/>
          </w:rPr>
          <w:t>-</w:t>
        </w:r>
        <w:r w:rsidRPr="00160A33">
          <w:rPr>
            <w:color w:val="23527C"/>
            <w:u w:val="single"/>
            <w:shd w:val="clear" w:color="auto" w:fill="FFFFFF"/>
          </w:rPr>
          <w:t>21</w:t>
        </w:r>
      </w:hyperlink>
      <w:r w:rsidRPr="00622DE4">
        <w:t>).</w:t>
      </w:r>
    </w:p>
  </w:footnote>
  <w:footnote w:id="71">
    <w:p w14:paraId="3CA4EB20" w14:textId="446560C4" w:rsidR="00BE431F" w:rsidRPr="00622DE4" w:rsidRDefault="00BE431F" w:rsidP="00555A38">
      <w:pPr>
        <w:pStyle w:val="FootnoteText"/>
      </w:pPr>
      <w:r>
        <w:rPr>
          <w:rStyle w:val="FootnoteReference"/>
        </w:rPr>
        <w:footnoteRef/>
      </w:r>
      <w:r w:rsidRPr="00622DE4">
        <w:tab/>
        <w:t xml:space="preserve">Verordening (EU) </w:t>
      </w:r>
      <w:r w:rsidRPr="00160A33">
        <w:t>2021</w:t>
      </w:r>
      <w:r w:rsidRPr="00622DE4">
        <w:t>/</w:t>
      </w:r>
      <w:r w:rsidRPr="00160A33">
        <w:t>695</w:t>
      </w:r>
      <w:r w:rsidRPr="00622DE4">
        <w:t xml:space="preserve"> van het Europees Parlement en de Raad van </w:t>
      </w:r>
      <w:r w:rsidRPr="00160A33">
        <w:t>28</w:t>
      </w:r>
      <w:r w:rsidRPr="00622DE4">
        <w:t xml:space="preserve"> april </w:t>
      </w:r>
      <w:r w:rsidRPr="00160A33">
        <w:t>2021</w:t>
      </w:r>
      <w:r w:rsidRPr="00622DE4">
        <w:t xml:space="preserve"> tot vaststelling van Horizon Europa</w:t>
      </w:r>
      <w:r w:rsidR="00B51A78">
        <w:t> </w:t>
      </w:r>
      <w:r w:rsidRPr="00622DE4">
        <w:t>— het kaderprogramma voor onderzoek en innovatie, tot vaststelling van de regels voor deelname en verspreiding en tot intrekking van de Verordeningen (EU) nr. </w:t>
      </w:r>
      <w:r w:rsidRPr="00160A33">
        <w:t>1290</w:t>
      </w:r>
      <w:r w:rsidRPr="00622DE4">
        <w:t>/</w:t>
      </w:r>
      <w:r w:rsidRPr="00160A33">
        <w:t>2013</w:t>
      </w:r>
      <w:r w:rsidRPr="00622DE4">
        <w:t xml:space="preserve"> en (EU) nr. </w:t>
      </w:r>
      <w:r w:rsidRPr="00160A33">
        <w:t>1291</w:t>
      </w:r>
      <w:r w:rsidRPr="00622DE4">
        <w:t>/</w:t>
      </w:r>
      <w:r w:rsidRPr="00160A33">
        <w:t>2013</w:t>
      </w:r>
      <w:r w:rsidRPr="00622DE4">
        <w:t xml:space="preserve"> (PB L </w:t>
      </w:r>
      <w:r w:rsidRPr="00160A33">
        <w:t>170</w:t>
      </w:r>
      <w:r w:rsidRPr="00622DE4">
        <w:t xml:space="preserve"> van </w:t>
      </w:r>
      <w:r w:rsidRPr="00160A33">
        <w:t>12</w:t>
      </w:r>
      <w:r w:rsidRPr="00622DE4">
        <w:t>.</w:t>
      </w:r>
      <w:r w:rsidRPr="00160A33">
        <w:t>5</w:t>
      </w:r>
      <w:r w:rsidRPr="00622DE4">
        <w:t>.</w:t>
      </w:r>
      <w:r w:rsidRPr="00160A33">
        <w:t>2021</w:t>
      </w:r>
      <w:r w:rsidRPr="00622DE4">
        <w:t>, blz. </w:t>
      </w:r>
      <w:r w:rsidRPr="00160A33">
        <w:t>1</w:t>
      </w:r>
      <w:r w:rsidRPr="00622DE4">
        <w:t>; ELI:</w:t>
      </w:r>
      <w:r w:rsidR="00160A33">
        <w:t xml:space="preserve"> </w:t>
      </w:r>
      <w:hyperlink r:id="rId68" w:tooltip="Geeft toegang tot dit document via de ELI URI." w:history="1">
        <w:r w:rsidRPr="00622DE4">
          <w:rPr>
            <w:color w:val="23527C"/>
            <w:u w:val="single"/>
            <w:shd w:val="clear" w:color="auto" w:fill="FFFFFF"/>
          </w:rPr>
          <w:t>http://data.europa.eu/eli/reg/</w:t>
        </w:r>
        <w:r w:rsidRPr="00160A33">
          <w:rPr>
            <w:color w:val="23527C"/>
            <w:u w:val="single"/>
            <w:shd w:val="clear" w:color="auto" w:fill="FFFFFF"/>
          </w:rPr>
          <w:t>2021</w:t>
        </w:r>
        <w:r w:rsidRPr="00622DE4">
          <w:rPr>
            <w:color w:val="23527C"/>
            <w:u w:val="single"/>
            <w:shd w:val="clear" w:color="auto" w:fill="FFFFFF"/>
          </w:rPr>
          <w:t>/</w:t>
        </w:r>
        <w:r w:rsidRPr="00160A33">
          <w:rPr>
            <w:color w:val="23527C"/>
            <w:u w:val="single"/>
            <w:shd w:val="clear" w:color="auto" w:fill="FFFFFF"/>
          </w:rPr>
          <w:t>695</w:t>
        </w:r>
        <w:r w:rsidRPr="00622DE4">
          <w:rPr>
            <w:color w:val="23527C"/>
            <w:u w:val="single"/>
            <w:shd w:val="clear" w:color="auto" w:fill="FFFFFF"/>
          </w:rPr>
          <w:t>/oj</w:t>
        </w:r>
      </w:hyperlink>
      <w:r w:rsidRPr="00622DE4">
        <w:t>).</w:t>
      </w:r>
    </w:p>
  </w:footnote>
  <w:footnote w:id="72">
    <w:p w14:paraId="1DDCF21C" w14:textId="70917C34" w:rsidR="001405E2" w:rsidRPr="00622DE4" w:rsidRDefault="001405E2" w:rsidP="001405E2">
      <w:pPr>
        <w:pStyle w:val="FootnoteText"/>
      </w:pPr>
      <w:r>
        <w:rPr>
          <w:rStyle w:val="FootnoteReference"/>
        </w:rPr>
        <w:footnoteRef/>
      </w:r>
      <w:r w:rsidRPr="00622DE4">
        <w:tab/>
      </w:r>
      <w:r w:rsidRPr="00622DE4">
        <w:rPr>
          <w:color w:val="333333"/>
          <w:shd w:val="clear" w:color="auto" w:fill="FFFFFF"/>
        </w:rPr>
        <w:t xml:space="preserve">Verordening (EU) </w:t>
      </w:r>
      <w:r w:rsidRPr="00160A33">
        <w:rPr>
          <w:color w:val="333333"/>
          <w:shd w:val="clear" w:color="auto" w:fill="FFFFFF"/>
        </w:rPr>
        <w:t>2024</w:t>
      </w:r>
      <w:r w:rsidRPr="00622DE4">
        <w:rPr>
          <w:color w:val="333333"/>
          <w:shd w:val="clear" w:color="auto" w:fill="FFFFFF"/>
        </w:rPr>
        <w:t>/</w:t>
      </w:r>
      <w:r w:rsidRPr="00160A33">
        <w:rPr>
          <w:color w:val="333333"/>
          <w:shd w:val="clear" w:color="auto" w:fill="FFFFFF"/>
        </w:rPr>
        <w:t>795</w:t>
      </w:r>
      <w:r w:rsidRPr="00622DE4">
        <w:rPr>
          <w:color w:val="333333"/>
          <w:shd w:val="clear" w:color="auto" w:fill="FFFFFF"/>
        </w:rPr>
        <w:t xml:space="preserve"> van het Europees Parlement en de Raad van </w:t>
      </w:r>
      <w:r w:rsidRPr="00160A33">
        <w:rPr>
          <w:color w:val="333333"/>
          <w:shd w:val="clear" w:color="auto" w:fill="FFFFFF"/>
        </w:rPr>
        <w:t>29</w:t>
      </w:r>
      <w:r w:rsidRPr="00622DE4">
        <w:rPr>
          <w:color w:val="333333"/>
          <w:shd w:val="clear" w:color="auto" w:fill="FFFFFF"/>
        </w:rPr>
        <w:t xml:space="preserve"> februari </w:t>
      </w:r>
      <w:r w:rsidRPr="00160A33">
        <w:rPr>
          <w:color w:val="333333"/>
          <w:shd w:val="clear" w:color="auto" w:fill="FFFFFF"/>
        </w:rPr>
        <w:t>2024</w:t>
      </w:r>
      <w:r w:rsidRPr="00622DE4">
        <w:rPr>
          <w:color w:val="333333"/>
          <w:shd w:val="clear" w:color="auto" w:fill="FFFFFF"/>
        </w:rPr>
        <w:t xml:space="preserve"> tot oprichting van het platform voor strategische technologieën voor Europa (“STEP”) en tot wijziging van Richtlijn</w:t>
      </w:r>
      <w:r w:rsidR="00C30615">
        <w:rPr>
          <w:color w:val="333333"/>
          <w:shd w:val="clear" w:color="auto" w:fill="FFFFFF"/>
        </w:rPr>
        <w:t xml:space="preserve"> </w:t>
      </w:r>
      <w:r w:rsidRPr="00160A33">
        <w:rPr>
          <w:color w:val="333333"/>
          <w:shd w:val="clear" w:color="auto" w:fill="FFFFFF"/>
        </w:rPr>
        <w:t>2003</w:t>
      </w:r>
      <w:r w:rsidRPr="00622DE4">
        <w:rPr>
          <w:color w:val="333333"/>
          <w:shd w:val="clear" w:color="auto" w:fill="FFFFFF"/>
        </w:rPr>
        <w:t>/</w:t>
      </w:r>
      <w:r w:rsidRPr="00160A33">
        <w:rPr>
          <w:color w:val="333333"/>
          <w:shd w:val="clear" w:color="auto" w:fill="FFFFFF"/>
        </w:rPr>
        <w:t>87</w:t>
      </w:r>
      <w:r w:rsidRPr="00622DE4">
        <w:rPr>
          <w:color w:val="333333"/>
          <w:shd w:val="clear" w:color="auto" w:fill="FFFFFF"/>
        </w:rPr>
        <w:t>/EG en Verordeningen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1058</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1056</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1057</w:t>
      </w:r>
      <w:r w:rsidRPr="00622DE4">
        <w:rPr>
          <w:color w:val="333333"/>
          <w:shd w:val="clear" w:color="auto" w:fill="FFFFFF"/>
        </w:rPr>
        <w:t>, (EU) nr. </w:t>
      </w:r>
      <w:r w:rsidRPr="00160A33">
        <w:rPr>
          <w:color w:val="333333"/>
          <w:shd w:val="clear" w:color="auto" w:fill="FFFFFF"/>
        </w:rPr>
        <w:t>1303</w:t>
      </w:r>
      <w:r w:rsidRPr="00622DE4">
        <w:rPr>
          <w:color w:val="333333"/>
          <w:shd w:val="clear" w:color="auto" w:fill="FFFFFF"/>
        </w:rPr>
        <w:t>/</w:t>
      </w:r>
      <w:r w:rsidRPr="00160A33">
        <w:rPr>
          <w:color w:val="333333"/>
          <w:shd w:val="clear" w:color="auto" w:fill="FFFFFF"/>
        </w:rPr>
        <w:t>2013</w:t>
      </w:r>
      <w:r w:rsidRPr="00622DE4">
        <w:rPr>
          <w:color w:val="333333"/>
          <w:shd w:val="clear" w:color="auto" w:fill="FFFFFF"/>
        </w:rPr>
        <w:t>, (EU) nr. </w:t>
      </w:r>
      <w:r w:rsidRPr="00160A33">
        <w:rPr>
          <w:color w:val="333333"/>
          <w:shd w:val="clear" w:color="auto" w:fill="FFFFFF"/>
        </w:rPr>
        <w:t>223</w:t>
      </w:r>
      <w:r w:rsidRPr="00622DE4">
        <w:rPr>
          <w:color w:val="333333"/>
          <w:shd w:val="clear" w:color="auto" w:fill="FFFFFF"/>
        </w:rPr>
        <w:t>/</w:t>
      </w:r>
      <w:r w:rsidRPr="00160A33">
        <w:rPr>
          <w:color w:val="333333"/>
          <w:shd w:val="clear" w:color="auto" w:fill="FFFFFF"/>
        </w:rPr>
        <w:t>2014</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1060</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523</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695</w:t>
      </w:r>
      <w:r w:rsidRPr="00622DE4">
        <w:rPr>
          <w:color w:val="333333"/>
          <w:shd w:val="clear" w:color="auto" w:fill="FFFFFF"/>
        </w:rPr>
        <w:t>,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697</w:t>
      </w:r>
      <w:r w:rsidRPr="00622DE4">
        <w:rPr>
          <w:color w:val="333333"/>
          <w:shd w:val="clear" w:color="auto" w:fill="FFFFFF"/>
        </w:rPr>
        <w:t xml:space="preserve"> en (EU)</w:t>
      </w:r>
      <w:r w:rsidR="00C30615">
        <w:rPr>
          <w:color w:val="333333"/>
          <w:shd w:val="clear" w:color="auto" w:fill="FFFFFF"/>
        </w:rPr>
        <w:t xml:space="preserve"> </w:t>
      </w:r>
      <w:r w:rsidRPr="00160A33">
        <w:rPr>
          <w:color w:val="333333"/>
          <w:shd w:val="clear" w:color="auto" w:fill="FFFFFF"/>
        </w:rPr>
        <w:t>2021</w:t>
      </w:r>
      <w:r w:rsidRPr="00622DE4">
        <w:rPr>
          <w:color w:val="333333"/>
          <w:shd w:val="clear" w:color="auto" w:fill="FFFFFF"/>
        </w:rPr>
        <w:t>/</w:t>
      </w:r>
      <w:r w:rsidRPr="00160A33">
        <w:rPr>
          <w:color w:val="333333"/>
          <w:shd w:val="clear" w:color="auto" w:fill="FFFFFF"/>
        </w:rPr>
        <w:t>241</w:t>
      </w:r>
      <w:r w:rsidRPr="00622DE4">
        <w:rPr>
          <w:color w:val="333333"/>
          <w:shd w:val="clear" w:color="auto" w:fill="FFFFFF"/>
        </w:rPr>
        <w:t xml:space="preserve"> (PB L, </w:t>
      </w:r>
      <w:r w:rsidRPr="00160A33">
        <w:rPr>
          <w:color w:val="333333"/>
          <w:shd w:val="clear" w:color="auto" w:fill="FFFFFF"/>
        </w:rPr>
        <w:t>2024</w:t>
      </w:r>
      <w:r w:rsidRPr="00622DE4">
        <w:rPr>
          <w:color w:val="333333"/>
          <w:shd w:val="clear" w:color="auto" w:fill="FFFFFF"/>
        </w:rPr>
        <w:t>/</w:t>
      </w:r>
      <w:r w:rsidRPr="00160A33">
        <w:rPr>
          <w:color w:val="333333"/>
          <w:shd w:val="clear" w:color="auto" w:fill="FFFFFF"/>
        </w:rPr>
        <w:t>795</w:t>
      </w:r>
      <w:r w:rsidRPr="00622DE4">
        <w:rPr>
          <w:color w:val="333333"/>
          <w:shd w:val="clear" w:color="auto" w:fill="FFFFFF"/>
        </w:rPr>
        <w:t xml:space="preserve">, </w:t>
      </w:r>
      <w:r w:rsidRPr="00160A33">
        <w:rPr>
          <w:color w:val="333333"/>
          <w:shd w:val="clear" w:color="auto" w:fill="FFFFFF"/>
        </w:rPr>
        <w:t>29</w:t>
      </w:r>
      <w:r w:rsidRPr="00622DE4">
        <w:rPr>
          <w:color w:val="333333"/>
          <w:shd w:val="clear" w:color="auto" w:fill="FFFFFF"/>
        </w:rPr>
        <w:t>.</w:t>
      </w:r>
      <w:r w:rsidRPr="00160A33">
        <w:rPr>
          <w:color w:val="333333"/>
          <w:shd w:val="clear" w:color="auto" w:fill="FFFFFF"/>
        </w:rPr>
        <w:t>2</w:t>
      </w:r>
      <w:r w:rsidRPr="00622DE4">
        <w:rPr>
          <w:color w:val="333333"/>
          <w:shd w:val="clear" w:color="auto" w:fill="FFFFFF"/>
        </w:rPr>
        <w:t>.</w:t>
      </w:r>
      <w:r w:rsidRPr="00160A33">
        <w:rPr>
          <w:color w:val="333333"/>
          <w:shd w:val="clear" w:color="auto" w:fill="FFFFFF"/>
        </w:rPr>
        <w:t>2024</w:t>
      </w:r>
      <w:r w:rsidRPr="00622DE4">
        <w:rPr>
          <w:color w:val="333333"/>
          <w:shd w:val="clear" w:color="auto" w:fill="FFFFFF"/>
        </w:rPr>
        <w:t>, ELI:</w:t>
      </w:r>
      <w:r w:rsidR="00C30615">
        <w:rPr>
          <w:color w:val="333333"/>
          <w:shd w:val="clear" w:color="auto" w:fill="FFFFFF"/>
        </w:rPr>
        <w:t xml:space="preserve"> </w:t>
      </w:r>
      <w:hyperlink r:id="rId69" w:tgtFrame="_blank" w:tooltip="Geeft toegang tot dit document via de ELI URI." w:history="1">
        <w:r w:rsidRPr="00622DE4">
          <w:rPr>
            <w:color w:val="23527C"/>
            <w:u w:val="single"/>
          </w:rPr>
          <w:t>http://data.europa.eu/eli/reg/</w:t>
        </w:r>
        <w:r w:rsidRPr="00160A33">
          <w:rPr>
            <w:color w:val="23527C"/>
            <w:u w:val="single"/>
          </w:rPr>
          <w:t>2024</w:t>
        </w:r>
        <w:r w:rsidRPr="00622DE4">
          <w:rPr>
            <w:color w:val="23527C"/>
            <w:u w:val="single"/>
          </w:rPr>
          <w:t>/</w:t>
        </w:r>
        <w:r w:rsidRPr="00160A33">
          <w:rPr>
            <w:color w:val="23527C"/>
            <w:u w:val="single"/>
          </w:rPr>
          <w:t>795</w:t>
        </w:r>
        <w:r w:rsidRPr="00622DE4">
          <w:rPr>
            <w:color w:val="23527C"/>
            <w:u w:val="single"/>
          </w:rPr>
          <w:t>/oj</w:t>
        </w:r>
      </w:hyperlink>
      <w:r w:rsidRPr="00622DE4">
        <w:t>).</w:t>
      </w:r>
    </w:p>
  </w:footnote>
  <w:footnote w:id="73">
    <w:p w14:paraId="4040DA96" w14:textId="60D99374" w:rsidR="00917777" w:rsidRPr="00622DE4" w:rsidRDefault="00917777" w:rsidP="00917777">
      <w:pPr>
        <w:pStyle w:val="FootnoteText"/>
      </w:pPr>
      <w:r>
        <w:rPr>
          <w:rStyle w:val="FootnoteReference"/>
        </w:rPr>
        <w:footnoteRef/>
      </w:r>
      <w:r w:rsidRPr="00622DE4">
        <w:tab/>
      </w:r>
      <w:hyperlink r:id="rId70" w:history="1">
        <w:r w:rsidRPr="00622DE4">
          <w:t>Regels voor communicatie en zichtbaarheid</w:t>
        </w:r>
        <w:r w:rsidR="00B51A78">
          <w:t> </w:t>
        </w:r>
        <w:r w:rsidRPr="00622DE4">
          <w:t>— Bureau voor publicaties van de EU</w:t>
        </w:r>
      </w:hyperlink>
      <w:r w:rsidRPr="00622DE4">
        <w:t>.</w:t>
      </w:r>
    </w:p>
  </w:footnote>
  <w:footnote w:id="74">
    <w:p w14:paraId="130E9219" w14:textId="77777777" w:rsidR="00917777" w:rsidRPr="00622DE4" w:rsidRDefault="00917777" w:rsidP="00917777">
      <w:pPr>
        <w:pStyle w:val="FootnoteText"/>
      </w:pPr>
      <w:r>
        <w:rPr>
          <w:rStyle w:val="FootnoteReference"/>
        </w:rPr>
        <w:footnoteRef/>
      </w:r>
      <w:r w:rsidRPr="00622DE4">
        <w:tab/>
        <w:t xml:space="preserve">Richtlijn </w:t>
      </w:r>
      <w:r w:rsidRPr="00160A33">
        <w:t>2014</w:t>
      </w:r>
      <w:r w:rsidRPr="00622DE4">
        <w:t>/</w:t>
      </w:r>
      <w:r w:rsidRPr="00160A33">
        <w:t>24</w:t>
      </w:r>
      <w:r w:rsidRPr="00622DE4">
        <w:t xml:space="preserve">/EU van het Europees Parlement de Raad van </w:t>
      </w:r>
      <w:r w:rsidRPr="00160A33">
        <w:t>26</w:t>
      </w:r>
      <w:r w:rsidRPr="00622DE4">
        <w:t xml:space="preserve"> februari </w:t>
      </w:r>
      <w:r w:rsidRPr="00160A33">
        <w:t>2014</w:t>
      </w:r>
      <w:r w:rsidRPr="00622DE4">
        <w:t xml:space="preserve"> betreffende het plaatsen van overheidsopdrachten en tot intrekking van Richtlijn </w:t>
      </w:r>
      <w:r w:rsidRPr="00160A33">
        <w:t>2004</w:t>
      </w:r>
      <w:r w:rsidRPr="00622DE4">
        <w:t>/</w:t>
      </w:r>
      <w:r w:rsidRPr="00160A33">
        <w:t>18</w:t>
      </w:r>
      <w:r w:rsidRPr="00622DE4">
        <w:t>/EG (PB L </w:t>
      </w:r>
      <w:r w:rsidRPr="00160A33">
        <w:t>94</w:t>
      </w:r>
      <w:r w:rsidRPr="00622DE4">
        <w:t xml:space="preserve"> van </w:t>
      </w:r>
      <w:r w:rsidRPr="00160A33">
        <w:t>28</w:t>
      </w:r>
      <w:r w:rsidRPr="00622DE4">
        <w:t>.</w:t>
      </w:r>
      <w:r w:rsidRPr="00160A33">
        <w:t>3</w:t>
      </w:r>
      <w:r w:rsidRPr="00622DE4">
        <w:t>.</w:t>
      </w:r>
      <w:r w:rsidRPr="00160A33">
        <w:t>2014</w:t>
      </w:r>
      <w:r w:rsidRPr="00622DE4">
        <w:t>, blz. </w:t>
      </w:r>
      <w:r w:rsidRPr="00160A33">
        <w:t>65</w:t>
      </w:r>
      <w:r w:rsidRPr="00622DE4">
        <w:t>, ELI: http://data.europa.eu/eli/dir/</w:t>
      </w:r>
      <w:r w:rsidRPr="00160A33">
        <w:t>2014</w:t>
      </w:r>
      <w:r w:rsidRPr="00622DE4">
        <w:t>/</w:t>
      </w:r>
      <w:r w:rsidRPr="00160A33">
        <w:t>24</w:t>
      </w:r>
      <w:r w:rsidRPr="00622DE4">
        <w:t>/oj).</w:t>
      </w:r>
    </w:p>
  </w:footnote>
  <w:footnote w:id="75">
    <w:p w14:paraId="3107883F" w14:textId="5DB43D72" w:rsidR="00917777" w:rsidRPr="00622DE4" w:rsidRDefault="00917777" w:rsidP="00917777">
      <w:pPr>
        <w:pStyle w:val="FootnoteText"/>
      </w:pPr>
      <w:r>
        <w:rPr>
          <w:rStyle w:val="FootnoteReference"/>
        </w:rPr>
        <w:footnoteRef/>
      </w:r>
      <w:r w:rsidRPr="00622DE4">
        <w:tab/>
        <w:t xml:space="preserve">Verordening (EU) </w:t>
      </w:r>
      <w:r w:rsidRPr="00160A33">
        <w:t>2022</w:t>
      </w:r>
      <w:r w:rsidRPr="00622DE4">
        <w:t>/</w:t>
      </w:r>
      <w:r w:rsidRPr="00160A33">
        <w:t>2371</w:t>
      </w:r>
      <w:r w:rsidRPr="00622DE4">
        <w:t xml:space="preserve"> van het Europees Parlement en de Raad van </w:t>
      </w:r>
      <w:r w:rsidRPr="00160A33">
        <w:t>23</w:t>
      </w:r>
      <w:r w:rsidRPr="00622DE4">
        <w:t xml:space="preserve"> november </w:t>
      </w:r>
      <w:r w:rsidRPr="00160A33">
        <w:t>2022</w:t>
      </w:r>
      <w:r w:rsidRPr="00622DE4">
        <w:t xml:space="preserve"> inzake ernstige grensoverschrijdende gezondheidsbedreigingen en tot intrekking van Besluit nr. </w:t>
      </w:r>
      <w:r w:rsidRPr="00160A33">
        <w:t>1082</w:t>
      </w:r>
      <w:r w:rsidRPr="00622DE4">
        <w:t>/</w:t>
      </w:r>
      <w:r w:rsidRPr="00160A33">
        <w:t>2013</w:t>
      </w:r>
      <w:r w:rsidRPr="00622DE4">
        <w:t>/EU (PB L </w:t>
      </w:r>
      <w:r w:rsidRPr="00160A33">
        <w:t>314</w:t>
      </w:r>
      <w:r w:rsidRPr="00622DE4">
        <w:t xml:space="preserve"> van </w:t>
      </w:r>
      <w:r w:rsidRPr="00160A33">
        <w:t>6</w:t>
      </w:r>
      <w:r w:rsidRPr="00622DE4">
        <w:t>.</w:t>
      </w:r>
      <w:r w:rsidRPr="00160A33">
        <w:t>12</w:t>
      </w:r>
      <w:r w:rsidRPr="00622DE4">
        <w:t>.</w:t>
      </w:r>
      <w:r w:rsidRPr="00160A33">
        <w:t>2022</w:t>
      </w:r>
      <w:r w:rsidRPr="00622DE4">
        <w:t>, blz. </w:t>
      </w:r>
      <w:r w:rsidRPr="00160A33">
        <w:t>26</w:t>
      </w:r>
      <w:r w:rsidRPr="00622DE4">
        <w:t>, ELI:</w:t>
      </w:r>
      <w:r w:rsidR="008D2355">
        <w:t xml:space="preserve"> </w:t>
      </w:r>
      <w:hyperlink r:id="rId71" w:tooltip="Geeft toegang tot dit document via de ELI URI." w:history="1">
        <w:r w:rsidRPr="00622DE4">
          <w:rPr>
            <w:rStyle w:val="Hyperlink"/>
          </w:rPr>
          <w:t>http://data.europa.eu/eli/reg/</w:t>
        </w:r>
        <w:r w:rsidRPr="00160A33">
          <w:rPr>
            <w:rStyle w:val="Hyperlink"/>
          </w:rPr>
          <w:t>2022</w:t>
        </w:r>
        <w:r w:rsidRPr="00622DE4">
          <w:rPr>
            <w:rStyle w:val="Hyperlink"/>
          </w:rPr>
          <w:t>/</w:t>
        </w:r>
        <w:r w:rsidRPr="00160A33">
          <w:rPr>
            <w:rStyle w:val="Hyperlink"/>
          </w:rPr>
          <w:t>2371</w:t>
        </w:r>
        <w:r w:rsidRPr="00622DE4">
          <w:rPr>
            <w:rStyle w:val="Hyperlink"/>
          </w:rPr>
          <w:t>/oj</w:t>
        </w:r>
      </w:hyperlink>
      <w:r w:rsidRPr="00622DE4">
        <w:t>).</w:t>
      </w:r>
    </w:p>
  </w:footnote>
  <w:footnote w:id="76">
    <w:p w14:paraId="0902B773" w14:textId="1CFCF8A1" w:rsidR="00917777" w:rsidRPr="00622DE4" w:rsidRDefault="005D0E22" w:rsidP="00917777">
      <w:pPr>
        <w:pStyle w:val="FootnoteText"/>
      </w:pPr>
      <w:r w:rsidRPr="005D0E22">
        <w:rPr>
          <w:rStyle w:val="FootnoteReference"/>
        </w:rPr>
        <w:footnoteRef/>
      </w:r>
      <w:r>
        <w:tab/>
      </w:r>
      <w:r w:rsidR="00917777" w:rsidRPr="00622DE4">
        <w:t xml:space="preserve">Verordening (EU) </w:t>
      </w:r>
      <w:r w:rsidR="00917777" w:rsidRPr="00160A33">
        <w:t>2016</w:t>
      </w:r>
      <w:r w:rsidR="00917777" w:rsidRPr="00622DE4">
        <w:t>/</w:t>
      </w:r>
      <w:r w:rsidR="00917777" w:rsidRPr="00160A33">
        <w:t>296</w:t>
      </w:r>
      <w:r w:rsidR="00917777" w:rsidRPr="00622DE4">
        <w:t xml:space="preserve"> van de Raad van </w:t>
      </w:r>
      <w:r w:rsidR="00917777" w:rsidRPr="00160A33">
        <w:t>15</w:t>
      </w:r>
      <w:r w:rsidR="00917777" w:rsidRPr="00622DE4">
        <w:t xml:space="preserve"> maart </w:t>
      </w:r>
      <w:r w:rsidR="00917777" w:rsidRPr="00160A33">
        <w:t>2016</w:t>
      </w:r>
      <w:r w:rsidR="00917777" w:rsidRPr="00622DE4">
        <w:t xml:space="preserve"> betreffende de verstrekking van noodhulp binnen de Unie (PB L </w:t>
      </w:r>
      <w:r w:rsidR="00917777" w:rsidRPr="00160A33">
        <w:t>70</w:t>
      </w:r>
      <w:r w:rsidR="00917777" w:rsidRPr="00622DE4">
        <w:t xml:space="preserve"> van </w:t>
      </w:r>
      <w:r w:rsidR="00917777" w:rsidRPr="00160A33">
        <w:t>13</w:t>
      </w:r>
      <w:r w:rsidR="00917777" w:rsidRPr="00622DE4">
        <w:t>.</w:t>
      </w:r>
      <w:r w:rsidR="00917777" w:rsidRPr="00160A33">
        <w:t>3</w:t>
      </w:r>
      <w:r w:rsidR="00917777" w:rsidRPr="00622DE4">
        <w:t>.</w:t>
      </w:r>
      <w:r w:rsidR="00917777" w:rsidRPr="00160A33">
        <w:t>2016</w:t>
      </w:r>
      <w:r w:rsidR="00917777" w:rsidRPr="00622DE4">
        <w:t>, blz. </w:t>
      </w:r>
      <w:r w:rsidR="00917777" w:rsidRPr="00160A33">
        <w:t>1</w:t>
      </w:r>
      <w:r w:rsidR="00917777" w:rsidRPr="00622DE4">
        <w:t>, ELI:</w:t>
      </w:r>
      <w:r w:rsidR="00160A33">
        <w:rPr>
          <w:color w:val="333333"/>
          <w:shd w:val="clear" w:color="auto" w:fill="FFFFFF"/>
        </w:rPr>
        <w:t xml:space="preserve"> </w:t>
      </w:r>
      <w:hyperlink r:id="rId72" w:history="1">
        <w:r w:rsidR="00160A33" w:rsidRPr="00635C1A">
          <w:rPr>
            <w:rStyle w:val="Hyperlink"/>
            <w:shd w:val="clear" w:color="auto" w:fill="FFFFFF"/>
          </w:rPr>
          <w:t>http://data.europa.eu/eli/reg/</w:t>
        </w:r>
        <w:r w:rsidR="00160A33" w:rsidRPr="00160A33">
          <w:rPr>
            <w:rStyle w:val="Hyperlink"/>
            <w:shd w:val="clear" w:color="auto" w:fill="FFFFFF"/>
          </w:rPr>
          <w:t>2016</w:t>
        </w:r>
        <w:r w:rsidR="00160A33" w:rsidRPr="00635C1A">
          <w:rPr>
            <w:rStyle w:val="Hyperlink"/>
            <w:shd w:val="clear" w:color="auto" w:fill="FFFFFF"/>
          </w:rPr>
          <w:t>/</w:t>
        </w:r>
        <w:r w:rsidR="00160A33" w:rsidRPr="00160A33">
          <w:rPr>
            <w:rStyle w:val="Hyperlink"/>
            <w:shd w:val="clear" w:color="auto" w:fill="FFFFFF"/>
          </w:rPr>
          <w:t>369</w:t>
        </w:r>
        <w:r w:rsidR="00160A33" w:rsidRPr="00635C1A">
          <w:rPr>
            <w:rStyle w:val="Hyperlink"/>
            <w:shd w:val="clear" w:color="auto" w:fill="FFFFFF"/>
          </w:rPr>
          <w:t>/oj</w:t>
        </w:r>
      </w:hyperlink>
      <w:r w:rsidR="00917777" w:rsidRPr="00622DE4">
        <w:t>).</w:t>
      </w:r>
    </w:p>
  </w:footnote>
  <w:footnote w:id="77">
    <w:p w14:paraId="48447318" w14:textId="77777777" w:rsidR="00917777" w:rsidRPr="00622DE4" w:rsidRDefault="00917777" w:rsidP="00917777">
      <w:pPr>
        <w:pStyle w:val="FootnoteText"/>
      </w:pPr>
      <w:r>
        <w:rPr>
          <w:rStyle w:val="FootnoteReference"/>
        </w:rPr>
        <w:footnoteRef/>
      </w:r>
      <w:r w:rsidRPr="00622DE4">
        <w:tab/>
        <w:t xml:space="preserve">Verordening (EU, Euratom) </w:t>
      </w:r>
      <w:r w:rsidRPr="00160A33">
        <w:t>2024</w:t>
      </w:r>
      <w:r w:rsidRPr="00622DE4">
        <w:t>/</w:t>
      </w:r>
      <w:r w:rsidRPr="00160A33">
        <w:t>2509</w:t>
      </w:r>
      <w:r w:rsidRPr="00622DE4">
        <w:t xml:space="preserve"> van het Europees Parlement en de Raad van </w:t>
      </w:r>
      <w:r w:rsidRPr="00160A33">
        <w:t>23</w:t>
      </w:r>
      <w:r w:rsidRPr="00622DE4">
        <w:t xml:space="preserve"> september </w:t>
      </w:r>
      <w:r w:rsidRPr="00160A33">
        <w:t>2024</w:t>
      </w:r>
      <w:r w:rsidRPr="00622DE4">
        <w:t xml:space="preserve"> tot vaststelling van de financiële regels van toepassing op de algemene begroting van de Unie (PB L, </w:t>
      </w:r>
      <w:r w:rsidRPr="00160A33">
        <w:t>2024</w:t>
      </w:r>
      <w:r w:rsidRPr="00622DE4">
        <w:t>/</w:t>
      </w:r>
      <w:r w:rsidRPr="00160A33">
        <w:t>2509</w:t>
      </w:r>
      <w:r w:rsidRPr="00622DE4">
        <w:t xml:space="preserve">, </w:t>
      </w:r>
      <w:r w:rsidRPr="00160A33">
        <w:t>26</w:t>
      </w:r>
      <w:r w:rsidRPr="00622DE4">
        <w:t>.</w:t>
      </w:r>
      <w:r w:rsidRPr="00160A33">
        <w:t>9</w:t>
      </w:r>
      <w:r w:rsidRPr="00622DE4">
        <w:t>.</w:t>
      </w:r>
      <w:r w:rsidRPr="00160A33">
        <w:t>2024</w:t>
      </w:r>
      <w:r w:rsidRPr="00622DE4">
        <w:t>, ELI: http://data.europa.eu/eli/reg/</w:t>
      </w:r>
      <w:r w:rsidRPr="00160A33">
        <w:t>2024</w:t>
      </w:r>
      <w:r w:rsidRPr="00622DE4">
        <w:t>/</w:t>
      </w:r>
      <w:r w:rsidRPr="00160A33">
        <w:t>2509</w:t>
      </w:r>
      <w:r w:rsidRPr="00622DE4">
        <w:t>/oj).</w:t>
      </w:r>
    </w:p>
  </w:footnote>
  <w:footnote w:id="78">
    <w:p w14:paraId="05004207" w14:textId="77777777" w:rsidR="00917777" w:rsidRPr="00622DE4" w:rsidRDefault="00917777" w:rsidP="00917777">
      <w:pPr>
        <w:pStyle w:val="FootnoteText"/>
      </w:pPr>
      <w:r>
        <w:rPr>
          <w:rStyle w:val="FootnoteReference"/>
        </w:rPr>
        <w:footnoteRef/>
      </w:r>
      <w:r w:rsidRPr="00622DE4">
        <w:tab/>
        <w:t xml:space="preserve">Verordening (EU) </w:t>
      </w:r>
      <w:r w:rsidRPr="00160A33">
        <w:t>2022</w:t>
      </w:r>
      <w:r w:rsidRPr="00622DE4">
        <w:t>/</w:t>
      </w:r>
      <w:r w:rsidRPr="00160A33">
        <w:t>2372</w:t>
      </w:r>
      <w:r w:rsidRPr="00622DE4">
        <w:t xml:space="preserve"> van de Raad van </w:t>
      </w:r>
      <w:r w:rsidRPr="00160A33">
        <w:t>24</w:t>
      </w:r>
      <w:r w:rsidRPr="00622DE4">
        <w:t xml:space="preserve"> oktober </w:t>
      </w:r>
      <w:r w:rsidRPr="00160A33">
        <w:t>2022</w:t>
      </w:r>
      <w:r w:rsidRPr="00622DE4">
        <w:t xml:space="preserve"> betreffende een kader van maatregelen ter waarborging van de levering van in een crisissituatie relevante medische tegenmaatregelen in geval van een noodsituatie op het gebied van de volksgezondheid op Unieniveau (PB L </w:t>
      </w:r>
      <w:r w:rsidRPr="00160A33">
        <w:t>314</w:t>
      </w:r>
      <w:r w:rsidRPr="00622DE4">
        <w:t xml:space="preserve"> van </w:t>
      </w:r>
      <w:r w:rsidRPr="00160A33">
        <w:t>6</w:t>
      </w:r>
      <w:r w:rsidRPr="00622DE4">
        <w:t>.</w:t>
      </w:r>
      <w:r w:rsidRPr="00160A33">
        <w:t>12</w:t>
      </w:r>
      <w:r w:rsidRPr="00622DE4">
        <w:t>.</w:t>
      </w:r>
      <w:r w:rsidRPr="00160A33">
        <w:t>2022</w:t>
      </w:r>
      <w:r w:rsidRPr="00622DE4">
        <w:t>, blz. </w:t>
      </w:r>
      <w:r w:rsidRPr="00160A33">
        <w:t>64</w:t>
      </w:r>
      <w:r w:rsidRPr="00622DE4">
        <w:t xml:space="preserve">, ELI: </w:t>
      </w:r>
      <w:hyperlink r:id="rId73" w:tooltip="Geeft toegang tot dit document via de ELI URI." w:history="1">
        <w:r w:rsidRPr="00622DE4">
          <w:rPr>
            <w:color w:val="23527C"/>
            <w:u w:val="single"/>
            <w:shd w:val="clear" w:color="auto" w:fill="FFFFFF"/>
          </w:rPr>
          <w:t>http://data.europa.eu/eli/reg/</w:t>
        </w:r>
        <w:r w:rsidRPr="00160A33">
          <w:rPr>
            <w:color w:val="23527C"/>
            <w:u w:val="single"/>
            <w:shd w:val="clear" w:color="auto" w:fill="FFFFFF"/>
          </w:rPr>
          <w:t>2022</w:t>
        </w:r>
        <w:r w:rsidRPr="00622DE4">
          <w:rPr>
            <w:color w:val="23527C"/>
            <w:u w:val="single"/>
            <w:shd w:val="clear" w:color="auto" w:fill="FFFFFF"/>
          </w:rPr>
          <w:t>/</w:t>
        </w:r>
        <w:r w:rsidRPr="00160A33">
          <w:rPr>
            <w:color w:val="23527C"/>
            <w:u w:val="single"/>
            <w:shd w:val="clear" w:color="auto" w:fill="FFFFFF"/>
          </w:rPr>
          <w:t>2372</w:t>
        </w:r>
        <w:r w:rsidRPr="00622DE4">
          <w:rPr>
            <w:color w:val="23527C"/>
            <w:u w:val="single"/>
            <w:shd w:val="clear" w:color="auto" w:fill="FFFFFF"/>
          </w:rPr>
          <w:t>/oj</w:t>
        </w:r>
      </w:hyperlink>
      <w:r w:rsidRPr="00622DE4">
        <w:t>).</w:t>
      </w:r>
    </w:p>
  </w:footnote>
  <w:footnote w:id="79">
    <w:p w14:paraId="57460ECC" w14:textId="0EDD5D28" w:rsidR="00917777" w:rsidRPr="005D0E22" w:rsidRDefault="00917777" w:rsidP="00917777">
      <w:pPr>
        <w:pStyle w:val="FootnoteText"/>
        <w:rPr>
          <w:lang w:val="en-IE"/>
        </w:rPr>
      </w:pPr>
      <w:r>
        <w:rPr>
          <w:rStyle w:val="FootnoteReference"/>
        </w:rPr>
        <w:footnoteRef/>
      </w:r>
      <w:r w:rsidRPr="00622DE4">
        <w:tab/>
        <w:t>Verordening (EU) .../... van het Europees Parlement en de Raad tot vaststelling van procedures van de Unie voor het verlenen van vergunningen en het toezicht met betrekking tot geneesmiddelen voor menselijk gebruik en tot vaststelling van regels voor het Europees Geneesmiddelenbureau, tot wijziging van Verordening (EG) nr.</w:t>
      </w:r>
      <w:r w:rsidR="00C30615">
        <w:t> </w:t>
      </w:r>
      <w:r w:rsidRPr="00160A33">
        <w:t>1394</w:t>
      </w:r>
      <w:r w:rsidRPr="00622DE4">
        <w:t>/</w:t>
      </w:r>
      <w:r w:rsidRPr="00160A33">
        <w:t>2007</w:t>
      </w:r>
      <w:r w:rsidRPr="00622DE4">
        <w:t xml:space="preserve"> en Verordening (EU) nr.</w:t>
      </w:r>
      <w:r w:rsidR="00C30615">
        <w:t> </w:t>
      </w:r>
      <w:r w:rsidRPr="00160A33">
        <w:t>536</w:t>
      </w:r>
      <w:r w:rsidRPr="00622DE4">
        <w:t>/</w:t>
      </w:r>
      <w:r w:rsidRPr="00160A33">
        <w:t>2014</w:t>
      </w:r>
      <w:r w:rsidRPr="00622DE4">
        <w:t xml:space="preserve"> en tot intrekking van Verordening (EG) nr.</w:t>
      </w:r>
      <w:r w:rsidR="00C30615">
        <w:t> </w:t>
      </w:r>
      <w:r w:rsidRPr="00160A33">
        <w:t>726</w:t>
      </w:r>
      <w:r w:rsidRPr="00622DE4">
        <w:t>/</w:t>
      </w:r>
      <w:r w:rsidRPr="00160A33">
        <w:t>2004</w:t>
      </w:r>
      <w:r w:rsidRPr="00622DE4">
        <w:t>, Verordening (EG) nr.</w:t>
      </w:r>
      <w:r w:rsidR="00C30615">
        <w:t> </w:t>
      </w:r>
      <w:r w:rsidRPr="00160A33">
        <w:t>141</w:t>
      </w:r>
      <w:r w:rsidRPr="00622DE4">
        <w:t>/</w:t>
      </w:r>
      <w:r w:rsidRPr="00160A33">
        <w:t>2000</w:t>
      </w:r>
      <w:r w:rsidRPr="00622DE4">
        <w:t xml:space="preserve"> en Verordening (EG) nr.</w:t>
      </w:r>
      <w:r w:rsidR="008D2355">
        <w:t> </w:t>
      </w:r>
      <w:r w:rsidRPr="00160A33">
        <w:t>1901</w:t>
      </w:r>
      <w:r w:rsidRPr="00622DE4">
        <w:t>/</w:t>
      </w:r>
      <w:r w:rsidRPr="00160A33">
        <w:t>2006</w:t>
      </w:r>
      <w:r w:rsidRPr="00622DE4">
        <w:t xml:space="preserve"> (PB ...) </w:t>
      </w:r>
      <w:r w:rsidRPr="005D0E22">
        <w:rPr>
          <w:i/>
          <w:lang w:val="en-IE"/>
        </w:rPr>
        <w:t>[D.G.: Title according to COM(</w:t>
      </w:r>
      <w:r w:rsidRPr="00160A33">
        <w:rPr>
          <w:i/>
          <w:lang w:val="en-IE"/>
        </w:rPr>
        <w:t>2023</w:t>
      </w:r>
      <w:r w:rsidRPr="005D0E22">
        <w:rPr>
          <w:i/>
          <w:lang w:val="en-IE"/>
        </w:rPr>
        <w:t xml:space="preserve">) </w:t>
      </w:r>
      <w:r w:rsidRPr="00160A33">
        <w:rPr>
          <w:i/>
          <w:lang w:val="en-IE"/>
        </w:rPr>
        <w:t>193</w:t>
      </w:r>
      <w:r w:rsidRPr="005D0E22">
        <w:rPr>
          <w:i/>
          <w:lang w:val="en-IE"/>
        </w:rPr>
        <w:t xml:space="preserve"> final. Please check against latest version of this draft Regulation]</w:t>
      </w:r>
      <w:r w:rsidRPr="005D0E22">
        <w:rPr>
          <w:lang w:val="en-IE"/>
        </w:rPr>
        <w:t>.</w:t>
      </w:r>
    </w:p>
  </w:footnote>
  <w:footnote w:id="80">
    <w:p w14:paraId="35B27A75" w14:textId="5DF192B1" w:rsidR="00917777" w:rsidRPr="00622DE4" w:rsidRDefault="00917777" w:rsidP="00917777">
      <w:pPr>
        <w:pStyle w:val="FootnoteText"/>
      </w:pPr>
      <w:r>
        <w:rPr>
          <w:rStyle w:val="FootnoteReference"/>
        </w:rPr>
        <w:footnoteRef/>
      </w:r>
      <w:r w:rsidRPr="00622DE4">
        <w:tab/>
        <w:t>Richtlijn</w:t>
      </w:r>
      <w:r w:rsidR="005B5205">
        <w:t xml:space="preserve"> </w:t>
      </w:r>
      <w:r w:rsidRPr="00160A33">
        <w:t>92</w:t>
      </w:r>
      <w:r w:rsidRPr="00622DE4">
        <w:t>/</w:t>
      </w:r>
      <w:r w:rsidRPr="00160A33">
        <w:t>43</w:t>
      </w:r>
      <w:r w:rsidRPr="00622DE4">
        <w:t xml:space="preserve">/EEG van de Raad van </w:t>
      </w:r>
      <w:r w:rsidRPr="00160A33">
        <w:t>21</w:t>
      </w:r>
      <w:r w:rsidRPr="00622DE4">
        <w:t xml:space="preserve"> mei </w:t>
      </w:r>
      <w:r w:rsidRPr="00160A33">
        <w:t>1992</w:t>
      </w:r>
      <w:r w:rsidRPr="00622DE4">
        <w:t xml:space="preserve"> inzake de instandhouding van de natuurlijke habitats en de wilde flora en fauna (PB L </w:t>
      </w:r>
      <w:r w:rsidRPr="00160A33">
        <w:t>206</w:t>
      </w:r>
      <w:r w:rsidRPr="00622DE4">
        <w:t xml:space="preserve"> van </w:t>
      </w:r>
      <w:r w:rsidRPr="00160A33">
        <w:t>22</w:t>
      </w:r>
      <w:r w:rsidRPr="00622DE4">
        <w:t>.</w:t>
      </w:r>
      <w:r w:rsidRPr="00160A33">
        <w:t>7</w:t>
      </w:r>
      <w:r w:rsidRPr="00622DE4">
        <w:t>.</w:t>
      </w:r>
      <w:r w:rsidRPr="00160A33">
        <w:t>1992</w:t>
      </w:r>
      <w:r w:rsidRPr="00622DE4">
        <w:t>, blz. </w:t>
      </w:r>
      <w:r w:rsidRPr="00160A33">
        <w:t>7</w:t>
      </w:r>
      <w:r w:rsidRPr="00622DE4">
        <w:t>, ELI: http://data.europa.eu/eli/dir/</w:t>
      </w:r>
      <w:r w:rsidRPr="00160A33">
        <w:t>1992</w:t>
      </w:r>
      <w:r w:rsidRPr="00622DE4">
        <w:t>/</w:t>
      </w:r>
      <w:r w:rsidRPr="00160A33">
        <w:t>43</w:t>
      </w:r>
      <w:r w:rsidRPr="00622DE4">
        <w:t>/oj).</w:t>
      </w:r>
    </w:p>
  </w:footnote>
  <w:footnote w:id="81">
    <w:p w14:paraId="1B10A5E2" w14:textId="77777777" w:rsidR="00917777" w:rsidRPr="00622DE4" w:rsidRDefault="00917777" w:rsidP="00917777">
      <w:pPr>
        <w:pStyle w:val="FootnoteText"/>
      </w:pPr>
      <w:r>
        <w:rPr>
          <w:rStyle w:val="FootnoteReference"/>
        </w:rPr>
        <w:footnoteRef/>
      </w:r>
      <w:r w:rsidRPr="00622DE4">
        <w:tab/>
        <w:t xml:space="preserve">Richtlijn </w:t>
      </w:r>
      <w:r w:rsidRPr="00160A33">
        <w:t>2000</w:t>
      </w:r>
      <w:r w:rsidRPr="00622DE4">
        <w:t>/</w:t>
      </w:r>
      <w:r w:rsidRPr="00160A33">
        <w:t>60</w:t>
      </w:r>
      <w:r w:rsidRPr="00622DE4">
        <w:t xml:space="preserve">/EG van het Europees Parlement en de Raad van </w:t>
      </w:r>
      <w:r w:rsidRPr="00160A33">
        <w:t>23</w:t>
      </w:r>
      <w:r w:rsidRPr="00622DE4">
        <w:t xml:space="preserve"> oktober </w:t>
      </w:r>
      <w:r w:rsidRPr="00160A33">
        <w:t>2000</w:t>
      </w:r>
      <w:r w:rsidRPr="00622DE4">
        <w:t xml:space="preserve"> tot vaststelling van een kader voor communautaire maatregelen betreffende het waterbeleid (PB L </w:t>
      </w:r>
      <w:r w:rsidRPr="00160A33">
        <w:t>327</w:t>
      </w:r>
      <w:r w:rsidRPr="00622DE4">
        <w:t xml:space="preserve"> van </w:t>
      </w:r>
      <w:r w:rsidRPr="00160A33">
        <w:t>22</w:t>
      </w:r>
      <w:r w:rsidRPr="00622DE4">
        <w:t>.</w:t>
      </w:r>
      <w:r w:rsidRPr="00160A33">
        <w:t>12</w:t>
      </w:r>
      <w:r w:rsidRPr="00622DE4">
        <w:t>.</w:t>
      </w:r>
      <w:r w:rsidRPr="00160A33">
        <w:t>2000</w:t>
      </w:r>
      <w:r w:rsidRPr="00622DE4">
        <w:t>, blz. </w:t>
      </w:r>
      <w:r w:rsidRPr="00160A33">
        <w:t>1</w:t>
      </w:r>
      <w:r w:rsidRPr="00622DE4">
        <w:t>, ELI: http://data.europa.eu/eli/dir/</w:t>
      </w:r>
      <w:r w:rsidRPr="00160A33">
        <w:t>2000</w:t>
      </w:r>
      <w:r w:rsidRPr="00622DE4">
        <w:t>/</w:t>
      </w:r>
      <w:r w:rsidRPr="00160A33">
        <w:t>60</w:t>
      </w:r>
      <w:r w:rsidRPr="00622DE4">
        <w:t>/oj).</w:t>
      </w:r>
    </w:p>
  </w:footnote>
  <w:footnote w:id="82">
    <w:p w14:paraId="68B89E99" w14:textId="77777777" w:rsidR="00917777" w:rsidRPr="00622DE4" w:rsidRDefault="00917777" w:rsidP="00917777">
      <w:pPr>
        <w:pStyle w:val="FootnoteText"/>
      </w:pPr>
      <w:r>
        <w:rPr>
          <w:rStyle w:val="FootnoteReference"/>
        </w:rPr>
        <w:footnoteRef/>
      </w:r>
      <w:r w:rsidRPr="00622DE4">
        <w:tab/>
        <w:t xml:space="preserve">Richtlijn </w:t>
      </w:r>
      <w:r w:rsidRPr="00160A33">
        <w:t>2001</w:t>
      </w:r>
      <w:r w:rsidRPr="00622DE4">
        <w:t>/</w:t>
      </w:r>
      <w:r w:rsidRPr="00160A33">
        <w:t>42</w:t>
      </w:r>
      <w:r w:rsidRPr="00622DE4">
        <w:t xml:space="preserve">/EG van het Europees Parlement en de Raad van </w:t>
      </w:r>
      <w:r w:rsidRPr="00160A33">
        <w:t>27</w:t>
      </w:r>
      <w:r w:rsidRPr="00622DE4">
        <w:t xml:space="preserve"> juni </w:t>
      </w:r>
      <w:r w:rsidRPr="00160A33">
        <w:t>2001</w:t>
      </w:r>
      <w:r w:rsidRPr="00622DE4">
        <w:t xml:space="preserve"> betreffende de beoordeling van de gevolgen voor het milieu van bepaalde plannen en programma’s (PB L </w:t>
      </w:r>
      <w:r w:rsidRPr="00160A33">
        <w:t>197</w:t>
      </w:r>
      <w:r w:rsidRPr="00622DE4">
        <w:t xml:space="preserve"> van </w:t>
      </w:r>
      <w:r w:rsidRPr="00160A33">
        <w:t>21</w:t>
      </w:r>
      <w:r w:rsidRPr="00622DE4">
        <w:t>.</w:t>
      </w:r>
      <w:r w:rsidRPr="00160A33">
        <w:t>7</w:t>
      </w:r>
      <w:r w:rsidRPr="00622DE4">
        <w:t>.</w:t>
      </w:r>
      <w:r w:rsidRPr="00160A33">
        <w:t>2001</w:t>
      </w:r>
      <w:r w:rsidRPr="00622DE4">
        <w:t>, blz. </w:t>
      </w:r>
      <w:r w:rsidRPr="00160A33">
        <w:t>30</w:t>
      </w:r>
      <w:r w:rsidRPr="00622DE4">
        <w:t>, ELI: http://data.europa.eu/eli/dir/</w:t>
      </w:r>
      <w:r w:rsidRPr="00160A33">
        <w:t>2001</w:t>
      </w:r>
      <w:r w:rsidRPr="00622DE4">
        <w:t>/</w:t>
      </w:r>
      <w:r w:rsidRPr="00160A33">
        <w:t>42</w:t>
      </w:r>
      <w:r w:rsidRPr="00622DE4">
        <w:t>/oj).</w:t>
      </w:r>
    </w:p>
  </w:footnote>
  <w:footnote w:id="83">
    <w:p w14:paraId="0DA94913" w14:textId="77777777" w:rsidR="00917777" w:rsidRPr="00622DE4" w:rsidRDefault="00917777" w:rsidP="00917777">
      <w:pPr>
        <w:pStyle w:val="FootnoteText"/>
      </w:pPr>
      <w:r>
        <w:rPr>
          <w:rStyle w:val="FootnoteReference"/>
        </w:rPr>
        <w:footnoteRef/>
      </w:r>
      <w:r w:rsidRPr="00622DE4">
        <w:tab/>
        <w:t xml:space="preserve">Richtlijn </w:t>
      </w:r>
      <w:r w:rsidRPr="00160A33">
        <w:t>2008</w:t>
      </w:r>
      <w:r w:rsidRPr="00622DE4">
        <w:t>/</w:t>
      </w:r>
      <w:r w:rsidRPr="00160A33">
        <w:t>98</w:t>
      </w:r>
      <w:r w:rsidRPr="00622DE4">
        <w:t xml:space="preserve">/EG van het Europees Parlement en de Raad van </w:t>
      </w:r>
      <w:r w:rsidRPr="00160A33">
        <w:t>19</w:t>
      </w:r>
      <w:r w:rsidRPr="00622DE4">
        <w:t xml:space="preserve"> november </w:t>
      </w:r>
      <w:r w:rsidRPr="00160A33">
        <w:t>2008</w:t>
      </w:r>
      <w:r w:rsidRPr="00622DE4">
        <w:t xml:space="preserve"> betreffende afvalstoffen en tot intrekking van een aantal richtlijnen (PB L </w:t>
      </w:r>
      <w:r w:rsidRPr="00160A33">
        <w:t>312</w:t>
      </w:r>
      <w:r w:rsidRPr="00622DE4">
        <w:t xml:space="preserve"> van </w:t>
      </w:r>
      <w:r w:rsidRPr="00160A33">
        <w:t>22</w:t>
      </w:r>
      <w:r w:rsidRPr="00622DE4">
        <w:t>.</w:t>
      </w:r>
      <w:r w:rsidRPr="00160A33">
        <w:t>11</w:t>
      </w:r>
      <w:r w:rsidRPr="00622DE4">
        <w:t>.</w:t>
      </w:r>
      <w:r w:rsidRPr="00160A33">
        <w:t>2008</w:t>
      </w:r>
      <w:r w:rsidRPr="00622DE4">
        <w:t>, blz. </w:t>
      </w:r>
      <w:r w:rsidRPr="00160A33">
        <w:t>3</w:t>
      </w:r>
      <w:r w:rsidRPr="00622DE4">
        <w:t>, ELI: http://data.europa.eu/eli/dir/</w:t>
      </w:r>
      <w:r w:rsidRPr="00160A33">
        <w:t>2008</w:t>
      </w:r>
      <w:r w:rsidRPr="00622DE4">
        <w:t>/</w:t>
      </w:r>
      <w:r w:rsidRPr="00160A33">
        <w:t>98</w:t>
      </w:r>
      <w:r w:rsidRPr="00622DE4">
        <w:t>/oj).</w:t>
      </w:r>
    </w:p>
  </w:footnote>
  <w:footnote w:id="84">
    <w:p w14:paraId="32650A30" w14:textId="77777777" w:rsidR="00917777" w:rsidRPr="00622DE4" w:rsidRDefault="00917777" w:rsidP="00917777">
      <w:pPr>
        <w:pStyle w:val="FootnoteText"/>
      </w:pPr>
      <w:r>
        <w:rPr>
          <w:rStyle w:val="FootnoteReference"/>
        </w:rPr>
        <w:footnoteRef/>
      </w:r>
      <w:r w:rsidRPr="00622DE4">
        <w:tab/>
        <w:t xml:space="preserve">Richtlijn </w:t>
      </w:r>
      <w:r w:rsidRPr="00160A33">
        <w:t>2009</w:t>
      </w:r>
      <w:r w:rsidRPr="00622DE4">
        <w:t>/</w:t>
      </w:r>
      <w:r w:rsidRPr="00160A33">
        <w:t>147</w:t>
      </w:r>
      <w:r w:rsidRPr="00622DE4">
        <w:t xml:space="preserve">/EG van het Europees Parlement en de Raad van </w:t>
      </w:r>
      <w:r w:rsidRPr="00160A33">
        <w:t>30</w:t>
      </w:r>
      <w:r w:rsidRPr="00622DE4">
        <w:t xml:space="preserve"> november </w:t>
      </w:r>
      <w:r w:rsidRPr="00160A33">
        <w:t>2009</w:t>
      </w:r>
      <w:r w:rsidRPr="00622DE4">
        <w:t xml:space="preserve"> inzake het behoud van de vogelstand (PB L </w:t>
      </w:r>
      <w:r w:rsidRPr="00160A33">
        <w:t>20</w:t>
      </w:r>
      <w:r w:rsidRPr="00622DE4">
        <w:t xml:space="preserve"> van </w:t>
      </w:r>
      <w:r w:rsidRPr="00160A33">
        <w:t>26</w:t>
      </w:r>
      <w:r w:rsidRPr="00622DE4">
        <w:t>.</w:t>
      </w:r>
      <w:r w:rsidRPr="00160A33">
        <w:t>1</w:t>
      </w:r>
      <w:r w:rsidRPr="00622DE4">
        <w:t>.</w:t>
      </w:r>
      <w:r w:rsidRPr="00160A33">
        <w:t>2010</w:t>
      </w:r>
      <w:r w:rsidRPr="00622DE4">
        <w:t>, blz. </w:t>
      </w:r>
      <w:r w:rsidRPr="00160A33">
        <w:t>7</w:t>
      </w:r>
      <w:r w:rsidRPr="00622DE4">
        <w:t>, ELI: http://data.europa.eu/eli/dir/</w:t>
      </w:r>
      <w:r w:rsidRPr="00160A33">
        <w:t>2009</w:t>
      </w:r>
      <w:r w:rsidRPr="00622DE4">
        <w:t>/</w:t>
      </w:r>
      <w:r w:rsidRPr="00160A33">
        <w:t>147</w:t>
      </w:r>
      <w:r w:rsidRPr="00622DE4">
        <w:t>/oj).</w:t>
      </w:r>
    </w:p>
  </w:footnote>
  <w:footnote w:id="85">
    <w:p w14:paraId="69449453" w14:textId="5B40AB4C" w:rsidR="00917777" w:rsidRPr="00622DE4" w:rsidRDefault="00917777" w:rsidP="00917777">
      <w:pPr>
        <w:pStyle w:val="FootnoteText"/>
      </w:pPr>
      <w:r>
        <w:rPr>
          <w:rStyle w:val="FootnoteReference"/>
        </w:rPr>
        <w:footnoteRef/>
      </w:r>
      <w:r w:rsidRPr="00622DE4">
        <w:tab/>
        <w:t xml:space="preserve">Richtlijn </w:t>
      </w:r>
      <w:r w:rsidRPr="00160A33">
        <w:t>2010</w:t>
      </w:r>
      <w:r w:rsidRPr="00622DE4">
        <w:t>/</w:t>
      </w:r>
      <w:r w:rsidRPr="00160A33">
        <w:t>75</w:t>
      </w:r>
      <w:r w:rsidRPr="00622DE4">
        <w:t xml:space="preserve">/EU van het Europees Parlement en de Raad van </w:t>
      </w:r>
      <w:r w:rsidRPr="00160A33">
        <w:t>24</w:t>
      </w:r>
      <w:r w:rsidR="005B5205">
        <w:t> </w:t>
      </w:r>
      <w:r w:rsidRPr="00622DE4">
        <w:t>november </w:t>
      </w:r>
      <w:r w:rsidRPr="00160A33">
        <w:t>2010</w:t>
      </w:r>
      <w:r w:rsidRPr="00622DE4">
        <w:t xml:space="preserve"> inzake industriële emissies (geïntegreerde preventie en bestrijding van verontreiniging) (PB L </w:t>
      </w:r>
      <w:r w:rsidRPr="00160A33">
        <w:t>334</w:t>
      </w:r>
      <w:r w:rsidRPr="00622DE4">
        <w:t xml:space="preserve"> van </w:t>
      </w:r>
      <w:r w:rsidRPr="00160A33">
        <w:t>17</w:t>
      </w:r>
      <w:r w:rsidRPr="00622DE4">
        <w:t>.</w:t>
      </w:r>
      <w:r w:rsidRPr="00160A33">
        <w:t>12</w:t>
      </w:r>
      <w:r w:rsidRPr="00622DE4">
        <w:t>.</w:t>
      </w:r>
      <w:r w:rsidRPr="00160A33">
        <w:t>2010</w:t>
      </w:r>
      <w:r w:rsidRPr="00622DE4">
        <w:t>, blz. </w:t>
      </w:r>
      <w:r w:rsidRPr="00160A33">
        <w:t>17</w:t>
      </w:r>
      <w:r w:rsidRPr="00622DE4">
        <w:t>, ELI: http://data.europa.eu/eli/dir/</w:t>
      </w:r>
      <w:r w:rsidRPr="00160A33">
        <w:t>2010</w:t>
      </w:r>
      <w:r w:rsidRPr="00622DE4">
        <w:t>/</w:t>
      </w:r>
      <w:r w:rsidRPr="00160A33">
        <w:t>75</w:t>
      </w:r>
      <w:r w:rsidRPr="00622DE4">
        <w:t>/oj).</w:t>
      </w:r>
    </w:p>
  </w:footnote>
  <w:footnote w:id="86">
    <w:p w14:paraId="06FB1989" w14:textId="77777777" w:rsidR="00917777" w:rsidRPr="00622DE4" w:rsidRDefault="00917777" w:rsidP="00917777">
      <w:pPr>
        <w:pStyle w:val="FootnoteText"/>
      </w:pPr>
      <w:r>
        <w:rPr>
          <w:rStyle w:val="FootnoteReference"/>
        </w:rPr>
        <w:footnoteRef/>
      </w:r>
      <w:r w:rsidRPr="00622DE4">
        <w:tab/>
        <w:t xml:space="preserve">Richtlijn </w:t>
      </w:r>
      <w:r w:rsidRPr="00160A33">
        <w:t>2011</w:t>
      </w:r>
      <w:r w:rsidRPr="00622DE4">
        <w:t>/</w:t>
      </w:r>
      <w:r w:rsidRPr="00160A33">
        <w:t>92</w:t>
      </w:r>
      <w:r w:rsidRPr="00622DE4">
        <w:t xml:space="preserve">/EU van het Europees Parlement en de Raad van </w:t>
      </w:r>
      <w:r w:rsidRPr="00160A33">
        <w:t>13</w:t>
      </w:r>
      <w:r w:rsidRPr="00622DE4">
        <w:t xml:space="preserve"> december </w:t>
      </w:r>
      <w:r w:rsidRPr="00160A33">
        <w:t>2011</w:t>
      </w:r>
      <w:r w:rsidRPr="00622DE4">
        <w:t xml:space="preserve"> betreffende de milieueffectbeoordeling van bepaalde openbare en particuliere projecten (PB L </w:t>
      </w:r>
      <w:r w:rsidRPr="00160A33">
        <w:t>26</w:t>
      </w:r>
      <w:r w:rsidRPr="00622DE4">
        <w:t xml:space="preserve"> van </w:t>
      </w:r>
      <w:r w:rsidRPr="00160A33">
        <w:t>28</w:t>
      </w:r>
      <w:r w:rsidRPr="00622DE4">
        <w:t>.</w:t>
      </w:r>
      <w:r w:rsidRPr="00160A33">
        <w:t>1</w:t>
      </w:r>
      <w:r w:rsidRPr="00622DE4">
        <w:t>.</w:t>
      </w:r>
      <w:r w:rsidRPr="00160A33">
        <w:t>2012</w:t>
      </w:r>
      <w:r w:rsidRPr="00622DE4">
        <w:t>, blz. </w:t>
      </w:r>
      <w:r w:rsidRPr="00160A33">
        <w:t>1</w:t>
      </w:r>
      <w:r w:rsidRPr="00622DE4">
        <w:t>, ELI: http://data.europa.eu/eli/dir/</w:t>
      </w:r>
      <w:r w:rsidRPr="00160A33">
        <w:t>2011</w:t>
      </w:r>
      <w:r w:rsidRPr="00622DE4">
        <w:t>/</w:t>
      </w:r>
      <w:r w:rsidRPr="00160A33">
        <w:t>92</w:t>
      </w:r>
      <w:r w:rsidRPr="00622DE4">
        <w:t>/oj).</w:t>
      </w:r>
    </w:p>
  </w:footnote>
  <w:footnote w:id="87">
    <w:p w14:paraId="6A0F4707" w14:textId="09B10365" w:rsidR="00917777" w:rsidRPr="00622DE4" w:rsidRDefault="00917777" w:rsidP="00917777">
      <w:pPr>
        <w:pStyle w:val="FootnoteText"/>
      </w:pPr>
      <w:r>
        <w:rPr>
          <w:rStyle w:val="FootnoteReference"/>
        </w:rPr>
        <w:footnoteRef/>
      </w:r>
      <w:r w:rsidRPr="00622DE4">
        <w:tab/>
        <w:t xml:space="preserve">Richtlijn </w:t>
      </w:r>
      <w:r w:rsidRPr="00160A33">
        <w:t>2012</w:t>
      </w:r>
      <w:r w:rsidRPr="00622DE4">
        <w:t>/</w:t>
      </w:r>
      <w:r w:rsidRPr="00160A33">
        <w:t>18</w:t>
      </w:r>
      <w:r w:rsidRPr="00622DE4">
        <w:t xml:space="preserve">/EU van het Europees Parlement en de Raad van </w:t>
      </w:r>
      <w:r w:rsidRPr="00160A33">
        <w:t>4</w:t>
      </w:r>
      <w:r w:rsidRPr="00622DE4">
        <w:t xml:space="preserve"> juli </w:t>
      </w:r>
      <w:r w:rsidRPr="00160A33">
        <w:t>2012</w:t>
      </w:r>
      <w:r w:rsidRPr="00622DE4">
        <w:t xml:space="preserve"> betreffende de beheersing van de gevaren van zware ongevallen waarbij gevaarlijke stoffen zijn betrokken, houdende wijziging en vervolgens intrekking van Richtlijn</w:t>
      </w:r>
      <w:r w:rsidR="005B5205">
        <w:t xml:space="preserve"> </w:t>
      </w:r>
      <w:r w:rsidRPr="00160A33">
        <w:t>96</w:t>
      </w:r>
      <w:r w:rsidRPr="00622DE4">
        <w:t>/</w:t>
      </w:r>
      <w:r w:rsidRPr="00160A33">
        <w:t>82</w:t>
      </w:r>
      <w:r w:rsidRPr="00622DE4">
        <w:t>/EG van de Raad (PB L </w:t>
      </w:r>
      <w:r w:rsidRPr="00160A33">
        <w:t>197</w:t>
      </w:r>
      <w:r w:rsidRPr="00622DE4">
        <w:t xml:space="preserve"> van </w:t>
      </w:r>
      <w:r w:rsidRPr="00160A33">
        <w:t>24</w:t>
      </w:r>
      <w:r w:rsidRPr="00622DE4">
        <w:t>.</w:t>
      </w:r>
      <w:r w:rsidRPr="00160A33">
        <w:t>7</w:t>
      </w:r>
      <w:r w:rsidRPr="00622DE4">
        <w:t>.</w:t>
      </w:r>
      <w:r w:rsidRPr="00160A33">
        <w:t>2012</w:t>
      </w:r>
      <w:r w:rsidRPr="00622DE4">
        <w:t>, blz. </w:t>
      </w:r>
      <w:r w:rsidRPr="00160A33">
        <w:t>1</w:t>
      </w:r>
      <w:r w:rsidRPr="00622DE4">
        <w:t>, ELI: http://data.europa.eu/eli/dir/</w:t>
      </w:r>
      <w:r w:rsidRPr="00160A33">
        <w:t>2012</w:t>
      </w:r>
      <w:r w:rsidRPr="00622DE4">
        <w:t>/</w:t>
      </w:r>
      <w:r w:rsidRPr="00160A33">
        <w:t>18</w:t>
      </w:r>
      <w:r w:rsidRPr="00622DE4">
        <w:t>/oj).</w:t>
      </w:r>
    </w:p>
  </w:footnote>
  <w:footnote w:id="88">
    <w:p w14:paraId="6724C277" w14:textId="77777777" w:rsidR="00917777" w:rsidRPr="00622DE4" w:rsidRDefault="00917777" w:rsidP="00917777">
      <w:pPr>
        <w:pStyle w:val="FootnoteText"/>
      </w:pPr>
      <w:r>
        <w:rPr>
          <w:rStyle w:val="FootnoteReference"/>
        </w:rPr>
        <w:footnoteRef/>
      </w:r>
      <w:r w:rsidRPr="00622DE4">
        <w:tab/>
        <w:t xml:space="preserve">Richtlijn </w:t>
      </w:r>
      <w:r w:rsidRPr="00160A33">
        <w:t>2014</w:t>
      </w:r>
      <w:r w:rsidRPr="00622DE4">
        <w:t>/</w:t>
      </w:r>
      <w:r w:rsidRPr="00160A33">
        <w:t>89</w:t>
      </w:r>
      <w:r w:rsidRPr="00622DE4">
        <w:t xml:space="preserve">/EU van het Europees Parlement en de Raad van </w:t>
      </w:r>
      <w:r w:rsidRPr="00160A33">
        <w:t>23</w:t>
      </w:r>
      <w:r w:rsidRPr="00622DE4">
        <w:t xml:space="preserve"> juli </w:t>
      </w:r>
      <w:r w:rsidRPr="00160A33">
        <w:t>2014</w:t>
      </w:r>
      <w:r w:rsidRPr="00622DE4">
        <w:t xml:space="preserve"> tot vaststelling van een kader voor maritieme ruimtelijke planning (PB L </w:t>
      </w:r>
      <w:r w:rsidRPr="00160A33">
        <w:t>257</w:t>
      </w:r>
      <w:r w:rsidRPr="00622DE4">
        <w:t xml:space="preserve"> van </w:t>
      </w:r>
      <w:r w:rsidRPr="00160A33">
        <w:t>28</w:t>
      </w:r>
      <w:r w:rsidRPr="00622DE4">
        <w:t>.</w:t>
      </w:r>
      <w:r w:rsidRPr="00160A33">
        <w:t>8</w:t>
      </w:r>
      <w:r w:rsidRPr="00622DE4">
        <w:t>.</w:t>
      </w:r>
      <w:r w:rsidRPr="00160A33">
        <w:t>2014</w:t>
      </w:r>
      <w:r w:rsidRPr="00622DE4">
        <w:t>, blz. </w:t>
      </w:r>
      <w:r w:rsidRPr="00160A33">
        <w:t>135</w:t>
      </w:r>
      <w:r w:rsidRPr="00622DE4">
        <w:t>, ELI: http://data.europa.eu/eli/dir/</w:t>
      </w:r>
      <w:r w:rsidRPr="00160A33">
        <w:t>2014</w:t>
      </w:r>
      <w:r w:rsidRPr="00622DE4">
        <w:t>/</w:t>
      </w:r>
      <w:r w:rsidRPr="00160A33">
        <w:t>89</w:t>
      </w:r>
      <w:r w:rsidRPr="00622DE4">
        <w:t>/oj).</w:t>
      </w:r>
    </w:p>
  </w:footnote>
  <w:footnote w:id="89">
    <w:p w14:paraId="084530CA" w14:textId="377F6CC4" w:rsidR="00917777" w:rsidRPr="00622DE4" w:rsidRDefault="00917777" w:rsidP="00917777">
      <w:pPr>
        <w:pStyle w:val="FootnoteText"/>
      </w:pPr>
      <w:r>
        <w:rPr>
          <w:rStyle w:val="FootnoteReference"/>
        </w:rPr>
        <w:footnoteRef/>
      </w:r>
      <w:r w:rsidRPr="00622DE4">
        <w:tab/>
        <w:t xml:space="preserve">Verordening (EU, Euratom) </w:t>
      </w:r>
      <w:r w:rsidRPr="00160A33">
        <w:t>2020</w:t>
      </w:r>
      <w:r w:rsidRPr="00622DE4">
        <w:t>/</w:t>
      </w:r>
      <w:r w:rsidRPr="00160A33">
        <w:t>2093</w:t>
      </w:r>
      <w:r w:rsidRPr="00622DE4">
        <w:t xml:space="preserve"> van de Raad van </w:t>
      </w:r>
      <w:r w:rsidRPr="00160A33">
        <w:t>17</w:t>
      </w:r>
      <w:r w:rsidRPr="00622DE4">
        <w:t xml:space="preserve"> december </w:t>
      </w:r>
      <w:r w:rsidRPr="00160A33">
        <w:t>2020</w:t>
      </w:r>
      <w:r w:rsidRPr="00622DE4">
        <w:t xml:space="preserve"> tot bepaling van het meerjarig financieel kader voor de jaren </w:t>
      </w:r>
      <w:r w:rsidRPr="00160A33">
        <w:t>2021</w:t>
      </w:r>
      <w:r w:rsidRPr="00622DE4">
        <w:t>-</w:t>
      </w:r>
      <w:r w:rsidRPr="00160A33">
        <w:t>2027</w:t>
      </w:r>
      <w:r w:rsidRPr="00622DE4">
        <w:t>, zoals gewijzigd (PB L </w:t>
      </w:r>
      <w:r w:rsidRPr="00160A33">
        <w:t>433</w:t>
      </w:r>
      <w:r w:rsidRPr="00622DE4">
        <w:t xml:space="preserve">I van </w:t>
      </w:r>
      <w:r w:rsidRPr="00160A33">
        <w:t>22</w:t>
      </w:r>
      <w:r w:rsidRPr="00622DE4">
        <w:t>.</w:t>
      </w:r>
      <w:r w:rsidRPr="00160A33">
        <w:t>12</w:t>
      </w:r>
      <w:r w:rsidRPr="00622DE4">
        <w:t>.</w:t>
      </w:r>
      <w:r w:rsidRPr="00160A33">
        <w:t>2020</w:t>
      </w:r>
      <w:r w:rsidRPr="00622DE4">
        <w:t>, blz. </w:t>
      </w:r>
      <w:r w:rsidRPr="00160A33">
        <w:t>11</w:t>
      </w:r>
      <w:r w:rsidRPr="00622DE4">
        <w:t>, ELI:</w:t>
      </w:r>
      <w:r w:rsidR="005B5205">
        <w:rPr>
          <w:color w:val="333333"/>
          <w:sz w:val="21"/>
          <w:shd w:val="clear" w:color="auto" w:fill="FFFFFF"/>
        </w:rPr>
        <w:t xml:space="preserve"> </w:t>
      </w:r>
      <w:hyperlink r:id="rId74" w:history="1">
        <w:r w:rsidR="005B5205" w:rsidRPr="00B44E1D">
          <w:rPr>
            <w:rStyle w:val="Hyperlink"/>
            <w:sz w:val="21"/>
            <w:shd w:val="clear" w:color="auto" w:fill="FFFFFF"/>
          </w:rPr>
          <w:t>http://data.europa.eu/eli/reg/</w:t>
        </w:r>
        <w:r w:rsidR="005B5205" w:rsidRPr="00160A33">
          <w:rPr>
            <w:rStyle w:val="Hyperlink"/>
            <w:sz w:val="21"/>
            <w:shd w:val="clear" w:color="auto" w:fill="FFFFFF"/>
          </w:rPr>
          <w:t>2020</w:t>
        </w:r>
        <w:r w:rsidR="005B5205" w:rsidRPr="00B44E1D">
          <w:rPr>
            <w:rStyle w:val="Hyperlink"/>
            <w:sz w:val="21"/>
            <w:shd w:val="clear" w:color="auto" w:fill="FFFFFF"/>
          </w:rPr>
          <w:t>/</w:t>
        </w:r>
        <w:r w:rsidR="005B5205" w:rsidRPr="00160A33">
          <w:rPr>
            <w:rStyle w:val="Hyperlink"/>
            <w:sz w:val="21"/>
            <w:shd w:val="clear" w:color="auto" w:fill="FFFFFF"/>
          </w:rPr>
          <w:t>2093</w:t>
        </w:r>
        <w:r w:rsidR="005B5205" w:rsidRPr="00B44E1D">
          <w:rPr>
            <w:rStyle w:val="Hyperlink"/>
            <w:sz w:val="21"/>
            <w:shd w:val="clear" w:color="auto" w:fill="FFFFFF"/>
          </w:rPr>
          <w:t>/oj</w:t>
        </w:r>
      </w:hyperlink>
      <w:r w:rsidRPr="00622DE4">
        <w:t>).</w:t>
      </w:r>
    </w:p>
  </w:footnote>
  <w:footnote w:id="90">
    <w:p w14:paraId="616D7BE3" w14:textId="4A732E82" w:rsidR="00917777" w:rsidRPr="00622DE4" w:rsidRDefault="00917777" w:rsidP="00917777">
      <w:pPr>
        <w:pStyle w:val="FootnoteText"/>
      </w:pPr>
      <w:r>
        <w:rPr>
          <w:rStyle w:val="FootnoteReference"/>
        </w:rPr>
        <w:footnoteRef/>
      </w:r>
      <w:r w:rsidRPr="00622DE4">
        <w:tab/>
        <w:t>Verordening (EU)</w:t>
      </w:r>
      <w:r w:rsidR="005B5205">
        <w:t xml:space="preserve"> </w:t>
      </w:r>
      <w:r w:rsidRPr="00160A33">
        <w:t>2021</w:t>
      </w:r>
      <w:r w:rsidRPr="00622DE4">
        <w:t>/</w:t>
      </w:r>
      <w:r w:rsidRPr="00160A33">
        <w:t>522</w:t>
      </w:r>
      <w:r w:rsidRPr="00622DE4">
        <w:t xml:space="preserve"> van het Europees Parlement en de Raad van </w:t>
      </w:r>
      <w:r w:rsidRPr="00160A33">
        <w:t>24</w:t>
      </w:r>
      <w:r w:rsidRPr="00622DE4">
        <w:t xml:space="preserve"> maart </w:t>
      </w:r>
      <w:r w:rsidRPr="00160A33">
        <w:t>2021</w:t>
      </w:r>
      <w:r w:rsidRPr="00622DE4">
        <w:t xml:space="preserve"> tot vaststelling van een actieprogramma voor de Unie op het gebied van gezondheid (“EU</w:t>
      </w:r>
      <w:r w:rsidRPr="00160A33">
        <w:t>4</w:t>
      </w:r>
      <w:r w:rsidRPr="00622DE4">
        <w:t xml:space="preserve">Health-programma”) voor de periode </w:t>
      </w:r>
      <w:r w:rsidRPr="00160A33">
        <w:t>2021</w:t>
      </w:r>
      <w:r w:rsidRPr="00622DE4">
        <w:t>-</w:t>
      </w:r>
      <w:r w:rsidRPr="00160A33">
        <w:t>2027</w:t>
      </w:r>
      <w:r w:rsidRPr="00622DE4">
        <w:t>, en tot intrekking van Verordening (EU) nr. </w:t>
      </w:r>
      <w:r w:rsidRPr="00160A33">
        <w:t>282</w:t>
      </w:r>
      <w:r w:rsidRPr="00622DE4">
        <w:t>/</w:t>
      </w:r>
      <w:r w:rsidRPr="00160A33">
        <w:t>2014</w:t>
      </w:r>
      <w:r w:rsidRPr="00622DE4">
        <w:t xml:space="preserve"> (PB</w:t>
      </w:r>
      <w:r w:rsidR="005B5205">
        <w:t xml:space="preserve"> </w:t>
      </w:r>
      <w:r w:rsidRPr="00622DE4">
        <w:t>L </w:t>
      </w:r>
      <w:r w:rsidRPr="00160A33">
        <w:t>107</w:t>
      </w:r>
      <w:r w:rsidRPr="00622DE4">
        <w:t xml:space="preserve"> van </w:t>
      </w:r>
      <w:r w:rsidRPr="00160A33">
        <w:t>26</w:t>
      </w:r>
      <w:r w:rsidRPr="00622DE4">
        <w:t>.</w:t>
      </w:r>
      <w:r w:rsidRPr="00160A33">
        <w:t>3</w:t>
      </w:r>
      <w:r w:rsidRPr="00622DE4">
        <w:t>.</w:t>
      </w:r>
      <w:r w:rsidRPr="00160A33">
        <w:t>2021</w:t>
      </w:r>
      <w:r w:rsidRPr="00622DE4">
        <w:t>, blz. </w:t>
      </w:r>
      <w:r w:rsidRPr="00160A33">
        <w:t>1</w:t>
      </w:r>
      <w:r w:rsidRPr="00622DE4">
        <w:t>, ELI:</w:t>
      </w:r>
      <w:r w:rsidR="00160A33">
        <w:t xml:space="preserve"> </w:t>
      </w:r>
      <w:hyperlink r:id="rId75" w:tooltip="Geeft toegang tot dit document via de ELI URI." w:history="1">
        <w:r w:rsidRPr="00622DE4">
          <w:rPr>
            <w:color w:val="337AB7"/>
            <w:u w:val="single"/>
            <w:shd w:val="clear" w:color="auto" w:fill="FFFFFF"/>
          </w:rPr>
          <w:t>http://data.europa.eu/eli/reg/</w:t>
        </w:r>
        <w:r w:rsidRPr="00160A33">
          <w:rPr>
            <w:color w:val="337AB7"/>
            <w:u w:val="single"/>
            <w:shd w:val="clear" w:color="auto" w:fill="FFFFFF"/>
          </w:rPr>
          <w:t>2021</w:t>
        </w:r>
        <w:r w:rsidRPr="00622DE4">
          <w:rPr>
            <w:color w:val="337AB7"/>
            <w:u w:val="single"/>
            <w:shd w:val="clear" w:color="auto" w:fill="FFFFFF"/>
          </w:rPr>
          <w:t>/</w:t>
        </w:r>
        <w:r w:rsidRPr="00160A33">
          <w:rPr>
            <w:color w:val="337AB7"/>
            <w:u w:val="single"/>
            <w:shd w:val="clear" w:color="auto" w:fill="FFFFFF"/>
          </w:rPr>
          <w:t>522</w:t>
        </w:r>
        <w:r w:rsidRPr="00622DE4">
          <w:rPr>
            <w:color w:val="337AB7"/>
            <w:u w:val="single"/>
            <w:shd w:val="clear" w:color="auto" w:fill="FFFFFF"/>
          </w:rPr>
          <w:t>/oj</w:t>
        </w:r>
      </w:hyperlink>
      <w:r w:rsidRPr="00622DE4">
        <w:t>).</w:t>
      </w:r>
    </w:p>
  </w:footnote>
  <w:footnote w:id="91">
    <w:p w14:paraId="4036B0BF" w14:textId="10758C80" w:rsidR="00917777" w:rsidRPr="00622DE4" w:rsidRDefault="00917777" w:rsidP="00917777">
      <w:pPr>
        <w:pStyle w:val="FootnoteText"/>
      </w:pPr>
      <w:r>
        <w:rPr>
          <w:rStyle w:val="FootnoteReference"/>
        </w:rPr>
        <w:footnoteRef/>
      </w:r>
      <w:r w:rsidRPr="00622DE4">
        <w:tab/>
        <w:t xml:space="preserve">Verordening (EU) </w:t>
      </w:r>
      <w:r w:rsidRPr="00160A33">
        <w:t>2021</w:t>
      </w:r>
      <w:r w:rsidRPr="00622DE4">
        <w:t>/</w:t>
      </w:r>
      <w:r w:rsidRPr="00160A33">
        <w:t>695</w:t>
      </w:r>
      <w:r w:rsidRPr="00622DE4">
        <w:t xml:space="preserve"> van het Europees Parlement en de Raad van </w:t>
      </w:r>
      <w:r w:rsidRPr="00160A33">
        <w:t>28</w:t>
      </w:r>
      <w:r w:rsidRPr="00622DE4">
        <w:t xml:space="preserve"> april </w:t>
      </w:r>
      <w:r w:rsidRPr="00160A33">
        <w:t>2021</w:t>
      </w:r>
      <w:r w:rsidRPr="00622DE4">
        <w:t xml:space="preserve"> tot vaststelling van Horizon Europa</w:t>
      </w:r>
      <w:r w:rsidR="00B51A78">
        <w:t> </w:t>
      </w:r>
      <w:r w:rsidRPr="00622DE4">
        <w:t>— het kaderprogramma voor onderzoek en innovatie, tot vaststelling van de regels voor deelname en verspreiding en tot intrekking van de Verordeningen (EU) nr. </w:t>
      </w:r>
      <w:r w:rsidRPr="00160A33">
        <w:t>1290</w:t>
      </w:r>
      <w:r w:rsidRPr="00622DE4">
        <w:t>/</w:t>
      </w:r>
      <w:r w:rsidRPr="00160A33">
        <w:t>2013</w:t>
      </w:r>
      <w:r w:rsidRPr="00622DE4">
        <w:t xml:space="preserve"> en (EU) nr. </w:t>
      </w:r>
      <w:r w:rsidRPr="00160A33">
        <w:t>1291</w:t>
      </w:r>
      <w:r w:rsidRPr="00622DE4">
        <w:t>/</w:t>
      </w:r>
      <w:r w:rsidRPr="00160A33">
        <w:t>2013</w:t>
      </w:r>
      <w:r w:rsidRPr="00622DE4">
        <w:t xml:space="preserve"> (PB L </w:t>
      </w:r>
      <w:r w:rsidRPr="00160A33">
        <w:t>170</w:t>
      </w:r>
      <w:r w:rsidRPr="00622DE4">
        <w:t xml:space="preserve"> van </w:t>
      </w:r>
      <w:r w:rsidRPr="00160A33">
        <w:t>12</w:t>
      </w:r>
      <w:r w:rsidRPr="00622DE4">
        <w:t>.</w:t>
      </w:r>
      <w:r w:rsidRPr="00160A33">
        <w:t>5</w:t>
      </w:r>
      <w:r w:rsidRPr="00622DE4">
        <w:t>.</w:t>
      </w:r>
      <w:r w:rsidRPr="00160A33">
        <w:t>2021</w:t>
      </w:r>
      <w:r w:rsidRPr="00622DE4">
        <w:t>, blz. </w:t>
      </w:r>
      <w:r w:rsidRPr="00160A33">
        <w:t>1</w:t>
      </w:r>
      <w:r w:rsidRPr="00622DE4">
        <w:t>; ELI:</w:t>
      </w:r>
      <w:r w:rsidR="00160A33">
        <w:t xml:space="preserve"> </w:t>
      </w:r>
      <w:hyperlink r:id="rId76" w:tooltip="Geeft toegang tot dit document via de ELI URI." w:history="1">
        <w:r w:rsidRPr="00622DE4">
          <w:rPr>
            <w:color w:val="23527C"/>
            <w:u w:val="single"/>
            <w:shd w:val="clear" w:color="auto" w:fill="FFFFFF"/>
          </w:rPr>
          <w:t>http://data.europa.eu/eli/reg/</w:t>
        </w:r>
        <w:r w:rsidRPr="00160A33">
          <w:rPr>
            <w:color w:val="23527C"/>
            <w:u w:val="single"/>
            <w:shd w:val="clear" w:color="auto" w:fill="FFFFFF"/>
          </w:rPr>
          <w:t>2021</w:t>
        </w:r>
        <w:r w:rsidRPr="00622DE4">
          <w:rPr>
            <w:color w:val="23527C"/>
            <w:u w:val="single"/>
            <w:shd w:val="clear" w:color="auto" w:fill="FFFFFF"/>
          </w:rPr>
          <w:t>/</w:t>
        </w:r>
        <w:r w:rsidRPr="00160A33">
          <w:rPr>
            <w:color w:val="23527C"/>
            <w:u w:val="single"/>
            <w:shd w:val="clear" w:color="auto" w:fill="FFFFFF"/>
          </w:rPr>
          <w:t>695</w:t>
        </w:r>
        <w:r w:rsidRPr="00622DE4">
          <w:rPr>
            <w:color w:val="23527C"/>
            <w:u w:val="single"/>
            <w:shd w:val="clear" w:color="auto" w:fill="FFFFFF"/>
          </w:rPr>
          <w:t>/oj</w:t>
        </w:r>
      </w:hyperlink>
      <w:r w:rsidRPr="00622DE4">
        <w:t>).</w:t>
      </w:r>
    </w:p>
  </w:footnote>
  <w:footnote w:id="92">
    <w:p w14:paraId="0D275DD7" w14:textId="59BFD265" w:rsidR="00917777" w:rsidRPr="00622DE4" w:rsidRDefault="00917777" w:rsidP="00917777">
      <w:pPr>
        <w:pStyle w:val="FootnoteText"/>
      </w:pPr>
      <w:r>
        <w:rPr>
          <w:rStyle w:val="FootnoteReference"/>
        </w:rPr>
        <w:footnoteRef/>
      </w:r>
      <w:r w:rsidRPr="00622DE4">
        <w:tab/>
        <w:t xml:space="preserve">Verordening (EU) </w:t>
      </w:r>
      <w:r w:rsidRPr="00160A33">
        <w:t>2021</w:t>
      </w:r>
      <w:r w:rsidRPr="00622DE4">
        <w:t>/</w:t>
      </w:r>
      <w:r w:rsidRPr="00160A33">
        <w:t>694</w:t>
      </w:r>
      <w:r w:rsidRPr="00622DE4">
        <w:t xml:space="preserve"> van het Europees Parlement en de Raad van </w:t>
      </w:r>
      <w:r w:rsidRPr="00160A33">
        <w:t>29</w:t>
      </w:r>
      <w:r w:rsidRPr="00622DE4">
        <w:t xml:space="preserve"> april </w:t>
      </w:r>
      <w:r w:rsidRPr="00160A33">
        <w:t>2021</w:t>
      </w:r>
      <w:r w:rsidRPr="00622DE4">
        <w:t xml:space="preserve"> tot oprichting van het programma Digitaal Europa, en tot intrekking van Besluit (EU) </w:t>
      </w:r>
      <w:r w:rsidRPr="00160A33">
        <w:t>2015</w:t>
      </w:r>
      <w:r w:rsidRPr="00622DE4">
        <w:t>/</w:t>
      </w:r>
      <w:r w:rsidRPr="00160A33">
        <w:t>2240</w:t>
      </w:r>
      <w:r w:rsidRPr="00622DE4">
        <w:t xml:space="preserve"> (PB L </w:t>
      </w:r>
      <w:r w:rsidRPr="00160A33">
        <w:t>166</w:t>
      </w:r>
      <w:r w:rsidRPr="00622DE4">
        <w:t xml:space="preserve"> van </w:t>
      </w:r>
      <w:r w:rsidRPr="00160A33">
        <w:t>11</w:t>
      </w:r>
      <w:r w:rsidRPr="00622DE4">
        <w:t>.</w:t>
      </w:r>
      <w:r w:rsidRPr="00160A33">
        <w:t>5</w:t>
      </w:r>
      <w:r w:rsidRPr="00622DE4">
        <w:t>.</w:t>
      </w:r>
      <w:r w:rsidRPr="00160A33">
        <w:t>2021</w:t>
      </w:r>
      <w:r w:rsidRPr="00622DE4">
        <w:t>, blz. </w:t>
      </w:r>
      <w:r w:rsidRPr="00160A33">
        <w:t>1</w:t>
      </w:r>
      <w:r w:rsidRPr="00622DE4">
        <w:t>, ELI:</w:t>
      </w:r>
      <w:r w:rsidR="00160A33">
        <w:t xml:space="preserve"> </w:t>
      </w:r>
      <w:hyperlink r:id="rId77" w:tooltip="Geeft toegang tot dit document via de ELI URI." w:history="1">
        <w:r w:rsidRPr="00622DE4">
          <w:rPr>
            <w:color w:val="23527C"/>
            <w:u w:val="single"/>
            <w:shd w:val="clear" w:color="auto" w:fill="FFFFFF"/>
          </w:rPr>
          <w:t>http://data.europa.eu/eli/reg/</w:t>
        </w:r>
        <w:r w:rsidRPr="00160A33">
          <w:rPr>
            <w:color w:val="23527C"/>
            <w:u w:val="single"/>
            <w:shd w:val="clear" w:color="auto" w:fill="FFFFFF"/>
          </w:rPr>
          <w:t>2021</w:t>
        </w:r>
        <w:r w:rsidRPr="00622DE4">
          <w:rPr>
            <w:color w:val="23527C"/>
            <w:u w:val="single"/>
            <w:shd w:val="clear" w:color="auto" w:fill="FFFFFF"/>
          </w:rPr>
          <w:t>/</w:t>
        </w:r>
        <w:r w:rsidRPr="00160A33">
          <w:rPr>
            <w:color w:val="23527C"/>
            <w:u w:val="single"/>
            <w:shd w:val="clear" w:color="auto" w:fill="FFFFFF"/>
          </w:rPr>
          <w:t>694</w:t>
        </w:r>
        <w:r w:rsidRPr="00622DE4">
          <w:rPr>
            <w:color w:val="23527C"/>
            <w:u w:val="single"/>
            <w:shd w:val="clear" w:color="auto" w:fill="FFFFFF"/>
          </w:rPr>
          <w:t>/</w:t>
        </w:r>
        <w:r w:rsidRPr="00160A33">
          <w:rPr>
            <w:color w:val="23527C"/>
            <w:u w:val="single"/>
            <w:shd w:val="clear" w:color="auto" w:fill="FFFFFF"/>
          </w:rPr>
          <w:t>2023</w:t>
        </w:r>
        <w:r w:rsidRPr="00622DE4">
          <w:rPr>
            <w:color w:val="23527C"/>
            <w:u w:val="single"/>
            <w:shd w:val="clear" w:color="auto" w:fill="FFFFFF"/>
          </w:rPr>
          <w:t>-</w:t>
        </w:r>
        <w:r w:rsidRPr="00160A33">
          <w:rPr>
            <w:color w:val="23527C"/>
            <w:u w:val="single"/>
            <w:shd w:val="clear" w:color="auto" w:fill="FFFFFF"/>
          </w:rPr>
          <w:t>09</w:t>
        </w:r>
        <w:r w:rsidRPr="00622DE4">
          <w:rPr>
            <w:color w:val="23527C"/>
            <w:u w:val="single"/>
            <w:shd w:val="clear" w:color="auto" w:fill="FFFFFF"/>
          </w:rPr>
          <w:t>-</w:t>
        </w:r>
        <w:r w:rsidRPr="00160A33">
          <w:rPr>
            <w:color w:val="23527C"/>
            <w:u w:val="single"/>
            <w:shd w:val="clear" w:color="auto" w:fill="FFFFFF"/>
          </w:rPr>
          <w:t>21</w:t>
        </w:r>
      </w:hyperlink>
      <w:r w:rsidRPr="00622DE4">
        <w:t>).</w:t>
      </w:r>
    </w:p>
  </w:footnote>
  <w:footnote w:id="93">
    <w:p w14:paraId="3A47BB66" w14:textId="387F4D64" w:rsidR="00917777" w:rsidRPr="00622DE4" w:rsidRDefault="00917777" w:rsidP="00917777">
      <w:pPr>
        <w:pStyle w:val="FootnoteText"/>
        <w:jc w:val="left"/>
      </w:pPr>
      <w:r>
        <w:rPr>
          <w:rStyle w:val="FootnoteReference"/>
        </w:rPr>
        <w:footnoteRef/>
      </w:r>
      <w:r w:rsidRPr="00622DE4">
        <w:tab/>
        <w:t>Richtlijn</w:t>
      </w:r>
      <w:r w:rsidR="005B5205">
        <w:t xml:space="preserve"> </w:t>
      </w:r>
      <w:r w:rsidRPr="00160A33">
        <w:t>2014</w:t>
      </w:r>
      <w:r w:rsidRPr="00622DE4">
        <w:t>/</w:t>
      </w:r>
      <w:r w:rsidRPr="00160A33">
        <w:t>24</w:t>
      </w:r>
      <w:r w:rsidRPr="00622DE4">
        <w:t xml:space="preserve">/EU van het Europees Parlement en de Raad van </w:t>
      </w:r>
      <w:r w:rsidRPr="00160A33">
        <w:t>26</w:t>
      </w:r>
      <w:r w:rsidRPr="00622DE4">
        <w:t xml:space="preserve"> februari </w:t>
      </w:r>
      <w:r w:rsidRPr="00160A33">
        <w:t>2014</w:t>
      </w:r>
      <w:r w:rsidRPr="00622DE4">
        <w:t xml:space="preserve"> betreffende het plaatsen van overheidsopdrachten en tot intrekking van Richtlijn</w:t>
      </w:r>
      <w:r w:rsidR="005B5205">
        <w:t xml:space="preserve"> </w:t>
      </w:r>
      <w:r w:rsidRPr="00160A33">
        <w:t>2004</w:t>
      </w:r>
      <w:r w:rsidRPr="00622DE4">
        <w:t>/</w:t>
      </w:r>
      <w:r w:rsidRPr="00160A33">
        <w:t>18</w:t>
      </w:r>
      <w:r w:rsidRPr="00622DE4">
        <w:t>/EG (</w:t>
      </w:r>
      <w:hyperlink r:id="rId78" w:history="1">
        <w:r w:rsidR="00871411" w:rsidRPr="00635C1A">
          <w:rPr>
            <w:rStyle w:val="Hyperlink"/>
            <w:shd w:val="clear" w:color="auto" w:fill="FFFFFF"/>
          </w:rPr>
          <w:t>PB L </w:t>
        </w:r>
        <w:r w:rsidR="00871411" w:rsidRPr="00160A33">
          <w:rPr>
            <w:rStyle w:val="Hyperlink"/>
            <w:shd w:val="clear" w:color="auto" w:fill="FFFFFF"/>
          </w:rPr>
          <w:t>94</w:t>
        </w:r>
        <w:r w:rsidR="00871411" w:rsidRPr="00635C1A">
          <w:rPr>
            <w:rStyle w:val="Hyperlink"/>
            <w:shd w:val="clear" w:color="auto" w:fill="FFFFFF"/>
          </w:rPr>
          <w:t xml:space="preserve"> van </w:t>
        </w:r>
        <w:r w:rsidR="00871411" w:rsidRPr="00160A33">
          <w:rPr>
            <w:rStyle w:val="Hyperlink"/>
            <w:shd w:val="clear" w:color="auto" w:fill="FFFFFF"/>
          </w:rPr>
          <w:t>28</w:t>
        </w:r>
        <w:r w:rsidR="00871411" w:rsidRPr="00635C1A">
          <w:rPr>
            <w:rStyle w:val="Hyperlink"/>
            <w:shd w:val="clear" w:color="auto" w:fill="FFFFFF"/>
          </w:rPr>
          <w:t>.</w:t>
        </w:r>
        <w:r w:rsidR="00871411" w:rsidRPr="00160A33">
          <w:rPr>
            <w:rStyle w:val="Hyperlink"/>
            <w:shd w:val="clear" w:color="auto" w:fill="FFFFFF"/>
          </w:rPr>
          <w:t>3</w:t>
        </w:r>
        <w:r w:rsidR="00871411" w:rsidRPr="00635C1A">
          <w:rPr>
            <w:rStyle w:val="Hyperlink"/>
            <w:shd w:val="clear" w:color="auto" w:fill="FFFFFF"/>
          </w:rPr>
          <w:t>.</w:t>
        </w:r>
        <w:r w:rsidR="00871411" w:rsidRPr="00160A33">
          <w:rPr>
            <w:rStyle w:val="Hyperlink"/>
            <w:shd w:val="clear" w:color="auto" w:fill="FFFFFF"/>
          </w:rPr>
          <w:t>2014</w:t>
        </w:r>
        <w:r w:rsidR="00871411" w:rsidRPr="00635C1A">
          <w:rPr>
            <w:rStyle w:val="Hyperlink"/>
            <w:shd w:val="clear" w:color="auto" w:fill="FFFFFF"/>
          </w:rPr>
          <w:t>, blz. </w:t>
        </w:r>
        <w:r w:rsidR="00871411" w:rsidRPr="00160A33">
          <w:rPr>
            <w:rStyle w:val="Hyperlink"/>
            <w:shd w:val="clear" w:color="auto" w:fill="FFFFFF"/>
          </w:rPr>
          <w:t>65</w:t>
        </w:r>
      </w:hyperlink>
      <w:r w:rsidRPr="00622DE4">
        <w:t>, ELI:</w:t>
      </w:r>
      <w:r w:rsidR="005B5205">
        <w:t xml:space="preserve"> </w:t>
      </w:r>
      <w:hyperlink r:id="rId79" w:tooltip="Geeft toegang tot dit document via de ELI URI." w:history="1">
        <w:r w:rsidRPr="00622DE4">
          <w:rPr>
            <w:color w:val="23527C"/>
            <w:u w:val="single"/>
            <w:shd w:val="clear" w:color="auto" w:fill="FFFFFF"/>
          </w:rPr>
          <w:t>http://data.europa.eu/eli/dir/</w:t>
        </w:r>
        <w:r w:rsidRPr="00160A33">
          <w:rPr>
            <w:color w:val="23527C"/>
            <w:u w:val="single"/>
            <w:shd w:val="clear" w:color="auto" w:fill="FFFFFF"/>
          </w:rPr>
          <w:t>2014</w:t>
        </w:r>
        <w:r w:rsidRPr="00622DE4">
          <w:rPr>
            <w:color w:val="23527C"/>
            <w:u w:val="single"/>
            <w:shd w:val="clear" w:color="auto" w:fill="FFFFFF"/>
          </w:rPr>
          <w:t>/</w:t>
        </w:r>
        <w:r w:rsidRPr="00160A33">
          <w:rPr>
            <w:color w:val="23527C"/>
            <w:u w:val="single"/>
            <w:shd w:val="clear" w:color="auto" w:fill="FFFFFF"/>
          </w:rPr>
          <w:t>24</w:t>
        </w:r>
        <w:r w:rsidRPr="00622DE4">
          <w:rPr>
            <w:color w:val="23527C"/>
            <w:u w:val="single"/>
            <w:shd w:val="clear" w:color="auto" w:fill="FFFFFF"/>
          </w:rPr>
          <w:t>/</w:t>
        </w:r>
        <w:r w:rsidRPr="00160A33">
          <w:rPr>
            <w:color w:val="23527C"/>
            <w:u w:val="single"/>
            <w:shd w:val="clear" w:color="auto" w:fill="FFFFFF"/>
          </w:rPr>
          <w:t>2024</w:t>
        </w:r>
        <w:r w:rsidRPr="00622DE4">
          <w:rPr>
            <w:color w:val="23527C"/>
            <w:u w:val="single"/>
            <w:shd w:val="clear" w:color="auto" w:fill="FFFFFF"/>
          </w:rPr>
          <w:t>-</w:t>
        </w:r>
        <w:r w:rsidRPr="00160A33">
          <w:rPr>
            <w:color w:val="23527C"/>
            <w:u w:val="single"/>
            <w:shd w:val="clear" w:color="auto" w:fill="FFFFFF"/>
          </w:rPr>
          <w:t>01</w:t>
        </w:r>
        <w:r w:rsidRPr="00622DE4">
          <w:rPr>
            <w:color w:val="23527C"/>
            <w:u w:val="single"/>
            <w:shd w:val="clear" w:color="auto" w:fill="FFFFFF"/>
          </w:rPr>
          <w:t>-</w:t>
        </w:r>
        <w:r w:rsidRPr="00160A33">
          <w:rPr>
            <w:color w:val="23527C"/>
            <w:u w:val="single"/>
            <w:shd w:val="clear" w:color="auto" w:fill="FFFFFF"/>
          </w:rPr>
          <w:t>01</w:t>
        </w:r>
      </w:hyperlink>
      <w:r w:rsidRPr="00622DE4">
        <w:rPr>
          <w:color w:val="333333"/>
          <w:sz w:val="19"/>
          <w:shd w:val="clear" w:color="auto" w:fill="FFFFFF"/>
        </w:rPr>
        <w:t>).</w:t>
      </w:r>
    </w:p>
  </w:footnote>
  <w:footnote w:id="94">
    <w:p w14:paraId="6CED1E08" w14:textId="38ACB118" w:rsidR="00917777" w:rsidRPr="00622DE4" w:rsidRDefault="00917777" w:rsidP="00917777">
      <w:pPr>
        <w:pStyle w:val="FootnoteText"/>
      </w:pPr>
      <w:r>
        <w:rPr>
          <w:rStyle w:val="FootnoteReference"/>
        </w:rPr>
        <w:footnoteRef/>
      </w:r>
      <w:r w:rsidRPr="00622DE4">
        <w:tab/>
        <w:t>Verordening (EU)</w:t>
      </w:r>
      <w:r w:rsidR="005B5205">
        <w:t xml:space="preserve"> </w:t>
      </w:r>
      <w:r w:rsidRPr="00160A33">
        <w:t>2021</w:t>
      </w:r>
      <w:r w:rsidRPr="00622DE4">
        <w:t>/</w:t>
      </w:r>
      <w:r w:rsidRPr="00160A33">
        <w:t>2282</w:t>
      </w:r>
      <w:r w:rsidRPr="00622DE4">
        <w:t xml:space="preserve"> van het Europees Parlement en de Raad van </w:t>
      </w:r>
      <w:r w:rsidRPr="00160A33">
        <w:t>15</w:t>
      </w:r>
      <w:r w:rsidRPr="00622DE4">
        <w:t xml:space="preserve"> december </w:t>
      </w:r>
      <w:r w:rsidRPr="00160A33">
        <w:t>2021</w:t>
      </w:r>
      <w:r w:rsidRPr="00622DE4">
        <w:t xml:space="preserve"> betreffende de evaluatie van gezondheidstechnologie en tot wijziging van Richtlijn </w:t>
      </w:r>
      <w:r w:rsidRPr="00160A33">
        <w:t>2011</w:t>
      </w:r>
      <w:r w:rsidRPr="00622DE4">
        <w:t>/</w:t>
      </w:r>
      <w:r w:rsidRPr="00160A33">
        <w:t>24</w:t>
      </w:r>
      <w:r w:rsidRPr="00622DE4">
        <w:t>/EU (PB L </w:t>
      </w:r>
      <w:r w:rsidRPr="00160A33">
        <w:t>458</w:t>
      </w:r>
      <w:r w:rsidRPr="00622DE4">
        <w:t xml:space="preserve"> van </w:t>
      </w:r>
      <w:r w:rsidRPr="00160A33">
        <w:t>22</w:t>
      </w:r>
      <w:r w:rsidRPr="00622DE4">
        <w:t>.</w:t>
      </w:r>
      <w:r w:rsidRPr="00160A33">
        <w:t>12</w:t>
      </w:r>
      <w:r w:rsidRPr="00622DE4">
        <w:t>.</w:t>
      </w:r>
      <w:r w:rsidRPr="00160A33">
        <w:t>2021</w:t>
      </w:r>
      <w:r w:rsidRPr="00622DE4">
        <w:t>, blz. </w:t>
      </w:r>
      <w:r w:rsidRPr="00160A33">
        <w:t>1</w:t>
      </w:r>
      <w:r w:rsidRPr="00622DE4">
        <w:t>, ELI: http://data.europa.eu/eli/reg/</w:t>
      </w:r>
      <w:r w:rsidRPr="00160A33">
        <w:t>2021</w:t>
      </w:r>
      <w:r w:rsidRPr="00622DE4">
        <w:t>/</w:t>
      </w:r>
      <w:r w:rsidRPr="00160A33">
        <w:t>2282</w:t>
      </w:r>
      <w:r w:rsidRPr="00622DE4">
        <w:t>/oj).</w:t>
      </w:r>
    </w:p>
  </w:footnote>
  <w:footnote w:id="95">
    <w:p w14:paraId="5FA5FAE9" w14:textId="639B1010" w:rsidR="00917777" w:rsidRPr="00622DE4" w:rsidRDefault="00917777" w:rsidP="00917777">
      <w:pPr>
        <w:pStyle w:val="FootnoteText"/>
      </w:pPr>
      <w:r>
        <w:rPr>
          <w:rStyle w:val="FootnoteReference"/>
        </w:rPr>
        <w:footnoteRef/>
      </w:r>
      <w:r w:rsidRPr="00622DE4">
        <w:tab/>
        <w:t xml:space="preserve">Verordening (EU, Euratom) </w:t>
      </w:r>
      <w:r w:rsidRPr="00160A33">
        <w:t>2024</w:t>
      </w:r>
      <w:r w:rsidRPr="00622DE4">
        <w:t>/</w:t>
      </w:r>
      <w:r w:rsidRPr="00160A33">
        <w:t>2509</w:t>
      </w:r>
      <w:r w:rsidRPr="00622DE4">
        <w:t xml:space="preserve"> van het Europees Parlement en de Raad van </w:t>
      </w:r>
      <w:r w:rsidRPr="00160A33">
        <w:t>23</w:t>
      </w:r>
      <w:r w:rsidRPr="00622DE4">
        <w:t xml:space="preserve"> september </w:t>
      </w:r>
      <w:r w:rsidRPr="00160A33">
        <w:t>2024</w:t>
      </w:r>
      <w:r w:rsidRPr="00622DE4">
        <w:t xml:space="preserve"> tot vaststelling van de financiële regels van toepassing op de algemene begroting van de Unie (herschikking) (PB L, </w:t>
      </w:r>
      <w:r w:rsidRPr="00160A33">
        <w:t>26</w:t>
      </w:r>
      <w:r w:rsidRPr="00622DE4">
        <w:t>.</w:t>
      </w:r>
      <w:r w:rsidRPr="00160A33">
        <w:t>9</w:t>
      </w:r>
      <w:r w:rsidRPr="00622DE4">
        <w:t>.</w:t>
      </w:r>
      <w:r w:rsidRPr="00160A33">
        <w:t>2024</w:t>
      </w:r>
      <w:r w:rsidRPr="00622DE4">
        <w:t>, ELI:</w:t>
      </w:r>
      <w:r w:rsidR="00160A33">
        <w:t xml:space="preserve"> </w:t>
      </w:r>
      <w:hyperlink r:id="rId80" w:tooltip="Geeft toegang tot dit document via de ELI URI." w:history="1">
        <w:r w:rsidRPr="00622DE4">
          <w:rPr>
            <w:color w:val="337AB7"/>
            <w:u w:val="single"/>
            <w:shd w:val="clear" w:color="auto" w:fill="FFFFFF"/>
          </w:rPr>
          <w:t>http://data.europa.eu/eli/reg/</w:t>
        </w:r>
        <w:r w:rsidRPr="00160A33">
          <w:rPr>
            <w:color w:val="337AB7"/>
            <w:u w:val="single"/>
            <w:shd w:val="clear" w:color="auto" w:fill="FFFFFF"/>
          </w:rPr>
          <w:t>2024</w:t>
        </w:r>
        <w:r w:rsidRPr="00622DE4">
          <w:rPr>
            <w:color w:val="337AB7"/>
            <w:u w:val="single"/>
            <w:shd w:val="clear" w:color="auto" w:fill="FFFFFF"/>
          </w:rPr>
          <w:t>/</w:t>
        </w:r>
        <w:r w:rsidRPr="00160A33">
          <w:rPr>
            <w:color w:val="337AB7"/>
            <w:u w:val="single"/>
            <w:shd w:val="clear" w:color="auto" w:fill="FFFFFF"/>
          </w:rPr>
          <w:t>2509</w:t>
        </w:r>
        <w:r w:rsidRPr="00622DE4">
          <w:rPr>
            <w:color w:val="337AB7"/>
            <w:u w:val="single"/>
            <w:shd w:val="clear" w:color="auto" w:fill="FFFFFF"/>
          </w:rPr>
          <w:t>/oj</w:t>
        </w:r>
      </w:hyperlink>
      <w:r w:rsidRPr="00622DE4">
        <w:t>).</w:t>
      </w:r>
    </w:p>
  </w:footnote>
  <w:footnote w:id="96">
    <w:p w14:paraId="7D97ACF5" w14:textId="6D9C4A82" w:rsidR="00917777" w:rsidRPr="00622DE4" w:rsidRDefault="00917777" w:rsidP="00917777">
      <w:pPr>
        <w:pStyle w:val="FootnoteText"/>
      </w:pPr>
      <w:r>
        <w:rPr>
          <w:rStyle w:val="FootnoteReference"/>
        </w:rPr>
        <w:footnoteRef/>
      </w:r>
      <w:r w:rsidRPr="00622DE4">
        <w:tab/>
        <w:t>Verordening (EU)</w:t>
      </w:r>
      <w:r w:rsidR="005B5205">
        <w:t xml:space="preserve"> </w:t>
      </w:r>
      <w:r w:rsidRPr="00160A33">
        <w:t>2021</w:t>
      </w:r>
      <w:r w:rsidRPr="00622DE4">
        <w:t>/</w:t>
      </w:r>
      <w:r w:rsidRPr="00160A33">
        <w:t>2282</w:t>
      </w:r>
      <w:r w:rsidRPr="00622DE4">
        <w:t xml:space="preserve"> van het Europees Parlement en de Raad van </w:t>
      </w:r>
      <w:r w:rsidRPr="00160A33">
        <w:t>15</w:t>
      </w:r>
      <w:r w:rsidRPr="00622DE4">
        <w:t xml:space="preserve"> december </w:t>
      </w:r>
      <w:r w:rsidRPr="00160A33">
        <w:t>2021</w:t>
      </w:r>
      <w:r w:rsidRPr="00622DE4">
        <w:t xml:space="preserve"> betreffende de evaluatie van gezondheidstechnologie en tot wijziging van Richtlijn </w:t>
      </w:r>
      <w:r w:rsidRPr="00160A33">
        <w:t>2011</w:t>
      </w:r>
      <w:r w:rsidRPr="00622DE4">
        <w:t>/</w:t>
      </w:r>
      <w:r w:rsidRPr="00160A33">
        <w:t>24</w:t>
      </w:r>
      <w:r w:rsidRPr="00622DE4">
        <w:t>/EU (PB L </w:t>
      </w:r>
      <w:r w:rsidRPr="00160A33">
        <w:t>458</w:t>
      </w:r>
      <w:r w:rsidRPr="00622DE4">
        <w:t xml:space="preserve"> van </w:t>
      </w:r>
      <w:r w:rsidRPr="00160A33">
        <w:t>22</w:t>
      </w:r>
      <w:r w:rsidRPr="00622DE4">
        <w:t>.</w:t>
      </w:r>
      <w:r w:rsidRPr="00160A33">
        <w:t>12</w:t>
      </w:r>
      <w:r w:rsidRPr="00622DE4">
        <w:t>.</w:t>
      </w:r>
      <w:r w:rsidRPr="00160A33">
        <w:t>2021</w:t>
      </w:r>
      <w:r w:rsidRPr="00622DE4">
        <w:t>, blz. </w:t>
      </w:r>
      <w:r w:rsidRPr="00160A33">
        <w:t>1</w:t>
      </w:r>
      <w:r w:rsidRPr="00622DE4">
        <w:t>, ELI: http://data.europa.eu/eli/reg/</w:t>
      </w:r>
      <w:r w:rsidRPr="00160A33">
        <w:t>2021</w:t>
      </w:r>
      <w:r w:rsidRPr="00622DE4">
        <w:t>/</w:t>
      </w:r>
      <w:r w:rsidRPr="00160A33">
        <w:t>2282</w:t>
      </w:r>
      <w:r w:rsidRPr="00622DE4">
        <w:t>/oj).</w:t>
      </w:r>
    </w:p>
  </w:footnote>
  <w:footnote w:id="97">
    <w:p w14:paraId="3ED33DEC" w14:textId="6DE09506" w:rsidR="00D37F2D" w:rsidRPr="00622DE4" w:rsidRDefault="00D37F2D" w:rsidP="00D37F2D">
      <w:pPr>
        <w:pStyle w:val="FootnoteText"/>
      </w:pPr>
      <w:r>
        <w:rPr>
          <w:rStyle w:val="FootnoteReference"/>
        </w:rPr>
        <w:footnoteRef/>
      </w:r>
      <w:r w:rsidRPr="00622DE4">
        <w:tab/>
        <w:t>In de zin van artikel </w:t>
      </w:r>
      <w:r w:rsidRPr="00160A33">
        <w:t>58</w:t>
      </w:r>
      <w:r w:rsidRPr="00622DE4">
        <w:t>, lid </w:t>
      </w:r>
      <w:r w:rsidRPr="00160A33">
        <w:t>2</w:t>
      </w:r>
      <w:r w:rsidRPr="00622DE4">
        <w:t>, punt a) of</w:t>
      </w:r>
      <w:r w:rsidR="005B5205">
        <w:t> </w:t>
      </w:r>
      <w:r w:rsidRPr="00622DE4">
        <w:t>b), van het Financieel Reglement.</w:t>
      </w:r>
    </w:p>
  </w:footnote>
  <w:footnote w:id="98">
    <w:p w14:paraId="48FB5795" w14:textId="77777777" w:rsidR="00D37F2D" w:rsidRPr="00622DE4" w:rsidRDefault="00D37F2D" w:rsidP="00D37F2D">
      <w:pPr>
        <w:pStyle w:val="FootnoteText"/>
        <w:jc w:val="left"/>
        <w:rPr>
          <w:szCs w:val="24"/>
        </w:rPr>
      </w:pPr>
      <w:r>
        <w:rPr>
          <w:rStyle w:val="FootnoteReference"/>
        </w:rPr>
        <w:footnoteRef/>
      </w:r>
      <w:r w:rsidRPr="00622DE4">
        <w:tab/>
        <w:t xml:space="preserve">Nadere gegevens over de wijzen van uitvoering van de begroting en verwijzingen naar het Financieel Reglement zijn beschikbaar op BUDGpedia: </w:t>
      </w:r>
      <w:hyperlink r:id="rId81" w:history="1">
        <w:r w:rsidRPr="00622DE4">
          <w:rPr>
            <w:rStyle w:val="Hyperlink"/>
          </w:rPr>
          <w:t>https://myintracomm.ec.europa.eu/corp/budget/financial-rules/budget-implementation/Pages/implementation-methods.aspx</w:t>
        </w:r>
      </w:hyperlink>
      <w:r w:rsidRPr="00622DE4">
        <w:t>.</w:t>
      </w:r>
    </w:p>
  </w:footnote>
  <w:footnote w:id="99">
    <w:p w14:paraId="6D5BC897" w14:textId="77777777" w:rsidR="00D37F2D" w:rsidRPr="00622DE4" w:rsidRDefault="00D37F2D" w:rsidP="00D37F2D">
      <w:pPr>
        <w:pStyle w:val="FootnoteText"/>
        <w:rPr>
          <w:szCs w:val="24"/>
        </w:rPr>
      </w:pPr>
      <w:r>
        <w:rPr>
          <w:rStyle w:val="FootnoteReference"/>
        </w:rPr>
        <w:footnoteRef/>
      </w:r>
      <w:r w:rsidRPr="00622DE4">
        <w:tab/>
        <w:t>GK = gesplitste kredieten/NGK = niet-gesplitste kredieten.</w:t>
      </w:r>
    </w:p>
  </w:footnote>
  <w:footnote w:id="100">
    <w:p w14:paraId="752B4469" w14:textId="4DD90372" w:rsidR="00D37F2D" w:rsidRPr="00622DE4" w:rsidRDefault="00D37F2D" w:rsidP="00D37F2D">
      <w:pPr>
        <w:pStyle w:val="FootnoteText"/>
        <w:rPr>
          <w:szCs w:val="24"/>
        </w:rPr>
      </w:pPr>
      <w:r>
        <w:rPr>
          <w:rStyle w:val="FootnoteReference"/>
        </w:rPr>
        <w:footnoteRef/>
      </w:r>
      <w:r w:rsidRPr="00622DE4">
        <w:tab/>
        <w:t>EVA: Europese Vrijhandelsassociatie.</w:t>
      </w:r>
    </w:p>
  </w:footnote>
  <w:footnote w:id="101">
    <w:p w14:paraId="17EC5E38" w14:textId="77777777" w:rsidR="00D37F2D" w:rsidRPr="00622DE4" w:rsidRDefault="00D37F2D" w:rsidP="00D37F2D">
      <w:pPr>
        <w:pStyle w:val="FootnoteText"/>
        <w:rPr>
          <w:szCs w:val="24"/>
        </w:rPr>
      </w:pPr>
      <w:r>
        <w:rPr>
          <w:rStyle w:val="FootnoteReference"/>
        </w:rPr>
        <w:footnoteRef/>
      </w:r>
      <w:r w:rsidRPr="00622DE4">
        <w:tab/>
        <w:t>Kandidaat-lidstaten en, in voorkomend geval, potentiële kandidaten van de Westelijke Balkan.</w:t>
      </w:r>
    </w:p>
  </w:footnote>
  <w:footnote w:id="102">
    <w:p w14:paraId="61E73760" w14:textId="77777777" w:rsidR="00D37F2D" w:rsidRPr="005D0E22" w:rsidRDefault="00D37F2D" w:rsidP="00D37F2D">
      <w:pPr>
        <w:pStyle w:val="FootnoteText"/>
        <w:rPr>
          <w:lang w:val="en-IE"/>
        </w:rPr>
      </w:pPr>
      <w:r>
        <w:rPr>
          <w:rStyle w:val="FootnoteReference"/>
        </w:rPr>
        <w:footnoteRef/>
      </w:r>
      <w:r w:rsidRPr="005D0E22">
        <w:rPr>
          <w:lang w:val="en-IE"/>
        </w:rPr>
        <w:tab/>
      </w:r>
      <w:r w:rsidRPr="005D0E22">
        <w:rPr>
          <w:color w:val="374151"/>
          <w:sz w:val="18"/>
          <w:lang w:val="en-IE"/>
        </w:rPr>
        <w:t>The necessary appropriations should be determined using the annual average cost figures available on the appropriate BUDGpedia webpage.</w:t>
      </w:r>
    </w:p>
  </w:footnote>
  <w:footnote w:id="103">
    <w:p w14:paraId="7E443E14" w14:textId="77777777" w:rsidR="00D37F2D" w:rsidRPr="005D0E22" w:rsidRDefault="00D37F2D" w:rsidP="00D37F2D">
      <w:pPr>
        <w:pStyle w:val="FootnoteText"/>
        <w:rPr>
          <w:lang w:val="en-IE"/>
        </w:rPr>
      </w:pPr>
      <w:r>
        <w:rPr>
          <w:rStyle w:val="FootnoteReference"/>
        </w:rPr>
        <w:footnoteRef/>
      </w:r>
      <w:r w:rsidRPr="005D0E22">
        <w:rPr>
          <w:lang w:val="en-IE"/>
        </w:rPr>
        <w:tab/>
        <w:t>Please specify below the table how many FTEs within the number indicated are already assigned to the management of the action and/or can be redeployed within your DG and what are your net needs.</w:t>
      </w:r>
    </w:p>
  </w:footnote>
  <w:footnote w:id="104">
    <w:p w14:paraId="1B0E8E2A" w14:textId="1965FFBD" w:rsidR="00D37F2D" w:rsidRPr="00622DE4" w:rsidRDefault="00D37F2D" w:rsidP="00D37F2D">
      <w:pPr>
        <w:pStyle w:val="FootnoteText"/>
        <w:jc w:val="left"/>
      </w:pPr>
      <w:r>
        <w:rPr>
          <w:rStyle w:val="FootnoteReference"/>
        </w:rPr>
        <w:footnoteRef/>
      </w:r>
      <w:r w:rsidRPr="00622DE4">
        <w:tab/>
        <w:t xml:space="preserve">Voor het eerste jaar zijn de kosten van één AD voor wetenschappelijk advies voor </w:t>
      </w:r>
      <w:r w:rsidRPr="00160A33">
        <w:t>50</w:t>
      </w:r>
      <w:r w:rsidRPr="00622DE4">
        <w:t xml:space="preserve"> % begroot, aangezien wordt verwacht dat de uitvoering van strategische projecten in </w:t>
      </w:r>
      <w:r w:rsidRPr="00160A33">
        <w:t>2026</w:t>
      </w:r>
      <w:r w:rsidRPr="00622DE4">
        <w:t xml:space="preserve"> nog niet volledig op gang zal zijn. Voor de overige vte’s zijn de kosten volledig begroot.</w:t>
      </w:r>
    </w:p>
  </w:footnote>
  <w:footnote w:id="105">
    <w:p w14:paraId="18708F57" w14:textId="77777777" w:rsidR="00D37F2D" w:rsidRPr="00622DE4" w:rsidRDefault="00D37F2D" w:rsidP="00D37F2D">
      <w:pPr>
        <w:pStyle w:val="FootnoteText"/>
      </w:pPr>
      <w:r>
        <w:rPr>
          <w:rStyle w:val="FootnoteReference"/>
        </w:rPr>
        <w:footnoteRef/>
      </w:r>
      <w:r w:rsidRPr="00622DE4">
        <w:tab/>
        <w:t xml:space="preserve">Voor het eerste jaar zijn de kosten van één AD voor wetenschappelijk advies voor </w:t>
      </w:r>
      <w:r w:rsidRPr="00160A33">
        <w:t>50</w:t>
      </w:r>
      <w:r w:rsidRPr="00622DE4">
        <w:t xml:space="preserve"> % begroot, aangezien wordt verwacht dat de uitvoering van strategische projecten in </w:t>
      </w:r>
      <w:r w:rsidRPr="00160A33">
        <w:t>2026</w:t>
      </w:r>
      <w:r w:rsidRPr="00622DE4">
        <w:t xml:space="preserve"> nog niet volledig op gang zal zijn. Voor de overige vte’s zijn de kosten volledig begroot.</w:t>
      </w:r>
    </w:p>
  </w:footnote>
  <w:footnote w:id="106">
    <w:p w14:paraId="3137CB48" w14:textId="77777777" w:rsidR="00D37F2D" w:rsidRPr="00622DE4" w:rsidRDefault="00D37F2D" w:rsidP="00D37F2D">
      <w:pPr>
        <w:pStyle w:val="FootnoteText"/>
        <w:rPr>
          <w:szCs w:val="24"/>
        </w:rPr>
      </w:pPr>
      <w:r>
        <w:rPr>
          <w:rStyle w:val="FootnoteReference"/>
        </w:rPr>
        <w:footnoteRef/>
      </w:r>
      <w:r w:rsidRPr="00622DE4">
        <w:tab/>
        <w:t xml:space="preserve">Voor traditionele eigen middelen (douanerechten en suikerheffingen) moeten nettobedragen worden vermeld, d.w.z. na aftrek van </w:t>
      </w:r>
      <w:r w:rsidRPr="00160A33">
        <w:t>20</w:t>
      </w:r>
      <w:r w:rsidRPr="00622DE4">
        <w:t> % aan inningskosten.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6641" w14:textId="77777777" w:rsidR="00C21E5E" w:rsidRDefault="00C21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7E2A" w14:textId="77777777" w:rsidR="00C21E5E" w:rsidRDefault="00C21E5E" w:rsidP="00C21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CADD" w14:textId="77777777" w:rsidR="00C21E5E" w:rsidRPr="00C21E5E" w:rsidRDefault="00C21E5E" w:rsidP="00C21E5E">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4C86" w14:textId="77777777" w:rsidR="00C21E5E" w:rsidRPr="00C21E5E" w:rsidRDefault="00C21E5E" w:rsidP="00C2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Level2"/>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pStyle w:val="LegalNumPar3"/>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pStyle w:val="ListNumberLevel4"/>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12"/>
    <w:lvlOverride w:ilvl="0">
      <w:startOverride w:val="1"/>
    </w:lvlOverride>
  </w:num>
  <w:num w:numId="18">
    <w:abstractNumId w:val="23"/>
    <w:lvlOverride w:ilvl="0">
      <w:startOverride w:val="1"/>
    </w:lvlOverride>
  </w:num>
  <w:num w:numId="19">
    <w:abstractNumId w:val="26"/>
    <w:lvlOverride w:ilvl="0">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 w:numId="35">
    <w:abstractNumId w:val="23"/>
  </w:num>
  <w:num w:numId="36">
    <w:abstractNumId w:val="12"/>
  </w:num>
  <w:num w:numId="37">
    <w:abstractNumId w:val="26"/>
  </w:num>
  <w:num w:numId="38">
    <w:abstractNumId w:val="6"/>
  </w:num>
  <w:num w:numId="39">
    <w:abstractNumId w:val="13"/>
  </w:num>
  <w:num w:numId="40">
    <w:abstractNumId w:val="14"/>
  </w:num>
  <w:num w:numId="41">
    <w:abstractNumId w:val="4"/>
  </w:num>
  <w:num w:numId="42">
    <w:abstractNumId w:val="25"/>
  </w:num>
  <w:num w:numId="43">
    <w:abstractNumId w:val="3"/>
  </w:num>
  <w:num w:numId="44">
    <w:abstractNumId w:val="15"/>
  </w:num>
  <w:num w:numId="45">
    <w:abstractNumId w:val="21"/>
  </w:num>
  <w:num w:numId="46">
    <w:abstractNumId w:val="22"/>
  </w:num>
  <w:num w:numId="47">
    <w:abstractNumId w:val="5"/>
  </w:num>
  <w:num w:numId="48">
    <w:abstractNumId w:val="19"/>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5-11 21:16: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1EC32D4-97DD-424E-98E5-BC76DDF1AB73"/>
    <w:docVar w:name="LW_COVERPAGE_TYPE" w:val="1"/>
    <w:docVar w:name="LW_CreatedUtc" w:val="2025-03-06T16:40:12.2489620Z"/>
    <w:docVar w:name="LW_CROSSREFERENCE" w:val="&lt;UNUSED&gt;"/>
    <w:docVar w:name="LW_DocType" w:val="COM"/>
    <w:docVar w:name="LW_EMISSION" w:val="11.3.2025"/>
    <w:docVar w:name="LW_EMISSION_ISODATE" w:val="2025-03-11"/>
    <w:docVar w:name="LW_EMISSION_LOCATION" w:val="STR"/>
    <w:docVar w:name="LW_EMISSION_PREFIX" w:val="Straatsburg,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102"/>
    <w:docVar w:name="LW_REF.II.NEW.CP_YEAR" w:val="2025"/>
    <w:docVar w:name="LW_REF.INST.NEW" w:val="COM"/>
    <w:docVar w:name="LW_REF.INST.NEW_ADOPTED" w:val="final"/>
    <w:docVar w:name="LW_REF.INST.NEW_TEXT" w:val="(2025) 1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vaststelling van een kader voor de vergroting van de beschikbaarheid en voorzieningszekerheid van kritieke geneesmiddelen, en van de beschikbaarheid en toegankelijkheid van geneesmiddelen van gemeenschappelijk belang, en tot wijziging van Verordening (EU) 2024/795"/>
    <w:docVar w:name="LW_TYPE.DOC.CP" w:val="VERORDENING VAN HET EUROPEES PARLEMENT EN DE RAAD"/>
    <w:docVar w:name="LwApiVersions" w:val="LW4CoDe 1.24.5.0; LW 9.0, Build 20240221"/>
  </w:docVars>
  <w:rsids>
    <w:rsidRoot w:val="004C5377"/>
    <w:rsid w:val="0000071D"/>
    <w:rsid w:val="00000F3D"/>
    <w:rsid w:val="00004705"/>
    <w:rsid w:val="0000495C"/>
    <w:rsid w:val="00004BF7"/>
    <w:rsid w:val="00004EA1"/>
    <w:rsid w:val="00006E16"/>
    <w:rsid w:val="0001172C"/>
    <w:rsid w:val="000148C2"/>
    <w:rsid w:val="00014A86"/>
    <w:rsid w:val="00020536"/>
    <w:rsid w:val="0002064A"/>
    <w:rsid w:val="00020D77"/>
    <w:rsid w:val="00021745"/>
    <w:rsid w:val="00021D4E"/>
    <w:rsid w:val="00023CFF"/>
    <w:rsid w:val="00025FD4"/>
    <w:rsid w:val="00026D8E"/>
    <w:rsid w:val="0003048A"/>
    <w:rsid w:val="0003176E"/>
    <w:rsid w:val="00031ED7"/>
    <w:rsid w:val="00032443"/>
    <w:rsid w:val="00033BC3"/>
    <w:rsid w:val="000344EA"/>
    <w:rsid w:val="00034766"/>
    <w:rsid w:val="00034DB8"/>
    <w:rsid w:val="0003591A"/>
    <w:rsid w:val="00036F81"/>
    <w:rsid w:val="00040560"/>
    <w:rsid w:val="00040C56"/>
    <w:rsid w:val="00042B70"/>
    <w:rsid w:val="000449B6"/>
    <w:rsid w:val="00045678"/>
    <w:rsid w:val="00046C00"/>
    <w:rsid w:val="00046C83"/>
    <w:rsid w:val="00047108"/>
    <w:rsid w:val="00052A1B"/>
    <w:rsid w:val="0005370D"/>
    <w:rsid w:val="000538D7"/>
    <w:rsid w:val="0005782E"/>
    <w:rsid w:val="00060123"/>
    <w:rsid w:val="00060213"/>
    <w:rsid w:val="0006074C"/>
    <w:rsid w:val="00060B05"/>
    <w:rsid w:val="000615F5"/>
    <w:rsid w:val="000616D4"/>
    <w:rsid w:val="0006268B"/>
    <w:rsid w:val="000626FB"/>
    <w:rsid w:val="00063923"/>
    <w:rsid w:val="00064C81"/>
    <w:rsid w:val="000651D9"/>
    <w:rsid w:val="00065801"/>
    <w:rsid w:val="00066950"/>
    <w:rsid w:val="000703BB"/>
    <w:rsid w:val="000716F4"/>
    <w:rsid w:val="00071F7D"/>
    <w:rsid w:val="00072FC5"/>
    <w:rsid w:val="00075A51"/>
    <w:rsid w:val="00075D31"/>
    <w:rsid w:val="00077DFD"/>
    <w:rsid w:val="000826BE"/>
    <w:rsid w:val="00086B96"/>
    <w:rsid w:val="000907D9"/>
    <w:rsid w:val="00090F1E"/>
    <w:rsid w:val="00092AD7"/>
    <w:rsid w:val="000957F0"/>
    <w:rsid w:val="0009586C"/>
    <w:rsid w:val="0009615C"/>
    <w:rsid w:val="00096EEF"/>
    <w:rsid w:val="000A0E33"/>
    <w:rsid w:val="000A28F2"/>
    <w:rsid w:val="000A2A54"/>
    <w:rsid w:val="000A3207"/>
    <w:rsid w:val="000A425D"/>
    <w:rsid w:val="000A64B8"/>
    <w:rsid w:val="000A6674"/>
    <w:rsid w:val="000A7B2E"/>
    <w:rsid w:val="000B14D5"/>
    <w:rsid w:val="000B1DC1"/>
    <w:rsid w:val="000B3967"/>
    <w:rsid w:val="000B56BF"/>
    <w:rsid w:val="000B72E5"/>
    <w:rsid w:val="000C1059"/>
    <w:rsid w:val="000C16C6"/>
    <w:rsid w:val="000C1BA9"/>
    <w:rsid w:val="000C1E64"/>
    <w:rsid w:val="000C40DE"/>
    <w:rsid w:val="000C48ED"/>
    <w:rsid w:val="000C5FBF"/>
    <w:rsid w:val="000C786C"/>
    <w:rsid w:val="000C7CB4"/>
    <w:rsid w:val="000D13E0"/>
    <w:rsid w:val="000D1861"/>
    <w:rsid w:val="000D3039"/>
    <w:rsid w:val="000D328A"/>
    <w:rsid w:val="000D3A6E"/>
    <w:rsid w:val="000D44F4"/>
    <w:rsid w:val="000D4A8A"/>
    <w:rsid w:val="000D7E12"/>
    <w:rsid w:val="000E10AD"/>
    <w:rsid w:val="000E544B"/>
    <w:rsid w:val="000E668F"/>
    <w:rsid w:val="000E6C56"/>
    <w:rsid w:val="000E71DE"/>
    <w:rsid w:val="000F0F7A"/>
    <w:rsid w:val="000F260D"/>
    <w:rsid w:val="000F2898"/>
    <w:rsid w:val="001009E3"/>
    <w:rsid w:val="0010152C"/>
    <w:rsid w:val="00102202"/>
    <w:rsid w:val="00104B06"/>
    <w:rsid w:val="001056B3"/>
    <w:rsid w:val="001065F5"/>
    <w:rsid w:val="00110561"/>
    <w:rsid w:val="00110A65"/>
    <w:rsid w:val="00111BA7"/>
    <w:rsid w:val="00113304"/>
    <w:rsid w:val="0011335C"/>
    <w:rsid w:val="00114A53"/>
    <w:rsid w:val="00121939"/>
    <w:rsid w:val="001238EF"/>
    <w:rsid w:val="0012686F"/>
    <w:rsid w:val="00132D14"/>
    <w:rsid w:val="001335F6"/>
    <w:rsid w:val="00133D86"/>
    <w:rsid w:val="00137F2A"/>
    <w:rsid w:val="001405E2"/>
    <w:rsid w:val="00140754"/>
    <w:rsid w:val="001421F7"/>
    <w:rsid w:val="00143FF0"/>
    <w:rsid w:val="0014413B"/>
    <w:rsid w:val="001449E0"/>
    <w:rsid w:val="00144FA3"/>
    <w:rsid w:val="00145BE2"/>
    <w:rsid w:val="00146654"/>
    <w:rsid w:val="001474E8"/>
    <w:rsid w:val="0015121C"/>
    <w:rsid w:val="0015214B"/>
    <w:rsid w:val="001545CA"/>
    <w:rsid w:val="00155A65"/>
    <w:rsid w:val="00156D6A"/>
    <w:rsid w:val="00157DD5"/>
    <w:rsid w:val="00160A33"/>
    <w:rsid w:val="00163C4F"/>
    <w:rsid w:val="0016699F"/>
    <w:rsid w:val="00166F19"/>
    <w:rsid w:val="0017063C"/>
    <w:rsid w:val="00173B04"/>
    <w:rsid w:val="00174DCA"/>
    <w:rsid w:val="00176876"/>
    <w:rsid w:val="001779FF"/>
    <w:rsid w:val="00177F36"/>
    <w:rsid w:val="00181117"/>
    <w:rsid w:val="0018192A"/>
    <w:rsid w:val="0018211A"/>
    <w:rsid w:val="0018579E"/>
    <w:rsid w:val="00186774"/>
    <w:rsid w:val="001876CE"/>
    <w:rsid w:val="001903B7"/>
    <w:rsid w:val="001922F3"/>
    <w:rsid w:val="00192836"/>
    <w:rsid w:val="00193AA7"/>
    <w:rsid w:val="00195EFB"/>
    <w:rsid w:val="001969D4"/>
    <w:rsid w:val="00197613"/>
    <w:rsid w:val="00197C20"/>
    <w:rsid w:val="00197EA8"/>
    <w:rsid w:val="001A3A3F"/>
    <w:rsid w:val="001A4055"/>
    <w:rsid w:val="001A48BF"/>
    <w:rsid w:val="001A585B"/>
    <w:rsid w:val="001A6A91"/>
    <w:rsid w:val="001B047A"/>
    <w:rsid w:val="001B30C4"/>
    <w:rsid w:val="001B6649"/>
    <w:rsid w:val="001B725B"/>
    <w:rsid w:val="001B74FE"/>
    <w:rsid w:val="001B7931"/>
    <w:rsid w:val="001C00A8"/>
    <w:rsid w:val="001C39B0"/>
    <w:rsid w:val="001C5090"/>
    <w:rsid w:val="001C5EA0"/>
    <w:rsid w:val="001C6098"/>
    <w:rsid w:val="001D02EB"/>
    <w:rsid w:val="001D10B6"/>
    <w:rsid w:val="001D2B35"/>
    <w:rsid w:val="001D4D26"/>
    <w:rsid w:val="001D7C2D"/>
    <w:rsid w:val="001E1CA0"/>
    <w:rsid w:val="001E24F0"/>
    <w:rsid w:val="001E27C1"/>
    <w:rsid w:val="001E3671"/>
    <w:rsid w:val="001E3D2E"/>
    <w:rsid w:val="001E4F41"/>
    <w:rsid w:val="001F1AFC"/>
    <w:rsid w:val="001F2121"/>
    <w:rsid w:val="001F2AEB"/>
    <w:rsid w:val="001F3BD3"/>
    <w:rsid w:val="001F51F2"/>
    <w:rsid w:val="001F6FB9"/>
    <w:rsid w:val="001F7085"/>
    <w:rsid w:val="001F7FB6"/>
    <w:rsid w:val="002001FC"/>
    <w:rsid w:val="00201531"/>
    <w:rsid w:val="00202C79"/>
    <w:rsid w:val="00203279"/>
    <w:rsid w:val="002043A2"/>
    <w:rsid w:val="00205507"/>
    <w:rsid w:val="002056E8"/>
    <w:rsid w:val="00205C51"/>
    <w:rsid w:val="0020725E"/>
    <w:rsid w:val="002118EA"/>
    <w:rsid w:val="00211D7C"/>
    <w:rsid w:val="00213E11"/>
    <w:rsid w:val="002161F2"/>
    <w:rsid w:val="00222633"/>
    <w:rsid w:val="002228C3"/>
    <w:rsid w:val="002237F7"/>
    <w:rsid w:val="00223DD4"/>
    <w:rsid w:val="002258AF"/>
    <w:rsid w:val="00226530"/>
    <w:rsid w:val="00226856"/>
    <w:rsid w:val="00226C07"/>
    <w:rsid w:val="002307A3"/>
    <w:rsid w:val="00230DA6"/>
    <w:rsid w:val="002316B3"/>
    <w:rsid w:val="0023238C"/>
    <w:rsid w:val="002338C8"/>
    <w:rsid w:val="00233DC7"/>
    <w:rsid w:val="00234805"/>
    <w:rsid w:val="00237F4C"/>
    <w:rsid w:val="00240ED0"/>
    <w:rsid w:val="00241B48"/>
    <w:rsid w:val="00242272"/>
    <w:rsid w:val="00244319"/>
    <w:rsid w:val="00244529"/>
    <w:rsid w:val="00247779"/>
    <w:rsid w:val="00251C56"/>
    <w:rsid w:val="002521E5"/>
    <w:rsid w:val="002538E5"/>
    <w:rsid w:val="00253A7F"/>
    <w:rsid w:val="002544D3"/>
    <w:rsid w:val="002551BB"/>
    <w:rsid w:val="002565CB"/>
    <w:rsid w:val="0026041C"/>
    <w:rsid w:val="002638C3"/>
    <w:rsid w:val="00263EA2"/>
    <w:rsid w:val="002640F4"/>
    <w:rsid w:val="00264C28"/>
    <w:rsid w:val="00265193"/>
    <w:rsid w:val="00270CA5"/>
    <w:rsid w:val="00270CC5"/>
    <w:rsid w:val="00272909"/>
    <w:rsid w:val="00276B30"/>
    <w:rsid w:val="00277637"/>
    <w:rsid w:val="00277F41"/>
    <w:rsid w:val="00280054"/>
    <w:rsid w:val="00280F10"/>
    <w:rsid w:val="00281838"/>
    <w:rsid w:val="00282CBB"/>
    <w:rsid w:val="0028433D"/>
    <w:rsid w:val="00285A14"/>
    <w:rsid w:val="00285BEE"/>
    <w:rsid w:val="00287639"/>
    <w:rsid w:val="00292EA9"/>
    <w:rsid w:val="002932F6"/>
    <w:rsid w:val="0029413C"/>
    <w:rsid w:val="0029533F"/>
    <w:rsid w:val="002967A2"/>
    <w:rsid w:val="00297047"/>
    <w:rsid w:val="002A1CE8"/>
    <w:rsid w:val="002A1E29"/>
    <w:rsid w:val="002A6EAE"/>
    <w:rsid w:val="002A7688"/>
    <w:rsid w:val="002B0F45"/>
    <w:rsid w:val="002B30AF"/>
    <w:rsid w:val="002B4457"/>
    <w:rsid w:val="002B70D0"/>
    <w:rsid w:val="002B7270"/>
    <w:rsid w:val="002C062F"/>
    <w:rsid w:val="002C0F57"/>
    <w:rsid w:val="002C4FA5"/>
    <w:rsid w:val="002C7E63"/>
    <w:rsid w:val="002D10C5"/>
    <w:rsid w:val="002D11D0"/>
    <w:rsid w:val="002D37D1"/>
    <w:rsid w:val="002D4483"/>
    <w:rsid w:val="002D623C"/>
    <w:rsid w:val="002D78A9"/>
    <w:rsid w:val="002D7F3B"/>
    <w:rsid w:val="002E026D"/>
    <w:rsid w:val="002E0845"/>
    <w:rsid w:val="002E499F"/>
    <w:rsid w:val="002E4F02"/>
    <w:rsid w:val="002E5925"/>
    <w:rsid w:val="002E656E"/>
    <w:rsid w:val="002E69E6"/>
    <w:rsid w:val="002F0661"/>
    <w:rsid w:val="002F163D"/>
    <w:rsid w:val="002F2E31"/>
    <w:rsid w:val="002F3F7D"/>
    <w:rsid w:val="002F40E8"/>
    <w:rsid w:val="002F729B"/>
    <w:rsid w:val="002F7399"/>
    <w:rsid w:val="00300188"/>
    <w:rsid w:val="00302A3B"/>
    <w:rsid w:val="00302C5A"/>
    <w:rsid w:val="00303F8C"/>
    <w:rsid w:val="00304A76"/>
    <w:rsid w:val="003057BD"/>
    <w:rsid w:val="00305EDC"/>
    <w:rsid w:val="00306367"/>
    <w:rsid w:val="003106E8"/>
    <w:rsid w:val="00310B24"/>
    <w:rsid w:val="00313609"/>
    <w:rsid w:val="003146E8"/>
    <w:rsid w:val="00315502"/>
    <w:rsid w:val="00315F81"/>
    <w:rsid w:val="0031631D"/>
    <w:rsid w:val="00317094"/>
    <w:rsid w:val="00321A62"/>
    <w:rsid w:val="003221CA"/>
    <w:rsid w:val="00323455"/>
    <w:rsid w:val="003271AE"/>
    <w:rsid w:val="0032759E"/>
    <w:rsid w:val="0033329E"/>
    <w:rsid w:val="0033344A"/>
    <w:rsid w:val="00334343"/>
    <w:rsid w:val="00334DD0"/>
    <w:rsid w:val="00335F0E"/>
    <w:rsid w:val="00341ACA"/>
    <w:rsid w:val="003420C2"/>
    <w:rsid w:val="00342124"/>
    <w:rsid w:val="00343238"/>
    <w:rsid w:val="003508E4"/>
    <w:rsid w:val="003509F1"/>
    <w:rsid w:val="003516D8"/>
    <w:rsid w:val="00352C0E"/>
    <w:rsid w:val="00354354"/>
    <w:rsid w:val="003547FE"/>
    <w:rsid w:val="00354A81"/>
    <w:rsid w:val="00354BAF"/>
    <w:rsid w:val="00356074"/>
    <w:rsid w:val="00357E3E"/>
    <w:rsid w:val="00361EF2"/>
    <w:rsid w:val="00362E35"/>
    <w:rsid w:val="00366495"/>
    <w:rsid w:val="00367250"/>
    <w:rsid w:val="00370990"/>
    <w:rsid w:val="00370E90"/>
    <w:rsid w:val="00372BAF"/>
    <w:rsid w:val="00372DE1"/>
    <w:rsid w:val="0037346A"/>
    <w:rsid w:val="00375E99"/>
    <w:rsid w:val="003772E1"/>
    <w:rsid w:val="00377E0B"/>
    <w:rsid w:val="00381731"/>
    <w:rsid w:val="003817C9"/>
    <w:rsid w:val="00383035"/>
    <w:rsid w:val="00385704"/>
    <w:rsid w:val="0038655D"/>
    <w:rsid w:val="003868B3"/>
    <w:rsid w:val="0039140B"/>
    <w:rsid w:val="003950CF"/>
    <w:rsid w:val="00397330"/>
    <w:rsid w:val="003A0ACC"/>
    <w:rsid w:val="003A0F6F"/>
    <w:rsid w:val="003A4924"/>
    <w:rsid w:val="003A5EBB"/>
    <w:rsid w:val="003A79DF"/>
    <w:rsid w:val="003B065E"/>
    <w:rsid w:val="003B0B23"/>
    <w:rsid w:val="003B1169"/>
    <w:rsid w:val="003B13FD"/>
    <w:rsid w:val="003B1B6D"/>
    <w:rsid w:val="003B1EF3"/>
    <w:rsid w:val="003B3818"/>
    <w:rsid w:val="003B4D49"/>
    <w:rsid w:val="003B67CC"/>
    <w:rsid w:val="003B7AFA"/>
    <w:rsid w:val="003C149B"/>
    <w:rsid w:val="003C20DF"/>
    <w:rsid w:val="003C2D6E"/>
    <w:rsid w:val="003C33DF"/>
    <w:rsid w:val="003C71C8"/>
    <w:rsid w:val="003C73F3"/>
    <w:rsid w:val="003D18E6"/>
    <w:rsid w:val="003D1F8E"/>
    <w:rsid w:val="003D201B"/>
    <w:rsid w:val="003D46ED"/>
    <w:rsid w:val="003D5A49"/>
    <w:rsid w:val="003D5A60"/>
    <w:rsid w:val="003D63CA"/>
    <w:rsid w:val="003D6ADF"/>
    <w:rsid w:val="003E24AE"/>
    <w:rsid w:val="003E4815"/>
    <w:rsid w:val="003E4FBF"/>
    <w:rsid w:val="003F0CCA"/>
    <w:rsid w:val="003F1AD8"/>
    <w:rsid w:val="003F1BC8"/>
    <w:rsid w:val="003F2919"/>
    <w:rsid w:val="003F30E7"/>
    <w:rsid w:val="003F4000"/>
    <w:rsid w:val="003F54A7"/>
    <w:rsid w:val="003F5990"/>
    <w:rsid w:val="003F638F"/>
    <w:rsid w:val="003F6BDB"/>
    <w:rsid w:val="003F771F"/>
    <w:rsid w:val="00400BD5"/>
    <w:rsid w:val="00402491"/>
    <w:rsid w:val="004039CC"/>
    <w:rsid w:val="004050D0"/>
    <w:rsid w:val="004052C7"/>
    <w:rsid w:val="00405E27"/>
    <w:rsid w:val="00406AD1"/>
    <w:rsid w:val="00407733"/>
    <w:rsid w:val="0041134D"/>
    <w:rsid w:val="00414713"/>
    <w:rsid w:val="00414DF4"/>
    <w:rsid w:val="00414FEE"/>
    <w:rsid w:val="004207A5"/>
    <w:rsid w:val="00420D42"/>
    <w:rsid w:val="004219D4"/>
    <w:rsid w:val="00421D3D"/>
    <w:rsid w:val="004220C8"/>
    <w:rsid w:val="004229F9"/>
    <w:rsid w:val="004237DF"/>
    <w:rsid w:val="00424A8F"/>
    <w:rsid w:val="004253E5"/>
    <w:rsid w:val="0042550F"/>
    <w:rsid w:val="0042648E"/>
    <w:rsid w:val="00426A6D"/>
    <w:rsid w:val="00430448"/>
    <w:rsid w:val="004313F1"/>
    <w:rsid w:val="004329A0"/>
    <w:rsid w:val="004331C9"/>
    <w:rsid w:val="004337FD"/>
    <w:rsid w:val="0043393C"/>
    <w:rsid w:val="00434A26"/>
    <w:rsid w:val="00435703"/>
    <w:rsid w:val="00436D49"/>
    <w:rsid w:val="0043789D"/>
    <w:rsid w:val="00437D28"/>
    <w:rsid w:val="00441253"/>
    <w:rsid w:val="0044190B"/>
    <w:rsid w:val="00443F08"/>
    <w:rsid w:val="00443FFE"/>
    <w:rsid w:val="00444358"/>
    <w:rsid w:val="0044779B"/>
    <w:rsid w:val="00450683"/>
    <w:rsid w:val="004511DC"/>
    <w:rsid w:val="004512CD"/>
    <w:rsid w:val="00451A6A"/>
    <w:rsid w:val="00454023"/>
    <w:rsid w:val="00457FFE"/>
    <w:rsid w:val="00460547"/>
    <w:rsid w:val="00461706"/>
    <w:rsid w:val="00461733"/>
    <w:rsid w:val="0046358B"/>
    <w:rsid w:val="00463A2B"/>
    <w:rsid w:val="00463C6B"/>
    <w:rsid w:val="00465308"/>
    <w:rsid w:val="004664E2"/>
    <w:rsid w:val="00467D4F"/>
    <w:rsid w:val="0047134C"/>
    <w:rsid w:val="00472939"/>
    <w:rsid w:val="00473948"/>
    <w:rsid w:val="00474F5E"/>
    <w:rsid w:val="004754E3"/>
    <w:rsid w:val="00476B11"/>
    <w:rsid w:val="004775B4"/>
    <w:rsid w:val="00477803"/>
    <w:rsid w:val="00481D20"/>
    <w:rsid w:val="00483449"/>
    <w:rsid w:val="00483CFD"/>
    <w:rsid w:val="00484893"/>
    <w:rsid w:val="0048638B"/>
    <w:rsid w:val="00487178"/>
    <w:rsid w:val="00487185"/>
    <w:rsid w:val="004936D2"/>
    <w:rsid w:val="00493A28"/>
    <w:rsid w:val="00493B50"/>
    <w:rsid w:val="0049462C"/>
    <w:rsid w:val="00495090"/>
    <w:rsid w:val="004955F1"/>
    <w:rsid w:val="00496232"/>
    <w:rsid w:val="00496737"/>
    <w:rsid w:val="004A0B77"/>
    <w:rsid w:val="004A0DE1"/>
    <w:rsid w:val="004A12A8"/>
    <w:rsid w:val="004A1600"/>
    <w:rsid w:val="004A2611"/>
    <w:rsid w:val="004A41CD"/>
    <w:rsid w:val="004A5F4B"/>
    <w:rsid w:val="004A713C"/>
    <w:rsid w:val="004B0FED"/>
    <w:rsid w:val="004B398D"/>
    <w:rsid w:val="004B4B8D"/>
    <w:rsid w:val="004B7BE1"/>
    <w:rsid w:val="004C1104"/>
    <w:rsid w:val="004C4D45"/>
    <w:rsid w:val="004C5377"/>
    <w:rsid w:val="004C5C26"/>
    <w:rsid w:val="004C5F93"/>
    <w:rsid w:val="004C6851"/>
    <w:rsid w:val="004C7F40"/>
    <w:rsid w:val="004D18DB"/>
    <w:rsid w:val="004D2318"/>
    <w:rsid w:val="004D3628"/>
    <w:rsid w:val="004D4518"/>
    <w:rsid w:val="004D6A4C"/>
    <w:rsid w:val="004D770E"/>
    <w:rsid w:val="004D7C18"/>
    <w:rsid w:val="004E3541"/>
    <w:rsid w:val="004E4BCF"/>
    <w:rsid w:val="004E56F3"/>
    <w:rsid w:val="004E602F"/>
    <w:rsid w:val="004E64B3"/>
    <w:rsid w:val="004E7545"/>
    <w:rsid w:val="004E7756"/>
    <w:rsid w:val="004F109D"/>
    <w:rsid w:val="004F2E74"/>
    <w:rsid w:val="004F2EF9"/>
    <w:rsid w:val="004F2F8D"/>
    <w:rsid w:val="004F31F1"/>
    <w:rsid w:val="004F33A4"/>
    <w:rsid w:val="004F3D73"/>
    <w:rsid w:val="004F615C"/>
    <w:rsid w:val="00501DAF"/>
    <w:rsid w:val="005021E4"/>
    <w:rsid w:val="00502AFB"/>
    <w:rsid w:val="00502E07"/>
    <w:rsid w:val="00503541"/>
    <w:rsid w:val="00505D0D"/>
    <w:rsid w:val="0051010E"/>
    <w:rsid w:val="00510AF6"/>
    <w:rsid w:val="00510CBB"/>
    <w:rsid w:val="0051314F"/>
    <w:rsid w:val="005132B9"/>
    <w:rsid w:val="00513679"/>
    <w:rsid w:val="00515479"/>
    <w:rsid w:val="00516504"/>
    <w:rsid w:val="0052354D"/>
    <w:rsid w:val="0052549A"/>
    <w:rsid w:val="0052592C"/>
    <w:rsid w:val="00525B71"/>
    <w:rsid w:val="00531305"/>
    <w:rsid w:val="00531D9E"/>
    <w:rsid w:val="00532112"/>
    <w:rsid w:val="005334F6"/>
    <w:rsid w:val="00534483"/>
    <w:rsid w:val="00534A1D"/>
    <w:rsid w:val="00535FE4"/>
    <w:rsid w:val="00540400"/>
    <w:rsid w:val="0054175D"/>
    <w:rsid w:val="00541B2E"/>
    <w:rsid w:val="00543037"/>
    <w:rsid w:val="005434B9"/>
    <w:rsid w:val="0054574E"/>
    <w:rsid w:val="00546602"/>
    <w:rsid w:val="00547451"/>
    <w:rsid w:val="00550AC3"/>
    <w:rsid w:val="005522FA"/>
    <w:rsid w:val="005535A2"/>
    <w:rsid w:val="005551BF"/>
    <w:rsid w:val="00555A38"/>
    <w:rsid w:val="0055763E"/>
    <w:rsid w:val="005576DE"/>
    <w:rsid w:val="00557B53"/>
    <w:rsid w:val="00561DF6"/>
    <w:rsid w:val="00561EA3"/>
    <w:rsid w:val="00561F5F"/>
    <w:rsid w:val="0056389A"/>
    <w:rsid w:val="00564E1E"/>
    <w:rsid w:val="005654E6"/>
    <w:rsid w:val="0056604C"/>
    <w:rsid w:val="005706D4"/>
    <w:rsid w:val="00570D37"/>
    <w:rsid w:val="005728AA"/>
    <w:rsid w:val="005734DA"/>
    <w:rsid w:val="00574FBA"/>
    <w:rsid w:val="00575955"/>
    <w:rsid w:val="00581554"/>
    <w:rsid w:val="00581BEB"/>
    <w:rsid w:val="00583A2D"/>
    <w:rsid w:val="00584922"/>
    <w:rsid w:val="005850ED"/>
    <w:rsid w:val="005852B1"/>
    <w:rsid w:val="0058596B"/>
    <w:rsid w:val="00585E62"/>
    <w:rsid w:val="005871AD"/>
    <w:rsid w:val="00587F14"/>
    <w:rsid w:val="00591071"/>
    <w:rsid w:val="00591B8B"/>
    <w:rsid w:val="005928AC"/>
    <w:rsid w:val="00593898"/>
    <w:rsid w:val="00593A3C"/>
    <w:rsid w:val="00593AA9"/>
    <w:rsid w:val="00596544"/>
    <w:rsid w:val="00597638"/>
    <w:rsid w:val="005A05B0"/>
    <w:rsid w:val="005A0A8C"/>
    <w:rsid w:val="005A0F52"/>
    <w:rsid w:val="005A11D7"/>
    <w:rsid w:val="005A139A"/>
    <w:rsid w:val="005A28D1"/>
    <w:rsid w:val="005A3C83"/>
    <w:rsid w:val="005A57C0"/>
    <w:rsid w:val="005A7394"/>
    <w:rsid w:val="005B03D7"/>
    <w:rsid w:val="005B1EB6"/>
    <w:rsid w:val="005B3071"/>
    <w:rsid w:val="005B3276"/>
    <w:rsid w:val="005B36DD"/>
    <w:rsid w:val="005B3FF0"/>
    <w:rsid w:val="005B4902"/>
    <w:rsid w:val="005B4AAA"/>
    <w:rsid w:val="005B4E50"/>
    <w:rsid w:val="005B5205"/>
    <w:rsid w:val="005C0EB3"/>
    <w:rsid w:val="005C15AC"/>
    <w:rsid w:val="005C2308"/>
    <w:rsid w:val="005C4199"/>
    <w:rsid w:val="005C584D"/>
    <w:rsid w:val="005C64DE"/>
    <w:rsid w:val="005D0E22"/>
    <w:rsid w:val="005D1F00"/>
    <w:rsid w:val="005D23D0"/>
    <w:rsid w:val="005D2563"/>
    <w:rsid w:val="005D292A"/>
    <w:rsid w:val="005D2EFA"/>
    <w:rsid w:val="005D4858"/>
    <w:rsid w:val="005D4CE1"/>
    <w:rsid w:val="005D4FEE"/>
    <w:rsid w:val="005E06DF"/>
    <w:rsid w:val="005E0B2D"/>
    <w:rsid w:val="005E1B9E"/>
    <w:rsid w:val="005E6482"/>
    <w:rsid w:val="005E7B29"/>
    <w:rsid w:val="005F2D78"/>
    <w:rsid w:val="005F331F"/>
    <w:rsid w:val="005F3C63"/>
    <w:rsid w:val="005F434D"/>
    <w:rsid w:val="005F437D"/>
    <w:rsid w:val="005F6783"/>
    <w:rsid w:val="005F72FD"/>
    <w:rsid w:val="005F75FD"/>
    <w:rsid w:val="005F7F14"/>
    <w:rsid w:val="006002E3"/>
    <w:rsid w:val="0060047F"/>
    <w:rsid w:val="00601120"/>
    <w:rsid w:val="00601544"/>
    <w:rsid w:val="006015BE"/>
    <w:rsid w:val="00602DEE"/>
    <w:rsid w:val="00603433"/>
    <w:rsid w:val="00607034"/>
    <w:rsid w:val="00607239"/>
    <w:rsid w:val="00607745"/>
    <w:rsid w:val="006102EB"/>
    <w:rsid w:val="00610E59"/>
    <w:rsid w:val="00611C9F"/>
    <w:rsid w:val="00612A27"/>
    <w:rsid w:val="00613E46"/>
    <w:rsid w:val="006140F0"/>
    <w:rsid w:val="0061521F"/>
    <w:rsid w:val="006161B9"/>
    <w:rsid w:val="00622DE4"/>
    <w:rsid w:val="00627187"/>
    <w:rsid w:val="00627451"/>
    <w:rsid w:val="006278D7"/>
    <w:rsid w:val="0062796A"/>
    <w:rsid w:val="006303BC"/>
    <w:rsid w:val="006333FF"/>
    <w:rsid w:val="00634D68"/>
    <w:rsid w:val="006350E3"/>
    <w:rsid w:val="00637342"/>
    <w:rsid w:val="00642752"/>
    <w:rsid w:val="0064488A"/>
    <w:rsid w:val="006465ED"/>
    <w:rsid w:val="00647896"/>
    <w:rsid w:val="00650044"/>
    <w:rsid w:val="00651944"/>
    <w:rsid w:val="00651AEC"/>
    <w:rsid w:val="00652D8D"/>
    <w:rsid w:val="0065405E"/>
    <w:rsid w:val="00654D8C"/>
    <w:rsid w:val="00655EDE"/>
    <w:rsid w:val="00662A98"/>
    <w:rsid w:val="006638E5"/>
    <w:rsid w:val="00665031"/>
    <w:rsid w:val="00665871"/>
    <w:rsid w:val="00666F0F"/>
    <w:rsid w:val="00667C6C"/>
    <w:rsid w:val="00671EF3"/>
    <w:rsid w:val="00673CBD"/>
    <w:rsid w:val="00673E62"/>
    <w:rsid w:val="006756DF"/>
    <w:rsid w:val="0067611C"/>
    <w:rsid w:val="00684A84"/>
    <w:rsid w:val="00687538"/>
    <w:rsid w:val="00690CCA"/>
    <w:rsid w:val="006914FA"/>
    <w:rsid w:val="006918F8"/>
    <w:rsid w:val="00691BE2"/>
    <w:rsid w:val="00691F31"/>
    <w:rsid w:val="006943AA"/>
    <w:rsid w:val="00694E86"/>
    <w:rsid w:val="00695169"/>
    <w:rsid w:val="00697F90"/>
    <w:rsid w:val="006A0224"/>
    <w:rsid w:val="006A0ADB"/>
    <w:rsid w:val="006A2B29"/>
    <w:rsid w:val="006A59C2"/>
    <w:rsid w:val="006A59C5"/>
    <w:rsid w:val="006B1310"/>
    <w:rsid w:val="006B1EDC"/>
    <w:rsid w:val="006B29B0"/>
    <w:rsid w:val="006B2F84"/>
    <w:rsid w:val="006C17F6"/>
    <w:rsid w:val="006D0C69"/>
    <w:rsid w:val="006D234A"/>
    <w:rsid w:val="006D2355"/>
    <w:rsid w:val="006D3773"/>
    <w:rsid w:val="006D3FB4"/>
    <w:rsid w:val="006D40BD"/>
    <w:rsid w:val="006D556C"/>
    <w:rsid w:val="006D5739"/>
    <w:rsid w:val="006D582D"/>
    <w:rsid w:val="006D60D4"/>
    <w:rsid w:val="006D695F"/>
    <w:rsid w:val="006D6F54"/>
    <w:rsid w:val="006D73A4"/>
    <w:rsid w:val="006E01DE"/>
    <w:rsid w:val="006E21ED"/>
    <w:rsid w:val="006E3402"/>
    <w:rsid w:val="006E6D05"/>
    <w:rsid w:val="006E7543"/>
    <w:rsid w:val="006F35AA"/>
    <w:rsid w:val="006F3A66"/>
    <w:rsid w:val="006F4658"/>
    <w:rsid w:val="006F46F6"/>
    <w:rsid w:val="006F57C8"/>
    <w:rsid w:val="006F5900"/>
    <w:rsid w:val="006F66CF"/>
    <w:rsid w:val="006F7625"/>
    <w:rsid w:val="007004BE"/>
    <w:rsid w:val="007011FA"/>
    <w:rsid w:val="0070380B"/>
    <w:rsid w:val="007046C4"/>
    <w:rsid w:val="00704AC4"/>
    <w:rsid w:val="0070642E"/>
    <w:rsid w:val="00707D4C"/>
    <w:rsid w:val="00710BD5"/>
    <w:rsid w:val="007125A7"/>
    <w:rsid w:val="00712F25"/>
    <w:rsid w:val="00713BEE"/>
    <w:rsid w:val="00713F56"/>
    <w:rsid w:val="00714DEB"/>
    <w:rsid w:val="00714E56"/>
    <w:rsid w:val="00715178"/>
    <w:rsid w:val="00720806"/>
    <w:rsid w:val="00723D03"/>
    <w:rsid w:val="0072716F"/>
    <w:rsid w:val="00731480"/>
    <w:rsid w:val="00734883"/>
    <w:rsid w:val="00734BC9"/>
    <w:rsid w:val="00736134"/>
    <w:rsid w:val="00741E68"/>
    <w:rsid w:val="00742342"/>
    <w:rsid w:val="007428AE"/>
    <w:rsid w:val="007429DA"/>
    <w:rsid w:val="00743031"/>
    <w:rsid w:val="007435DB"/>
    <w:rsid w:val="00744F34"/>
    <w:rsid w:val="00745DE6"/>
    <w:rsid w:val="00745F4D"/>
    <w:rsid w:val="007476D0"/>
    <w:rsid w:val="007504B2"/>
    <w:rsid w:val="007504C7"/>
    <w:rsid w:val="00751337"/>
    <w:rsid w:val="007529B4"/>
    <w:rsid w:val="007552B9"/>
    <w:rsid w:val="007560C4"/>
    <w:rsid w:val="007562DB"/>
    <w:rsid w:val="00757242"/>
    <w:rsid w:val="00757E4B"/>
    <w:rsid w:val="00760BB2"/>
    <w:rsid w:val="00761971"/>
    <w:rsid w:val="00761D62"/>
    <w:rsid w:val="007624E5"/>
    <w:rsid w:val="007627E3"/>
    <w:rsid w:val="00763241"/>
    <w:rsid w:val="00765D10"/>
    <w:rsid w:val="0076617B"/>
    <w:rsid w:val="00766A04"/>
    <w:rsid w:val="00766F36"/>
    <w:rsid w:val="00770BBB"/>
    <w:rsid w:val="007714E4"/>
    <w:rsid w:val="007731D9"/>
    <w:rsid w:val="00773331"/>
    <w:rsid w:val="0077495C"/>
    <w:rsid w:val="00775814"/>
    <w:rsid w:val="00776349"/>
    <w:rsid w:val="00777A2F"/>
    <w:rsid w:val="00780015"/>
    <w:rsid w:val="00783C0F"/>
    <w:rsid w:val="00785DA2"/>
    <w:rsid w:val="00787445"/>
    <w:rsid w:val="00787DB9"/>
    <w:rsid w:val="00787F71"/>
    <w:rsid w:val="007920BB"/>
    <w:rsid w:val="0079247B"/>
    <w:rsid w:val="007925B8"/>
    <w:rsid w:val="007932EF"/>
    <w:rsid w:val="00793579"/>
    <w:rsid w:val="00793C41"/>
    <w:rsid w:val="00795236"/>
    <w:rsid w:val="00796E94"/>
    <w:rsid w:val="007A022E"/>
    <w:rsid w:val="007A2AFF"/>
    <w:rsid w:val="007A3DC6"/>
    <w:rsid w:val="007A51A1"/>
    <w:rsid w:val="007A5A04"/>
    <w:rsid w:val="007A6845"/>
    <w:rsid w:val="007A70D1"/>
    <w:rsid w:val="007A70DA"/>
    <w:rsid w:val="007B0169"/>
    <w:rsid w:val="007B1A17"/>
    <w:rsid w:val="007B3418"/>
    <w:rsid w:val="007B4098"/>
    <w:rsid w:val="007B43BA"/>
    <w:rsid w:val="007B6EBF"/>
    <w:rsid w:val="007C097D"/>
    <w:rsid w:val="007C0F0E"/>
    <w:rsid w:val="007C1BE0"/>
    <w:rsid w:val="007C29B3"/>
    <w:rsid w:val="007C467B"/>
    <w:rsid w:val="007C7855"/>
    <w:rsid w:val="007D1B5D"/>
    <w:rsid w:val="007D3323"/>
    <w:rsid w:val="007D3CF6"/>
    <w:rsid w:val="007D466C"/>
    <w:rsid w:val="007D71C6"/>
    <w:rsid w:val="007D732D"/>
    <w:rsid w:val="007D78C5"/>
    <w:rsid w:val="007E05B0"/>
    <w:rsid w:val="007E0847"/>
    <w:rsid w:val="007E14DA"/>
    <w:rsid w:val="007E234C"/>
    <w:rsid w:val="007E2D0F"/>
    <w:rsid w:val="007E3DB9"/>
    <w:rsid w:val="007E4163"/>
    <w:rsid w:val="007E4330"/>
    <w:rsid w:val="007E51B8"/>
    <w:rsid w:val="007E76F2"/>
    <w:rsid w:val="007F131E"/>
    <w:rsid w:val="007F35BD"/>
    <w:rsid w:val="007F37A9"/>
    <w:rsid w:val="007F3B89"/>
    <w:rsid w:val="007F3DE6"/>
    <w:rsid w:val="007F741C"/>
    <w:rsid w:val="00800BAF"/>
    <w:rsid w:val="00801718"/>
    <w:rsid w:val="00801862"/>
    <w:rsid w:val="0080379C"/>
    <w:rsid w:val="008037E9"/>
    <w:rsid w:val="008039D3"/>
    <w:rsid w:val="008039F6"/>
    <w:rsid w:val="00803DB0"/>
    <w:rsid w:val="00805E65"/>
    <w:rsid w:val="008060B5"/>
    <w:rsid w:val="00806687"/>
    <w:rsid w:val="008112E8"/>
    <w:rsid w:val="00811AC3"/>
    <w:rsid w:val="00812125"/>
    <w:rsid w:val="00813D0A"/>
    <w:rsid w:val="00814B15"/>
    <w:rsid w:val="008156E2"/>
    <w:rsid w:val="00816DF8"/>
    <w:rsid w:val="00822612"/>
    <w:rsid w:val="00823372"/>
    <w:rsid w:val="00825B2B"/>
    <w:rsid w:val="008268C1"/>
    <w:rsid w:val="00827534"/>
    <w:rsid w:val="00830033"/>
    <w:rsid w:val="00830114"/>
    <w:rsid w:val="008318BC"/>
    <w:rsid w:val="00832224"/>
    <w:rsid w:val="00833F61"/>
    <w:rsid w:val="00834B36"/>
    <w:rsid w:val="008354E8"/>
    <w:rsid w:val="00836A37"/>
    <w:rsid w:val="008400A4"/>
    <w:rsid w:val="008410AC"/>
    <w:rsid w:val="008439BD"/>
    <w:rsid w:val="0084578E"/>
    <w:rsid w:val="00846686"/>
    <w:rsid w:val="008524CE"/>
    <w:rsid w:val="00852CF1"/>
    <w:rsid w:val="00853491"/>
    <w:rsid w:val="00854690"/>
    <w:rsid w:val="008568ED"/>
    <w:rsid w:val="00860D16"/>
    <w:rsid w:val="00861ADA"/>
    <w:rsid w:val="00862D05"/>
    <w:rsid w:val="008663F0"/>
    <w:rsid w:val="008668BF"/>
    <w:rsid w:val="00866C60"/>
    <w:rsid w:val="0087066C"/>
    <w:rsid w:val="00871411"/>
    <w:rsid w:val="008735DB"/>
    <w:rsid w:val="00874D22"/>
    <w:rsid w:val="00876EE3"/>
    <w:rsid w:val="008802B4"/>
    <w:rsid w:val="00880B0B"/>
    <w:rsid w:val="00882BD8"/>
    <w:rsid w:val="00882C20"/>
    <w:rsid w:val="00882FB1"/>
    <w:rsid w:val="008835B3"/>
    <w:rsid w:val="00883C53"/>
    <w:rsid w:val="00883C58"/>
    <w:rsid w:val="00884779"/>
    <w:rsid w:val="0088689A"/>
    <w:rsid w:val="00891FF2"/>
    <w:rsid w:val="00892138"/>
    <w:rsid w:val="00892BCE"/>
    <w:rsid w:val="00895D62"/>
    <w:rsid w:val="00895EF6"/>
    <w:rsid w:val="008963CE"/>
    <w:rsid w:val="008A1FF5"/>
    <w:rsid w:val="008A2914"/>
    <w:rsid w:val="008A5D3A"/>
    <w:rsid w:val="008A75B5"/>
    <w:rsid w:val="008B0C38"/>
    <w:rsid w:val="008B3B8E"/>
    <w:rsid w:val="008B5281"/>
    <w:rsid w:val="008B56A1"/>
    <w:rsid w:val="008B56CB"/>
    <w:rsid w:val="008B5969"/>
    <w:rsid w:val="008C1A01"/>
    <w:rsid w:val="008C2B92"/>
    <w:rsid w:val="008C354C"/>
    <w:rsid w:val="008C359B"/>
    <w:rsid w:val="008C624A"/>
    <w:rsid w:val="008C6376"/>
    <w:rsid w:val="008C73AA"/>
    <w:rsid w:val="008C7465"/>
    <w:rsid w:val="008D2355"/>
    <w:rsid w:val="008D2F39"/>
    <w:rsid w:val="008D45F0"/>
    <w:rsid w:val="008D53D5"/>
    <w:rsid w:val="008D5403"/>
    <w:rsid w:val="008D64B9"/>
    <w:rsid w:val="008D709A"/>
    <w:rsid w:val="008D75C8"/>
    <w:rsid w:val="008E491A"/>
    <w:rsid w:val="008E4D24"/>
    <w:rsid w:val="008E4D8E"/>
    <w:rsid w:val="008E65CA"/>
    <w:rsid w:val="008E6F6B"/>
    <w:rsid w:val="008F0056"/>
    <w:rsid w:val="008F09EC"/>
    <w:rsid w:val="008F4C0A"/>
    <w:rsid w:val="008F51ED"/>
    <w:rsid w:val="008F5CCC"/>
    <w:rsid w:val="008F7B7E"/>
    <w:rsid w:val="009008CA"/>
    <w:rsid w:val="00902D22"/>
    <w:rsid w:val="00903D17"/>
    <w:rsid w:val="00903D36"/>
    <w:rsid w:val="00904D19"/>
    <w:rsid w:val="00905F34"/>
    <w:rsid w:val="009061D5"/>
    <w:rsid w:val="00906893"/>
    <w:rsid w:val="009077EE"/>
    <w:rsid w:val="009107CE"/>
    <w:rsid w:val="00911F8E"/>
    <w:rsid w:val="009123A7"/>
    <w:rsid w:val="009124A8"/>
    <w:rsid w:val="009135AD"/>
    <w:rsid w:val="009143BC"/>
    <w:rsid w:val="00914A06"/>
    <w:rsid w:val="009159C7"/>
    <w:rsid w:val="00917777"/>
    <w:rsid w:val="00917FD4"/>
    <w:rsid w:val="00920172"/>
    <w:rsid w:val="00920680"/>
    <w:rsid w:val="00921C7E"/>
    <w:rsid w:val="0092335E"/>
    <w:rsid w:val="009246A9"/>
    <w:rsid w:val="00926561"/>
    <w:rsid w:val="009266F6"/>
    <w:rsid w:val="00926B20"/>
    <w:rsid w:val="00930487"/>
    <w:rsid w:val="009328E0"/>
    <w:rsid w:val="00933A8E"/>
    <w:rsid w:val="00933AFF"/>
    <w:rsid w:val="00934574"/>
    <w:rsid w:val="009348AB"/>
    <w:rsid w:val="009349C0"/>
    <w:rsid w:val="00935B49"/>
    <w:rsid w:val="009373FC"/>
    <w:rsid w:val="00937D5C"/>
    <w:rsid w:val="00937E79"/>
    <w:rsid w:val="009403DB"/>
    <w:rsid w:val="00941249"/>
    <w:rsid w:val="0094454F"/>
    <w:rsid w:val="009455E9"/>
    <w:rsid w:val="009458A1"/>
    <w:rsid w:val="00946FBB"/>
    <w:rsid w:val="00947195"/>
    <w:rsid w:val="009472C7"/>
    <w:rsid w:val="009505E2"/>
    <w:rsid w:val="00950C0F"/>
    <w:rsid w:val="00952A02"/>
    <w:rsid w:val="00954359"/>
    <w:rsid w:val="009544C4"/>
    <w:rsid w:val="00954867"/>
    <w:rsid w:val="00956486"/>
    <w:rsid w:val="00957D02"/>
    <w:rsid w:val="00957EA2"/>
    <w:rsid w:val="00960169"/>
    <w:rsid w:val="0096069A"/>
    <w:rsid w:val="00963A2F"/>
    <w:rsid w:val="00963A47"/>
    <w:rsid w:val="0096619A"/>
    <w:rsid w:val="00966600"/>
    <w:rsid w:val="00966818"/>
    <w:rsid w:val="00967538"/>
    <w:rsid w:val="00970CB1"/>
    <w:rsid w:val="00971FE6"/>
    <w:rsid w:val="00972BE5"/>
    <w:rsid w:val="00972EC2"/>
    <w:rsid w:val="009735D0"/>
    <w:rsid w:val="009745E8"/>
    <w:rsid w:val="00974837"/>
    <w:rsid w:val="009760A8"/>
    <w:rsid w:val="0097657C"/>
    <w:rsid w:val="00976D89"/>
    <w:rsid w:val="0098140C"/>
    <w:rsid w:val="009870C4"/>
    <w:rsid w:val="009873E9"/>
    <w:rsid w:val="0099382F"/>
    <w:rsid w:val="0099558B"/>
    <w:rsid w:val="009955BD"/>
    <w:rsid w:val="00996CF8"/>
    <w:rsid w:val="009A1072"/>
    <w:rsid w:val="009A2727"/>
    <w:rsid w:val="009A2AA5"/>
    <w:rsid w:val="009A3128"/>
    <w:rsid w:val="009A43DF"/>
    <w:rsid w:val="009A603A"/>
    <w:rsid w:val="009A6A54"/>
    <w:rsid w:val="009B175D"/>
    <w:rsid w:val="009B1F95"/>
    <w:rsid w:val="009B2F14"/>
    <w:rsid w:val="009B4CBF"/>
    <w:rsid w:val="009B50BA"/>
    <w:rsid w:val="009B5C5C"/>
    <w:rsid w:val="009B5DBE"/>
    <w:rsid w:val="009B6550"/>
    <w:rsid w:val="009C13FB"/>
    <w:rsid w:val="009C2DD0"/>
    <w:rsid w:val="009C2ECF"/>
    <w:rsid w:val="009C78F7"/>
    <w:rsid w:val="009C7920"/>
    <w:rsid w:val="009D04BB"/>
    <w:rsid w:val="009D21F4"/>
    <w:rsid w:val="009D2662"/>
    <w:rsid w:val="009D27CA"/>
    <w:rsid w:val="009D300F"/>
    <w:rsid w:val="009D5403"/>
    <w:rsid w:val="009D6895"/>
    <w:rsid w:val="009D7E1C"/>
    <w:rsid w:val="009E4B48"/>
    <w:rsid w:val="009E5788"/>
    <w:rsid w:val="009E58B0"/>
    <w:rsid w:val="009E69F9"/>
    <w:rsid w:val="009E6EB9"/>
    <w:rsid w:val="009F1C91"/>
    <w:rsid w:val="009F20A8"/>
    <w:rsid w:val="009F2CDA"/>
    <w:rsid w:val="009F3264"/>
    <w:rsid w:val="009F3361"/>
    <w:rsid w:val="009F3ED3"/>
    <w:rsid w:val="009F4D88"/>
    <w:rsid w:val="009F50CC"/>
    <w:rsid w:val="009F71D1"/>
    <w:rsid w:val="00A01494"/>
    <w:rsid w:val="00A018B1"/>
    <w:rsid w:val="00A04F80"/>
    <w:rsid w:val="00A05ADB"/>
    <w:rsid w:val="00A0668C"/>
    <w:rsid w:val="00A06EE4"/>
    <w:rsid w:val="00A07C67"/>
    <w:rsid w:val="00A10011"/>
    <w:rsid w:val="00A1011D"/>
    <w:rsid w:val="00A103D4"/>
    <w:rsid w:val="00A1043E"/>
    <w:rsid w:val="00A122FF"/>
    <w:rsid w:val="00A1264F"/>
    <w:rsid w:val="00A14ADE"/>
    <w:rsid w:val="00A156DC"/>
    <w:rsid w:val="00A17BEE"/>
    <w:rsid w:val="00A2265F"/>
    <w:rsid w:val="00A2340F"/>
    <w:rsid w:val="00A249FC"/>
    <w:rsid w:val="00A27C64"/>
    <w:rsid w:val="00A302D5"/>
    <w:rsid w:val="00A302E2"/>
    <w:rsid w:val="00A329C7"/>
    <w:rsid w:val="00A33257"/>
    <w:rsid w:val="00A368F1"/>
    <w:rsid w:val="00A377D1"/>
    <w:rsid w:val="00A3791F"/>
    <w:rsid w:val="00A41B58"/>
    <w:rsid w:val="00A447C8"/>
    <w:rsid w:val="00A44C2C"/>
    <w:rsid w:val="00A453DE"/>
    <w:rsid w:val="00A45604"/>
    <w:rsid w:val="00A4773E"/>
    <w:rsid w:val="00A47A24"/>
    <w:rsid w:val="00A503B4"/>
    <w:rsid w:val="00A51470"/>
    <w:rsid w:val="00A522BD"/>
    <w:rsid w:val="00A53574"/>
    <w:rsid w:val="00A535D3"/>
    <w:rsid w:val="00A541EF"/>
    <w:rsid w:val="00A5530F"/>
    <w:rsid w:val="00A55BAE"/>
    <w:rsid w:val="00A5688B"/>
    <w:rsid w:val="00A61323"/>
    <w:rsid w:val="00A61ADE"/>
    <w:rsid w:val="00A6311F"/>
    <w:rsid w:val="00A63DBF"/>
    <w:rsid w:val="00A640FD"/>
    <w:rsid w:val="00A646D7"/>
    <w:rsid w:val="00A64E7F"/>
    <w:rsid w:val="00A65130"/>
    <w:rsid w:val="00A66DB7"/>
    <w:rsid w:val="00A672AB"/>
    <w:rsid w:val="00A67512"/>
    <w:rsid w:val="00A67690"/>
    <w:rsid w:val="00A67B40"/>
    <w:rsid w:val="00A7069C"/>
    <w:rsid w:val="00A70948"/>
    <w:rsid w:val="00A7182B"/>
    <w:rsid w:val="00A71FD1"/>
    <w:rsid w:val="00A72905"/>
    <w:rsid w:val="00A73E68"/>
    <w:rsid w:val="00A74BEC"/>
    <w:rsid w:val="00A74E7D"/>
    <w:rsid w:val="00A7630D"/>
    <w:rsid w:val="00A76F20"/>
    <w:rsid w:val="00A77412"/>
    <w:rsid w:val="00A775DB"/>
    <w:rsid w:val="00A77622"/>
    <w:rsid w:val="00A77B0F"/>
    <w:rsid w:val="00A80A45"/>
    <w:rsid w:val="00A8104A"/>
    <w:rsid w:val="00A8151F"/>
    <w:rsid w:val="00A81825"/>
    <w:rsid w:val="00A82D87"/>
    <w:rsid w:val="00A8344C"/>
    <w:rsid w:val="00A84090"/>
    <w:rsid w:val="00A868B4"/>
    <w:rsid w:val="00A86D81"/>
    <w:rsid w:val="00A9079D"/>
    <w:rsid w:val="00A907F1"/>
    <w:rsid w:val="00A90F66"/>
    <w:rsid w:val="00A92B00"/>
    <w:rsid w:val="00A93A56"/>
    <w:rsid w:val="00A93B4C"/>
    <w:rsid w:val="00A94316"/>
    <w:rsid w:val="00A96DD0"/>
    <w:rsid w:val="00A97EC7"/>
    <w:rsid w:val="00AA0B03"/>
    <w:rsid w:val="00AA2394"/>
    <w:rsid w:val="00AA240A"/>
    <w:rsid w:val="00AA4106"/>
    <w:rsid w:val="00AB030B"/>
    <w:rsid w:val="00AB0B8E"/>
    <w:rsid w:val="00AB116D"/>
    <w:rsid w:val="00AB25D0"/>
    <w:rsid w:val="00AB5567"/>
    <w:rsid w:val="00AB5CD5"/>
    <w:rsid w:val="00AB72DF"/>
    <w:rsid w:val="00AC0238"/>
    <w:rsid w:val="00AC3789"/>
    <w:rsid w:val="00AC394F"/>
    <w:rsid w:val="00AC46AA"/>
    <w:rsid w:val="00AC5D6D"/>
    <w:rsid w:val="00AD0328"/>
    <w:rsid w:val="00AD4929"/>
    <w:rsid w:val="00AD5E8F"/>
    <w:rsid w:val="00AF3932"/>
    <w:rsid w:val="00AF3E55"/>
    <w:rsid w:val="00AF62F3"/>
    <w:rsid w:val="00B02154"/>
    <w:rsid w:val="00B02B0E"/>
    <w:rsid w:val="00B032AC"/>
    <w:rsid w:val="00B0454E"/>
    <w:rsid w:val="00B05F8A"/>
    <w:rsid w:val="00B06E90"/>
    <w:rsid w:val="00B07D7D"/>
    <w:rsid w:val="00B10BC9"/>
    <w:rsid w:val="00B119B1"/>
    <w:rsid w:val="00B11F81"/>
    <w:rsid w:val="00B12306"/>
    <w:rsid w:val="00B13911"/>
    <w:rsid w:val="00B14381"/>
    <w:rsid w:val="00B15069"/>
    <w:rsid w:val="00B1519C"/>
    <w:rsid w:val="00B16DD1"/>
    <w:rsid w:val="00B16DE0"/>
    <w:rsid w:val="00B17F3E"/>
    <w:rsid w:val="00B20183"/>
    <w:rsid w:val="00B21973"/>
    <w:rsid w:val="00B24087"/>
    <w:rsid w:val="00B24671"/>
    <w:rsid w:val="00B25CE5"/>
    <w:rsid w:val="00B315FB"/>
    <w:rsid w:val="00B32CAD"/>
    <w:rsid w:val="00B33CB5"/>
    <w:rsid w:val="00B34B5F"/>
    <w:rsid w:val="00B35005"/>
    <w:rsid w:val="00B400C0"/>
    <w:rsid w:val="00B41F4F"/>
    <w:rsid w:val="00B4270C"/>
    <w:rsid w:val="00B43E98"/>
    <w:rsid w:val="00B4502F"/>
    <w:rsid w:val="00B45D66"/>
    <w:rsid w:val="00B463AA"/>
    <w:rsid w:val="00B47C68"/>
    <w:rsid w:val="00B51109"/>
    <w:rsid w:val="00B51A78"/>
    <w:rsid w:val="00B534B2"/>
    <w:rsid w:val="00B53C9C"/>
    <w:rsid w:val="00B54C04"/>
    <w:rsid w:val="00B56330"/>
    <w:rsid w:val="00B566B5"/>
    <w:rsid w:val="00B61CEC"/>
    <w:rsid w:val="00B62311"/>
    <w:rsid w:val="00B63F38"/>
    <w:rsid w:val="00B67161"/>
    <w:rsid w:val="00B67E1E"/>
    <w:rsid w:val="00B72734"/>
    <w:rsid w:val="00B75EBE"/>
    <w:rsid w:val="00B77C2E"/>
    <w:rsid w:val="00B81982"/>
    <w:rsid w:val="00B83D02"/>
    <w:rsid w:val="00B83F38"/>
    <w:rsid w:val="00B83F99"/>
    <w:rsid w:val="00B8452E"/>
    <w:rsid w:val="00B8532E"/>
    <w:rsid w:val="00B85C46"/>
    <w:rsid w:val="00B85F8B"/>
    <w:rsid w:val="00B8653E"/>
    <w:rsid w:val="00B86573"/>
    <w:rsid w:val="00B86CFD"/>
    <w:rsid w:val="00B9092F"/>
    <w:rsid w:val="00B9111F"/>
    <w:rsid w:val="00B92018"/>
    <w:rsid w:val="00B9412C"/>
    <w:rsid w:val="00B94CD4"/>
    <w:rsid w:val="00B9503F"/>
    <w:rsid w:val="00B95967"/>
    <w:rsid w:val="00B96EFE"/>
    <w:rsid w:val="00B97443"/>
    <w:rsid w:val="00B978D9"/>
    <w:rsid w:val="00BA13FE"/>
    <w:rsid w:val="00BA225E"/>
    <w:rsid w:val="00BA2DBF"/>
    <w:rsid w:val="00BA3741"/>
    <w:rsid w:val="00BA4D16"/>
    <w:rsid w:val="00BA52B4"/>
    <w:rsid w:val="00BA5317"/>
    <w:rsid w:val="00BB1166"/>
    <w:rsid w:val="00BB358E"/>
    <w:rsid w:val="00BB410F"/>
    <w:rsid w:val="00BC1ABF"/>
    <w:rsid w:val="00BC28C9"/>
    <w:rsid w:val="00BC2DE5"/>
    <w:rsid w:val="00BC3233"/>
    <w:rsid w:val="00BC3A0F"/>
    <w:rsid w:val="00BC3D6D"/>
    <w:rsid w:val="00BC42EC"/>
    <w:rsid w:val="00BC4DA0"/>
    <w:rsid w:val="00BC6DA4"/>
    <w:rsid w:val="00BD13CC"/>
    <w:rsid w:val="00BD1757"/>
    <w:rsid w:val="00BD454D"/>
    <w:rsid w:val="00BD5F3B"/>
    <w:rsid w:val="00BD6528"/>
    <w:rsid w:val="00BE0829"/>
    <w:rsid w:val="00BE1647"/>
    <w:rsid w:val="00BE1AC1"/>
    <w:rsid w:val="00BE1C8E"/>
    <w:rsid w:val="00BE1CAE"/>
    <w:rsid w:val="00BE3D59"/>
    <w:rsid w:val="00BE3E4C"/>
    <w:rsid w:val="00BE431F"/>
    <w:rsid w:val="00BE54B0"/>
    <w:rsid w:val="00BE6D77"/>
    <w:rsid w:val="00BE7D13"/>
    <w:rsid w:val="00BF1FA0"/>
    <w:rsid w:val="00BF2551"/>
    <w:rsid w:val="00BF4B9E"/>
    <w:rsid w:val="00BF6BE7"/>
    <w:rsid w:val="00BF715B"/>
    <w:rsid w:val="00C0095B"/>
    <w:rsid w:val="00C011D3"/>
    <w:rsid w:val="00C0165B"/>
    <w:rsid w:val="00C023FF"/>
    <w:rsid w:val="00C037FA"/>
    <w:rsid w:val="00C04FDA"/>
    <w:rsid w:val="00C11BCF"/>
    <w:rsid w:val="00C12301"/>
    <w:rsid w:val="00C14F23"/>
    <w:rsid w:val="00C15669"/>
    <w:rsid w:val="00C158D0"/>
    <w:rsid w:val="00C16408"/>
    <w:rsid w:val="00C169F8"/>
    <w:rsid w:val="00C172C2"/>
    <w:rsid w:val="00C177EE"/>
    <w:rsid w:val="00C17C6F"/>
    <w:rsid w:val="00C209C2"/>
    <w:rsid w:val="00C215EC"/>
    <w:rsid w:val="00C21C7A"/>
    <w:rsid w:val="00C21E5E"/>
    <w:rsid w:val="00C22580"/>
    <w:rsid w:val="00C23E78"/>
    <w:rsid w:val="00C2490E"/>
    <w:rsid w:val="00C25ADA"/>
    <w:rsid w:val="00C26126"/>
    <w:rsid w:val="00C278CD"/>
    <w:rsid w:val="00C30615"/>
    <w:rsid w:val="00C3082D"/>
    <w:rsid w:val="00C30C54"/>
    <w:rsid w:val="00C31BC5"/>
    <w:rsid w:val="00C338AF"/>
    <w:rsid w:val="00C33F99"/>
    <w:rsid w:val="00C3542C"/>
    <w:rsid w:val="00C3707B"/>
    <w:rsid w:val="00C37C95"/>
    <w:rsid w:val="00C40667"/>
    <w:rsid w:val="00C40D56"/>
    <w:rsid w:val="00C40FC5"/>
    <w:rsid w:val="00C41180"/>
    <w:rsid w:val="00C422A2"/>
    <w:rsid w:val="00C50F45"/>
    <w:rsid w:val="00C535A5"/>
    <w:rsid w:val="00C5384B"/>
    <w:rsid w:val="00C53ACD"/>
    <w:rsid w:val="00C53EFC"/>
    <w:rsid w:val="00C56F42"/>
    <w:rsid w:val="00C5794F"/>
    <w:rsid w:val="00C62170"/>
    <w:rsid w:val="00C62632"/>
    <w:rsid w:val="00C636A5"/>
    <w:rsid w:val="00C63DED"/>
    <w:rsid w:val="00C65757"/>
    <w:rsid w:val="00C666F4"/>
    <w:rsid w:val="00C67B10"/>
    <w:rsid w:val="00C70707"/>
    <w:rsid w:val="00C7234C"/>
    <w:rsid w:val="00C72F1F"/>
    <w:rsid w:val="00C752B1"/>
    <w:rsid w:val="00C774FD"/>
    <w:rsid w:val="00C809B2"/>
    <w:rsid w:val="00C829BF"/>
    <w:rsid w:val="00C84E2B"/>
    <w:rsid w:val="00C87230"/>
    <w:rsid w:val="00C8799E"/>
    <w:rsid w:val="00C90940"/>
    <w:rsid w:val="00C918C0"/>
    <w:rsid w:val="00C92801"/>
    <w:rsid w:val="00C933A0"/>
    <w:rsid w:val="00C94C3F"/>
    <w:rsid w:val="00C97118"/>
    <w:rsid w:val="00CA1729"/>
    <w:rsid w:val="00CA18BD"/>
    <w:rsid w:val="00CA1F37"/>
    <w:rsid w:val="00CA3D7D"/>
    <w:rsid w:val="00CA7307"/>
    <w:rsid w:val="00CA7BE1"/>
    <w:rsid w:val="00CB1A50"/>
    <w:rsid w:val="00CB20C5"/>
    <w:rsid w:val="00CB2989"/>
    <w:rsid w:val="00CB37DE"/>
    <w:rsid w:val="00CB756A"/>
    <w:rsid w:val="00CC078F"/>
    <w:rsid w:val="00CC17D6"/>
    <w:rsid w:val="00CC2B49"/>
    <w:rsid w:val="00CC39E6"/>
    <w:rsid w:val="00CC5B98"/>
    <w:rsid w:val="00CD245B"/>
    <w:rsid w:val="00CD2A89"/>
    <w:rsid w:val="00CD3EAB"/>
    <w:rsid w:val="00CD4D46"/>
    <w:rsid w:val="00CD4E1F"/>
    <w:rsid w:val="00CD4FE6"/>
    <w:rsid w:val="00CD54FB"/>
    <w:rsid w:val="00CD6245"/>
    <w:rsid w:val="00CD6FFF"/>
    <w:rsid w:val="00CE00B6"/>
    <w:rsid w:val="00CE1FAC"/>
    <w:rsid w:val="00CE43A2"/>
    <w:rsid w:val="00CE5EF7"/>
    <w:rsid w:val="00CE7B14"/>
    <w:rsid w:val="00CF18D5"/>
    <w:rsid w:val="00CF334B"/>
    <w:rsid w:val="00CF3BDD"/>
    <w:rsid w:val="00CF7552"/>
    <w:rsid w:val="00CF7BE9"/>
    <w:rsid w:val="00D03EE2"/>
    <w:rsid w:val="00D059E4"/>
    <w:rsid w:val="00D061EF"/>
    <w:rsid w:val="00D073DB"/>
    <w:rsid w:val="00D0772F"/>
    <w:rsid w:val="00D108F2"/>
    <w:rsid w:val="00D10B23"/>
    <w:rsid w:val="00D1256B"/>
    <w:rsid w:val="00D13100"/>
    <w:rsid w:val="00D141DA"/>
    <w:rsid w:val="00D1525C"/>
    <w:rsid w:val="00D15FA6"/>
    <w:rsid w:val="00D161D4"/>
    <w:rsid w:val="00D1759F"/>
    <w:rsid w:val="00D20381"/>
    <w:rsid w:val="00D20413"/>
    <w:rsid w:val="00D21D2A"/>
    <w:rsid w:val="00D24880"/>
    <w:rsid w:val="00D248B0"/>
    <w:rsid w:val="00D317D6"/>
    <w:rsid w:val="00D3205F"/>
    <w:rsid w:val="00D33888"/>
    <w:rsid w:val="00D34FAF"/>
    <w:rsid w:val="00D3516D"/>
    <w:rsid w:val="00D362EB"/>
    <w:rsid w:val="00D36DFA"/>
    <w:rsid w:val="00D371B3"/>
    <w:rsid w:val="00D372CD"/>
    <w:rsid w:val="00D37EAD"/>
    <w:rsid w:val="00D37F2D"/>
    <w:rsid w:val="00D427A7"/>
    <w:rsid w:val="00D42A06"/>
    <w:rsid w:val="00D42F05"/>
    <w:rsid w:val="00D44B6C"/>
    <w:rsid w:val="00D44E0D"/>
    <w:rsid w:val="00D4540D"/>
    <w:rsid w:val="00D46371"/>
    <w:rsid w:val="00D50CAE"/>
    <w:rsid w:val="00D51560"/>
    <w:rsid w:val="00D52991"/>
    <w:rsid w:val="00D53039"/>
    <w:rsid w:val="00D5318A"/>
    <w:rsid w:val="00D53EF2"/>
    <w:rsid w:val="00D55D40"/>
    <w:rsid w:val="00D55F94"/>
    <w:rsid w:val="00D571F8"/>
    <w:rsid w:val="00D6126D"/>
    <w:rsid w:val="00D6214D"/>
    <w:rsid w:val="00D62518"/>
    <w:rsid w:val="00D631B5"/>
    <w:rsid w:val="00D63D74"/>
    <w:rsid w:val="00D66388"/>
    <w:rsid w:val="00D66707"/>
    <w:rsid w:val="00D709E5"/>
    <w:rsid w:val="00D709F7"/>
    <w:rsid w:val="00D7299A"/>
    <w:rsid w:val="00D72F98"/>
    <w:rsid w:val="00D73A82"/>
    <w:rsid w:val="00D746D0"/>
    <w:rsid w:val="00D74B5F"/>
    <w:rsid w:val="00D755E7"/>
    <w:rsid w:val="00D758B0"/>
    <w:rsid w:val="00D75BF3"/>
    <w:rsid w:val="00D77205"/>
    <w:rsid w:val="00D77422"/>
    <w:rsid w:val="00D77D97"/>
    <w:rsid w:val="00D812EE"/>
    <w:rsid w:val="00D81814"/>
    <w:rsid w:val="00D83AF4"/>
    <w:rsid w:val="00D85DE8"/>
    <w:rsid w:val="00D861CC"/>
    <w:rsid w:val="00D87480"/>
    <w:rsid w:val="00D9005D"/>
    <w:rsid w:val="00D900D6"/>
    <w:rsid w:val="00D93324"/>
    <w:rsid w:val="00D94860"/>
    <w:rsid w:val="00D95A80"/>
    <w:rsid w:val="00D95E6B"/>
    <w:rsid w:val="00D976B8"/>
    <w:rsid w:val="00DA02F7"/>
    <w:rsid w:val="00DA05FF"/>
    <w:rsid w:val="00DA09E1"/>
    <w:rsid w:val="00DA15D6"/>
    <w:rsid w:val="00DA1960"/>
    <w:rsid w:val="00DA3335"/>
    <w:rsid w:val="00DA48F3"/>
    <w:rsid w:val="00DA5D38"/>
    <w:rsid w:val="00DA60BC"/>
    <w:rsid w:val="00DA7817"/>
    <w:rsid w:val="00DB15FC"/>
    <w:rsid w:val="00DB4AA7"/>
    <w:rsid w:val="00DB537C"/>
    <w:rsid w:val="00DB5D21"/>
    <w:rsid w:val="00DB60BD"/>
    <w:rsid w:val="00DC1E89"/>
    <w:rsid w:val="00DC6678"/>
    <w:rsid w:val="00DD0A2C"/>
    <w:rsid w:val="00DD1C37"/>
    <w:rsid w:val="00DD1E61"/>
    <w:rsid w:val="00DD3E54"/>
    <w:rsid w:val="00DD5130"/>
    <w:rsid w:val="00DD586F"/>
    <w:rsid w:val="00DD6233"/>
    <w:rsid w:val="00DD6A8A"/>
    <w:rsid w:val="00DD72E1"/>
    <w:rsid w:val="00DE3F09"/>
    <w:rsid w:val="00DE4C29"/>
    <w:rsid w:val="00DE520E"/>
    <w:rsid w:val="00DE6012"/>
    <w:rsid w:val="00DE60EC"/>
    <w:rsid w:val="00DE77F5"/>
    <w:rsid w:val="00DF0369"/>
    <w:rsid w:val="00DF195D"/>
    <w:rsid w:val="00DF1E10"/>
    <w:rsid w:val="00DF3C93"/>
    <w:rsid w:val="00DF4CBF"/>
    <w:rsid w:val="00DF5537"/>
    <w:rsid w:val="00DF72C9"/>
    <w:rsid w:val="00DF7B38"/>
    <w:rsid w:val="00E00312"/>
    <w:rsid w:val="00E01DEA"/>
    <w:rsid w:val="00E02122"/>
    <w:rsid w:val="00E034D0"/>
    <w:rsid w:val="00E03922"/>
    <w:rsid w:val="00E06714"/>
    <w:rsid w:val="00E0677C"/>
    <w:rsid w:val="00E073C5"/>
    <w:rsid w:val="00E0784D"/>
    <w:rsid w:val="00E10EA4"/>
    <w:rsid w:val="00E11863"/>
    <w:rsid w:val="00E119A8"/>
    <w:rsid w:val="00E1399D"/>
    <w:rsid w:val="00E15A66"/>
    <w:rsid w:val="00E171D9"/>
    <w:rsid w:val="00E17BD9"/>
    <w:rsid w:val="00E21143"/>
    <w:rsid w:val="00E2250B"/>
    <w:rsid w:val="00E24219"/>
    <w:rsid w:val="00E24406"/>
    <w:rsid w:val="00E260C2"/>
    <w:rsid w:val="00E305FD"/>
    <w:rsid w:val="00E31264"/>
    <w:rsid w:val="00E326D3"/>
    <w:rsid w:val="00E33940"/>
    <w:rsid w:val="00E366DF"/>
    <w:rsid w:val="00E36FBA"/>
    <w:rsid w:val="00E42DA6"/>
    <w:rsid w:val="00E43672"/>
    <w:rsid w:val="00E44C8E"/>
    <w:rsid w:val="00E51FC1"/>
    <w:rsid w:val="00E52040"/>
    <w:rsid w:val="00E54131"/>
    <w:rsid w:val="00E5561A"/>
    <w:rsid w:val="00E56B85"/>
    <w:rsid w:val="00E57706"/>
    <w:rsid w:val="00E6055B"/>
    <w:rsid w:val="00E625CF"/>
    <w:rsid w:val="00E628D9"/>
    <w:rsid w:val="00E63204"/>
    <w:rsid w:val="00E633FA"/>
    <w:rsid w:val="00E6365A"/>
    <w:rsid w:val="00E64F3A"/>
    <w:rsid w:val="00E65823"/>
    <w:rsid w:val="00E707D6"/>
    <w:rsid w:val="00E712CB"/>
    <w:rsid w:val="00E73E4B"/>
    <w:rsid w:val="00E74A20"/>
    <w:rsid w:val="00E7563E"/>
    <w:rsid w:val="00E75666"/>
    <w:rsid w:val="00E81693"/>
    <w:rsid w:val="00E81812"/>
    <w:rsid w:val="00E82158"/>
    <w:rsid w:val="00E82764"/>
    <w:rsid w:val="00E846F2"/>
    <w:rsid w:val="00E84FE0"/>
    <w:rsid w:val="00E85832"/>
    <w:rsid w:val="00E8590E"/>
    <w:rsid w:val="00E903DF"/>
    <w:rsid w:val="00E9109B"/>
    <w:rsid w:val="00E91BE7"/>
    <w:rsid w:val="00E9274D"/>
    <w:rsid w:val="00E929AA"/>
    <w:rsid w:val="00E93FEB"/>
    <w:rsid w:val="00E94236"/>
    <w:rsid w:val="00E96CDC"/>
    <w:rsid w:val="00EA0B89"/>
    <w:rsid w:val="00EA1F10"/>
    <w:rsid w:val="00EA215D"/>
    <w:rsid w:val="00EA4A76"/>
    <w:rsid w:val="00EA5E03"/>
    <w:rsid w:val="00EB0658"/>
    <w:rsid w:val="00EB2137"/>
    <w:rsid w:val="00EB28DD"/>
    <w:rsid w:val="00EB35F8"/>
    <w:rsid w:val="00EB4A97"/>
    <w:rsid w:val="00EB4A9D"/>
    <w:rsid w:val="00EB4C2D"/>
    <w:rsid w:val="00EC04F6"/>
    <w:rsid w:val="00EC3002"/>
    <w:rsid w:val="00EC560C"/>
    <w:rsid w:val="00EC729D"/>
    <w:rsid w:val="00ED194B"/>
    <w:rsid w:val="00ED2136"/>
    <w:rsid w:val="00ED2CB0"/>
    <w:rsid w:val="00ED34E5"/>
    <w:rsid w:val="00ED5AF0"/>
    <w:rsid w:val="00ED5D90"/>
    <w:rsid w:val="00ED5DA5"/>
    <w:rsid w:val="00ED6FB6"/>
    <w:rsid w:val="00ED78B1"/>
    <w:rsid w:val="00ED7F59"/>
    <w:rsid w:val="00EE16F6"/>
    <w:rsid w:val="00EE2AB0"/>
    <w:rsid w:val="00EE5AA3"/>
    <w:rsid w:val="00EE6DC2"/>
    <w:rsid w:val="00EF2B0C"/>
    <w:rsid w:val="00EF4E5E"/>
    <w:rsid w:val="00EF62F0"/>
    <w:rsid w:val="00F00C94"/>
    <w:rsid w:val="00F0290A"/>
    <w:rsid w:val="00F039BF"/>
    <w:rsid w:val="00F040C4"/>
    <w:rsid w:val="00F061D6"/>
    <w:rsid w:val="00F1015B"/>
    <w:rsid w:val="00F117FF"/>
    <w:rsid w:val="00F11FA1"/>
    <w:rsid w:val="00F1225E"/>
    <w:rsid w:val="00F1414B"/>
    <w:rsid w:val="00F153AA"/>
    <w:rsid w:val="00F155E1"/>
    <w:rsid w:val="00F17BCC"/>
    <w:rsid w:val="00F21818"/>
    <w:rsid w:val="00F21E0E"/>
    <w:rsid w:val="00F227EF"/>
    <w:rsid w:val="00F22CF7"/>
    <w:rsid w:val="00F234FD"/>
    <w:rsid w:val="00F24287"/>
    <w:rsid w:val="00F2438D"/>
    <w:rsid w:val="00F24491"/>
    <w:rsid w:val="00F2520C"/>
    <w:rsid w:val="00F30056"/>
    <w:rsid w:val="00F3063D"/>
    <w:rsid w:val="00F31334"/>
    <w:rsid w:val="00F31DD9"/>
    <w:rsid w:val="00F321A3"/>
    <w:rsid w:val="00F3405F"/>
    <w:rsid w:val="00F3553C"/>
    <w:rsid w:val="00F36469"/>
    <w:rsid w:val="00F36AEB"/>
    <w:rsid w:val="00F37910"/>
    <w:rsid w:val="00F41705"/>
    <w:rsid w:val="00F4191C"/>
    <w:rsid w:val="00F4254C"/>
    <w:rsid w:val="00F43925"/>
    <w:rsid w:val="00F4484C"/>
    <w:rsid w:val="00F45112"/>
    <w:rsid w:val="00F452B3"/>
    <w:rsid w:val="00F50F30"/>
    <w:rsid w:val="00F51597"/>
    <w:rsid w:val="00F52EEC"/>
    <w:rsid w:val="00F53A13"/>
    <w:rsid w:val="00F5498B"/>
    <w:rsid w:val="00F55723"/>
    <w:rsid w:val="00F56270"/>
    <w:rsid w:val="00F56E55"/>
    <w:rsid w:val="00F57166"/>
    <w:rsid w:val="00F57E1C"/>
    <w:rsid w:val="00F62938"/>
    <w:rsid w:val="00F62BA6"/>
    <w:rsid w:val="00F64D2E"/>
    <w:rsid w:val="00F66E83"/>
    <w:rsid w:val="00F672C4"/>
    <w:rsid w:val="00F67974"/>
    <w:rsid w:val="00F73DB1"/>
    <w:rsid w:val="00F7403C"/>
    <w:rsid w:val="00F75349"/>
    <w:rsid w:val="00F77A55"/>
    <w:rsid w:val="00F811A9"/>
    <w:rsid w:val="00F8207D"/>
    <w:rsid w:val="00F82269"/>
    <w:rsid w:val="00F83B56"/>
    <w:rsid w:val="00F83D92"/>
    <w:rsid w:val="00F83DCD"/>
    <w:rsid w:val="00F852B0"/>
    <w:rsid w:val="00F85C81"/>
    <w:rsid w:val="00F9076A"/>
    <w:rsid w:val="00F92531"/>
    <w:rsid w:val="00F9371C"/>
    <w:rsid w:val="00F9429B"/>
    <w:rsid w:val="00F958F8"/>
    <w:rsid w:val="00F97611"/>
    <w:rsid w:val="00F97AED"/>
    <w:rsid w:val="00FA018E"/>
    <w:rsid w:val="00FA1686"/>
    <w:rsid w:val="00FA2C15"/>
    <w:rsid w:val="00FA41DD"/>
    <w:rsid w:val="00FA4333"/>
    <w:rsid w:val="00FA60B5"/>
    <w:rsid w:val="00FA6242"/>
    <w:rsid w:val="00FA75AB"/>
    <w:rsid w:val="00FB2372"/>
    <w:rsid w:val="00FB3E36"/>
    <w:rsid w:val="00FB6636"/>
    <w:rsid w:val="00FB6882"/>
    <w:rsid w:val="00FC2B14"/>
    <w:rsid w:val="00FC2E9B"/>
    <w:rsid w:val="00FC387B"/>
    <w:rsid w:val="00FC38F8"/>
    <w:rsid w:val="00FC6841"/>
    <w:rsid w:val="00FD110E"/>
    <w:rsid w:val="00FD1CE7"/>
    <w:rsid w:val="00FD2499"/>
    <w:rsid w:val="00FD51A1"/>
    <w:rsid w:val="00FD54CC"/>
    <w:rsid w:val="00FD64B3"/>
    <w:rsid w:val="00FD7CC7"/>
    <w:rsid w:val="00FE1429"/>
    <w:rsid w:val="00FE29C6"/>
    <w:rsid w:val="00FE4314"/>
    <w:rsid w:val="00FE5601"/>
    <w:rsid w:val="00FE6C0F"/>
    <w:rsid w:val="00FE6E86"/>
    <w:rsid w:val="00FF031A"/>
    <w:rsid w:val="00FF1537"/>
    <w:rsid w:val="00FF34FF"/>
    <w:rsid w:val="00FF58F7"/>
    <w:rsid w:val="00FF677D"/>
    <w:rsid w:val="3EE878DE"/>
    <w:rsid w:val="45100D58"/>
    <w:rsid w:val="5846AB0E"/>
    <w:rsid w:val="6EB4A971"/>
    <w:rsid w:val="7779C7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D4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4C5377"/>
    <w:pPr>
      <w:numPr>
        <w:numId w:val="2"/>
      </w:numPr>
      <w:tabs>
        <w:tab w:val="num" w:pos="360"/>
      </w:tabs>
      <w:ind w:left="0" w:firstLine="0"/>
    </w:pPr>
    <w:rPr>
      <w:rFonts w:eastAsia="Times New Roman"/>
      <w:lang w:eastAsia="de-DE"/>
    </w:rPr>
  </w:style>
  <w:style w:type="paragraph" w:styleId="ListNumber">
    <w:name w:val="List Number"/>
    <w:basedOn w:val="Normal"/>
    <w:rsid w:val="004C5377"/>
    <w:pPr>
      <w:numPr>
        <w:numId w:val="6"/>
      </w:numPr>
    </w:pPr>
    <w:rPr>
      <w:rFonts w:eastAsia="Times New Roman"/>
      <w:lang w:eastAsia="de-DE"/>
    </w:rPr>
  </w:style>
  <w:style w:type="paragraph" w:customStyle="1" w:styleId="ListBullet1">
    <w:name w:val="List Bullet 1"/>
    <w:basedOn w:val="Normal"/>
    <w:rsid w:val="004C5377"/>
    <w:pPr>
      <w:numPr>
        <w:numId w:val="1"/>
      </w:numPr>
    </w:pPr>
    <w:rPr>
      <w:rFonts w:eastAsia="Times New Roman"/>
      <w:lang w:eastAsia="de-DE"/>
    </w:rPr>
  </w:style>
  <w:style w:type="paragraph" w:customStyle="1" w:styleId="ListDash">
    <w:name w:val="List Dash"/>
    <w:basedOn w:val="Normal"/>
    <w:rsid w:val="004C5377"/>
    <w:pPr>
      <w:numPr>
        <w:numId w:val="3"/>
      </w:numPr>
    </w:pPr>
    <w:rPr>
      <w:rFonts w:eastAsia="Times New Roman"/>
      <w:lang w:eastAsia="de-DE"/>
    </w:rPr>
  </w:style>
  <w:style w:type="paragraph" w:customStyle="1" w:styleId="ListDash1">
    <w:name w:val="List Dash 1"/>
    <w:basedOn w:val="Normal"/>
    <w:rsid w:val="004C5377"/>
    <w:pPr>
      <w:numPr>
        <w:numId w:val="4"/>
      </w:numPr>
    </w:pPr>
    <w:rPr>
      <w:rFonts w:eastAsia="Times New Roman"/>
      <w:lang w:eastAsia="de-DE"/>
    </w:rPr>
  </w:style>
  <w:style w:type="paragraph" w:customStyle="1" w:styleId="ListDash2">
    <w:name w:val="List Dash 2"/>
    <w:basedOn w:val="Normal"/>
    <w:rsid w:val="004C5377"/>
    <w:pPr>
      <w:numPr>
        <w:numId w:val="5"/>
      </w:numPr>
    </w:pPr>
    <w:rPr>
      <w:rFonts w:eastAsia="Times New Roman"/>
      <w:lang w:eastAsia="de-DE"/>
    </w:rPr>
  </w:style>
  <w:style w:type="paragraph" w:customStyle="1" w:styleId="ListNumberLevel2">
    <w:name w:val="List Number (Level 2)"/>
    <w:basedOn w:val="Normal"/>
    <w:rsid w:val="004C5377"/>
    <w:pPr>
      <w:tabs>
        <w:tab w:val="num" w:pos="1417"/>
      </w:tabs>
      <w:ind w:left="1417" w:hanging="708"/>
    </w:pPr>
    <w:rPr>
      <w:rFonts w:eastAsia="Times New Roman"/>
      <w:lang w:eastAsia="de-DE"/>
    </w:rPr>
  </w:style>
  <w:style w:type="paragraph" w:customStyle="1" w:styleId="ListNumberLevel3">
    <w:name w:val="List Number (Level 3)"/>
    <w:basedOn w:val="Normal"/>
    <w:rsid w:val="004C5377"/>
    <w:pPr>
      <w:tabs>
        <w:tab w:val="num" w:pos="2126"/>
      </w:tabs>
      <w:ind w:left="2126" w:hanging="709"/>
    </w:pPr>
    <w:rPr>
      <w:rFonts w:eastAsia="Times New Roman"/>
      <w:lang w:eastAsia="de-DE"/>
    </w:rPr>
  </w:style>
  <w:style w:type="paragraph" w:customStyle="1" w:styleId="ListNumberLevel4">
    <w:name w:val="List Number (Level 4)"/>
    <w:basedOn w:val="Normal"/>
    <w:rsid w:val="004C5377"/>
    <w:pPr>
      <w:numPr>
        <w:ilvl w:val="3"/>
        <w:numId w:val="6"/>
      </w:numPr>
    </w:pPr>
    <w:rPr>
      <w:rFonts w:eastAsia="Times New Roman"/>
      <w:lang w:eastAsia="de-DE"/>
    </w:rPr>
  </w:style>
  <w:style w:type="table" w:styleId="TableGrid">
    <w:name w:val="Table Grid"/>
    <w:basedOn w:val="TableNormal"/>
    <w:rsid w:val="004C53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5377"/>
    <w:rPr>
      <w:color w:val="0000FF"/>
      <w:u w:val="single"/>
    </w:rPr>
  </w:style>
  <w:style w:type="paragraph" w:styleId="ListBullet">
    <w:name w:val="List Bullet"/>
    <w:basedOn w:val="Normal"/>
    <w:rsid w:val="004C5377"/>
    <w:pPr>
      <w:numPr>
        <w:numId w:val="7"/>
      </w:numPr>
    </w:pPr>
    <w:rPr>
      <w:rFonts w:eastAsia="Times New Roman"/>
      <w:lang w:eastAsia="en-GB"/>
    </w:rPr>
  </w:style>
  <w:style w:type="paragraph" w:styleId="ListBullet2">
    <w:name w:val="List Bullet 2"/>
    <w:basedOn w:val="Normal"/>
    <w:rsid w:val="004C5377"/>
    <w:pPr>
      <w:numPr>
        <w:numId w:val="8"/>
      </w:numPr>
    </w:pPr>
    <w:rPr>
      <w:rFonts w:eastAsia="Times New Roman"/>
      <w:lang w:eastAsia="en-GB"/>
    </w:rPr>
  </w:style>
  <w:style w:type="paragraph" w:styleId="ListBullet3">
    <w:name w:val="List Bullet 3"/>
    <w:basedOn w:val="Normal"/>
    <w:rsid w:val="004C5377"/>
    <w:pPr>
      <w:numPr>
        <w:numId w:val="9"/>
      </w:numPr>
    </w:pPr>
    <w:rPr>
      <w:rFonts w:eastAsia="Times New Roman"/>
      <w:lang w:eastAsia="en-GB"/>
    </w:rPr>
  </w:style>
  <w:style w:type="paragraph" w:styleId="ListNumber2">
    <w:name w:val="List Number 2"/>
    <w:basedOn w:val="Normal"/>
    <w:rsid w:val="004C5377"/>
    <w:pPr>
      <w:numPr>
        <w:numId w:val="13"/>
      </w:numPr>
    </w:pPr>
    <w:rPr>
      <w:rFonts w:eastAsia="Times New Roman"/>
      <w:lang w:eastAsia="en-GB"/>
    </w:rPr>
  </w:style>
  <w:style w:type="paragraph" w:styleId="ListNumber3">
    <w:name w:val="List Number 3"/>
    <w:basedOn w:val="Normal"/>
    <w:rsid w:val="004C5377"/>
    <w:pPr>
      <w:numPr>
        <w:numId w:val="14"/>
      </w:numPr>
    </w:pPr>
    <w:rPr>
      <w:rFonts w:eastAsia="Times New Roman"/>
      <w:lang w:eastAsia="en-GB"/>
    </w:rPr>
  </w:style>
  <w:style w:type="paragraph" w:styleId="ListNumber4">
    <w:name w:val="List Number 4"/>
    <w:basedOn w:val="Normal"/>
    <w:rsid w:val="004C5377"/>
    <w:pPr>
      <w:numPr>
        <w:numId w:val="15"/>
      </w:numPr>
    </w:pPr>
    <w:rPr>
      <w:rFonts w:eastAsia="Times New Roman"/>
      <w:lang w:eastAsia="en-GB"/>
    </w:rPr>
  </w:style>
  <w:style w:type="paragraph" w:customStyle="1" w:styleId="ListDash3">
    <w:name w:val="List Dash 3"/>
    <w:basedOn w:val="Normal"/>
    <w:rsid w:val="004C5377"/>
    <w:pPr>
      <w:numPr>
        <w:numId w:val="10"/>
      </w:numPr>
    </w:pPr>
    <w:rPr>
      <w:rFonts w:eastAsia="Times New Roman"/>
      <w:lang w:eastAsia="en-GB"/>
    </w:rPr>
  </w:style>
  <w:style w:type="paragraph" w:customStyle="1" w:styleId="ListDash4">
    <w:name w:val="List Dash 4"/>
    <w:basedOn w:val="Normal"/>
    <w:rsid w:val="004C5377"/>
    <w:pPr>
      <w:numPr>
        <w:numId w:val="11"/>
      </w:numPr>
    </w:pPr>
    <w:rPr>
      <w:rFonts w:eastAsia="Times New Roman"/>
      <w:lang w:eastAsia="en-GB"/>
    </w:rPr>
  </w:style>
  <w:style w:type="paragraph" w:customStyle="1" w:styleId="ListNumber1">
    <w:name w:val="List Number 1"/>
    <w:basedOn w:val="Text1"/>
    <w:rsid w:val="004C5377"/>
    <w:pPr>
      <w:tabs>
        <w:tab w:val="num" w:pos="1560"/>
      </w:tabs>
      <w:ind w:left="1560" w:hanging="709"/>
    </w:pPr>
    <w:rPr>
      <w:rFonts w:eastAsia="Times New Roman"/>
      <w:lang w:eastAsia="en-GB"/>
    </w:rPr>
  </w:style>
  <w:style w:type="paragraph" w:customStyle="1" w:styleId="ListNumber1Level2">
    <w:name w:val="List Number 1 (Level 2)"/>
    <w:basedOn w:val="Text1"/>
    <w:rsid w:val="004C5377"/>
    <w:pPr>
      <w:numPr>
        <w:ilvl w:val="1"/>
        <w:numId w:val="12"/>
      </w:numPr>
    </w:pPr>
    <w:rPr>
      <w:rFonts w:eastAsia="Times New Roman"/>
      <w:lang w:eastAsia="en-GB"/>
    </w:rPr>
  </w:style>
  <w:style w:type="paragraph" w:customStyle="1" w:styleId="ListNumber2Level2">
    <w:name w:val="List Number 2 (Level 2)"/>
    <w:basedOn w:val="Text2"/>
    <w:rsid w:val="004C5377"/>
    <w:pPr>
      <w:numPr>
        <w:ilvl w:val="1"/>
        <w:numId w:val="13"/>
      </w:numPr>
    </w:pPr>
    <w:rPr>
      <w:rFonts w:eastAsia="Times New Roman"/>
      <w:lang w:eastAsia="en-GB"/>
    </w:rPr>
  </w:style>
  <w:style w:type="paragraph" w:customStyle="1" w:styleId="ListNumber3Level2">
    <w:name w:val="List Number 3 (Level 2)"/>
    <w:basedOn w:val="Text3"/>
    <w:rsid w:val="004C5377"/>
    <w:pPr>
      <w:numPr>
        <w:ilvl w:val="1"/>
        <w:numId w:val="14"/>
      </w:numPr>
    </w:pPr>
    <w:rPr>
      <w:rFonts w:eastAsia="Times New Roman"/>
      <w:lang w:eastAsia="en-GB"/>
    </w:rPr>
  </w:style>
  <w:style w:type="paragraph" w:customStyle="1" w:styleId="ListNumber4Level2">
    <w:name w:val="List Number 4 (Level 2)"/>
    <w:basedOn w:val="Text4"/>
    <w:rsid w:val="004C5377"/>
    <w:pPr>
      <w:numPr>
        <w:ilvl w:val="1"/>
        <w:numId w:val="15"/>
      </w:numPr>
    </w:pPr>
    <w:rPr>
      <w:rFonts w:eastAsia="Times New Roman"/>
      <w:lang w:eastAsia="en-GB"/>
    </w:rPr>
  </w:style>
  <w:style w:type="paragraph" w:customStyle="1" w:styleId="ListNumber1Level3">
    <w:name w:val="List Number 1 (Level 3)"/>
    <w:basedOn w:val="Text1"/>
    <w:rsid w:val="004C5377"/>
    <w:pPr>
      <w:numPr>
        <w:ilvl w:val="2"/>
        <w:numId w:val="12"/>
      </w:numPr>
    </w:pPr>
    <w:rPr>
      <w:rFonts w:eastAsia="Times New Roman"/>
      <w:lang w:eastAsia="en-GB"/>
    </w:rPr>
  </w:style>
  <w:style w:type="paragraph" w:customStyle="1" w:styleId="ListNumber2Level3">
    <w:name w:val="List Number 2 (Level 3)"/>
    <w:basedOn w:val="Text2"/>
    <w:rsid w:val="004C5377"/>
    <w:pPr>
      <w:numPr>
        <w:ilvl w:val="2"/>
        <w:numId w:val="13"/>
      </w:numPr>
    </w:pPr>
    <w:rPr>
      <w:rFonts w:eastAsia="Times New Roman"/>
      <w:lang w:eastAsia="en-GB"/>
    </w:rPr>
  </w:style>
  <w:style w:type="paragraph" w:customStyle="1" w:styleId="ListNumber3Level3">
    <w:name w:val="List Number 3 (Level 3)"/>
    <w:basedOn w:val="Text3"/>
    <w:rsid w:val="004C5377"/>
    <w:pPr>
      <w:numPr>
        <w:ilvl w:val="2"/>
        <w:numId w:val="14"/>
      </w:numPr>
    </w:pPr>
    <w:rPr>
      <w:rFonts w:eastAsia="Times New Roman"/>
      <w:lang w:eastAsia="en-GB"/>
    </w:rPr>
  </w:style>
  <w:style w:type="paragraph" w:customStyle="1" w:styleId="ListNumber4Level3">
    <w:name w:val="List Number 4 (Level 3)"/>
    <w:basedOn w:val="Text4"/>
    <w:rsid w:val="004C5377"/>
    <w:pPr>
      <w:numPr>
        <w:ilvl w:val="2"/>
        <w:numId w:val="15"/>
      </w:numPr>
    </w:pPr>
    <w:rPr>
      <w:rFonts w:eastAsia="Times New Roman"/>
      <w:lang w:eastAsia="en-GB"/>
    </w:rPr>
  </w:style>
  <w:style w:type="paragraph" w:customStyle="1" w:styleId="ListNumber1Level4">
    <w:name w:val="List Number 1 (Level 4)"/>
    <w:basedOn w:val="Text1"/>
    <w:rsid w:val="004C5377"/>
    <w:pPr>
      <w:numPr>
        <w:ilvl w:val="3"/>
        <w:numId w:val="12"/>
      </w:numPr>
    </w:pPr>
    <w:rPr>
      <w:rFonts w:eastAsia="Times New Roman"/>
      <w:lang w:eastAsia="en-GB"/>
    </w:rPr>
  </w:style>
  <w:style w:type="paragraph" w:customStyle="1" w:styleId="ListNumber2Level4">
    <w:name w:val="List Number 2 (Level 4)"/>
    <w:basedOn w:val="Text2"/>
    <w:rsid w:val="004C5377"/>
    <w:pPr>
      <w:numPr>
        <w:ilvl w:val="3"/>
        <w:numId w:val="13"/>
      </w:numPr>
    </w:pPr>
    <w:rPr>
      <w:rFonts w:eastAsia="Times New Roman"/>
      <w:lang w:eastAsia="en-GB"/>
    </w:rPr>
  </w:style>
  <w:style w:type="paragraph" w:customStyle="1" w:styleId="ListNumber3Level4">
    <w:name w:val="List Number 3 (Level 4)"/>
    <w:basedOn w:val="Text3"/>
    <w:rsid w:val="004C5377"/>
    <w:pPr>
      <w:numPr>
        <w:ilvl w:val="3"/>
        <w:numId w:val="14"/>
      </w:numPr>
    </w:pPr>
    <w:rPr>
      <w:rFonts w:eastAsia="Times New Roman"/>
      <w:lang w:eastAsia="en-GB"/>
    </w:rPr>
  </w:style>
  <w:style w:type="paragraph" w:customStyle="1" w:styleId="ListNumber4Level4">
    <w:name w:val="List Number 4 (Level 4)"/>
    <w:basedOn w:val="Text4"/>
    <w:rsid w:val="004C5377"/>
    <w:pPr>
      <w:numPr>
        <w:ilvl w:val="3"/>
        <w:numId w:val="15"/>
      </w:numPr>
    </w:pPr>
    <w:rPr>
      <w:rFonts w:eastAsia="Times New Roman"/>
      <w:lang w:eastAsia="en-GB"/>
    </w:rPr>
  </w:style>
  <w:style w:type="paragraph" w:customStyle="1" w:styleId="Annexetitreacte">
    <w:name w:val="Annexe titre (acte)"/>
    <w:basedOn w:val="Normal"/>
    <w:next w:val="Normal"/>
    <w:rsid w:val="004C5377"/>
    <w:pPr>
      <w:jc w:val="center"/>
    </w:pPr>
    <w:rPr>
      <w:rFonts w:eastAsia="Times New Roman"/>
      <w:b/>
      <w:u w:val="single"/>
      <w:lang w:eastAsia="en-GB"/>
    </w:rPr>
  </w:style>
  <w:style w:type="paragraph" w:customStyle="1" w:styleId="Annexetitreexposglobal">
    <w:name w:val="Annexe titre (exposé global)"/>
    <w:basedOn w:val="Normal"/>
    <w:next w:val="Normal"/>
    <w:rsid w:val="004C5377"/>
    <w:pPr>
      <w:jc w:val="center"/>
    </w:pPr>
    <w:rPr>
      <w:rFonts w:eastAsia="Times New Roman"/>
      <w:b/>
      <w:u w:val="single"/>
      <w:lang w:eastAsia="en-GB"/>
    </w:rPr>
  </w:style>
  <w:style w:type="paragraph" w:customStyle="1" w:styleId="Annexetitrefichefinacte">
    <w:name w:val="Annexe titre (fiche fin. acte)"/>
    <w:basedOn w:val="Normal"/>
    <w:next w:val="Normal"/>
    <w:rsid w:val="004C5377"/>
    <w:pPr>
      <w:jc w:val="center"/>
    </w:pPr>
    <w:rPr>
      <w:rFonts w:eastAsia="Times New Roman"/>
      <w:b/>
      <w:u w:val="single"/>
      <w:lang w:eastAsia="en-GB"/>
    </w:rPr>
  </w:style>
  <w:style w:type="paragraph" w:customStyle="1" w:styleId="Annexetitrefichefinglobale">
    <w:name w:val="Annexe titre (fiche fin. globale)"/>
    <w:basedOn w:val="Normal"/>
    <w:next w:val="Normal"/>
    <w:rsid w:val="004C5377"/>
    <w:pPr>
      <w:jc w:val="center"/>
    </w:pPr>
    <w:rPr>
      <w:rFonts w:eastAsia="Times New Roman"/>
      <w:b/>
      <w:u w:val="single"/>
      <w:lang w:eastAsia="en-GB"/>
    </w:rPr>
  </w:style>
  <w:style w:type="paragraph" w:customStyle="1" w:styleId="Annexetitreglobale">
    <w:name w:val="Annexe titre (globale)"/>
    <w:basedOn w:val="Normal"/>
    <w:next w:val="Normal"/>
    <w:rsid w:val="004C5377"/>
    <w:pPr>
      <w:jc w:val="center"/>
    </w:pPr>
    <w:rPr>
      <w:rFonts w:eastAsia="Times New Roman"/>
      <w:b/>
      <w:u w:val="single"/>
      <w:lang w:eastAsia="en-GB"/>
    </w:rPr>
  </w:style>
  <w:style w:type="paragraph" w:customStyle="1" w:styleId="Exposdesmotifstitreglobal">
    <w:name w:val="Exposé des motifs titre (global)"/>
    <w:basedOn w:val="Normal"/>
    <w:next w:val="Normal"/>
    <w:rsid w:val="004C5377"/>
    <w:pPr>
      <w:jc w:val="center"/>
    </w:pPr>
    <w:rPr>
      <w:rFonts w:eastAsia="Times New Roman"/>
      <w:b/>
      <w:u w:val="single"/>
      <w:lang w:eastAsia="en-GB"/>
    </w:rPr>
  </w:style>
  <w:style w:type="paragraph" w:customStyle="1" w:styleId="Langueoriginale">
    <w:name w:val="Langue originale"/>
    <w:basedOn w:val="Normal"/>
    <w:rsid w:val="004C5377"/>
    <w:pPr>
      <w:spacing w:before="360"/>
      <w:jc w:val="center"/>
    </w:pPr>
    <w:rPr>
      <w:rFonts w:eastAsia="Times New Roman"/>
      <w:caps/>
      <w:lang w:eastAsia="en-GB"/>
    </w:rPr>
  </w:style>
  <w:style w:type="paragraph" w:customStyle="1" w:styleId="Phrasefinale">
    <w:name w:val="Phrase finale"/>
    <w:basedOn w:val="Normal"/>
    <w:next w:val="Normal"/>
    <w:rsid w:val="004C5377"/>
    <w:pPr>
      <w:spacing w:before="360" w:after="0"/>
      <w:jc w:val="center"/>
    </w:pPr>
    <w:rPr>
      <w:rFonts w:eastAsia="Times New Roman"/>
      <w:lang w:eastAsia="en-GB"/>
    </w:rPr>
  </w:style>
  <w:style w:type="paragraph" w:customStyle="1" w:styleId="Prliminairetitre">
    <w:name w:val="Préliminaire titre"/>
    <w:basedOn w:val="Normal"/>
    <w:next w:val="Normal"/>
    <w:rsid w:val="004C5377"/>
    <w:pPr>
      <w:spacing w:before="360" w:after="360"/>
      <w:jc w:val="center"/>
    </w:pPr>
    <w:rPr>
      <w:rFonts w:eastAsia="Times New Roman"/>
      <w:b/>
      <w:lang w:eastAsia="en-GB"/>
    </w:rPr>
  </w:style>
  <w:style w:type="paragraph" w:customStyle="1" w:styleId="Prliminairetype">
    <w:name w:val="Préliminaire type"/>
    <w:basedOn w:val="Normal"/>
    <w:next w:val="Normal"/>
    <w:rsid w:val="004C53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C53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C53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C5377"/>
    <w:pPr>
      <w:spacing w:before="0" w:after="0"/>
      <w:ind w:left="5103"/>
      <w:jc w:val="left"/>
    </w:pPr>
    <w:rPr>
      <w:rFonts w:eastAsia="Times New Roman"/>
      <w:lang w:eastAsia="en-GB"/>
    </w:rPr>
  </w:style>
  <w:style w:type="paragraph" w:customStyle="1" w:styleId="Sous-titreobjetprliminaire">
    <w:name w:val="Sous-titre objet (préliminaire)"/>
    <w:basedOn w:val="Normal"/>
    <w:rsid w:val="004C5377"/>
    <w:pPr>
      <w:spacing w:before="0" w:after="0"/>
      <w:jc w:val="center"/>
    </w:pPr>
    <w:rPr>
      <w:rFonts w:eastAsia="Times New Roman"/>
      <w:b/>
      <w:lang w:eastAsia="en-GB"/>
    </w:rPr>
  </w:style>
  <w:style w:type="paragraph" w:customStyle="1" w:styleId="Statutprliminaire">
    <w:name w:val="Statut (préliminaire)"/>
    <w:basedOn w:val="Normal"/>
    <w:next w:val="Normal"/>
    <w:rsid w:val="004C5377"/>
    <w:pPr>
      <w:spacing w:before="360" w:after="0"/>
      <w:jc w:val="center"/>
    </w:pPr>
    <w:rPr>
      <w:rFonts w:eastAsia="Times New Roman"/>
      <w:lang w:eastAsia="en-GB"/>
    </w:rPr>
  </w:style>
  <w:style w:type="paragraph" w:customStyle="1" w:styleId="Titreobjetprliminaire">
    <w:name w:val="Titre objet (préliminaire)"/>
    <w:basedOn w:val="Normal"/>
    <w:next w:val="Normal"/>
    <w:rsid w:val="004C53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C53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C53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C5377"/>
    <w:pPr>
      <w:jc w:val="center"/>
    </w:pPr>
    <w:rPr>
      <w:rFonts w:eastAsia="Times New Roman"/>
      <w:b/>
      <w:u w:val="single"/>
      <w:lang w:eastAsia="en-GB"/>
    </w:rPr>
  </w:style>
  <w:style w:type="paragraph" w:customStyle="1" w:styleId="Fichefinanciretravailtitre">
    <w:name w:val="Fiche financière (travail) titre"/>
    <w:basedOn w:val="Normal"/>
    <w:next w:val="Normal"/>
    <w:rsid w:val="004C53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C53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C53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C5377"/>
    <w:pPr>
      <w:jc w:val="center"/>
    </w:pPr>
    <w:rPr>
      <w:rFonts w:eastAsia="Times New Roman"/>
      <w:b/>
      <w:u w:val="single"/>
      <w:lang w:eastAsia="en-GB"/>
    </w:rPr>
  </w:style>
  <w:style w:type="character" w:styleId="CommentReference">
    <w:name w:val="annotation reference"/>
    <w:rsid w:val="004C5377"/>
    <w:rPr>
      <w:rFonts w:cs="Times New Roman"/>
      <w:sz w:val="16"/>
      <w:szCs w:val="16"/>
    </w:rPr>
  </w:style>
  <w:style w:type="paragraph" w:styleId="CommentText">
    <w:name w:val="annotation text"/>
    <w:basedOn w:val="Normal"/>
    <w:link w:val="CommentTextChar"/>
    <w:rsid w:val="004C5377"/>
    <w:rPr>
      <w:rFonts w:eastAsia="Times New Roman"/>
      <w:sz w:val="20"/>
      <w:szCs w:val="20"/>
      <w:lang w:eastAsia="en-GB"/>
    </w:rPr>
  </w:style>
  <w:style w:type="character" w:customStyle="1" w:styleId="CommentTextChar">
    <w:name w:val="Comment Text Char"/>
    <w:basedOn w:val="DefaultParagraphFont"/>
    <w:link w:val="CommentText"/>
    <w:rsid w:val="004C5377"/>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rsid w:val="004C5377"/>
    <w:rPr>
      <w:b/>
      <w:bCs/>
    </w:rPr>
  </w:style>
  <w:style w:type="character" w:customStyle="1" w:styleId="CommentSubjectChar">
    <w:name w:val="Comment Subject Char"/>
    <w:basedOn w:val="CommentTextChar"/>
    <w:link w:val="CommentSubject"/>
    <w:rsid w:val="004C5377"/>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rsid w:val="004C53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C5377"/>
    <w:rPr>
      <w:rFonts w:ascii="Tahoma" w:eastAsia="Times New Roman" w:hAnsi="Tahoma" w:cs="Tahoma"/>
      <w:sz w:val="16"/>
      <w:szCs w:val="16"/>
      <w:lang w:val="nl-NL" w:eastAsia="en-GB"/>
    </w:rPr>
  </w:style>
  <w:style w:type="paragraph" w:styleId="Caption">
    <w:name w:val="caption"/>
    <w:basedOn w:val="Normal"/>
    <w:next w:val="Normal"/>
    <w:qFormat/>
    <w:rsid w:val="004C5377"/>
    <w:rPr>
      <w:rFonts w:eastAsia="Times New Roman"/>
      <w:b/>
      <w:bCs/>
      <w:sz w:val="20"/>
      <w:szCs w:val="20"/>
      <w:lang w:eastAsia="en-GB"/>
    </w:rPr>
  </w:style>
  <w:style w:type="paragraph" w:styleId="TableofFigures">
    <w:name w:val="table of figures"/>
    <w:basedOn w:val="Normal"/>
    <w:next w:val="Normal"/>
    <w:rsid w:val="004C5377"/>
    <w:rPr>
      <w:rFonts w:eastAsia="Times New Roman"/>
      <w:lang w:eastAsia="en-GB"/>
    </w:rPr>
  </w:style>
  <w:style w:type="character" w:styleId="PageNumber">
    <w:name w:val="page number"/>
    <w:rsid w:val="004C5377"/>
  </w:style>
  <w:style w:type="character" w:customStyle="1" w:styleId="tw4winMark">
    <w:name w:val="tw4winMark"/>
    <w:rsid w:val="004C5377"/>
    <w:rPr>
      <w:vanish/>
      <w:color w:val="800080"/>
      <w:vertAlign w:val="subscript"/>
    </w:rPr>
  </w:style>
  <w:style w:type="character" w:styleId="FollowedHyperlink">
    <w:name w:val="FollowedHyperlink"/>
    <w:rsid w:val="004C5377"/>
    <w:rPr>
      <w:color w:val="800080"/>
      <w:u w:val="single"/>
    </w:rPr>
  </w:style>
  <w:style w:type="paragraph" w:customStyle="1" w:styleId="Sous-titreobjet">
    <w:name w:val="Sous-titre objet"/>
    <w:basedOn w:val="Normal"/>
    <w:rsid w:val="004C53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C5377"/>
  </w:style>
  <w:style w:type="paragraph" w:styleId="Revision">
    <w:name w:val="Revision"/>
    <w:hidden/>
    <w:uiPriority w:val="99"/>
    <w:semiHidden/>
    <w:rsid w:val="004C5377"/>
    <w:rPr>
      <w:rFonts w:ascii="Calibri" w:eastAsia="Calibri" w:hAnsi="Calibri" w:cs="Times New Roman"/>
      <w:sz w:val="24"/>
      <w:lang w:eastAsia="en-GB"/>
    </w:rPr>
  </w:style>
  <w:style w:type="paragraph" w:customStyle="1" w:styleId="FooterCoverPage">
    <w:name w:val="Footer Cover Page"/>
    <w:basedOn w:val="Normal"/>
    <w:link w:val="FooterCoverPageChar"/>
    <w:rsid w:val="004C53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C5377"/>
    <w:rPr>
      <w:rFonts w:ascii="Times New Roman" w:hAnsi="Times New Roman" w:cs="Times New Roman"/>
      <w:b/>
      <w:sz w:val="28"/>
      <w:lang w:val="nl-NL"/>
    </w:rPr>
  </w:style>
  <w:style w:type="character" w:customStyle="1" w:styleId="FooterCoverPageChar">
    <w:name w:val="Footer Cover Page Char"/>
    <w:link w:val="FooterCoverPage"/>
    <w:rsid w:val="004C5377"/>
    <w:rPr>
      <w:rFonts w:ascii="Times New Roman" w:eastAsia="Calibri" w:hAnsi="Times New Roman" w:cs="Times New Roman"/>
      <w:sz w:val="24"/>
      <w:lang w:val="nl-NL" w:eastAsia="en-GB"/>
    </w:rPr>
  </w:style>
  <w:style w:type="paragraph" w:customStyle="1" w:styleId="HeaderCoverPage">
    <w:name w:val="Header Cover Page"/>
    <w:basedOn w:val="Normal"/>
    <w:link w:val="HeaderCoverPageChar"/>
    <w:rsid w:val="004C53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C5377"/>
    <w:rPr>
      <w:rFonts w:ascii="Times New Roman" w:eastAsia="Calibri" w:hAnsi="Times New Roman" w:cs="Times New Roman"/>
      <w:sz w:val="24"/>
      <w:lang w:val="nl-NL" w:eastAsia="en-GB"/>
    </w:rPr>
  </w:style>
  <w:style w:type="character" w:customStyle="1" w:styleId="FooterSensitivityChar">
    <w:name w:val="Footer Sensitivity Char"/>
    <w:rsid w:val="004C5377"/>
    <w:rPr>
      <w:rFonts w:ascii="Times New Roman" w:hAnsi="Times New Roman" w:cs="Times New Roman"/>
      <w:b/>
      <w:sz w:val="32"/>
      <w:lang w:val="nl-NL"/>
    </w:rPr>
  </w:style>
  <w:style w:type="character" w:customStyle="1" w:styleId="HeaderSensitivityChar">
    <w:name w:val="Header Sensitivity Char"/>
    <w:rsid w:val="004C5377"/>
    <w:rPr>
      <w:rFonts w:ascii="Times New Roman" w:hAnsi="Times New Roman" w:cs="Times New Roman"/>
      <w:b/>
      <w:sz w:val="32"/>
      <w:lang w:val="nl-NL"/>
    </w:rPr>
  </w:style>
  <w:style w:type="character" w:customStyle="1" w:styleId="HeaderSensitivityRightChar">
    <w:name w:val="Header Sensitivity Right Char"/>
    <w:rsid w:val="004C5377"/>
    <w:rPr>
      <w:rFonts w:ascii="Times New Roman" w:hAnsi="Times New Roman" w:cs="Times New Roman"/>
      <w:sz w:val="28"/>
      <w:lang w:val="nl-NL"/>
    </w:rPr>
  </w:style>
  <w:style w:type="paragraph" w:customStyle="1" w:styleId="LegalNumPar">
    <w:name w:val="LegalNumPar"/>
    <w:basedOn w:val="Normal"/>
    <w:rsid w:val="004C5377"/>
    <w:pPr>
      <w:spacing w:line="360" w:lineRule="auto"/>
      <w:ind w:left="476" w:hanging="476"/>
    </w:pPr>
    <w:rPr>
      <w:rFonts w:eastAsia="Times New Roman"/>
      <w:lang w:eastAsia="en-GB"/>
    </w:rPr>
  </w:style>
  <w:style w:type="paragraph" w:customStyle="1" w:styleId="LegalNumPar2">
    <w:name w:val="LegalNumPar2"/>
    <w:basedOn w:val="Normal"/>
    <w:rsid w:val="004C5377"/>
    <w:pPr>
      <w:spacing w:line="360" w:lineRule="auto"/>
      <w:ind w:left="953" w:hanging="477"/>
    </w:pPr>
    <w:rPr>
      <w:rFonts w:eastAsia="Times New Roman"/>
      <w:lang w:eastAsia="en-GB"/>
    </w:rPr>
  </w:style>
  <w:style w:type="paragraph" w:customStyle="1" w:styleId="LegalNumPar3">
    <w:name w:val="LegalNumPar3"/>
    <w:basedOn w:val="Normal"/>
    <w:rsid w:val="004C5377"/>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4C5377"/>
    <w:pPr>
      <w:ind w:left="720"/>
      <w:contextualSpacing/>
    </w:pPr>
    <w:rPr>
      <w:rFonts w:eastAsia="Times New Roman"/>
      <w:lang w:eastAsia="en-GB"/>
    </w:rPr>
  </w:style>
  <w:style w:type="character" w:customStyle="1" w:styleId="UnresolvedMention">
    <w:name w:val="Unresolved Mention"/>
    <w:basedOn w:val="DefaultParagraphFont"/>
    <w:uiPriority w:val="99"/>
    <w:unhideWhenUsed/>
    <w:rsid w:val="004C5377"/>
    <w:rPr>
      <w:color w:val="605E5C"/>
      <w:shd w:val="clear" w:color="auto" w:fill="E1DFDD"/>
    </w:rPr>
  </w:style>
  <w:style w:type="character" w:styleId="Strong">
    <w:name w:val="Strong"/>
    <w:basedOn w:val="DefaultParagraphFont"/>
    <w:qFormat/>
    <w:rsid w:val="004C5377"/>
    <w:rPr>
      <w:b/>
      <w:bCs/>
    </w:rPr>
  </w:style>
  <w:style w:type="character" w:styleId="Emphasis">
    <w:name w:val="Emphasis"/>
    <w:basedOn w:val="DefaultParagraphFont"/>
    <w:qFormat/>
    <w:rsid w:val="004C5377"/>
    <w:rPr>
      <w:i/>
      <w:iCs/>
    </w:rPr>
  </w:style>
  <w:style w:type="character" w:customStyle="1" w:styleId="Mention">
    <w:name w:val="Mention"/>
    <w:basedOn w:val="DefaultParagraphFont"/>
    <w:uiPriority w:val="99"/>
    <w:unhideWhenUsed/>
    <w:rsid w:val="004C5377"/>
    <w:rPr>
      <w:color w:val="2B579A"/>
      <w:shd w:val="clear" w:color="auto" w:fill="E1DFDD"/>
    </w:rPr>
  </w:style>
  <w:style w:type="character" w:customStyle="1" w:styleId="normaltextrun">
    <w:name w:val="normaltextrun"/>
    <w:basedOn w:val="DefaultParagraphFont"/>
    <w:rsid w:val="004C5377"/>
  </w:style>
  <w:style w:type="character" w:customStyle="1" w:styleId="eop">
    <w:name w:val="eop"/>
    <w:basedOn w:val="DefaultParagraphFont"/>
    <w:rsid w:val="004C5377"/>
  </w:style>
  <w:style w:type="character" w:customStyle="1" w:styleId="UnresolvedMention1">
    <w:name w:val="Unresolved Mention1"/>
    <w:basedOn w:val="DefaultParagraphFont"/>
    <w:uiPriority w:val="99"/>
    <w:semiHidden/>
    <w:unhideWhenUsed/>
    <w:rsid w:val="004C5377"/>
    <w:rPr>
      <w:color w:val="605E5C"/>
      <w:shd w:val="clear" w:color="auto" w:fill="E1DFDD"/>
    </w:rPr>
  </w:style>
  <w:style w:type="character" w:customStyle="1" w:styleId="Mention1">
    <w:name w:val="Mention1"/>
    <w:basedOn w:val="DefaultParagraphFont"/>
    <w:uiPriority w:val="99"/>
    <w:unhideWhenUsed/>
    <w:rsid w:val="004C5377"/>
    <w:rPr>
      <w:color w:val="2B579A"/>
      <w:shd w:val="clear" w:color="auto" w:fill="E1DFDD"/>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qFormat/>
    <w:rsid w:val="004C5377"/>
    <w:pPr>
      <w:spacing w:before="0" w:after="160" w:line="240" w:lineRule="exact"/>
    </w:pPr>
    <w:rPr>
      <w:rFonts w:asciiTheme="minorHAnsi" w:hAnsiTheme="minorHAnsi" w:cstheme="minorBidi"/>
      <w:sz w:val="22"/>
      <w:vertAlign w:val="superscript"/>
    </w:rPr>
  </w:style>
  <w:style w:type="paragraph" w:styleId="NormalWeb">
    <w:name w:val="Normal (Web)"/>
    <w:basedOn w:val="Normal"/>
    <w:uiPriority w:val="99"/>
    <w:unhideWhenUsed/>
    <w:rsid w:val="004C5377"/>
    <w:pPr>
      <w:spacing w:before="100" w:beforeAutospacing="1" w:after="100" w:afterAutospacing="1"/>
      <w:jc w:val="left"/>
    </w:pPr>
    <w:rPr>
      <w:rFonts w:eastAsia="Times New Roman"/>
      <w:szCs w:val="24"/>
      <w:lang w:eastAsia="en-GB"/>
    </w:rPr>
  </w:style>
  <w:style w:type="paragraph" w:customStyle="1" w:styleId="oj-sti-art">
    <w:name w:val="oj-sti-art"/>
    <w:basedOn w:val="Normal"/>
    <w:rsid w:val="004C5377"/>
    <w:pPr>
      <w:spacing w:before="100" w:beforeAutospacing="1" w:after="100" w:afterAutospacing="1"/>
      <w:jc w:val="left"/>
    </w:pPr>
    <w:rPr>
      <w:rFonts w:eastAsia="Times New Roman"/>
      <w:szCs w:val="24"/>
      <w:lang w:eastAsia="fr-BE"/>
    </w:rPr>
  </w:style>
  <w:style w:type="paragraph" w:customStyle="1" w:styleId="oj-normal">
    <w:name w:val="oj-normal"/>
    <w:basedOn w:val="Normal"/>
    <w:rsid w:val="004C5377"/>
    <w:pPr>
      <w:spacing w:before="100" w:beforeAutospacing="1" w:after="100" w:afterAutospacing="1"/>
      <w:jc w:val="left"/>
    </w:pPr>
    <w:rPr>
      <w:rFonts w:eastAsia="Times New Roman"/>
      <w:szCs w:val="24"/>
      <w:lang w:eastAsia="fr-BE"/>
    </w:rPr>
  </w:style>
  <w:style w:type="paragraph" w:customStyle="1" w:styleId="pf0">
    <w:name w:val="pf0"/>
    <w:basedOn w:val="Normal"/>
    <w:rsid w:val="004C5377"/>
    <w:pPr>
      <w:spacing w:before="100" w:beforeAutospacing="1" w:after="100" w:afterAutospacing="1"/>
    </w:pPr>
    <w:rPr>
      <w:rFonts w:eastAsia="Times New Roman"/>
      <w:szCs w:val="24"/>
      <w:lang w:eastAsia="fr-BE"/>
    </w:rPr>
  </w:style>
  <w:style w:type="paragraph" w:customStyle="1" w:styleId="pf1">
    <w:name w:val="pf1"/>
    <w:basedOn w:val="Normal"/>
    <w:rsid w:val="004C5377"/>
    <w:pPr>
      <w:spacing w:before="100" w:beforeAutospacing="1" w:after="100" w:afterAutospacing="1"/>
    </w:pPr>
    <w:rPr>
      <w:rFonts w:eastAsia="Times New Roman"/>
      <w:szCs w:val="24"/>
      <w:lang w:eastAsia="fr-BE"/>
    </w:rPr>
  </w:style>
  <w:style w:type="character" w:customStyle="1" w:styleId="cf01">
    <w:name w:val="cf01"/>
    <w:basedOn w:val="DefaultParagraphFont"/>
    <w:rsid w:val="004C5377"/>
    <w:rPr>
      <w:rFonts w:ascii="Segoe UI" w:hAnsi="Segoe UI" w:cs="Segoe UI" w:hint="default"/>
      <w:sz w:val="18"/>
      <w:szCs w:val="18"/>
    </w:rPr>
  </w:style>
  <w:style w:type="character" w:customStyle="1" w:styleId="cf11">
    <w:name w:val="cf11"/>
    <w:basedOn w:val="DefaultParagraphFont"/>
    <w:rsid w:val="004C5377"/>
    <w:rPr>
      <w:rFonts w:ascii="Segoe UI" w:hAnsi="Segoe UI" w:cs="Segoe UI" w:hint="default"/>
      <w:color w:val="0000FF"/>
      <w:sz w:val="18"/>
      <w:szCs w:val="18"/>
    </w:rPr>
  </w:style>
  <w:style w:type="paragraph" w:customStyle="1" w:styleId="BodytextAgency">
    <w:name w:val="Body text (Agency)"/>
    <w:basedOn w:val="Normal"/>
    <w:link w:val="BodytextAgencyChar"/>
    <w:qFormat/>
    <w:rsid w:val="004C5377"/>
    <w:pPr>
      <w:spacing w:before="0" w:after="140" w:line="280" w:lineRule="atLeast"/>
      <w:jc w:val="left"/>
    </w:pPr>
    <w:rPr>
      <w:rFonts w:ascii="Verdana" w:eastAsia="Verdana" w:hAnsi="Verdana"/>
      <w:sz w:val="18"/>
      <w:szCs w:val="18"/>
      <w:lang w:eastAsia="en-GB"/>
    </w:rPr>
  </w:style>
  <w:style w:type="character" w:customStyle="1" w:styleId="BodytextAgencyChar">
    <w:name w:val="Body text (Agency) Char"/>
    <w:link w:val="BodytextAgency"/>
    <w:rsid w:val="004C5377"/>
    <w:rPr>
      <w:rFonts w:ascii="Verdana" w:eastAsia="Verdana" w:hAnsi="Verdana" w:cs="Times New Roman"/>
      <w:sz w:val="18"/>
      <w:szCs w:val="18"/>
      <w:lang w:val="nl-NL" w:eastAsia="en-GB"/>
    </w:rPr>
  </w:style>
  <w:style w:type="paragraph" w:styleId="NoSpacing">
    <w:name w:val="No Spacing"/>
    <w:uiPriority w:val="1"/>
    <w:qFormat/>
    <w:rsid w:val="004C5377"/>
    <w:pPr>
      <w:spacing w:after="0" w:line="240" w:lineRule="auto"/>
      <w:jc w:val="both"/>
    </w:pPr>
    <w:rPr>
      <w:rFonts w:ascii="Times New Roman" w:hAnsi="Times New Roman" w:cs="Times New Roman"/>
      <w:sz w:val="24"/>
    </w:rPr>
  </w:style>
  <w:style w:type="paragraph" w:customStyle="1" w:styleId="paragraph">
    <w:name w:val="paragraph"/>
    <w:basedOn w:val="Normal"/>
    <w:rsid w:val="004C5377"/>
    <w:pPr>
      <w:spacing w:before="100" w:beforeAutospacing="1" w:after="100" w:afterAutospacing="1"/>
      <w:jc w:val="left"/>
    </w:pPr>
    <w:rPr>
      <w:rFonts w:eastAsia="Times New Roman"/>
      <w:szCs w:val="24"/>
      <w:lang w:eastAsia="fr-BE"/>
    </w:rPr>
  </w:style>
  <w:style w:type="character" w:customStyle="1" w:styleId="HeaderChar">
    <w:name w:val="Header Char"/>
    <w:basedOn w:val="DefaultParagraphFont"/>
    <w:link w:val="Header"/>
    <w:uiPriority w:val="99"/>
    <w:rsid w:val="00C21E5E"/>
    <w:rPr>
      <w:rFonts w:ascii="Times New Roman" w:hAnsi="Times New Roman" w:cs="Times New Roman"/>
      <w:sz w:val="24"/>
      <w:lang w:val="nl-NL"/>
    </w:rPr>
  </w:style>
  <w:style w:type="character" w:customStyle="1" w:styleId="FooterChar">
    <w:name w:val="Footer Char"/>
    <w:basedOn w:val="DefaultParagraphFont"/>
    <w:link w:val="Footer"/>
    <w:uiPriority w:val="99"/>
    <w:rsid w:val="00C21E5E"/>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C21E5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21E5E"/>
    <w:pPr>
      <w:spacing w:before="0"/>
      <w:jc w:val="right"/>
    </w:pPr>
    <w:rPr>
      <w:sz w:val="28"/>
    </w:rPr>
  </w:style>
  <w:style w:type="paragraph" w:customStyle="1" w:styleId="FooterSensitivity">
    <w:name w:val="Footer Sensitivity"/>
    <w:basedOn w:val="Normal"/>
    <w:rsid w:val="00C21E5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21E5E"/>
    <w:pPr>
      <w:tabs>
        <w:tab w:val="center" w:pos="4535"/>
        <w:tab w:val="right" w:pos="9071"/>
      </w:tabs>
      <w:spacing w:before="0"/>
    </w:pPr>
  </w:style>
  <w:style w:type="paragraph" w:customStyle="1" w:styleId="HeaderLandscape">
    <w:name w:val="HeaderLandscape"/>
    <w:basedOn w:val="Normal"/>
    <w:rsid w:val="00C21E5E"/>
    <w:pPr>
      <w:tabs>
        <w:tab w:val="center" w:pos="7285"/>
        <w:tab w:val="right" w:pos="14003"/>
      </w:tabs>
      <w:spacing w:before="0"/>
    </w:pPr>
  </w:style>
  <w:style w:type="paragraph" w:styleId="Footer">
    <w:name w:val="footer"/>
    <w:basedOn w:val="Normal"/>
    <w:link w:val="FooterChar"/>
    <w:uiPriority w:val="99"/>
    <w:unhideWhenUsed/>
    <w:rsid w:val="00C21E5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21E5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79434">
      <w:bodyDiv w:val="1"/>
      <w:marLeft w:val="0"/>
      <w:marRight w:val="0"/>
      <w:marTop w:val="0"/>
      <w:marBottom w:val="0"/>
      <w:divBdr>
        <w:top w:val="none" w:sz="0" w:space="0" w:color="auto"/>
        <w:left w:val="none" w:sz="0" w:space="0" w:color="auto"/>
        <w:bottom w:val="none" w:sz="0" w:space="0" w:color="auto"/>
        <w:right w:val="none" w:sz="0" w:space="0" w:color="auto"/>
      </w:divBdr>
    </w:div>
    <w:div w:id="2666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NL/TXT/PDF/?uri=CELEX:52023DC0672R(01)" TargetMode="External"/><Relationship Id="rId18" Type="http://schemas.openxmlformats.org/officeDocument/2006/relationships/hyperlink" Target="https://commission.europa.eu/document/download/b1817a1b-e62e-4949-bbb8-ebf29b54c8bd_en?filename=Mission%20letter%20-%20VARHELYI.pdf" TargetMode="External"/><Relationship Id="rId26" Type="http://schemas.openxmlformats.org/officeDocument/2006/relationships/hyperlink" Target="https://eur-lex.europa.eu/legal-content/NL/TXT/?uri=celex:52023PC0193" TargetMode="External"/><Relationship Id="rId39" Type="http://schemas.openxmlformats.org/officeDocument/2006/relationships/hyperlink" Target="https://eur-lex.europa.eu/legal-content/NL/TXT/?uri=CELEX%3A02021R0695-20240301" TargetMode="External"/><Relationship Id="rId21" Type="http://schemas.openxmlformats.org/officeDocument/2006/relationships/hyperlink" Target="https://single-market-economy.ec.europa.eu/industry/sustainability/net-zero-industry-act_en" TargetMode="External"/><Relationship Id="rId34" Type="http://schemas.openxmlformats.org/officeDocument/2006/relationships/hyperlink" Target="https://eur-lex.europa.eu/legal-content/NL/TXT/?uri=CELEX%3A32021R2282" TargetMode="External"/><Relationship Id="rId42" Type="http://schemas.openxmlformats.org/officeDocument/2006/relationships/hyperlink" Target="https://commission.europa.eu/publications/eu-financial-regulation_nl" TargetMode="External"/><Relationship Id="rId47" Type="http://schemas.openxmlformats.org/officeDocument/2006/relationships/hyperlink" Target="https://eur-lex.europa.eu/eli/reg/2024/903/oj" TargetMode="External"/><Relationship Id="rId50" Type="http://schemas.openxmlformats.org/officeDocument/2006/relationships/hyperlink" Target="https://health.ec.europa.eu/medicinal-products/pharmaceutical-strategy-europe/structured-dialogue-security-medicines-supply_en" TargetMode="External"/><Relationship Id="rId55" Type="http://schemas.openxmlformats.org/officeDocument/2006/relationships/hyperlink" Target="https://health.ec.europa.eu/medicinal-products/pharmaceutical-strategy-europe/reform-eu-pharmaceutical-legislation_en" TargetMode="External"/><Relationship Id="rId63" Type="http://schemas.openxmlformats.org/officeDocument/2006/relationships/hyperlink" Target="https://efcg.cefic.org/wp-content/uploads/2025/01/Advancy-Sicos-report-extract-protected.pdf" TargetMode="External"/><Relationship Id="rId68" Type="http://schemas.openxmlformats.org/officeDocument/2006/relationships/hyperlink" Target="http://data.europa.eu/eli/reg/2021/695/oj" TargetMode="External"/><Relationship Id="rId76" Type="http://schemas.openxmlformats.org/officeDocument/2006/relationships/hyperlink" Target="http://data.europa.eu/eli/reg/2021/695/oj" TargetMode="External"/><Relationship Id="rId7" Type="http://schemas.openxmlformats.org/officeDocument/2006/relationships/hyperlink" Target="https://data.consilium.europa.eu/doc/document/ST-9750-2021-INIT/nl/pdf" TargetMode="External"/><Relationship Id="rId71" Type="http://schemas.openxmlformats.org/officeDocument/2006/relationships/hyperlink" Target="http://data.europa.eu/eli/reg/2022/2371/oj" TargetMode="External"/><Relationship Id="rId2" Type="http://schemas.openxmlformats.org/officeDocument/2006/relationships/hyperlink" Target="https://www.iqvia.com/-/media/iqvia/pdfs/library/white-papers/iqvia-true-value-of-generic-medicines-04-24-forweb.pdf" TargetMode="External"/><Relationship Id="rId16" Type="http://schemas.openxmlformats.org/officeDocument/2006/relationships/hyperlink" Target="https://ec.europa.eu/commission/presscorner/detail/nl/ip_24_2229" TargetMode="External"/><Relationship Id="rId29" Type="http://schemas.openxmlformats.org/officeDocument/2006/relationships/hyperlink" Target="https://eur-lex.europa.eu/legal-content/NL/TXT/?uri=CELEX:02022R0123-20250101" TargetMode="External"/><Relationship Id="rId11" Type="http://schemas.openxmlformats.org/officeDocument/2006/relationships/hyperlink" Target="https://health.ec.europa.eu/medicinal-products/pharmaceutical-strategy-europe/reform-eu-pharmaceutical-legislation_en" TargetMode="External"/><Relationship Id="rId24" Type="http://schemas.openxmlformats.org/officeDocument/2006/relationships/hyperlink" Target="https://health.ec.europa.eu/medicinal-products/pharmaceutical-strategy-europe/reform-eu-pharmaceutical-legislation_en" TargetMode="External"/><Relationship Id="rId32" Type="http://schemas.openxmlformats.org/officeDocument/2006/relationships/hyperlink" Target="https://eur-lex.europa.eu/legal-content/NL/TXT/?uri=CELEX%3A32022R2371" TargetMode="External"/><Relationship Id="rId37" Type="http://schemas.openxmlformats.org/officeDocument/2006/relationships/hyperlink" Target="https://eur-lex.europa.eu/legal-content/nl/TXT/PDF/?uri=CELEX:52020DC0761" TargetMode="External"/><Relationship Id="rId40" Type="http://schemas.openxmlformats.org/officeDocument/2006/relationships/hyperlink" Target="https://eur-lex.europa.eu/legal-content/NL/TXT/?uri=celex:52020DC0102" TargetMode="External"/><Relationship Id="rId45" Type="http://schemas.openxmlformats.org/officeDocument/2006/relationships/hyperlink" Target="https://eur-lex.europa.eu/eli/reg/2024/1689/oj" TargetMode="External"/><Relationship Id="rId53" Type="http://schemas.openxmlformats.org/officeDocument/2006/relationships/hyperlink" Target="https://op.europa.eu/en/publication-detail/-/publication/1f8185d5-5325-11ec-91ac-01aa75ed71a1/language-en" TargetMode="External"/><Relationship Id="rId58" Type="http://schemas.openxmlformats.org/officeDocument/2006/relationships/hyperlink" Target="https://ec.europa.eu/info/law/better-regulation/have-your-say/initiatives/14486-Wetgeving-inzake-kritieke-geneesmiddelen_nl" TargetMode="External"/><Relationship Id="rId66" Type="http://schemas.openxmlformats.org/officeDocument/2006/relationships/hyperlink" Target="http://data.europa.eu/eli/reg/2021/522/oj" TargetMode="External"/><Relationship Id="rId74" Type="http://schemas.openxmlformats.org/officeDocument/2006/relationships/hyperlink" Target="http://data.europa.eu/eli/reg/2020/2093/oj" TargetMode="External"/><Relationship Id="rId79" Type="http://schemas.openxmlformats.org/officeDocument/2006/relationships/hyperlink" Target="http://data.europa.eu/eli/dir/2014/24/2024-01-01" TargetMode="External"/><Relationship Id="rId5" Type="http://schemas.openxmlformats.org/officeDocument/2006/relationships/hyperlink" Target="https://www.ja-chessmen.eu/work-packages" TargetMode="External"/><Relationship Id="rId61" Type="http://schemas.openxmlformats.org/officeDocument/2006/relationships/hyperlink" Target="https://health.ec.europa.eu/latest-updates/commission-assessment-shows-need-reinforce-resilience-critical-medicines-supply-chains-2024-07-10_en" TargetMode="External"/><Relationship Id="rId10" Type="http://schemas.openxmlformats.org/officeDocument/2006/relationships/hyperlink" Target="https://health.ec.europa.eu/system/files/2022-10/mp_vulnerabilities_global-supply_swd_en.pdf" TargetMode="External"/><Relationship Id="rId19" Type="http://schemas.openxmlformats.org/officeDocument/2006/relationships/hyperlink" Target="https://commission.europa.eu/strategy-and-policy/priorities-2019-2024/promoting-our-european-way-life/european-health-union_nl" TargetMode="External"/><Relationship Id="rId31" Type="http://schemas.openxmlformats.org/officeDocument/2006/relationships/hyperlink" Target="https://www.ema.europa.eu/en/human-regulatory-overview/post-authorisation/medicine-shortages-availability-issues/european-shortages-monitoring-platform" TargetMode="External"/><Relationship Id="rId44" Type="http://schemas.openxmlformats.org/officeDocument/2006/relationships/hyperlink" Target="https://finance.ec.europa.eu/publications/commission-simplifies-rules-sustainability-and-eu-investments-delivering-over-eu6-billion_en" TargetMode="External"/><Relationship Id="rId52" Type="http://schemas.openxmlformats.org/officeDocument/2006/relationships/hyperlink" Target="https://health.ec.europa.eu/medicinal-products/pharmaceutical-strategy-europe/reform-eu-pharmaceutical-legislation_en" TargetMode="External"/><Relationship Id="rId60" Type="http://schemas.openxmlformats.org/officeDocument/2006/relationships/hyperlink" Target="https://www.ema.europa.eu/en/human-regulatory-overview/post-authorisation/medicine-shortages-availability-issues/availability-medicines-during-crises/union-list-critical-medicines" TargetMode="External"/><Relationship Id="rId65" Type="http://schemas.openxmlformats.org/officeDocument/2006/relationships/hyperlink" Target="http://data.europa.eu/eli/reg/2022/123/oj" TargetMode="External"/><Relationship Id="rId73" Type="http://schemas.openxmlformats.org/officeDocument/2006/relationships/hyperlink" Target="http://data.europa.eu/eli/reg/2022/2372/oj" TargetMode="External"/><Relationship Id="rId78" Type="http://schemas.openxmlformats.org/officeDocument/2006/relationships/hyperlink" Target="PB%20L&#160;94%20van%2028.3.2014,%20blz.&#160;65" TargetMode="External"/><Relationship Id="rId81" Type="http://schemas.openxmlformats.org/officeDocument/2006/relationships/hyperlink" Target="https://myintracomm.ec.europa.eu/corp/budget/financial-rules/budget-implementation/Pages/implementation-methods.aspx" TargetMode="External"/><Relationship Id="rId4" Type="http://schemas.openxmlformats.org/officeDocument/2006/relationships/hyperlink" Target="https://single-market-economy.ec.europa.eu/industry/strategy/intellectual-property/patent-protection-eu_en" TargetMode="External"/><Relationship Id="rId9" Type="http://schemas.openxmlformats.org/officeDocument/2006/relationships/hyperlink" Target="https://health.ec.europa.eu/medicinal-products/pharmaceutical-strategy-europe/structured-dialogue-security-medicines-supply_en" TargetMode="External"/><Relationship Id="rId14" Type="http://schemas.openxmlformats.org/officeDocument/2006/relationships/hyperlink" Target="https://www.ema.europa.eu/en/human-regulatory-overview/post-authorisation/medicine-shortages-availability-issues/availability-medicines-during-crises/union-list-critical-medicines" TargetMode="External"/><Relationship Id="rId22" Type="http://schemas.openxmlformats.org/officeDocument/2006/relationships/hyperlink" Target="https://health.ec.europa.eu/medicinal-products/orphan-medicinal-products_en" TargetMode="External"/><Relationship Id="rId27" Type="http://schemas.openxmlformats.org/officeDocument/2006/relationships/hyperlink" Target="https://health.ec.europa.eu/medicinal-products/pharmaceutical-strategy-europe/structured-dialogue-security-medicines-supply_en" TargetMode="External"/><Relationship Id="rId30" Type="http://schemas.openxmlformats.org/officeDocument/2006/relationships/hyperlink" Target="https://www.ema.europa.eu/en/human-regulatory-overview/post-authorisation/medicine-shortages-availability-issues/european-shortages-monitoring-platform" TargetMode="External"/><Relationship Id="rId35" Type="http://schemas.openxmlformats.org/officeDocument/2006/relationships/hyperlink" Target="https://health.ec.europa.eu/health-emergency-preparedness-and-response-hera/overview/critical-medicines-alliance_en" TargetMode="External"/><Relationship Id="rId43" Type="http://schemas.openxmlformats.org/officeDocument/2006/relationships/hyperlink" Target="https://single-market-economy.ec.europa.eu/news/commission-launches-call-evidence-and-public-consultation-evaluation-public-procurement-directives-2024-12-13_en" TargetMode="External"/><Relationship Id="rId48" Type="http://schemas.openxmlformats.org/officeDocument/2006/relationships/hyperlink" Target="https://ted.europa.eu/nl/" TargetMode="External"/><Relationship Id="rId56" Type="http://schemas.openxmlformats.org/officeDocument/2006/relationships/hyperlink" Target="https://health.ec.europa.eu/document/download/783cdcbd-791e-4a92-ae3e-2cb55b7b4414_en?filename=mp_ia_revision-pharma-legislation_annexes_4-6_9-14_en.pdf" TargetMode="External"/><Relationship Id="rId64" Type="http://schemas.openxmlformats.org/officeDocument/2006/relationships/hyperlink" Target="https://www.oecd.org/en/publications/shortages-of-medicines-in-oecd-countries_b5d9e15d-en.html" TargetMode="External"/><Relationship Id="rId69" Type="http://schemas.openxmlformats.org/officeDocument/2006/relationships/hyperlink" Target="http://data.europa.eu/eli/reg/2024/795/oj" TargetMode="External"/><Relationship Id="rId77" Type="http://schemas.openxmlformats.org/officeDocument/2006/relationships/hyperlink" Target="http://data.europa.eu/eli/reg/2021/694/2023-09-21" TargetMode="External"/><Relationship Id="rId8" Type="http://schemas.openxmlformats.org/officeDocument/2006/relationships/hyperlink" Target="https://health.ec.europa.eu/medicinal-products/pharmaceutical-strategy-europe_nl" TargetMode="External"/><Relationship Id="rId51" Type="http://schemas.openxmlformats.org/officeDocument/2006/relationships/hyperlink" Target="https://health.ec.europa.eu/health-emergency-preparedness-and-response-hera/overview/critical-medicines-alliance_en" TargetMode="External"/><Relationship Id="rId72" Type="http://schemas.openxmlformats.org/officeDocument/2006/relationships/hyperlink" Target="http://data.europa.eu/eli/reg/2016/369/oj" TargetMode="External"/><Relationship Id="rId80" Type="http://schemas.openxmlformats.org/officeDocument/2006/relationships/hyperlink" Target="http://data.europa.eu/eli/reg/2024/2509/oj" TargetMode="External"/><Relationship Id="rId3" Type="http://schemas.openxmlformats.org/officeDocument/2006/relationships/hyperlink" Target="https://www.ema.europa.eu/en/human-regulatory-overview/marketing-authorisation/generic-hybrid-medicines" TargetMode="External"/><Relationship Id="rId12" Type="http://schemas.openxmlformats.org/officeDocument/2006/relationships/hyperlink" Target="https://eur-lex.europa.eu/legal-content/NL/TXT/?uri=CELEX:02022R0123-20250101" TargetMode="External"/><Relationship Id="rId17" Type="http://schemas.openxmlformats.org/officeDocument/2006/relationships/hyperlink" Target="https://health.ec.europa.eu/document/download/3da9dfc0-c5e0-4583-a0f1-1652c7c18c3c_en?filename=hera_cma_strat-report_en.pdf" TargetMode="External"/><Relationship Id="rId25" Type="http://schemas.openxmlformats.org/officeDocument/2006/relationships/hyperlink" Target="https://health.ec.europa.eu/medicinal-products/pharmaceutical-strategy-europe_nl" TargetMode="External"/><Relationship Id="rId33" Type="http://schemas.openxmlformats.org/officeDocument/2006/relationships/hyperlink" Target="https://eur-lex.europa.eu/legal-content/NL/TXT/?uri=CELEX%3A32022R2372" TargetMode="External"/><Relationship Id="rId38" Type="http://schemas.openxmlformats.org/officeDocument/2006/relationships/hyperlink" Target="https://eur-lex.europa.eu/legal-content/nl/TXT/PDF/?uri=CELEX:52020DC0761" TargetMode="External"/><Relationship Id="rId46" Type="http://schemas.openxmlformats.org/officeDocument/2006/relationships/hyperlink" Target="https://eur-lex.europa.eu/legal-content/NL/TXT/?uri=CELEX%3A32022L2555&amp;qid=1718263585642" TargetMode="External"/><Relationship Id="rId59" Type="http://schemas.openxmlformats.org/officeDocument/2006/relationships/hyperlink" Target="https://www.ema.europa.eu/en/human-regulatory-overview/post-authorisation/medicine-shortages-availability-issues/availability-medicines-during-crises/union-list-critical-medicines" TargetMode="External"/><Relationship Id="rId67" Type="http://schemas.openxmlformats.org/officeDocument/2006/relationships/hyperlink" Target="http://data.europa.eu/eli/reg/2021/694/2023-09-21" TargetMode="External"/><Relationship Id="rId20" Type="http://schemas.openxmlformats.org/officeDocument/2006/relationships/hyperlink" Target="https://ec.europa.eu/commission/presscorner/detail/nl/ip_23_1661" TargetMode="External"/><Relationship Id="rId41" Type="http://schemas.openxmlformats.org/officeDocument/2006/relationships/hyperlink" Target="https://commission.europa.eu/topics/eu-competitiveness/clean-industrial-deal_nl" TargetMode="External"/><Relationship Id="rId54" Type="http://schemas.openxmlformats.org/officeDocument/2006/relationships/hyperlink" Target="https://health.ec.europa.eu/document/download/bd92f46c-4c55-4fed-8642-81b0aa30ff22_en?filename=structured-dialogue_lp_en.pdf" TargetMode="External"/><Relationship Id="rId62" Type="http://schemas.openxmlformats.org/officeDocument/2006/relationships/hyperlink" Target="https://op.europa.eu/s/z1Rz" TargetMode="External"/><Relationship Id="rId70" Type="http://schemas.openxmlformats.org/officeDocument/2006/relationships/hyperlink" Target="https://op.europa.eu/nl/publication-detail/-/publication/d1d3df9b-03e9-11ed-acce-01aa75ed71a1" TargetMode="External"/><Relationship Id="rId75" Type="http://schemas.openxmlformats.org/officeDocument/2006/relationships/hyperlink" Target="http://data.europa.eu/eli/reg/2021/522/oj" TargetMode="External"/><Relationship Id="rId1" Type="http://schemas.openxmlformats.org/officeDocument/2006/relationships/hyperlink" Target="https://health.ec.europa.eu/publications/impact-assessment-report-and-executive-summary-accompanying-revision-general-pharmaceutical_en" TargetMode="External"/><Relationship Id="rId6" Type="http://schemas.openxmlformats.org/officeDocument/2006/relationships/hyperlink" Target="https://www.europarl.europa.eu/doceo/document/TA-8-2017-0061_NL.html" TargetMode="External"/><Relationship Id="rId15" Type="http://schemas.openxmlformats.org/officeDocument/2006/relationships/hyperlink" Target="https://health.ec.europa.eu/health-emergency-preparedness-and-response-hera/overview/critical-medicines-alliance_en" TargetMode="External"/><Relationship Id="rId23" Type="http://schemas.openxmlformats.org/officeDocument/2006/relationships/hyperlink" Target="https://eur-lex.europa.eu/legal-content/NL/TXT/?uri=oj%3AJOC_2012_326_R_TOC" TargetMode="External"/><Relationship Id="rId28" Type="http://schemas.openxmlformats.org/officeDocument/2006/relationships/hyperlink" Target="https://health.ec.europa.eu/system/files/2022-10/mp_vulnerabilities_global-supply_swd_en.pdf" TargetMode="External"/><Relationship Id="rId36" Type="http://schemas.openxmlformats.org/officeDocument/2006/relationships/hyperlink" Target="https://commission.europa.eu/priorities-2024-2029/competitiveness_nl" TargetMode="External"/><Relationship Id="rId49" Type="http://schemas.openxmlformats.org/officeDocument/2006/relationships/hyperlink" Target="https://health.ec.europa.eu/medicinal-products/pharmaceutical-strategy-europe/reform-eu-pharmaceutical-legislation_en" TargetMode="External"/><Relationship Id="rId57" Type="http://schemas.openxmlformats.org/officeDocument/2006/relationships/hyperlink" Target="https://health.ec.europa.eu/health-emergency-preparedness-and-response-hera/overview/critical-medicines-allianc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097C0D8CB854C8C55A6C28E332560" ma:contentTypeVersion="4" ma:contentTypeDescription="Create a new document." ma:contentTypeScope="" ma:versionID="f548d2d038b955108b4f58ebe2f3a254">
  <xsd:schema xmlns:xsd="http://www.w3.org/2001/XMLSchema" xmlns:xs="http://www.w3.org/2001/XMLSchema" xmlns:p="http://schemas.microsoft.com/office/2006/metadata/properties" xmlns:ns2="f169fe71-bc85-47a7-b401-02373f13cbab" targetNamespace="http://schemas.microsoft.com/office/2006/metadata/properties" ma:root="true" ma:fieldsID="35c02513ffc13f57453046f57696dc4e" ns2:_="">
    <xsd:import namespace="f169fe71-bc85-47a7-b401-02373f13cb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9fe71-bc85-47a7-b401-02373f13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C73-E8B0-478C-B0DB-141B016E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9fe71-bc85-47a7-b401-02373f13c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828BA-0761-4D76-BBD0-AFCB167329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C6FA0-E089-4C5C-945D-CC150E9C61E3}">
  <ds:schemaRefs>
    <ds:schemaRef ds:uri="http://schemas.microsoft.com/sharepoint/v3/contenttype/forms"/>
  </ds:schemaRefs>
</ds:datastoreItem>
</file>

<file path=customXml/itemProps4.xml><?xml version="1.0" encoding="utf-8"?>
<ds:datastoreItem xmlns:ds="http://schemas.openxmlformats.org/officeDocument/2006/customXml" ds:itemID="{22B356CA-236C-43B2-AA3F-495CF783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27708</Words>
  <Characters>157936</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185274</CharactersWithSpaces>
  <SharedDoc>false</SharedDoc>
  <HLinks>
    <vt:vector size="468" baseType="variant">
      <vt:variant>
        <vt:i4>262150</vt:i4>
      </vt:variant>
      <vt:variant>
        <vt:i4>234</vt:i4>
      </vt:variant>
      <vt:variant>
        <vt:i4>0</vt:i4>
      </vt:variant>
      <vt:variant>
        <vt:i4>5</vt:i4>
      </vt:variant>
      <vt:variant>
        <vt:lpwstr>https://myintracomm.ec.europa.eu/corp/budget/financial-rules/budget-implementation/Pages/implementation-methods.aspx</vt:lpwstr>
      </vt:variant>
      <vt:variant>
        <vt:lpwstr/>
      </vt:variant>
      <vt:variant>
        <vt:i4>7209056</vt:i4>
      </vt:variant>
      <vt:variant>
        <vt:i4>231</vt:i4>
      </vt:variant>
      <vt:variant>
        <vt:i4>0</vt:i4>
      </vt:variant>
      <vt:variant>
        <vt:i4>5</vt:i4>
      </vt:variant>
      <vt:variant>
        <vt:lpwstr>http://data.europa.eu/eli/reg/2024/2509/oj</vt:lpwstr>
      </vt:variant>
      <vt:variant>
        <vt:lpwstr/>
      </vt:variant>
      <vt:variant>
        <vt:i4>1048603</vt:i4>
      </vt:variant>
      <vt:variant>
        <vt:i4>228</vt:i4>
      </vt:variant>
      <vt:variant>
        <vt:i4>0</vt:i4>
      </vt:variant>
      <vt:variant>
        <vt:i4>5</vt:i4>
      </vt:variant>
      <vt:variant>
        <vt:lpwstr>http://data.europa.eu/eli/dir/2014/24/2024-01-01</vt:lpwstr>
      </vt:variant>
      <vt:variant>
        <vt:lpwstr/>
      </vt:variant>
      <vt:variant>
        <vt:i4>7340151</vt:i4>
      </vt:variant>
      <vt:variant>
        <vt:i4>225</vt:i4>
      </vt:variant>
      <vt:variant>
        <vt:i4>0</vt:i4>
      </vt:variant>
      <vt:variant>
        <vt:i4>5</vt:i4>
      </vt:variant>
      <vt:variant>
        <vt:lpwstr>https://eur-lex.europa.eu/legal-content/EN/AUTO/?uri=OJ:L:2014:094:TOC</vt:lpwstr>
      </vt:variant>
      <vt:variant>
        <vt:lpwstr/>
      </vt:variant>
      <vt:variant>
        <vt:i4>524299</vt:i4>
      </vt:variant>
      <vt:variant>
        <vt:i4>222</vt:i4>
      </vt:variant>
      <vt:variant>
        <vt:i4>0</vt:i4>
      </vt:variant>
      <vt:variant>
        <vt:i4>5</vt:i4>
      </vt:variant>
      <vt:variant>
        <vt:lpwstr>http://data.europa.eu/eli/reg/2021/694/2023-09-21</vt:lpwstr>
      </vt:variant>
      <vt:variant>
        <vt:lpwstr/>
      </vt:variant>
      <vt:variant>
        <vt:i4>4194325</vt:i4>
      </vt:variant>
      <vt:variant>
        <vt:i4>219</vt:i4>
      </vt:variant>
      <vt:variant>
        <vt:i4>0</vt:i4>
      </vt:variant>
      <vt:variant>
        <vt:i4>5</vt:i4>
      </vt:variant>
      <vt:variant>
        <vt:lpwstr>http://data.europa.eu/eli/reg/2021/695/oj</vt:lpwstr>
      </vt:variant>
      <vt:variant>
        <vt:lpwstr/>
      </vt:variant>
      <vt:variant>
        <vt:i4>4456478</vt:i4>
      </vt:variant>
      <vt:variant>
        <vt:i4>216</vt:i4>
      </vt:variant>
      <vt:variant>
        <vt:i4>0</vt:i4>
      </vt:variant>
      <vt:variant>
        <vt:i4>5</vt:i4>
      </vt:variant>
      <vt:variant>
        <vt:lpwstr>http://data.europa.eu/eli/reg/2021/522/oj</vt:lpwstr>
      </vt:variant>
      <vt:variant>
        <vt:lpwstr/>
      </vt:variant>
      <vt:variant>
        <vt:i4>6488175</vt:i4>
      </vt:variant>
      <vt:variant>
        <vt:i4>213</vt:i4>
      </vt:variant>
      <vt:variant>
        <vt:i4>0</vt:i4>
      </vt:variant>
      <vt:variant>
        <vt:i4>5</vt:i4>
      </vt:variant>
      <vt:variant>
        <vt:lpwstr>http://data.europa.eu/eli/reg/2020/2093/oj</vt:lpwstr>
      </vt:variant>
      <vt:variant>
        <vt:lpwstr/>
      </vt:variant>
      <vt:variant>
        <vt:i4>7274605</vt:i4>
      </vt:variant>
      <vt:variant>
        <vt:i4>210</vt:i4>
      </vt:variant>
      <vt:variant>
        <vt:i4>0</vt:i4>
      </vt:variant>
      <vt:variant>
        <vt:i4>5</vt:i4>
      </vt:variant>
      <vt:variant>
        <vt:lpwstr>http://data.europa.eu/eli/reg/2022/2372/oj</vt:lpwstr>
      </vt:variant>
      <vt:variant>
        <vt:lpwstr/>
      </vt:variant>
      <vt:variant>
        <vt:i4>5111833</vt:i4>
      </vt:variant>
      <vt:variant>
        <vt:i4>204</vt:i4>
      </vt:variant>
      <vt:variant>
        <vt:i4>0</vt:i4>
      </vt:variant>
      <vt:variant>
        <vt:i4>5</vt:i4>
      </vt:variant>
      <vt:variant>
        <vt:lpwstr>http://data.europa.eu/eli/reg/2016/369/oj</vt:lpwstr>
      </vt:variant>
      <vt:variant>
        <vt:lpwstr/>
      </vt:variant>
      <vt:variant>
        <vt:i4>7274606</vt:i4>
      </vt:variant>
      <vt:variant>
        <vt:i4>201</vt:i4>
      </vt:variant>
      <vt:variant>
        <vt:i4>0</vt:i4>
      </vt:variant>
      <vt:variant>
        <vt:i4>5</vt:i4>
      </vt:variant>
      <vt:variant>
        <vt:lpwstr>http://data.europa.eu/eli/reg/2022/2371/oj</vt:lpwstr>
      </vt:variant>
      <vt:variant>
        <vt:lpwstr/>
      </vt:variant>
      <vt:variant>
        <vt:i4>1769548</vt:i4>
      </vt:variant>
      <vt:variant>
        <vt:i4>198</vt:i4>
      </vt:variant>
      <vt:variant>
        <vt:i4>0</vt:i4>
      </vt:variant>
      <vt:variant>
        <vt:i4>5</vt:i4>
      </vt:variant>
      <vt:variant>
        <vt:lpwstr>https://op.europa.eu/en/publication-detail/-/publication/d1d3df9b-03e9-11ed-acce-01aa75ed71a1/language-en</vt:lpwstr>
      </vt:variant>
      <vt:variant>
        <vt:lpwstr/>
      </vt:variant>
      <vt:variant>
        <vt:i4>4456469</vt:i4>
      </vt:variant>
      <vt:variant>
        <vt:i4>195</vt:i4>
      </vt:variant>
      <vt:variant>
        <vt:i4>0</vt:i4>
      </vt:variant>
      <vt:variant>
        <vt:i4>5</vt:i4>
      </vt:variant>
      <vt:variant>
        <vt:lpwstr>http://data.europa.eu/eli/reg/2024/795/oj</vt:lpwstr>
      </vt:variant>
      <vt:variant>
        <vt:lpwstr/>
      </vt:variant>
      <vt:variant>
        <vt:i4>4194325</vt:i4>
      </vt:variant>
      <vt:variant>
        <vt:i4>192</vt:i4>
      </vt:variant>
      <vt:variant>
        <vt:i4>0</vt:i4>
      </vt:variant>
      <vt:variant>
        <vt:i4>5</vt:i4>
      </vt:variant>
      <vt:variant>
        <vt:lpwstr>http://data.europa.eu/eli/reg/2021/695/oj</vt:lpwstr>
      </vt:variant>
      <vt:variant>
        <vt:lpwstr/>
      </vt:variant>
      <vt:variant>
        <vt:i4>524299</vt:i4>
      </vt:variant>
      <vt:variant>
        <vt:i4>189</vt:i4>
      </vt:variant>
      <vt:variant>
        <vt:i4>0</vt:i4>
      </vt:variant>
      <vt:variant>
        <vt:i4>5</vt:i4>
      </vt:variant>
      <vt:variant>
        <vt:lpwstr>http://data.europa.eu/eli/reg/2021/694/2023-09-21</vt:lpwstr>
      </vt:variant>
      <vt:variant>
        <vt:lpwstr/>
      </vt:variant>
      <vt:variant>
        <vt:i4>4456478</vt:i4>
      </vt:variant>
      <vt:variant>
        <vt:i4>186</vt:i4>
      </vt:variant>
      <vt:variant>
        <vt:i4>0</vt:i4>
      </vt:variant>
      <vt:variant>
        <vt:i4>5</vt:i4>
      </vt:variant>
      <vt:variant>
        <vt:lpwstr>http://data.europa.eu/eli/reg/2021/522/oj</vt:lpwstr>
      </vt:variant>
      <vt:variant>
        <vt:lpwstr/>
      </vt:variant>
      <vt:variant>
        <vt:i4>4325406</vt:i4>
      </vt:variant>
      <vt:variant>
        <vt:i4>183</vt:i4>
      </vt:variant>
      <vt:variant>
        <vt:i4>0</vt:i4>
      </vt:variant>
      <vt:variant>
        <vt:i4>5</vt:i4>
      </vt:variant>
      <vt:variant>
        <vt:lpwstr>http://data.europa.eu/eli/reg/2022/123/oj</vt:lpwstr>
      </vt:variant>
      <vt:variant>
        <vt:lpwstr/>
      </vt:variant>
      <vt:variant>
        <vt:i4>393324</vt:i4>
      </vt:variant>
      <vt:variant>
        <vt:i4>180</vt:i4>
      </vt:variant>
      <vt:variant>
        <vt:i4>0</vt:i4>
      </vt:variant>
      <vt:variant>
        <vt:i4>5</vt:i4>
      </vt:variant>
      <vt:variant>
        <vt:lpwstr>https://www.oecd.org/en/publications/shortages-of-medicines-in-oecd-countries_b5d9e15d-en.html</vt:lpwstr>
      </vt:variant>
      <vt:variant>
        <vt:lpwstr/>
      </vt:variant>
      <vt:variant>
        <vt:i4>5636190</vt:i4>
      </vt:variant>
      <vt:variant>
        <vt:i4>177</vt:i4>
      </vt:variant>
      <vt:variant>
        <vt:i4>0</vt:i4>
      </vt:variant>
      <vt:variant>
        <vt:i4>5</vt:i4>
      </vt:variant>
      <vt:variant>
        <vt:lpwstr>https://efcg.cefic.org/wp-content/uploads/2025/01/Advancy-Sicos-report-extract-protected.pdf</vt:lpwstr>
      </vt:variant>
      <vt:variant>
        <vt:lpwstr/>
      </vt:variant>
      <vt:variant>
        <vt:i4>2490414</vt:i4>
      </vt:variant>
      <vt:variant>
        <vt:i4>174</vt:i4>
      </vt:variant>
      <vt:variant>
        <vt:i4>0</vt:i4>
      </vt:variant>
      <vt:variant>
        <vt:i4>5</vt:i4>
      </vt:variant>
      <vt:variant>
        <vt:lpwstr>https://op.europa.eu/s/z1Rz</vt:lpwstr>
      </vt:variant>
      <vt:variant>
        <vt:lpwstr/>
      </vt:variant>
      <vt:variant>
        <vt:i4>3145805</vt:i4>
      </vt:variant>
      <vt:variant>
        <vt:i4>171</vt:i4>
      </vt:variant>
      <vt:variant>
        <vt:i4>0</vt:i4>
      </vt:variant>
      <vt:variant>
        <vt:i4>5</vt:i4>
      </vt:variant>
      <vt:variant>
        <vt:lpwstr>https://health.ec.europa.eu/latest-updates/commission-assessment-shows-need-reinforce-resilience-critical-medicines-supply-chains-2024-07-10_en</vt:lpwstr>
      </vt:variant>
      <vt:variant>
        <vt:lpwstr/>
      </vt:variant>
      <vt:variant>
        <vt:i4>7340131</vt:i4>
      </vt:variant>
      <vt:variant>
        <vt:i4>168</vt:i4>
      </vt:variant>
      <vt:variant>
        <vt:i4>0</vt:i4>
      </vt:variant>
      <vt:variant>
        <vt:i4>5</vt:i4>
      </vt:variant>
      <vt:variant>
        <vt:lpwstr>https://www.ema.europa.eu/en/human-regulatory-overview/post-authorisation/medicine-shortages-availability-issues/availability-medicines-during-crises/union-list-critical-medicines</vt:lpwstr>
      </vt:variant>
      <vt:variant>
        <vt:lpwstr/>
      </vt:variant>
      <vt:variant>
        <vt:i4>1179705</vt:i4>
      </vt:variant>
      <vt:variant>
        <vt:i4>165</vt:i4>
      </vt:variant>
      <vt:variant>
        <vt:i4>0</vt:i4>
      </vt:variant>
      <vt:variant>
        <vt:i4>5</vt:i4>
      </vt:variant>
      <vt:variant>
        <vt:lpwstr>https://ec.europa.eu/info/law/better-regulation/have-your-say/initiatives/14486-Critical-Medicines-Act_en</vt:lpwstr>
      </vt:variant>
      <vt:variant>
        <vt:lpwstr/>
      </vt:variant>
      <vt:variant>
        <vt:i4>7012354</vt:i4>
      </vt:variant>
      <vt:variant>
        <vt:i4>162</vt:i4>
      </vt:variant>
      <vt:variant>
        <vt:i4>0</vt:i4>
      </vt:variant>
      <vt:variant>
        <vt:i4>5</vt:i4>
      </vt:variant>
      <vt:variant>
        <vt:lpwstr>https://health.ec.europa.eu/health-emergency-preparedness-and-response-hera/overview/critical-medicines-alliance_en</vt:lpwstr>
      </vt:variant>
      <vt:variant>
        <vt:lpwstr>strategic-report</vt:lpwstr>
      </vt:variant>
      <vt:variant>
        <vt:i4>4522017</vt:i4>
      </vt:variant>
      <vt:variant>
        <vt:i4>159</vt:i4>
      </vt:variant>
      <vt:variant>
        <vt:i4>0</vt:i4>
      </vt:variant>
      <vt:variant>
        <vt:i4>5</vt:i4>
      </vt:variant>
      <vt:variant>
        <vt:lpwstr>https://health.ec.europa.eu/document/download/783cdcbd-791e-4a92-ae3e-2cb55b7b4414_en?filename=mp_ia_revision-pharma-legislation_annexes_4-6_9-14_en.pdf</vt:lpwstr>
      </vt:variant>
      <vt:variant>
        <vt:lpwstr/>
      </vt:variant>
      <vt:variant>
        <vt:i4>1704037</vt:i4>
      </vt:variant>
      <vt:variant>
        <vt:i4>156</vt:i4>
      </vt:variant>
      <vt:variant>
        <vt:i4>0</vt:i4>
      </vt:variant>
      <vt:variant>
        <vt:i4>5</vt:i4>
      </vt:variant>
      <vt:variant>
        <vt:lpwstr>https://health.ec.europa.eu/medicinal-products/pharmaceutical-strategy-europe/reform-eu-pharmaceutical-legislation_en</vt:lpwstr>
      </vt:variant>
      <vt:variant>
        <vt:lpwstr/>
      </vt:variant>
      <vt:variant>
        <vt:i4>8060992</vt:i4>
      </vt:variant>
      <vt:variant>
        <vt:i4>153</vt:i4>
      </vt:variant>
      <vt:variant>
        <vt:i4>0</vt:i4>
      </vt:variant>
      <vt:variant>
        <vt:i4>5</vt:i4>
      </vt:variant>
      <vt:variant>
        <vt:lpwstr>https://health.ec.europa.eu/document/download/bd92f46c-4c55-4fed-8642-81b0aa30ff22_en?filename=structured-dialogue_lp_en.pdf</vt:lpwstr>
      </vt:variant>
      <vt:variant>
        <vt:lpwstr/>
      </vt:variant>
      <vt:variant>
        <vt:i4>4915218</vt:i4>
      </vt:variant>
      <vt:variant>
        <vt:i4>150</vt:i4>
      </vt:variant>
      <vt:variant>
        <vt:i4>0</vt:i4>
      </vt:variant>
      <vt:variant>
        <vt:i4>5</vt:i4>
      </vt:variant>
      <vt:variant>
        <vt:lpwstr>https://op.europa.eu/en/publication-detail/-/publication/1f8185d5-5325-11ec-91ac-01aa75ed71a1/language-en</vt:lpwstr>
      </vt:variant>
      <vt:variant>
        <vt:lpwstr/>
      </vt:variant>
      <vt:variant>
        <vt:i4>1704037</vt:i4>
      </vt:variant>
      <vt:variant>
        <vt:i4>147</vt:i4>
      </vt:variant>
      <vt:variant>
        <vt:i4>0</vt:i4>
      </vt:variant>
      <vt:variant>
        <vt:i4>5</vt:i4>
      </vt:variant>
      <vt:variant>
        <vt:lpwstr>https://health.ec.europa.eu/medicinal-products/pharmaceutical-strategy-europe/reform-eu-pharmaceutical-legislation_en</vt:lpwstr>
      </vt:variant>
      <vt:variant>
        <vt:lpwstr/>
      </vt:variant>
      <vt:variant>
        <vt:i4>2162691</vt:i4>
      </vt:variant>
      <vt:variant>
        <vt:i4>144</vt:i4>
      </vt:variant>
      <vt:variant>
        <vt:i4>0</vt:i4>
      </vt:variant>
      <vt:variant>
        <vt:i4>5</vt:i4>
      </vt:variant>
      <vt:variant>
        <vt:lpwstr>https://health.ec.europa.eu/health-emergency-preparedness-and-response-hera/overview/critical-medicines-alliance_en</vt:lpwstr>
      </vt:variant>
      <vt:variant>
        <vt:lpwstr/>
      </vt:variant>
      <vt:variant>
        <vt:i4>7536732</vt:i4>
      </vt:variant>
      <vt:variant>
        <vt:i4>141</vt:i4>
      </vt:variant>
      <vt:variant>
        <vt:i4>0</vt:i4>
      </vt:variant>
      <vt:variant>
        <vt:i4>5</vt:i4>
      </vt:variant>
      <vt:variant>
        <vt:lpwstr>https://health.ec.europa.eu/medicinal-products/pharmaceutical-strategy-europe/structured-dialogue-security-medicines-supply_en</vt:lpwstr>
      </vt:variant>
      <vt:variant>
        <vt:lpwstr>:~:text=the%20preliminary%20conclusions.-,The%20structured%20dialogue%20initiative,compromising%20the%20affordability%20of%20medicines.</vt:lpwstr>
      </vt:variant>
      <vt:variant>
        <vt:i4>1704037</vt:i4>
      </vt:variant>
      <vt:variant>
        <vt:i4>138</vt:i4>
      </vt:variant>
      <vt:variant>
        <vt:i4>0</vt:i4>
      </vt:variant>
      <vt:variant>
        <vt:i4>5</vt:i4>
      </vt:variant>
      <vt:variant>
        <vt:lpwstr>https://health.ec.europa.eu/medicinal-products/pharmaceutical-strategy-europe/reform-eu-pharmaceutical-legislation_en</vt:lpwstr>
      </vt:variant>
      <vt:variant>
        <vt:lpwstr/>
      </vt:variant>
      <vt:variant>
        <vt:i4>327689</vt:i4>
      </vt:variant>
      <vt:variant>
        <vt:i4>135</vt:i4>
      </vt:variant>
      <vt:variant>
        <vt:i4>0</vt:i4>
      </vt:variant>
      <vt:variant>
        <vt:i4>5</vt:i4>
      </vt:variant>
      <vt:variant>
        <vt:lpwstr>https://ted.europa.eu/en/</vt:lpwstr>
      </vt:variant>
      <vt:variant>
        <vt:lpwstr/>
      </vt:variant>
      <vt:variant>
        <vt:i4>1704025</vt:i4>
      </vt:variant>
      <vt:variant>
        <vt:i4>132</vt:i4>
      </vt:variant>
      <vt:variant>
        <vt:i4>0</vt:i4>
      </vt:variant>
      <vt:variant>
        <vt:i4>5</vt:i4>
      </vt:variant>
      <vt:variant>
        <vt:lpwstr>https://eur-lex.europa.eu/eli/reg/2024/903/oj/eng</vt:lpwstr>
      </vt:variant>
      <vt:variant>
        <vt:lpwstr/>
      </vt:variant>
      <vt:variant>
        <vt:i4>6160392</vt:i4>
      </vt:variant>
      <vt:variant>
        <vt:i4>129</vt:i4>
      </vt:variant>
      <vt:variant>
        <vt:i4>0</vt:i4>
      </vt:variant>
      <vt:variant>
        <vt:i4>5</vt:i4>
      </vt:variant>
      <vt:variant>
        <vt:lpwstr>https://eur-lex.europa.eu/legal-content/EN/TXT/?uri=CELEX%3A32022L2555&amp;qid=1718263585642</vt:lpwstr>
      </vt:variant>
      <vt:variant>
        <vt:lpwstr/>
      </vt:variant>
      <vt:variant>
        <vt:i4>7340136</vt:i4>
      </vt:variant>
      <vt:variant>
        <vt:i4>126</vt:i4>
      </vt:variant>
      <vt:variant>
        <vt:i4>0</vt:i4>
      </vt:variant>
      <vt:variant>
        <vt:i4>5</vt:i4>
      </vt:variant>
      <vt:variant>
        <vt:lpwstr>https://eur-lex.europa.eu/eli/reg/2024/1689/oj/eng</vt:lpwstr>
      </vt:variant>
      <vt:variant>
        <vt:lpwstr/>
      </vt:variant>
      <vt:variant>
        <vt:i4>1245308</vt:i4>
      </vt:variant>
      <vt:variant>
        <vt:i4>123</vt:i4>
      </vt:variant>
      <vt:variant>
        <vt:i4>0</vt:i4>
      </vt:variant>
      <vt:variant>
        <vt:i4>5</vt:i4>
      </vt:variant>
      <vt:variant>
        <vt:lpwstr>https://finance.ec.europa.eu/publications/commission-simplifies-rules-sustainability-and-eu-investments-delivering-over-eu6-billion_en</vt:lpwstr>
      </vt:variant>
      <vt:variant>
        <vt:lpwstr/>
      </vt:variant>
      <vt:variant>
        <vt:i4>6422551</vt:i4>
      </vt:variant>
      <vt:variant>
        <vt:i4>120</vt:i4>
      </vt:variant>
      <vt:variant>
        <vt:i4>0</vt:i4>
      </vt:variant>
      <vt:variant>
        <vt:i4>5</vt:i4>
      </vt:variant>
      <vt:variant>
        <vt:lpwstr>https://single-market-economy.ec.europa.eu/news/commission-launches-call-evidence-and-public-consultation-evaluation-public-procurement-directives-2024-12-13_en</vt:lpwstr>
      </vt:variant>
      <vt:variant>
        <vt:lpwstr/>
      </vt:variant>
      <vt:variant>
        <vt:i4>2883658</vt:i4>
      </vt:variant>
      <vt:variant>
        <vt:i4>117</vt:i4>
      </vt:variant>
      <vt:variant>
        <vt:i4>0</vt:i4>
      </vt:variant>
      <vt:variant>
        <vt:i4>5</vt:i4>
      </vt:variant>
      <vt:variant>
        <vt:lpwstr>https://commission.europa.eu/publications/eu-financial-regulation_en</vt:lpwstr>
      </vt:variant>
      <vt:variant>
        <vt:lpwstr/>
      </vt:variant>
      <vt:variant>
        <vt:i4>3801170</vt:i4>
      </vt:variant>
      <vt:variant>
        <vt:i4>114</vt:i4>
      </vt:variant>
      <vt:variant>
        <vt:i4>0</vt:i4>
      </vt:variant>
      <vt:variant>
        <vt:i4>5</vt:i4>
      </vt:variant>
      <vt:variant>
        <vt:lpwstr>https://commission.europa.eu/topics/eu-competitiveness/clean-industrial-deal_en</vt:lpwstr>
      </vt:variant>
      <vt:variant>
        <vt:lpwstr/>
      </vt:variant>
      <vt:variant>
        <vt:i4>21</vt:i4>
      </vt:variant>
      <vt:variant>
        <vt:i4>111</vt:i4>
      </vt:variant>
      <vt:variant>
        <vt:i4>0</vt:i4>
      </vt:variant>
      <vt:variant>
        <vt:i4>5</vt:i4>
      </vt:variant>
      <vt:variant>
        <vt:lpwstr>https://eur-lex.europa.eu/legal-content/EN/TXT/?uri=celex:52020DC0102</vt:lpwstr>
      </vt:variant>
      <vt:variant>
        <vt:lpwstr/>
      </vt:variant>
      <vt:variant>
        <vt:i4>1441872</vt:i4>
      </vt:variant>
      <vt:variant>
        <vt:i4>108</vt:i4>
      </vt:variant>
      <vt:variant>
        <vt:i4>0</vt:i4>
      </vt:variant>
      <vt:variant>
        <vt:i4>5</vt:i4>
      </vt:variant>
      <vt:variant>
        <vt:lpwstr>https://eur-lex.europa.eu/eli/reg/2021/695/oj/eng</vt:lpwstr>
      </vt:variant>
      <vt:variant>
        <vt:lpwstr/>
      </vt:variant>
      <vt:variant>
        <vt:i4>1048664</vt:i4>
      </vt:variant>
      <vt:variant>
        <vt:i4>105</vt:i4>
      </vt:variant>
      <vt:variant>
        <vt:i4>0</vt:i4>
      </vt:variant>
      <vt:variant>
        <vt:i4>5</vt:i4>
      </vt:variant>
      <vt:variant>
        <vt:lpwstr>https://eur-lex.europa.eu/legal-content/EN/TXT/PDF/?uri=CELEX:52020DC0761</vt:lpwstr>
      </vt:variant>
      <vt:variant>
        <vt:lpwstr/>
      </vt:variant>
      <vt:variant>
        <vt:i4>6422547</vt:i4>
      </vt:variant>
      <vt:variant>
        <vt:i4>102</vt:i4>
      </vt:variant>
      <vt:variant>
        <vt:i4>0</vt:i4>
      </vt:variant>
      <vt:variant>
        <vt:i4>5</vt:i4>
      </vt:variant>
      <vt:variant>
        <vt:lpwstr>https://commission.europa.eu/priorities-2024-2029/competitiveness_en</vt:lpwstr>
      </vt:variant>
      <vt:variant>
        <vt:lpwstr/>
      </vt:variant>
      <vt:variant>
        <vt:i4>2162691</vt:i4>
      </vt:variant>
      <vt:variant>
        <vt:i4>99</vt:i4>
      </vt:variant>
      <vt:variant>
        <vt:i4>0</vt:i4>
      </vt:variant>
      <vt:variant>
        <vt:i4>5</vt:i4>
      </vt:variant>
      <vt:variant>
        <vt:lpwstr>https://health.ec.europa.eu/health-emergency-preparedness-and-response-hera/overview/critical-medicines-alliance_en</vt:lpwstr>
      </vt:variant>
      <vt:variant>
        <vt:lpwstr/>
      </vt:variant>
      <vt:variant>
        <vt:i4>7733351</vt:i4>
      </vt:variant>
      <vt:variant>
        <vt:i4>96</vt:i4>
      </vt:variant>
      <vt:variant>
        <vt:i4>0</vt:i4>
      </vt:variant>
      <vt:variant>
        <vt:i4>5</vt:i4>
      </vt:variant>
      <vt:variant>
        <vt:lpwstr>https://eur-lex.europa.eu/eli/reg/2021/2282/oj/eng</vt:lpwstr>
      </vt:variant>
      <vt:variant>
        <vt:lpwstr/>
      </vt:variant>
      <vt:variant>
        <vt:i4>7995494</vt:i4>
      </vt:variant>
      <vt:variant>
        <vt:i4>93</vt:i4>
      </vt:variant>
      <vt:variant>
        <vt:i4>0</vt:i4>
      </vt:variant>
      <vt:variant>
        <vt:i4>5</vt:i4>
      </vt:variant>
      <vt:variant>
        <vt:lpwstr>https://eur-lex.europa.eu/eli/reg/2022/2372/oj/eng</vt:lpwstr>
      </vt:variant>
      <vt:variant>
        <vt:lpwstr/>
      </vt:variant>
      <vt:variant>
        <vt:i4>7995493</vt:i4>
      </vt:variant>
      <vt:variant>
        <vt:i4>90</vt:i4>
      </vt:variant>
      <vt:variant>
        <vt:i4>0</vt:i4>
      </vt:variant>
      <vt:variant>
        <vt:i4>5</vt:i4>
      </vt:variant>
      <vt:variant>
        <vt:lpwstr>https://eur-lex.europa.eu/eli/reg/2022/2371/oj/eng</vt:lpwstr>
      </vt:variant>
      <vt:variant>
        <vt:lpwstr/>
      </vt:variant>
      <vt:variant>
        <vt:i4>3735589</vt:i4>
      </vt:variant>
      <vt:variant>
        <vt:i4>87</vt:i4>
      </vt:variant>
      <vt:variant>
        <vt:i4>0</vt:i4>
      </vt:variant>
      <vt:variant>
        <vt:i4>5</vt:i4>
      </vt:variant>
      <vt:variant>
        <vt:lpwstr>https://www.ema.europa.eu/en/human-regulatory-overview/post-authorisation/medicine-shortages-availability-issues/european-shortages-monitoring-platform</vt:lpwstr>
      </vt:variant>
      <vt:variant>
        <vt:lpwstr/>
      </vt:variant>
      <vt:variant>
        <vt:i4>2883678</vt:i4>
      </vt:variant>
      <vt:variant>
        <vt:i4>84</vt:i4>
      </vt:variant>
      <vt:variant>
        <vt:i4>0</vt:i4>
      </vt:variant>
      <vt:variant>
        <vt:i4>5</vt:i4>
      </vt:variant>
      <vt:variant>
        <vt:lpwstr>https://eur-lex.europa.eu/legal-content/EN/TXT/?uri=uriserv%3AOJ.L_.2022.020.01.0001.01.ENG</vt:lpwstr>
      </vt:variant>
      <vt:variant>
        <vt:lpwstr/>
      </vt:variant>
      <vt:variant>
        <vt:i4>1507405</vt:i4>
      </vt:variant>
      <vt:variant>
        <vt:i4>81</vt:i4>
      </vt:variant>
      <vt:variant>
        <vt:i4>0</vt:i4>
      </vt:variant>
      <vt:variant>
        <vt:i4>5</vt:i4>
      </vt:variant>
      <vt:variant>
        <vt:lpwstr>https://health.ec.europa.eu/system/files/2022-10/mp_vulnerabilities_global-supply_swd_en.pdf</vt:lpwstr>
      </vt:variant>
      <vt:variant>
        <vt:lpwstr/>
      </vt:variant>
      <vt:variant>
        <vt:i4>5439591</vt:i4>
      </vt:variant>
      <vt:variant>
        <vt:i4>78</vt:i4>
      </vt:variant>
      <vt:variant>
        <vt:i4>0</vt:i4>
      </vt:variant>
      <vt:variant>
        <vt:i4>5</vt:i4>
      </vt:variant>
      <vt:variant>
        <vt:lpwstr>https://health.ec.europa.eu/medicinal-products/pharmaceutical-strategy-europe/structured-dialogue-security-medicines-supply_en</vt:lpwstr>
      </vt:variant>
      <vt:variant>
        <vt:lpwstr/>
      </vt:variant>
      <vt:variant>
        <vt:i4>1900566</vt:i4>
      </vt:variant>
      <vt:variant>
        <vt:i4>75</vt:i4>
      </vt:variant>
      <vt:variant>
        <vt:i4>0</vt:i4>
      </vt:variant>
      <vt:variant>
        <vt:i4>5</vt:i4>
      </vt:variant>
      <vt:variant>
        <vt:lpwstr>https://eur-lex.europa.eu/legal-content/EN/TXT/?uri=celex:52023PC0193</vt:lpwstr>
      </vt:variant>
      <vt:variant>
        <vt:lpwstr/>
      </vt:variant>
      <vt:variant>
        <vt:i4>3473493</vt:i4>
      </vt:variant>
      <vt:variant>
        <vt:i4>72</vt:i4>
      </vt:variant>
      <vt:variant>
        <vt:i4>0</vt:i4>
      </vt:variant>
      <vt:variant>
        <vt:i4>5</vt:i4>
      </vt:variant>
      <vt:variant>
        <vt:lpwstr>https://health.ec.europa.eu/medicinal-products/pharmaceutical-strategy-europe_en</vt:lpwstr>
      </vt:variant>
      <vt:variant>
        <vt:lpwstr/>
      </vt:variant>
      <vt:variant>
        <vt:i4>1704037</vt:i4>
      </vt:variant>
      <vt:variant>
        <vt:i4>69</vt:i4>
      </vt:variant>
      <vt:variant>
        <vt:i4>0</vt:i4>
      </vt:variant>
      <vt:variant>
        <vt:i4>5</vt:i4>
      </vt:variant>
      <vt:variant>
        <vt:lpwstr>https://health.ec.europa.eu/medicinal-products/pharmaceutical-strategy-europe/reform-eu-pharmaceutical-legislation_en</vt:lpwstr>
      </vt:variant>
      <vt:variant>
        <vt:lpwstr/>
      </vt:variant>
      <vt:variant>
        <vt:i4>3932257</vt:i4>
      </vt:variant>
      <vt:variant>
        <vt:i4>66</vt:i4>
      </vt:variant>
      <vt:variant>
        <vt:i4>0</vt:i4>
      </vt:variant>
      <vt:variant>
        <vt:i4>5</vt:i4>
      </vt:variant>
      <vt:variant>
        <vt:lpwstr>https://eur-lex.europa.eu/legal-content/EN/TXT/?uri=oj:JOC_2012_326_R_TOC</vt:lpwstr>
      </vt:variant>
      <vt:variant>
        <vt:lpwstr/>
      </vt:variant>
      <vt:variant>
        <vt:i4>3932232</vt:i4>
      </vt:variant>
      <vt:variant>
        <vt:i4>63</vt:i4>
      </vt:variant>
      <vt:variant>
        <vt:i4>0</vt:i4>
      </vt:variant>
      <vt:variant>
        <vt:i4>5</vt:i4>
      </vt:variant>
      <vt:variant>
        <vt:lpwstr>https://health.ec.europa.eu/medicinal-products/orphan-medicinal-products_en</vt:lpwstr>
      </vt:variant>
      <vt:variant>
        <vt:lpwstr/>
      </vt:variant>
      <vt:variant>
        <vt:i4>3538967</vt:i4>
      </vt:variant>
      <vt:variant>
        <vt:i4>60</vt:i4>
      </vt:variant>
      <vt:variant>
        <vt:i4>0</vt:i4>
      </vt:variant>
      <vt:variant>
        <vt:i4>5</vt:i4>
      </vt:variant>
      <vt:variant>
        <vt:lpwstr>https://single-market-economy.ec.europa.eu/industry/sustainability/net-zero-industry-act_en</vt:lpwstr>
      </vt:variant>
      <vt:variant>
        <vt:lpwstr/>
      </vt:variant>
      <vt:variant>
        <vt:i4>7864419</vt:i4>
      </vt:variant>
      <vt:variant>
        <vt:i4>57</vt:i4>
      </vt:variant>
      <vt:variant>
        <vt:i4>0</vt:i4>
      </vt:variant>
      <vt:variant>
        <vt:i4>5</vt:i4>
      </vt:variant>
      <vt:variant>
        <vt:lpwstr>https://ec.europa.eu/commission/presscorner/detail/en/ip_23_1661</vt:lpwstr>
      </vt:variant>
      <vt:variant>
        <vt:lpwstr/>
      </vt:variant>
      <vt:variant>
        <vt:i4>1179753</vt:i4>
      </vt:variant>
      <vt:variant>
        <vt:i4>54</vt:i4>
      </vt:variant>
      <vt:variant>
        <vt:i4>0</vt:i4>
      </vt:variant>
      <vt:variant>
        <vt:i4>5</vt:i4>
      </vt:variant>
      <vt:variant>
        <vt:lpwstr>https://commission.europa.eu/strategy-and-policy/priorities-2019-2024/promoting-our-european-way-life/european-health-union_en</vt:lpwstr>
      </vt:variant>
      <vt:variant>
        <vt:lpwstr/>
      </vt:variant>
      <vt:variant>
        <vt:i4>5767272</vt:i4>
      </vt:variant>
      <vt:variant>
        <vt:i4>51</vt:i4>
      </vt:variant>
      <vt:variant>
        <vt:i4>0</vt:i4>
      </vt:variant>
      <vt:variant>
        <vt:i4>5</vt:i4>
      </vt:variant>
      <vt:variant>
        <vt:lpwstr>https://commission.europa.eu/document/download/b1817a1b-e62e-4949-bbb8-ebf29b54c8bd_en?filename=Mission%20letter%20-%20VARHELYI.pdf</vt:lpwstr>
      </vt:variant>
      <vt:variant>
        <vt:lpwstr/>
      </vt:variant>
      <vt:variant>
        <vt:i4>7471224</vt:i4>
      </vt:variant>
      <vt:variant>
        <vt:i4>48</vt:i4>
      </vt:variant>
      <vt:variant>
        <vt:i4>0</vt:i4>
      </vt:variant>
      <vt:variant>
        <vt:i4>5</vt:i4>
      </vt:variant>
      <vt:variant>
        <vt:lpwstr>https://health.ec.europa.eu/document/download/3da9dfc0-c5e0-4583-a0f1-1652c7c18c3c_en?filename=hera_cma_strat-report_en.pdf</vt:lpwstr>
      </vt:variant>
      <vt:variant>
        <vt:lpwstr/>
      </vt:variant>
      <vt:variant>
        <vt:i4>7602275</vt:i4>
      </vt:variant>
      <vt:variant>
        <vt:i4>45</vt:i4>
      </vt:variant>
      <vt:variant>
        <vt:i4>0</vt:i4>
      </vt:variant>
      <vt:variant>
        <vt:i4>5</vt:i4>
      </vt:variant>
      <vt:variant>
        <vt:lpwstr>https://ec.europa.eu/commission/presscorner/detail/en/ip_24_2229</vt:lpwstr>
      </vt:variant>
      <vt:variant>
        <vt:lpwstr/>
      </vt:variant>
      <vt:variant>
        <vt:i4>2162691</vt:i4>
      </vt:variant>
      <vt:variant>
        <vt:i4>42</vt:i4>
      </vt:variant>
      <vt:variant>
        <vt:i4>0</vt:i4>
      </vt:variant>
      <vt:variant>
        <vt:i4>5</vt:i4>
      </vt:variant>
      <vt:variant>
        <vt:lpwstr>https://health.ec.europa.eu/health-emergency-preparedness-and-response-hera/overview/critical-medicines-alliance_en</vt:lpwstr>
      </vt:variant>
      <vt:variant>
        <vt:lpwstr/>
      </vt:variant>
      <vt:variant>
        <vt:i4>7340131</vt:i4>
      </vt:variant>
      <vt:variant>
        <vt:i4>39</vt:i4>
      </vt:variant>
      <vt:variant>
        <vt:i4>0</vt:i4>
      </vt:variant>
      <vt:variant>
        <vt:i4>5</vt:i4>
      </vt:variant>
      <vt:variant>
        <vt:lpwstr>https://www.ema.europa.eu/en/human-regulatory-overview/post-authorisation/medicine-shortages-availability-issues/availability-medicines-during-crises/union-list-critical-medicines</vt:lpwstr>
      </vt:variant>
      <vt:variant>
        <vt:lpwstr/>
      </vt:variant>
      <vt:variant>
        <vt:i4>3276847</vt:i4>
      </vt:variant>
      <vt:variant>
        <vt:i4>36</vt:i4>
      </vt:variant>
      <vt:variant>
        <vt:i4>0</vt:i4>
      </vt:variant>
      <vt:variant>
        <vt:i4>5</vt:i4>
      </vt:variant>
      <vt:variant>
        <vt:lpwstr>https://commission.europa.eu/system/files/2023-10/Communication_medicines_shortages_EN_0.pdf</vt:lpwstr>
      </vt:variant>
      <vt:variant>
        <vt:lpwstr/>
      </vt:variant>
      <vt:variant>
        <vt:i4>2883678</vt:i4>
      </vt:variant>
      <vt:variant>
        <vt:i4>33</vt:i4>
      </vt:variant>
      <vt:variant>
        <vt:i4>0</vt:i4>
      </vt:variant>
      <vt:variant>
        <vt:i4>5</vt:i4>
      </vt:variant>
      <vt:variant>
        <vt:lpwstr>https://eur-lex.europa.eu/legal-content/EN/TXT/?uri=uriserv%3AOJ.L_.2022.020.01.0001.01.ENG</vt:lpwstr>
      </vt:variant>
      <vt:variant>
        <vt:lpwstr/>
      </vt:variant>
      <vt:variant>
        <vt:i4>1704037</vt:i4>
      </vt:variant>
      <vt:variant>
        <vt:i4>30</vt:i4>
      </vt:variant>
      <vt:variant>
        <vt:i4>0</vt:i4>
      </vt:variant>
      <vt:variant>
        <vt:i4>5</vt:i4>
      </vt:variant>
      <vt:variant>
        <vt:lpwstr>https://health.ec.europa.eu/medicinal-products/pharmaceutical-strategy-europe/reform-eu-pharmaceutical-legislation_en</vt:lpwstr>
      </vt:variant>
      <vt:variant>
        <vt:lpwstr/>
      </vt:variant>
      <vt:variant>
        <vt:i4>1507405</vt:i4>
      </vt:variant>
      <vt:variant>
        <vt:i4>27</vt:i4>
      </vt:variant>
      <vt:variant>
        <vt:i4>0</vt:i4>
      </vt:variant>
      <vt:variant>
        <vt:i4>5</vt:i4>
      </vt:variant>
      <vt:variant>
        <vt:lpwstr>https://health.ec.europa.eu/system/files/2022-10/mp_vulnerabilities_global-supply_swd_en.pdf</vt:lpwstr>
      </vt:variant>
      <vt:variant>
        <vt:lpwstr/>
      </vt:variant>
      <vt:variant>
        <vt:i4>5439591</vt:i4>
      </vt:variant>
      <vt:variant>
        <vt:i4>24</vt:i4>
      </vt:variant>
      <vt:variant>
        <vt:i4>0</vt:i4>
      </vt:variant>
      <vt:variant>
        <vt:i4>5</vt:i4>
      </vt:variant>
      <vt:variant>
        <vt:lpwstr>https://health.ec.europa.eu/medicinal-products/pharmaceutical-strategy-europe/structured-dialogue-security-medicines-supply_en</vt:lpwstr>
      </vt:variant>
      <vt:variant>
        <vt:lpwstr/>
      </vt:variant>
      <vt:variant>
        <vt:i4>3473493</vt:i4>
      </vt:variant>
      <vt:variant>
        <vt:i4>21</vt:i4>
      </vt:variant>
      <vt:variant>
        <vt:i4>0</vt:i4>
      </vt:variant>
      <vt:variant>
        <vt:i4>5</vt:i4>
      </vt:variant>
      <vt:variant>
        <vt:lpwstr>https://health.ec.europa.eu/medicinal-products/pharmaceutical-strategy-europe_en</vt:lpwstr>
      </vt:variant>
      <vt:variant>
        <vt:lpwstr/>
      </vt:variant>
      <vt:variant>
        <vt:i4>6422639</vt:i4>
      </vt:variant>
      <vt:variant>
        <vt:i4>18</vt:i4>
      </vt:variant>
      <vt:variant>
        <vt:i4>0</vt:i4>
      </vt:variant>
      <vt:variant>
        <vt:i4>5</vt:i4>
      </vt:variant>
      <vt:variant>
        <vt:lpwstr>https://data.consilium.europa.eu/doc/document/ST-9750-2021-INIT/en/pdf</vt:lpwstr>
      </vt:variant>
      <vt:variant>
        <vt:lpwstr/>
      </vt:variant>
      <vt:variant>
        <vt:i4>327717</vt:i4>
      </vt:variant>
      <vt:variant>
        <vt:i4>15</vt:i4>
      </vt:variant>
      <vt:variant>
        <vt:i4>0</vt:i4>
      </vt:variant>
      <vt:variant>
        <vt:i4>5</vt:i4>
      </vt:variant>
      <vt:variant>
        <vt:lpwstr>https://www.europarl.europa.eu/doceo/document/TA-8-2017-0061_EN.html</vt:lpwstr>
      </vt:variant>
      <vt:variant>
        <vt:lpwstr/>
      </vt:variant>
      <vt:variant>
        <vt:i4>7471150</vt:i4>
      </vt:variant>
      <vt:variant>
        <vt:i4>12</vt:i4>
      </vt:variant>
      <vt:variant>
        <vt:i4>0</vt:i4>
      </vt:variant>
      <vt:variant>
        <vt:i4>5</vt:i4>
      </vt:variant>
      <vt:variant>
        <vt:lpwstr>https://www.ja-chessmen.eu/work-packages</vt:lpwstr>
      </vt:variant>
      <vt:variant>
        <vt:lpwstr>work-package-5</vt:lpwstr>
      </vt:variant>
      <vt:variant>
        <vt:i4>4325439</vt:i4>
      </vt:variant>
      <vt:variant>
        <vt:i4>9</vt:i4>
      </vt:variant>
      <vt:variant>
        <vt:i4>0</vt:i4>
      </vt:variant>
      <vt:variant>
        <vt:i4>5</vt:i4>
      </vt:variant>
      <vt:variant>
        <vt:lpwstr>https://single-market-economy.ec.europa.eu/industry/strategy/intellectual-property/patent-protection-eu_en</vt:lpwstr>
      </vt:variant>
      <vt:variant>
        <vt:lpwstr/>
      </vt:variant>
      <vt:variant>
        <vt:i4>2097248</vt:i4>
      </vt:variant>
      <vt:variant>
        <vt:i4>6</vt:i4>
      </vt:variant>
      <vt:variant>
        <vt:i4>0</vt:i4>
      </vt:variant>
      <vt:variant>
        <vt:i4>5</vt:i4>
      </vt:variant>
      <vt:variant>
        <vt:lpwstr>https://www.ema.europa.eu/en/human-regulatory-overview/marketing-authorisation/generic-hybrid-medicines</vt:lpwstr>
      </vt:variant>
      <vt:variant>
        <vt:lpwstr/>
      </vt:variant>
      <vt:variant>
        <vt:i4>1245250</vt:i4>
      </vt:variant>
      <vt:variant>
        <vt:i4>3</vt:i4>
      </vt:variant>
      <vt:variant>
        <vt:i4>0</vt:i4>
      </vt:variant>
      <vt:variant>
        <vt:i4>5</vt:i4>
      </vt:variant>
      <vt:variant>
        <vt:lpwstr>https://www.iqvia.com/-/media/iqvia/pdfs/library/white-papers/iqvia-true-value-of-generic-medicines-04-24-forweb.pdf</vt:lpwstr>
      </vt:variant>
      <vt:variant>
        <vt:lpwstr/>
      </vt:variant>
      <vt:variant>
        <vt:i4>3342424</vt:i4>
      </vt:variant>
      <vt:variant>
        <vt:i4>0</vt:i4>
      </vt:variant>
      <vt:variant>
        <vt:i4>0</vt:i4>
      </vt:variant>
      <vt:variant>
        <vt:i4>5</vt:i4>
      </vt:variant>
      <vt:variant>
        <vt:lpwstr>https://health.ec.europa.eu/publications/impact-assessment-report-and-executive-summary-accompanying-revision-general-pharmaceutical_en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2025-03-11T14:35:00Z</dcterms:created>
  <dcterms:modified xsi:type="dcterms:W3CDTF">2025-05-11T19:16:00Z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2025-03-08T11:07:46Z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5250ac7f-6eb5-4a99-bfcf-f4c283c22192</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0x0101000DA097C0D8CB854C8C55A6C28E332560</vt:lpwstr>
  </property>
  <property fmtid="{D5CDD505-2E9C-101B-9397-08002B2CF9AE}" pid="16" name="DQCStatus">
    <vt:lpwstr>Green (DQC version 03)</vt:lpwstr>
  </property>
</Properties>
</file>