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16" w:rsidRPr="001E3A2D" w:rsidRDefault="00D363CA" w:rsidP="00D363C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3506B09B-BB39-463F-A198-CF17CEA4D929" style="width:455.25pt;height:369.75pt">
            <v:imagedata r:id="rId11" o:title=""/>
          </v:shape>
        </w:pict>
      </w:r>
    </w:p>
    <w:p w:rsidR="00AC5A16" w:rsidRPr="001E3A2D" w:rsidRDefault="00AC5A16" w:rsidP="00AC5A16">
      <w:pPr>
        <w:rPr>
          <w:noProof/>
        </w:rPr>
        <w:sectPr w:rsidR="00AC5A16" w:rsidRPr="001E3A2D" w:rsidSect="00D363CA">
          <w:footerReference w:type="even" r:id="rId12"/>
          <w:footerReference w:type="default" r:id="rId13"/>
          <w:pgSz w:w="11907" w:h="16839"/>
          <w:pgMar w:top="1134" w:right="1417" w:bottom="1134" w:left="1417" w:header="709" w:footer="709" w:gutter="0"/>
          <w:pgNumType w:start="0"/>
          <w:cols w:space="720"/>
          <w:docGrid w:linePitch="360"/>
        </w:sectPr>
      </w:pPr>
    </w:p>
    <w:p w:rsidR="008248AD" w:rsidRPr="001E3A2D" w:rsidRDefault="008248AD" w:rsidP="008248AD">
      <w:pPr>
        <w:pStyle w:val="Exposdesmotifstitre"/>
        <w:rPr>
          <w:noProof/>
        </w:rPr>
      </w:pPr>
      <w:bookmarkStart w:id="0" w:name="_GoBack"/>
      <w:bookmarkEnd w:id="0"/>
      <w:r w:rsidRPr="001E3A2D">
        <w:rPr>
          <w:noProof/>
        </w:rPr>
        <w:lastRenderedPageBreak/>
        <w:t>BEGRÜNDUNG</w:t>
      </w:r>
    </w:p>
    <w:p w:rsidR="00AC5A16" w:rsidRPr="001E3A2D" w:rsidRDefault="00AC5A16" w:rsidP="00483FC6">
      <w:pPr>
        <w:spacing w:before="360"/>
        <w:ind w:left="850" w:hanging="850"/>
        <w:rPr>
          <w:rFonts w:eastAsia="Times New Roman"/>
          <w:noProof/>
          <w:szCs w:val="24"/>
        </w:rPr>
      </w:pPr>
      <w:r w:rsidRPr="001E3A2D">
        <w:rPr>
          <w:b/>
          <w:smallCaps/>
          <w:noProof/>
        </w:rPr>
        <w:t>1</w:t>
      </w:r>
      <w:r w:rsidRPr="001E3A2D">
        <w:rPr>
          <w:noProof/>
        </w:rPr>
        <w:tab/>
      </w:r>
      <w:r w:rsidRPr="001E3A2D">
        <w:rPr>
          <w:b/>
          <w:smallCaps/>
          <w:noProof/>
        </w:rPr>
        <w:t>KONTEXT DES VORSCHLAGS</w:t>
      </w:r>
    </w:p>
    <w:p w:rsidR="00AC5A16" w:rsidRPr="001E3A2D" w:rsidRDefault="00AC5A16" w:rsidP="00483FC6">
      <w:pPr>
        <w:ind w:left="850" w:hanging="850"/>
        <w:rPr>
          <w:rFonts w:eastAsia="Times New Roman"/>
          <w:noProof/>
          <w:szCs w:val="24"/>
        </w:rPr>
      </w:pPr>
      <w:r w:rsidRPr="001E3A2D">
        <w:rPr>
          <w:b/>
          <w:noProof/>
          <w:color w:val="000000" w:themeColor="text1"/>
        </w:rPr>
        <w:t>•</w:t>
      </w:r>
      <w:r w:rsidRPr="001E3A2D">
        <w:rPr>
          <w:noProof/>
        </w:rPr>
        <w:tab/>
      </w:r>
      <w:r w:rsidRPr="001E3A2D">
        <w:rPr>
          <w:b/>
          <w:noProof/>
        </w:rPr>
        <w:t>Gründe und Ziele des Vorschlags</w:t>
      </w:r>
    </w:p>
    <w:p w:rsidR="000D6CDF" w:rsidRPr="001E3A2D" w:rsidRDefault="005519C5" w:rsidP="00334211">
      <w:pPr>
        <w:rPr>
          <w:noProof/>
        </w:rPr>
      </w:pPr>
      <w:r w:rsidRPr="001E3A2D">
        <w:rPr>
          <w:noProof/>
        </w:rPr>
        <w:t>Während die Union bei der Erzeugung, dem Konsum und dem Exportwert von Wein nach wie vor weltweit führend ist, wirken sich gesellschaftliche und demografische Veränderungen auf Menge, Qualität und Art des getrunkenen Weins aus. Der Weinkonsum in der Union geht stetig zurück und liegt derzeit auf dem niedrigsten Stand der letzten drei Jahrzehnte, und auch die traditionellen Ausfuhrmärkte für Weine aus der Union werden von einer Kombination aus Konsumverzicht und geopolitischen Faktoren beeinflusst, was zu unsichereren Ausfuhrmustern führt.</w:t>
      </w:r>
    </w:p>
    <w:p w:rsidR="005519C5" w:rsidRPr="001E3A2D" w:rsidRDefault="005519C5" w:rsidP="00334211">
      <w:pPr>
        <w:rPr>
          <w:noProof/>
          <w:szCs w:val="24"/>
        </w:rPr>
      </w:pPr>
      <w:r w:rsidRPr="001E3A2D">
        <w:rPr>
          <w:noProof/>
        </w:rPr>
        <w:t>Darüber hinaus ist die Erzeugung aufgrund der Anfälligkeit des Weinsektors gegenüber dem Klimawandel zunehmend unvorhersehbar. Mit dem daraus resultierenden Überangebot, das zu hohem Preisdruck führt, verfügen die Winzer über ein geringeres Einkommen für Investitionen in ihre Geschäftstätigkeit und geringe Finanzreserven, auf die sie zurückgreifen können, wenn eines der immer häufigeren und oft lokal auftretenden extremen Wetterereignisse ihre Region trifft.</w:t>
      </w:r>
    </w:p>
    <w:p w:rsidR="005519C5" w:rsidRPr="001E3A2D" w:rsidRDefault="005519C5" w:rsidP="00334211">
      <w:pPr>
        <w:rPr>
          <w:noProof/>
        </w:rPr>
      </w:pPr>
      <w:r w:rsidRPr="001E3A2D">
        <w:rPr>
          <w:noProof/>
        </w:rPr>
        <w:t>Die Hochrangige Gruppe „Weinpolitik“ wurde eingesetzt, um diese Herausforderungen zu erörtern und mögliche Chancen für den Weinsektor der Union aufzuzeigen. Die Hochrangige Gruppe wurde aus Generaldirektoren der Landwirtschaftsministerien der Mitgliedstaaten der Union gebildet, und auf der ersten Sitzung wurden auch Vertreter der wichtigsten Interessenverbände eingeladen, ihre Analyse der aktuellen Lage vorzustellen. Im Mittelpunkt der Diskussionen stand die Frage, wie der Sektor angesichts der derzeitigen strukturellen Herausforderungen durch Steuerung des Erzeugungspotenzials, Steigerung der Wettbewerbsfähigkeit und Erschließung neuer Absatzmärkte besser unterstützt werden kann. Nach vier Sitzungen billigte die Gruppe im Dezember 2024 ein Dokument mit politischen Empfehlungen</w:t>
      </w:r>
      <w:r w:rsidRPr="001E3A2D">
        <w:rPr>
          <w:rStyle w:val="FootnoteReference"/>
          <w:noProof/>
        </w:rPr>
        <w:footnoteReference w:id="2"/>
      </w:r>
      <w:r w:rsidRPr="001E3A2D">
        <w:rPr>
          <w:noProof/>
        </w:rPr>
        <w:t>. Die Empfehlungen wurden von Interessenträgern und von MdEP in der Sitzung des Ausschusses für Landwirtschaft und ländliche Entwicklung (COMAGRI) vom 13. Januar 2025 weitgehend begrüßt.</w:t>
      </w:r>
    </w:p>
    <w:p w:rsidR="00AC5A16" w:rsidRPr="001E3A2D" w:rsidRDefault="1D13C27F" w:rsidP="00334211">
      <w:pPr>
        <w:rPr>
          <w:noProof/>
        </w:rPr>
      </w:pPr>
      <w:r w:rsidRPr="001E3A2D">
        <w:rPr>
          <w:noProof/>
        </w:rPr>
        <w:t>Angesichts der positiven Reaktion auf die Empfehlungen der Hochrangigen Gruppe wird nun erwartet, dass die dringendsten und sektorspezifischen Empfehlungen so bald wie möglich in Legislativvorschläge umgesetzt werden, um den Weinsektor dabei zu unterstützen, die ernsthaften Herausforderungen zu bewältigen und wettbewerbsfähiger zu werden. Wenn die Kommission nicht rasch tätig wird, wird sich die Lage weiter verschlechtern, was unumkehrbare Folgen für viele ländliche Gebiete in Form von aufgegebenen Rebflächen und verlorenen Wachstums- und Beschäftigungsmöglichkeiten haben wird.</w:t>
      </w:r>
    </w:p>
    <w:p w:rsidR="00AC5A16" w:rsidRPr="001E3A2D" w:rsidRDefault="1D13C27F" w:rsidP="00B3667B">
      <w:pPr>
        <w:ind w:left="850" w:hanging="850"/>
        <w:rPr>
          <w:rFonts w:eastAsia="Times New Roman"/>
          <w:b/>
          <w:noProof/>
          <w:szCs w:val="24"/>
        </w:rPr>
      </w:pPr>
      <w:r w:rsidRPr="001E3A2D">
        <w:rPr>
          <w:b/>
          <w:noProof/>
          <w:color w:val="000000" w:themeColor="text1"/>
        </w:rPr>
        <w:t>•</w:t>
      </w:r>
      <w:r w:rsidRPr="001E3A2D">
        <w:rPr>
          <w:noProof/>
        </w:rPr>
        <w:tab/>
      </w:r>
      <w:r w:rsidRPr="001E3A2D">
        <w:rPr>
          <w:b/>
          <w:noProof/>
        </w:rPr>
        <w:t>Kohärenz mit den bestehenden Vorschriften in diesem Bereich</w:t>
      </w:r>
    </w:p>
    <w:p w:rsidR="00AC5A16" w:rsidRPr="001E3A2D" w:rsidRDefault="1D13C27F" w:rsidP="00334211">
      <w:pPr>
        <w:rPr>
          <w:noProof/>
        </w:rPr>
      </w:pPr>
      <w:r w:rsidRPr="001E3A2D">
        <w:rPr>
          <w:noProof/>
        </w:rPr>
        <w:t>Die Verordnung (EU) Nr. 1308/2013 über eine gemeinsame Marktorganisation für landwirtschaftliche Erzeugnisse enthält Bestimmungen in Bezug auf das Genehmigungssystem für Rebpflanzungen, das durch diesen Vorschlag im Einklang mit den Empfehlungen der Hochrangigen Gruppe zur Nutzung des Erzeugungspotenzials geändert wird, wodurch es den Mitgliedstaaten erleichtert wird, das Risiko überschüssiger Erzeugungskapazitäten in bestimmten Gebieten und Marktsegmenten zu reduzieren oder vollständig auszuräumen. Mit diesem Verordnungsvorschlag werden auch die derzeitigen Etikettierungsvorschriften geändert, um die Herstellung von Weinerzeugnissen mit einem niedrigeren Alkoholgehalt zu erleichtern und neue Möglichkeiten zur Information der Verbraucher über die Eigenschaften des von ihnen gekauften Weins zu eröffnen.</w:t>
      </w:r>
    </w:p>
    <w:p w:rsidR="00AC5A16" w:rsidRPr="001E3A2D" w:rsidRDefault="1D13C27F" w:rsidP="00334211">
      <w:pPr>
        <w:rPr>
          <w:noProof/>
        </w:rPr>
      </w:pPr>
      <w:r w:rsidRPr="001E3A2D">
        <w:rPr>
          <w:noProof/>
        </w:rPr>
        <w:t>Die Verordnung (EU) Nr. 251/2014 über die Begriffsbestimmung, Beschreibung, Aufmachung und Etikettierung von aromatisierten Weinerzeugnissen sowie den Schutz geografischer Angaben für aromatisierte Weinerzeugnisse wird ebenfalls geändert, um den Änderungen der Verordnung (EU) Nr. 1308/2013 in Bezug auf Weine mit einem niedrigeren Alkoholgehalt Rechnung zu tragen und so die Herstellung von aromatisierten Weinerzeugnissen auf der Grundlage solcher Weine mit einem niedrigeren Alkoholgehalt zu ermöglichen. Um sicherzustellen, dass die Verbraucher korrekt über die Beschaffenheit aromatisierter Weinerzeugnisse mit einem niedrigeren Alkoholgehalt informiert werden, werden auch die Etikettierungsvorschriften an die Vorschriften für Weinbauerzeugnisse angepasst.</w:t>
      </w:r>
    </w:p>
    <w:p w:rsidR="00AC5A16" w:rsidRPr="001E3A2D" w:rsidRDefault="1D13C27F" w:rsidP="00334211">
      <w:pPr>
        <w:rPr>
          <w:noProof/>
        </w:rPr>
      </w:pPr>
      <w:r w:rsidRPr="001E3A2D">
        <w:rPr>
          <w:noProof/>
        </w:rPr>
        <w:t>Die Verordnung (EU) 2021/2115 mit Vorschriften für die Unterstützung von Strategieplänen wird durch diesen Vorschlag geändert, um den Mitgliedstaaten gemäß der Empfehlung der Hochrangigen Gruppe die Möglichkeit zu geben, Rebflächen effizient umzustrukturieren, dabei jedoch eine Steigerung der Erzeugung zu vermeiden. Darüber hinaus können Erzeugergruppierungen, die geschützte Ursprungsbezeichnungen und geografische Angaben verwalten, Unterstützung für die Entwicklung des Weintourismus in ihrer Region erhalten, und die Höchstdauer der Unterstützung für Absatzförderungs- und Kommunikationsmaßnahmen in Drittländern wird verlängert. Um die Zusammenarbeit im Weinsektor zu stärken, wird für bestimmte Investitionen der Erzeugerorganisationen die finanzielle Hilfe der Union zum Höchstsatz gewährt. Zur Unterstützung der Erzeuger beim Klimaschutz und bei der Anpassung an den Klimawandel wird den Mitgliedstaaten die Möglichkeit eingeräumt, den Höchstbetrag der finanziellen Hilfe der Union, die für Investitionen zur Verwirklichung dieser Ziele gewährt werden kann, zu erhöhen.</w:t>
      </w:r>
    </w:p>
    <w:p w:rsidR="00BC2F33" w:rsidRPr="001E3A2D" w:rsidRDefault="002B38D7" w:rsidP="00BC2F33">
      <w:pPr>
        <w:rPr>
          <w:noProof/>
        </w:rPr>
      </w:pPr>
      <w:r w:rsidRPr="001E3A2D">
        <w:rPr>
          <w:noProof/>
        </w:rPr>
        <w:t>Damit die vorgeschlagenen politischen Maßnahmen eine möglichst große Wirkung entfalten, sollten sie innerhalb eines kohärenten nationalen strategischen Rahmens umgesetzt werden. Die Mitgliedstaaten müssen ihre Auswirkungen bewerten, um Effizienz, Kostenwirksamkeit und einen langfristigen Nutzen zu gewährleisten. Zu den wichtigsten Prioritäten zählen die Vermeidung von Marktungleichgewichten, der Landschaftsschutz, die Erhaltung der Beschäftigung im ländlichen Raum und die Steigerung der Wettbewerbsfähigkeit von Winzern und Weinerzeugern.</w:t>
      </w:r>
    </w:p>
    <w:p w:rsidR="00AC5A16" w:rsidRPr="001E3A2D" w:rsidRDefault="00AC5A16" w:rsidP="00A82837">
      <w:pPr>
        <w:ind w:left="850" w:hanging="850"/>
        <w:rPr>
          <w:rFonts w:eastAsia="Times New Roman"/>
          <w:noProof/>
          <w:szCs w:val="24"/>
        </w:rPr>
      </w:pPr>
      <w:r w:rsidRPr="001E3A2D">
        <w:rPr>
          <w:b/>
          <w:noProof/>
          <w:color w:val="000000" w:themeColor="text1"/>
        </w:rPr>
        <w:t>•</w:t>
      </w:r>
      <w:r w:rsidRPr="001E3A2D">
        <w:rPr>
          <w:noProof/>
        </w:rPr>
        <w:tab/>
      </w:r>
      <w:r w:rsidRPr="001E3A2D">
        <w:rPr>
          <w:b/>
          <w:noProof/>
        </w:rPr>
        <w:t>Kohärenz mit der Politik der Union in anderen Bereichen</w:t>
      </w:r>
    </w:p>
    <w:p w:rsidR="00AC5A16" w:rsidRPr="001E3A2D" w:rsidRDefault="1D13C27F" w:rsidP="00334211">
      <w:pPr>
        <w:rPr>
          <w:noProof/>
        </w:rPr>
      </w:pPr>
      <w:r w:rsidRPr="001E3A2D">
        <w:rPr>
          <w:noProof/>
        </w:rPr>
        <w:t>Durch die Erleichterung der Herstellung von Weinerzeugnissen und aromatisierten Weinerzeugnissen mit einem niedrigeren Alkoholgehalt bietet dieser Vorschlag den Verbrauchern die Möglichkeit, weiterhin Wein zu genießen und dabei gleichzeitig ihren Alkoholkonsum zu verringern. Erzeugergruppierungen, die geschützte Ursprungsbezeichnungen und geografische Angaben verwalten, Zugang zu Förderung zu gewähren, um den Weintourismus in ihrer Region weiterzuentwickeln, steht im Einklang mit dem Ziel, Beschäftigungs- und Wachstumsmöglichkeiten in ländlichen Gebieten zu schaffen.</w:t>
      </w:r>
    </w:p>
    <w:p w:rsidR="00AC5A16" w:rsidRPr="001E3A2D" w:rsidRDefault="00AC5A16" w:rsidP="00A82837">
      <w:pPr>
        <w:spacing w:before="360"/>
        <w:ind w:left="850" w:hanging="850"/>
        <w:rPr>
          <w:rFonts w:eastAsia="Times New Roman"/>
          <w:noProof/>
          <w:szCs w:val="24"/>
        </w:rPr>
      </w:pPr>
      <w:r w:rsidRPr="001E3A2D">
        <w:rPr>
          <w:b/>
          <w:smallCaps/>
          <w:noProof/>
        </w:rPr>
        <w:t>2</w:t>
      </w:r>
      <w:r w:rsidRPr="001E3A2D">
        <w:rPr>
          <w:noProof/>
        </w:rPr>
        <w:tab/>
      </w:r>
      <w:r w:rsidRPr="001E3A2D">
        <w:rPr>
          <w:b/>
          <w:smallCaps/>
          <w:noProof/>
        </w:rPr>
        <w:t>RECHTSGRUNDLAGE, SUBSIDIARITÄT UND VERHÄLTNISMÄẞIGKEIT</w:t>
      </w:r>
    </w:p>
    <w:p w:rsidR="00AC5A16" w:rsidRPr="001E3A2D" w:rsidRDefault="00AC5A16" w:rsidP="00A82837">
      <w:pPr>
        <w:ind w:left="850" w:hanging="850"/>
        <w:rPr>
          <w:rFonts w:eastAsia="Times New Roman"/>
          <w:noProof/>
          <w:szCs w:val="24"/>
        </w:rPr>
      </w:pPr>
      <w:r w:rsidRPr="001E3A2D">
        <w:rPr>
          <w:b/>
          <w:noProof/>
        </w:rPr>
        <w:t>•</w:t>
      </w:r>
      <w:r w:rsidRPr="001E3A2D">
        <w:rPr>
          <w:noProof/>
        </w:rPr>
        <w:tab/>
      </w:r>
      <w:r w:rsidRPr="001E3A2D">
        <w:rPr>
          <w:b/>
          <w:noProof/>
        </w:rPr>
        <w:t>Rechtsgrundlage</w:t>
      </w:r>
    </w:p>
    <w:p w:rsidR="00AC5A16" w:rsidRPr="001E3A2D" w:rsidRDefault="464E47D2" w:rsidP="00334211">
      <w:pPr>
        <w:rPr>
          <w:noProof/>
        </w:rPr>
      </w:pPr>
      <w:r w:rsidRPr="001E3A2D">
        <w:rPr>
          <w:noProof/>
        </w:rPr>
        <w:t>Vertrag über die Arbeitsweise der Europäischen Union, insbesondere Artikel 42 Absatz 1 und Artikel 43 Absatz 2.</w:t>
      </w:r>
    </w:p>
    <w:p w:rsidR="00AC5A16" w:rsidRPr="001E3A2D" w:rsidRDefault="00AC5A16" w:rsidP="00A82837">
      <w:pPr>
        <w:ind w:left="850" w:hanging="850"/>
        <w:rPr>
          <w:rFonts w:eastAsia="Times New Roman"/>
          <w:noProof/>
          <w:szCs w:val="24"/>
        </w:rPr>
      </w:pPr>
      <w:r w:rsidRPr="001E3A2D">
        <w:rPr>
          <w:b/>
          <w:noProof/>
        </w:rPr>
        <w:t>•</w:t>
      </w:r>
      <w:r w:rsidRPr="001E3A2D">
        <w:rPr>
          <w:noProof/>
        </w:rPr>
        <w:tab/>
      </w:r>
      <w:r w:rsidRPr="001E3A2D">
        <w:rPr>
          <w:b/>
          <w:noProof/>
        </w:rPr>
        <w:t xml:space="preserve">Subsidiarität (bei nicht ausschließlicher Zuständigkeit) </w:t>
      </w:r>
    </w:p>
    <w:p w:rsidR="00AC5A16" w:rsidRPr="001E3A2D" w:rsidRDefault="1D13C27F" w:rsidP="00334211">
      <w:pPr>
        <w:rPr>
          <w:noProof/>
        </w:rPr>
      </w:pPr>
      <w:r w:rsidRPr="001E3A2D">
        <w:rPr>
          <w:noProof/>
        </w:rPr>
        <w:t xml:space="preserve">Die Bestimmungen, die zur Umsetzung der Empfehlungen der Hochrangigen Gruppe geändert werden müssen, sind in Verordnungen des Europäischen Parlaments und des Rates enthalten, weshalb die Mitgliedstaaten diese Empfehlungen nicht umsetzen können, wenn die Rechtsvorschriften der Union nicht entsprechend geändert werden. Im Einklang mit dem Subsidiaritätsprinzip erhalten die nationalen Behörden durch mehrere Bestimmungen dieses Vorschlags einen größeren Spielraum, um das Erzeugungspotenzial besser an die besondere Situation der Weinbauregionen anzupassen. </w:t>
      </w:r>
    </w:p>
    <w:p w:rsidR="00AC5A16" w:rsidRPr="001E3A2D" w:rsidRDefault="00AC5A16" w:rsidP="4C247F94">
      <w:pPr>
        <w:ind w:left="850" w:hanging="850"/>
        <w:rPr>
          <w:rFonts w:eastAsia="Times New Roman"/>
          <w:b/>
          <w:noProof/>
          <w:szCs w:val="24"/>
        </w:rPr>
      </w:pPr>
      <w:r w:rsidRPr="001E3A2D">
        <w:rPr>
          <w:b/>
          <w:noProof/>
        </w:rPr>
        <w:t>•</w:t>
      </w:r>
      <w:r w:rsidRPr="001E3A2D">
        <w:rPr>
          <w:noProof/>
        </w:rPr>
        <w:tab/>
      </w:r>
      <w:r w:rsidRPr="001E3A2D">
        <w:rPr>
          <w:b/>
          <w:noProof/>
        </w:rPr>
        <w:t>Verhältnismäßigkeit</w:t>
      </w:r>
    </w:p>
    <w:p w:rsidR="00AC5A16" w:rsidRPr="001E3A2D" w:rsidRDefault="1D13C27F" w:rsidP="00334211">
      <w:pPr>
        <w:rPr>
          <w:noProof/>
        </w:rPr>
      </w:pPr>
      <w:r w:rsidRPr="001E3A2D">
        <w:rPr>
          <w:noProof/>
        </w:rPr>
        <w:t>Die Wahl bestimmter Politikansätze im Rahmen des Vorschlags beruht auf den Empfehlungen der Hochrangigen Gruppe, die einen nach vier Diskussionsrunden über verschiedene politische Optionen erzielten, einstimmig gebilligten Kompromiss darstellen und von allen Mitgliedstaaten unterstützt werden. Die Beratungen der Hochrangigen Gruppe stützten sich auf eine eingehende Analyse</w:t>
      </w:r>
      <w:r w:rsidRPr="001E3A2D">
        <w:rPr>
          <w:rStyle w:val="FootnoteReference"/>
          <w:noProof/>
        </w:rPr>
        <w:footnoteReference w:id="3"/>
      </w:r>
      <w:r w:rsidRPr="001E3A2D">
        <w:rPr>
          <w:noProof/>
        </w:rPr>
        <w:t>, die von Sachverständigen der Beobachtungsstelle für den Weinmarkt durchgeführt wurde. Während drei Sondersitzungen von Dezember 2023 bis zum zweiten Quartal 2024 bewerteten diese Sachverständigen die Lage des Weinmarkts und loteten verschiedene politische Optionen zur Bewältigung der aktuellen Herausforderungen und zur Unterstützung des Sektors bei der Nutzung potenzieller künftiger Chancen aus. Dieser Vorschlag bleibt innerhalb der Grenzen dessen, was erforderlich ist, um die bereits mit den geänderten bestehenden Vorschriften verfolgten Ziele zu verwirklichen.</w:t>
      </w:r>
    </w:p>
    <w:p w:rsidR="00AC5A16" w:rsidRPr="001E3A2D" w:rsidRDefault="00AC5A16" w:rsidP="00021023">
      <w:pPr>
        <w:ind w:left="850" w:hanging="850"/>
        <w:rPr>
          <w:rFonts w:eastAsia="Times New Roman"/>
          <w:noProof/>
          <w:szCs w:val="24"/>
        </w:rPr>
      </w:pPr>
      <w:r w:rsidRPr="001E3A2D">
        <w:rPr>
          <w:b/>
          <w:noProof/>
        </w:rPr>
        <w:t>•</w:t>
      </w:r>
      <w:r w:rsidRPr="001E3A2D">
        <w:rPr>
          <w:noProof/>
        </w:rPr>
        <w:tab/>
      </w:r>
      <w:r w:rsidRPr="001E3A2D">
        <w:rPr>
          <w:b/>
          <w:noProof/>
        </w:rPr>
        <w:t>Wahl des Instruments</w:t>
      </w:r>
    </w:p>
    <w:p w:rsidR="00AC5A16" w:rsidRPr="001E3A2D" w:rsidRDefault="1D13C27F" w:rsidP="00334211">
      <w:pPr>
        <w:rPr>
          <w:noProof/>
        </w:rPr>
      </w:pPr>
      <w:r w:rsidRPr="001E3A2D">
        <w:rPr>
          <w:noProof/>
        </w:rPr>
        <w:t>Die Vorschriften, die zur Umsetzung der Empfehlungen der Hochrangigen Gruppe geändert werden müssen, sind in drei Verordnungen des Europäischen Parlaments und des Rates enthalten. Daher muss das zu wählende Instrument auch eine Verordnung des Europäischen Parlaments und des Rates sein.</w:t>
      </w:r>
    </w:p>
    <w:p w:rsidR="00AC5A16" w:rsidRPr="001E3A2D" w:rsidRDefault="00AC5A16" w:rsidP="00021023">
      <w:pPr>
        <w:spacing w:before="360"/>
        <w:ind w:left="850" w:hanging="850"/>
        <w:rPr>
          <w:rFonts w:eastAsia="Times New Roman"/>
          <w:noProof/>
          <w:szCs w:val="24"/>
        </w:rPr>
      </w:pPr>
      <w:r w:rsidRPr="001E3A2D">
        <w:rPr>
          <w:b/>
          <w:smallCaps/>
          <w:noProof/>
        </w:rPr>
        <w:t>3</w:t>
      </w:r>
      <w:r w:rsidRPr="001E3A2D">
        <w:rPr>
          <w:noProof/>
        </w:rPr>
        <w:tab/>
      </w:r>
      <w:r w:rsidRPr="001E3A2D">
        <w:rPr>
          <w:b/>
          <w:smallCaps/>
          <w:noProof/>
        </w:rPr>
        <w:t>ERGEBNISSE DER EX-POST-BEWERTUNG, DER KONSULTATION DER INTERESSENTRÄGER UND DER FOLGENABSCHÄTZUNG</w:t>
      </w:r>
    </w:p>
    <w:p w:rsidR="00AC5A16" w:rsidRPr="001E3A2D" w:rsidRDefault="00AC5A16" w:rsidP="00021023">
      <w:pPr>
        <w:ind w:left="850" w:hanging="850"/>
        <w:rPr>
          <w:rFonts w:eastAsia="Times New Roman"/>
          <w:noProof/>
          <w:szCs w:val="24"/>
        </w:rPr>
      </w:pPr>
      <w:r w:rsidRPr="001E3A2D">
        <w:rPr>
          <w:b/>
          <w:noProof/>
        </w:rPr>
        <w:t>•</w:t>
      </w:r>
      <w:r w:rsidRPr="001E3A2D">
        <w:rPr>
          <w:noProof/>
        </w:rPr>
        <w:tab/>
      </w:r>
      <w:r w:rsidRPr="001E3A2D">
        <w:rPr>
          <w:b/>
          <w:noProof/>
        </w:rPr>
        <w:t>Ex-post-Bewertung/Eignungsprüfungen bestehender Rechtsvorschriften</w:t>
      </w:r>
    </w:p>
    <w:p w:rsidR="00AC5A16" w:rsidRPr="001E3A2D" w:rsidRDefault="00D31C64" w:rsidP="00334211">
      <w:pPr>
        <w:rPr>
          <w:noProof/>
        </w:rPr>
      </w:pPr>
      <w:r w:rsidRPr="001E3A2D">
        <w:rPr>
          <w:noProof/>
        </w:rPr>
        <w:t>Entfällt.</w:t>
      </w:r>
    </w:p>
    <w:p w:rsidR="00AC5A16" w:rsidRPr="001E3A2D" w:rsidRDefault="00AC5A16" w:rsidP="00021023">
      <w:pPr>
        <w:ind w:left="850" w:hanging="850"/>
        <w:rPr>
          <w:rFonts w:eastAsia="Times New Roman"/>
          <w:noProof/>
          <w:szCs w:val="24"/>
        </w:rPr>
      </w:pPr>
      <w:r w:rsidRPr="001E3A2D">
        <w:rPr>
          <w:b/>
          <w:noProof/>
        </w:rPr>
        <w:t>•</w:t>
      </w:r>
      <w:r w:rsidRPr="001E3A2D">
        <w:rPr>
          <w:noProof/>
        </w:rPr>
        <w:tab/>
      </w:r>
      <w:r w:rsidRPr="001E3A2D">
        <w:rPr>
          <w:b/>
          <w:noProof/>
        </w:rPr>
        <w:t>Konsultation der Interessenträger</w:t>
      </w:r>
    </w:p>
    <w:p w:rsidR="00AC5A16" w:rsidRPr="001E3A2D" w:rsidRDefault="006D29CA" w:rsidP="00334211">
      <w:pPr>
        <w:rPr>
          <w:noProof/>
        </w:rPr>
      </w:pPr>
      <w:r w:rsidRPr="001E3A2D">
        <w:rPr>
          <w:noProof/>
        </w:rPr>
        <w:t>Da die Initiative dringend angenommen werden sollte, ist weder eine Aufforderung zur Stellungnahme noch eine öffentliche Konsultation geplant.</w:t>
      </w:r>
    </w:p>
    <w:p w:rsidR="00AC5A16" w:rsidRPr="001E3A2D" w:rsidRDefault="00AC5A16" w:rsidP="00021023">
      <w:pPr>
        <w:ind w:left="850" w:hanging="850"/>
        <w:rPr>
          <w:rFonts w:eastAsia="Times New Roman"/>
          <w:noProof/>
          <w:szCs w:val="24"/>
        </w:rPr>
      </w:pPr>
      <w:r w:rsidRPr="001E3A2D">
        <w:rPr>
          <w:b/>
          <w:noProof/>
        </w:rPr>
        <w:t>•</w:t>
      </w:r>
      <w:r w:rsidRPr="001E3A2D">
        <w:rPr>
          <w:noProof/>
        </w:rPr>
        <w:tab/>
      </w:r>
      <w:r w:rsidRPr="001E3A2D">
        <w:rPr>
          <w:b/>
          <w:noProof/>
        </w:rPr>
        <w:t>Einholung und Nutzung von Expertenwissen</w:t>
      </w:r>
    </w:p>
    <w:p w:rsidR="00AC5A16" w:rsidRPr="001E3A2D" w:rsidRDefault="0077526D" w:rsidP="00021023">
      <w:pPr>
        <w:rPr>
          <w:noProof/>
        </w:rPr>
      </w:pPr>
      <w:r w:rsidRPr="001E3A2D">
        <w:rPr>
          <w:noProof/>
        </w:rPr>
        <w:t>Die Empfehlungen der Hochrangigen Gruppe waren das Ergebnis einer umfassenden und eingehenden Diskussion und Analyse, die bereits vor der Einsetzung der Hochrangigen Gruppe begonnen hatte, zunächst mit den Sachverständigen der Beobachtungsstelle für den Weinmarkt und mit Interessenträgern und anschließend im Rahmen der Hochrangigen Gruppe mit den Generaldirektoren der Landwirtschaftsministerien aller Mitgliedstaaten. Zu einer der Sitzungen der Hochrangigen Gruppe wurden auch wichtige Interessenträger eingeladen, um ihre Standpunkte darzulegen. Der Legislativvorschlag stützt sich auf die Empfehlungen der Hochrangigen Gruppe, die von den Mitgliedstaaten einstimmig gebilligt wurden und von den Interessenträgern unterstützt und vom COMAGRI begrüßt werden.</w:t>
      </w:r>
    </w:p>
    <w:p w:rsidR="00AC5A16" w:rsidRPr="001E3A2D" w:rsidRDefault="00AC5A16" w:rsidP="00825A95">
      <w:pPr>
        <w:ind w:left="850" w:hanging="850"/>
        <w:rPr>
          <w:rFonts w:eastAsia="Times New Roman"/>
          <w:noProof/>
          <w:szCs w:val="24"/>
        </w:rPr>
      </w:pPr>
      <w:r w:rsidRPr="001E3A2D">
        <w:rPr>
          <w:b/>
          <w:noProof/>
        </w:rPr>
        <w:t>•</w:t>
      </w:r>
      <w:r w:rsidRPr="001E3A2D">
        <w:rPr>
          <w:noProof/>
        </w:rPr>
        <w:tab/>
      </w:r>
      <w:r w:rsidRPr="001E3A2D">
        <w:rPr>
          <w:b/>
          <w:noProof/>
        </w:rPr>
        <w:t>Folgenabschätzung</w:t>
      </w:r>
    </w:p>
    <w:p w:rsidR="00C0667E" w:rsidRPr="001E3A2D" w:rsidRDefault="00EF7A5B" w:rsidP="00334211">
      <w:pPr>
        <w:rPr>
          <w:noProof/>
        </w:rPr>
      </w:pPr>
      <w:r w:rsidRPr="001E3A2D">
        <w:rPr>
          <w:noProof/>
        </w:rPr>
        <w:t xml:space="preserve">Da die Initiative dringend angenommen werden sollte, wird keine Folgenabschätzung durchgeführt. Kosten und Nutzen der Initiative werden in einer Arbeitsunterlage der Kommissionsdienststellen bewertet, die innerhalb von drei Monaten nach ihrer Annahme veröffentlicht wird. </w:t>
      </w:r>
    </w:p>
    <w:p w:rsidR="00AC5A16" w:rsidRPr="001E3A2D" w:rsidRDefault="00AC5A16" w:rsidP="00825A95">
      <w:pPr>
        <w:ind w:left="850" w:hanging="850"/>
        <w:rPr>
          <w:rFonts w:eastAsia="Times New Roman"/>
          <w:noProof/>
          <w:szCs w:val="24"/>
        </w:rPr>
      </w:pPr>
      <w:r w:rsidRPr="001E3A2D">
        <w:rPr>
          <w:b/>
          <w:noProof/>
        </w:rPr>
        <w:t>•</w:t>
      </w:r>
      <w:r w:rsidRPr="001E3A2D">
        <w:rPr>
          <w:noProof/>
        </w:rPr>
        <w:tab/>
      </w:r>
      <w:r w:rsidRPr="001E3A2D">
        <w:rPr>
          <w:b/>
          <w:noProof/>
        </w:rPr>
        <w:t>Effizienz der Rechtsetzung und Vereinfachung</w:t>
      </w:r>
    </w:p>
    <w:p w:rsidR="00AC5A16" w:rsidRPr="001E3A2D" w:rsidRDefault="1D13C27F" w:rsidP="001007DE">
      <w:pPr>
        <w:rPr>
          <w:noProof/>
        </w:rPr>
      </w:pPr>
      <w:r w:rsidRPr="001E3A2D">
        <w:rPr>
          <w:noProof/>
        </w:rPr>
        <w:t>Dieser Vorschlag zielt darauf ab, über die bereits bestehende Möglichkeit der Bereitstellung des Zutatenverzeichnisses und der Nährwertdeklaration auf elektronischem Wege hinaus die Befolgungskosten für KMU zu minimieren, und so den Handel zwischen den Mitgliedstaaten der Union zu vereinfachen. Derzeit ist der Verweis auf das elektronische Etikett auf der Verpackung (z. B. in Form eines QR-Codes), das der Bereitstellung des Zutatenverzeichnisses und der Nährwertdeklaration dient, mithilfe einzelner Begriffe (z. B. „Zutaten“ und/oder „Nährwertdeklaration“) auf der Verpackung oder auf einem daran befestigten Etikett für die Weinerzeuger umständlich, und die Vorschriften für den Verweis unterscheiden sich von Mitgliedstaat zu Mitgliedstaat. Mit der vorgeschlagenen Verordnung wird der Kommission die Befugnis übertragen, in Zusammenarbeit mit den Mitgliedstaaten Vorschriften für ein gemeinsames Konzept für eine solche Etikettierung auszuarbeiten, wodurch die Kosten und der Verwaltungsaufwand insbesondere für Kleinerzeuger verringert werden, die ihre Weine künftig in verschiedenen Ländern mit demselben Etikett verkaufen können. Die Verkehrsbezeichnungen für Weine mit einem niedrigeren Alkoholgehalt werden ebenfalls in der gesamten Union harmonisiert und durch die Verwendung von Begriffen, die den Verbrauchern besser bekannt sind, klarer gestaltet.</w:t>
      </w:r>
    </w:p>
    <w:p w:rsidR="00AC5A16" w:rsidRPr="001E3A2D" w:rsidRDefault="1D13C27F" w:rsidP="002B45DD">
      <w:pPr>
        <w:spacing w:before="0" w:after="240"/>
        <w:rPr>
          <w:rFonts w:eastAsia="Times New Roman"/>
          <w:noProof/>
          <w:szCs w:val="24"/>
        </w:rPr>
      </w:pPr>
      <w:r w:rsidRPr="001E3A2D">
        <w:rPr>
          <w:noProof/>
          <w:color w:val="0000FF"/>
        </w:rPr>
        <w:t xml:space="preserve"> </w:t>
      </w:r>
      <w:r w:rsidRPr="001E3A2D">
        <w:rPr>
          <w:b/>
          <w:noProof/>
        </w:rPr>
        <w:t>•</w:t>
      </w:r>
      <w:r w:rsidRPr="001E3A2D">
        <w:rPr>
          <w:noProof/>
        </w:rPr>
        <w:tab/>
      </w:r>
      <w:r w:rsidRPr="001E3A2D">
        <w:rPr>
          <w:b/>
          <w:noProof/>
        </w:rPr>
        <w:t>Grundrechte</w:t>
      </w:r>
    </w:p>
    <w:p w:rsidR="00487498" w:rsidRPr="001E3A2D" w:rsidRDefault="006A491F" w:rsidP="001818BB">
      <w:pPr>
        <w:rPr>
          <w:noProof/>
        </w:rPr>
      </w:pPr>
      <w:r w:rsidRPr="001E3A2D">
        <w:rPr>
          <w:noProof/>
        </w:rPr>
        <w:t xml:space="preserve">Der Vorschlag steht im Einklang mit den Grundrechten und Grundsätzen, die insbesondere mit der Charta der Grundrechte der Europäischen Union anerkannt wurden. </w:t>
      </w:r>
    </w:p>
    <w:p w:rsidR="00AC5A16" w:rsidRPr="001E3A2D" w:rsidRDefault="00AC5A16" w:rsidP="006D2E0F">
      <w:pPr>
        <w:spacing w:before="360"/>
        <w:ind w:left="850" w:hanging="850"/>
        <w:rPr>
          <w:rFonts w:eastAsia="Times New Roman"/>
          <w:noProof/>
          <w:szCs w:val="24"/>
        </w:rPr>
      </w:pPr>
      <w:r w:rsidRPr="001E3A2D">
        <w:rPr>
          <w:b/>
          <w:smallCaps/>
          <w:noProof/>
        </w:rPr>
        <w:t>4</w:t>
      </w:r>
      <w:r w:rsidRPr="001E3A2D">
        <w:rPr>
          <w:noProof/>
        </w:rPr>
        <w:tab/>
      </w:r>
      <w:r w:rsidRPr="001E3A2D">
        <w:rPr>
          <w:b/>
          <w:smallCaps/>
          <w:noProof/>
        </w:rPr>
        <w:t>AUSWIRKUNGEN AUF DEN HAUSHALT</w:t>
      </w:r>
    </w:p>
    <w:p w:rsidR="00AC5A16" w:rsidRPr="001E3A2D" w:rsidRDefault="009E228F">
      <w:pPr>
        <w:rPr>
          <w:noProof/>
        </w:rPr>
      </w:pPr>
      <w:r w:rsidRPr="001E3A2D">
        <w:rPr>
          <w:noProof/>
        </w:rPr>
        <w:t>Dieser Vorschlag hat keine quantifizierbaren Auswirkungen auf den Haushalt. Änderungen der finanziellen Hilfe der Union für die Interventionen im Rahmen des Strategieplans werden im Rahmen der nationalen Finanzausstattungen vorgenommen.</w:t>
      </w:r>
    </w:p>
    <w:p w:rsidR="00AC5A16" w:rsidRPr="001E3A2D" w:rsidRDefault="00AC5A16" w:rsidP="00825A95">
      <w:pPr>
        <w:spacing w:before="360"/>
        <w:ind w:left="850" w:hanging="850"/>
        <w:rPr>
          <w:rFonts w:eastAsia="Times New Roman"/>
          <w:noProof/>
          <w:szCs w:val="24"/>
        </w:rPr>
      </w:pPr>
      <w:r w:rsidRPr="001E3A2D">
        <w:rPr>
          <w:b/>
          <w:smallCaps/>
          <w:noProof/>
        </w:rPr>
        <w:t>5</w:t>
      </w:r>
      <w:r w:rsidRPr="001E3A2D">
        <w:rPr>
          <w:noProof/>
        </w:rPr>
        <w:tab/>
      </w:r>
      <w:r w:rsidRPr="001E3A2D">
        <w:rPr>
          <w:b/>
          <w:smallCaps/>
          <w:noProof/>
        </w:rPr>
        <w:t>WEITERE ANGABEN</w:t>
      </w:r>
    </w:p>
    <w:p w:rsidR="00AC5A16" w:rsidRPr="001E3A2D" w:rsidRDefault="00AC5A16" w:rsidP="00825A95">
      <w:pPr>
        <w:ind w:left="850" w:hanging="850"/>
        <w:rPr>
          <w:rFonts w:eastAsia="Times New Roman"/>
          <w:noProof/>
          <w:szCs w:val="24"/>
        </w:rPr>
      </w:pPr>
      <w:r w:rsidRPr="001E3A2D">
        <w:rPr>
          <w:b/>
          <w:noProof/>
        </w:rPr>
        <w:t>•</w:t>
      </w:r>
      <w:r w:rsidRPr="001E3A2D">
        <w:rPr>
          <w:noProof/>
        </w:rPr>
        <w:tab/>
      </w:r>
      <w:r w:rsidRPr="001E3A2D">
        <w:rPr>
          <w:b/>
          <w:noProof/>
        </w:rPr>
        <w:t>Durchführungspläne sowie Monitoring-, Bewertungs- und Berichterstattungsmodalitäten</w:t>
      </w:r>
    </w:p>
    <w:p w:rsidR="00AC5A16" w:rsidRPr="001E3A2D" w:rsidRDefault="1D13C27F" w:rsidP="00334211">
      <w:pPr>
        <w:rPr>
          <w:noProof/>
        </w:rPr>
      </w:pPr>
      <w:r w:rsidRPr="001E3A2D">
        <w:rPr>
          <w:noProof/>
        </w:rPr>
        <w:t>Angesichts der Krise, mit der der Weinsektor der Union derzeit konfrontiert ist, sollte die Maßnahme so bald wie möglich in Kraft treten. Die neuen Etikettierungsvorschriften sollten jedoch erst später in Kraft treten, um den Erzeugern Zeit zu geben, sich an diese anzupassen, sowie um den Verkauf von nach den bisherigen Vorschriften etikettierten Erzeugnissen zu ermöglichen, bis die Bestände erschöpft sind.</w:t>
      </w:r>
    </w:p>
    <w:p w:rsidR="00AC5A16" w:rsidRPr="001E3A2D" w:rsidRDefault="1D13C27F" w:rsidP="00334211">
      <w:pPr>
        <w:rPr>
          <w:noProof/>
        </w:rPr>
      </w:pPr>
      <w:r w:rsidRPr="001E3A2D">
        <w:rPr>
          <w:noProof/>
        </w:rPr>
        <w:t>Die Beobachtungsstelle für den Weinmarkt überwacht kontinuierlich das Angebot und die Nachfrage für verschiedene Weinarten auf dem Unionsmarkt und wird einen Einblick in die Entwicklungen im Marktsegment der Weine mit niedrigem Alkoholgehalt geben, deren Entwicklung mit der vorgeschlagenen Verordnung unterstützt werden soll. Die Auswirkungen der Änderungen des Genehmigungssystems für Rebpflanzungen werden im Rahmen der obligatorischen jährlichen Mitteilungen der Mitgliedstaaten zur Durchführung des Programms überwacht.</w:t>
      </w:r>
    </w:p>
    <w:p w:rsidR="00AC5A16" w:rsidRPr="001E3A2D" w:rsidRDefault="00AC5A16" w:rsidP="006D2E0F">
      <w:pPr>
        <w:ind w:left="850" w:hanging="850"/>
        <w:rPr>
          <w:rFonts w:eastAsia="Times New Roman"/>
          <w:noProof/>
          <w:szCs w:val="24"/>
        </w:rPr>
      </w:pPr>
      <w:r w:rsidRPr="001E3A2D">
        <w:rPr>
          <w:b/>
          <w:noProof/>
        </w:rPr>
        <w:t>•</w:t>
      </w:r>
      <w:r w:rsidRPr="001E3A2D">
        <w:rPr>
          <w:noProof/>
        </w:rPr>
        <w:tab/>
      </w:r>
      <w:r w:rsidRPr="001E3A2D">
        <w:rPr>
          <w:b/>
          <w:noProof/>
        </w:rPr>
        <w:t>Erläuternde Dokumente (bei Richtlinien)</w:t>
      </w:r>
    </w:p>
    <w:p w:rsidR="00AC5A16" w:rsidRPr="001E3A2D" w:rsidRDefault="006B6688" w:rsidP="00334211">
      <w:pPr>
        <w:rPr>
          <w:noProof/>
        </w:rPr>
      </w:pPr>
      <w:r w:rsidRPr="001E3A2D">
        <w:rPr>
          <w:noProof/>
        </w:rPr>
        <w:t>Entfällt.</w:t>
      </w:r>
    </w:p>
    <w:p w:rsidR="00AC5A16" w:rsidRPr="001E3A2D" w:rsidRDefault="00AC5A16" w:rsidP="006D2E0F">
      <w:pPr>
        <w:ind w:left="850" w:hanging="850"/>
        <w:rPr>
          <w:rFonts w:eastAsia="Times New Roman"/>
          <w:noProof/>
          <w:szCs w:val="24"/>
        </w:rPr>
      </w:pPr>
      <w:r w:rsidRPr="001E3A2D">
        <w:rPr>
          <w:b/>
          <w:noProof/>
        </w:rPr>
        <w:t>•</w:t>
      </w:r>
      <w:r w:rsidRPr="001E3A2D">
        <w:rPr>
          <w:noProof/>
        </w:rPr>
        <w:tab/>
      </w:r>
      <w:r w:rsidRPr="001E3A2D">
        <w:rPr>
          <w:b/>
          <w:noProof/>
        </w:rPr>
        <w:t>Ausführliche Erläuterung einzelner Bestimmungen des Vorschlags</w:t>
      </w:r>
    </w:p>
    <w:p w:rsidR="00B00DAC" w:rsidRPr="001E3A2D" w:rsidRDefault="1D13C27F" w:rsidP="00334211">
      <w:pPr>
        <w:rPr>
          <w:noProof/>
        </w:rPr>
      </w:pPr>
      <w:r w:rsidRPr="001E3A2D">
        <w:rPr>
          <w:noProof/>
        </w:rPr>
        <w:t>Wird eine Rebfläche gerodet, kann der Winzer eine Genehmigung für Wiederbepflanzungen beantragen, die drei Jahre lang gültig ist (sechs Jahre, wenn die Wiederbepflanzung auf derselben Parzelle erfolgt). Die Hochrangige Gruppe empfahl eine längere Gültigkeitsdauer von acht Jahren für alle Genehmigungen für Wiederbepflanzungen, um den Winzern in dieser unsicheren Situation mehr Zeit zur Prüfung der Möglichkeit zu geben, ob sie besser an die Marktnachfrage oder die sich ändernden klimatischen Bedingungen angepasste Sorten pflanzen oder neue Rebflächenbewirtschaftungstechniken nutzen können.</w:t>
      </w:r>
    </w:p>
    <w:p w:rsidR="00AC5A16" w:rsidRPr="001E3A2D" w:rsidRDefault="1D13C27F" w:rsidP="001007DE">
      <w:pPr>
        <w:rPr>
          <w:noProof/>
        </w:rPr>
      </w:pPr>
      <w:r w:rsidRPr="001E3A2D">
        <w:rPr>
          <w:noProof/>
        </w:rPr>
        <w:t>Um den Druck auf die Winzer zu verringern, sollten darüber hinaus die Verwaltungssanktionen abgeschafft werden, die verhängt werden, wenn eine Genehmigung für Wiederbepflanzungen während ihrer Gültigkeitsdauer nicht in Anspruch genommen wird. Die Hochrangige Gruppe stimmte hingegen zu, die Verwaltungssanktionen beizubehalten, wenn Neuanpflanzungsgenehmigungen nicht in Anspruch genommen werden, um spekulative Anträge von Erzeugern, die nicht die Absicht haben, tatsächlich eine Rebfläche anzupflanzen, zu verhindern. Angesichts des derzeitigen Rückgangs der Nachfrage nach Wein sollte es Winzern, die Inhaber noch gültiger, nicht in Anspruch genommener Neuanpflanzungsgenehmigungen sind, die ihnen vor dem 1. Januar 2025 erteilt wurden, jedoch gestattet werden, bis zu einem bestimmten Zeitpunkt auf diese Genehmigungen zu verzichten, ohne dass dies eine Verwaltungssanktion zur Folge hätte, um den Anreiz zu beseitigen, Rebflächen anzupflanzen, obwohl möglicherweise keine Nachfrage nach dem dort erzeugten Wein besteht.</w:t>
      </w:r>
    </w:p>
    <w:p w:rsidR="00AC5A16" w:rsidRPr="001E3A2D" w:rsidRDefault="1D13C27F" w:rsidP="001007DE">
      <w:pPr>
        <w:rPr>
          <w:noProof/>
        </w:rPr>
      </w:pPr>
      <w:r w:rsidRPr="001E3A2D">
        <w:rPr>
          <w:noProof/>
        </w:rPr>
        <w:t>Die Mitgliedstaaten haben bereits die Möglichkeit zur Festlegung regionaler Obergrenzen für die Ausstellung von Neuanpflanzungsgenehmigungen für bestimmte, für die Erzeugung von Wein mit einer geschützten Ursprungsbezeichnung in Betracht kommende Gebiete, für die Erzeugung von Wein mit einer geschützten geografischen Angabe in Betracht kommende Gebiete oder für Gebiete ohne geografische Angabe. Sie sollten auch die Möglichkeit erhalten, die Erteilung von Neuanpflanzungsgenehmigungen auf regionaler Ebene für bestimmte Gebiete mit Überangebot einzuschränken, in denen nationale oder EU-Maßnahmen zur Verringerung des Angebots, wie Destillation, grüne Weinlese oder Rodung von Rebflächen, durchgeführt werden oder wurden, um eine weitere Steigerung des Erzeugungspotenzials von Regionen, in denen das Angebot bereits die Nachfrage übersteigt, zu vermeiden.</w:t>
      </w:r>
    </w:p>
    <w:p w:rsidR="00AC5A16" w:rsidRPr="001E3A2D" w:rsidRDefault="1D13C27F" w:rsidP="001007DE">
      <w:pPr>
        <w:rPr>
          <w:noProof/>
        </w:rPr>
      </w:pPr>
      <w:r w:rsidRPr="001E3A2D">
        <w:rPr>
          <w:noProof/>
        </w:rPr>
        <w:t>Beschließt ein Mitgliedstaat jedoch, regionale Obergrenzen für bestimmte Gebiete festzulegen, um einen übermäßigen Anstieg des Erzeugungspotenzials zu vermeiden, sollte der Mitgliedstaat auch die Möglichkeit haben, zu verlangen, dass die für die von der Begrenzung betroffene Fläche erteilten Genehmigungen auch in diesem Gebiet genutzt werden, da andernfalls die Gefahr besteht, dass neue Wirtschaftsteilnehmer vollständig ausgeschlossen werden, wodurch neue Marktteilnehmer und Junglandwirte abgeschreckt würden.</w:t>
      </w:r>
    </w:p>
    <w:p w:rsidR="00AC5A16" w:rsidRPr="001E3A2D" w:rsidRDefault="1D13C27F" w:rsidP="002613BA">
      <w:pPr>
        <w:rPr>
          <w:noProof/>
        </w:rPr>
      </w:pPr>
      <w:r w:rsidRPr="001E3A2D">
        <w:rPr>
          <w:noProof/>
        </w:rPr>
        <w:t>Auch wenn die Wiederbepflanzung einer gerodeten Rebfläche die Weinanbaufläche insgesamt nicht vergrößert, sollte den Mitgliedstaaten die Möglichkeit eingeräumt werden, Vorschriften für die Wiederbepflanzung festzulegen, um die territoriale Verteilung der Rebflächen besser zu steuern. Die Genehmigungen für Wiederbepflanzungen können in demselben Betrieb in Anspruch genommen werden, der die Rodung vorgenommen hat. Da Betriebe Rebflächen in verschiedenen Regionen haben können, sollte den Mitgliedstaaten die Möglichkeit gegeben werden, die Verlagerung von Rebflächen zwischen Regionen zu vermeiden, wenn die Erhaltung des Weinbaus in der ursprünglichen geografischen Region aus sozioökonomischen oder ökologischen Gründen wichtig ist, z. B. um Rebflächen in Terrassen- und Steillagen zu erhalten oder um Landschaften zu erhalten und Bodenerosion zu verhindern. Die Mitgliedstaaten sollten auch die Möglichkeit erhalten, besondere Bedingungen für Genehmigungen für Wiederbepflanzungen festzulegen, um die Verwendung von Sorten und Erzeugungsverfahren zu fördern, die die Durchschnittserträge nicht erhöhen.</w:t>
      </w:r>
    </w:p>
    <w:p w:rsidR="1D13C27F" w:rsidRPr="001E3A2D" w:rsidRDefault="0E47A1F4" w:rsidP="002613BA">
      <w:pPr>
        <w:rPr>
          <w:noProof/>
        </w:rPr>
      </w:pPr>
      <w:r w:rsidRPr="001E3A2D">
        <w:rPr>
          <w:noProof/>
        </w:rPr>
        <w:t xml:space="preserve"> Angesichts des rückläufigen Konsums ist die Überwachung des Gesamterzeugungspotenzials für das künftige Marktgleichgewicht sehr wichtig. Die Anwendung der Genehmigungsregelung für Pflanzungen soll diesem Ziel dienen und sollte ab einer bestimmten Größe der Weinanbaufläche in allen weinerzeugenden Mitgliedstaaten gelten.</w:t>
      </w:r>
    </w:p>
    <w:p w:rsidR="00AC5A16" w:rsidRPr="001E3A2D" w:rsidRDefault="54B1DBFC" w:rsidP="001007DE">
      <w:pPr>
        <w:rPr>
          <w:noProof/>
        </w:rPr>
      </w:pPr>
      <w:r w:rsidRPr="001E3A2D">
        <w:rPr>
          <w:noProof/>
        </w:rPr>
        <w:t xml:space="preserve">In den letzten Jahren ist die Nachfrage der Verbraucher nach Weinbauerzeugnissen mit einem niedrigeren Alkoholgehalt immer größer geworden. Die Verbraucher sind im Zusammenhang mit solchen Erzeugnissen mit Begriffen wie „ohne Alkohol“, „alkoholfrei“ und „mit niedrigerem Alkoholgehalt“ vertraut, die jedoch in den einzelnen Mitgliedstaaten unterschiedlich geregelt sind. Tatsächlich können gemäß Artikel 4 Absatz 4 der Verordnung (EG) Nr. 1924/2006 über nährwert- und gesundheitsbezogene Angaben über Lebensmittel in Ermangelung spezifischer Unionsbestimmungen über nährwertbezogene Angaben zu geringem Alkoholgehalt oder dem reduzierten bzw. nicht vorhandenen Alkoholgehalt oder Brennwert von Getränken, die normalerweise Alkohol enthalten, die einschlägigen einzelstaatlichen Regelungen angewandt werden. Daher ist es notwendig, die Verwendung dieser Begriffe zu harmonisieren und den Alkoholgehalt, den sie bezeichnen, für die gesamte EU festzulegen. Dies sollte sich auch in den Vorschriften für die Etikettierung von Weinerzeugnissen widerspiegeln, um die Verbraucher besser über die Merkmale und Erzeugungsverfahren von Weinbauerzeugnissen mit einem niedrigeren Alkoholgehalt zu informieren, damit der Weinsektor der Union von dieser Entwicklung der Verbrauchernachfrage profitieren kann und gleichzeitig hohe Qualitätsstandards aufrechterhalten werden. </w:t>
      </w:r>
    </w:p>
    <w:p w:rsidR="00AC5A16" w:rsidRPr="001E3A2D" w:rsidRDefault="1D13C27F" w:rsidP="001007DE">
      <w:pPr>
        <w:rPr>
          <w:noProof/>
        </w:rPr>
      </w:pPr>
      <w:r w:rsidRPr="001E3A2D">
        <w:rPr>
          <w:noProof/>
        </w:rPr>
        <w:t>Die hohe Nachfrage der Verbraucher nach Schaumweinerzeugnissen mit einem niedrigeren Alkoholgehalt oder ohne Alkohol stellt eine Chance für den Sektor dar, jedoch unterliegt ihre Erzeugung angesichts der derzeitigen Vorschriften für die Entalkoholisierung technologischen Einschränkungen. Nach den derzeit geltenden Vorschriften müssen die Weinerzeugnisse die Merkmale und den minimal vorhandenen Alkoholgehalt der jeweiligen Kategorie erreicht haben, bevor sie der Entalkoholisierung unterzogen werden. Durch die Entalkoholisierung wird das CO</w:t>
      </w:r>
      <w:r w:rsidRPr="001E3A2D">
        <w:rPr>
          <w:noProof/>
          <w:vertAlign w:val="subscript"/>
        </w:rPr>
        <w:t>2</w:t>
      </w:r>
      <w:r w:rsidRPr="001E3A2D">
        <w:rPr>
          <w:noProof/>
        </w:rPr>
        <w:t xml:space="preserve"> aus Schaumweinen entfernt. Daher sollte es gestattet sein, Schaumweine und Weine mit zugesetzter Kohlensäure aus entalkoholisierten oder teilweise entalkoholisierten stillen Weinen durch eine zweite Gärung oder den Zusatz von CO</w:t>
      </w:r>
      <w:r w:rsidRPr="001E3A2D">
        <w:rPr>
          <w:noProof/>
          <w:vertAlign w:val="subscript"/>
        </w:rPr>
        <w:t>2</w:t>
      </w:r>
      <w:r w:rsidRPr="001E3A2D">
        <w:rPr>
          <w:noProof/>
        </w:rPr>
        <w:t xml:space="preserve"> herzustellen, sofern sie so gekennzeichnet sind, dass sie die Verbraucher nicht irreführen. </w:t>
      </w:r>
    </w:p>
    <w:p w:rsidR="00AC5A16" w:rsidRPr="001E3A2D" w:rsidRDefault="1D13C27F" w:rsidP="001007DE">
      <w:pPr>
        <w:rPr>
          <w:noProof/>
        </w:rPr>
      </w:pPr>
      <w:r w:rsidRPr="001E3A2D">
        <w:rPr>
          <w:noProof/>
        </w:rPr>
        <w:t>Die Möglichkeit, das Zutatenverzeichnis und die Nährwertdeklaration auf elektronischem Wege bereitzustellen, hat sich als wirksamer Weg erwiesen, sowohl für Marktteilnehmer zur Information der Verbraucher als auch für die Förderung des Funktionierens des Binnenmarkts und von Weinausfuhren, insbesondere für Kleinerzeuger. Das Fehlen harmonisierter Vorschriften für den Verweis auf das elektronische Etikett auf dem physischen Etikett und die sich daraus ergebenden unterschiedlichen Lösungen in den Mitgliedstaaten haben jedoch zu einer Fragmentierung des Binnenmarkts geführt, die die ordnungsgemäße Vermarktung von Weinen in der gesamten Union beeinträchtigt. Der Kommission sollte daher die Befugnis übertragen werden, in Zusammenarbeit mit den Mitgliedstaaten Vorschriften für den Verweis auf das elektronische Etikett zur Bereitstellung von Informationen für Verbraucher auszuarbeiten, insbesondere über ein sprachneutrales System, um die Kosten und den Verwaltungsaufwand für die Marktteilnehmer so gering wie möglich zu halten und ein gemeinsames Vorgehen auf dem gesamten Unionsmarkt sicherzustellen, wobei der Notwendigkeit Rechnung zu tragen ist, den Verbrauchern Informationen zugänglich zu machen. Mit diesem Verordnungsentwurf wird der Kommission auch die Befugnis übertragen, die Vorschriften für die elektronische Etikettierung an neue Erfordernisse anzupassen, die sich aus der rasch und ständig fortschreitenden Digitalisierung und der wachsenden Menge an Informationen ergeben, die den Verbrauchern zugänglich gemacht werden sollten.</w:t>
      </w:r>
    </w:p>
    <w:p w:rsidR="1D13C27F" w:rsidRPr="001E3A2D" w:rsidRDefault="460B9DD3" w:rsidP="000439A8">
      <w:pPr>
        <w:rPr>
          <w:noProof/>
        </w:rPr>
      </w:pPr>
      <w:r w:rsidRPr="001E3A2D">
        <w:rPr>
          <w:noProof/>
        </w:rPr>
        <w:t xml:space="preserve">Die Mitgliedstaaten können Vermarktungsvorschriften zur Regulierung des Angebots im Weinsektor erlassen, um das Funktionieren des gemeinsamen Weinmarktes zu verbessern und zu stabilisieren. Vor dem Hintergrund eines strukturellen Rückgangs des Konsums und eines anhaltenden Überangebots in bestimmten Regionen und Marktsegmenten sollte klargestellt werden, dass solche Vorschriften die Festsetzung von Höchsterträgen und die Bewirtschaftung der Weinbestände umfassen können. Darüber hinaus können Erzeugerorganisationen eine wichtige Rolle bei der Stärkung der Position der Winzer in der Lebensmittelversorgungskette und bei der Anpassung des Angebots an die Marktentwicklung spielen. </w:t>
      </w:r>
      <w:bookmarkStart w:id="1" w:name="_Hlk191570736"/>
      <w:r w:rsidRPr="001E3A2D">
        <w:rPr>
          <w:noProof/>
        </w:rPr>
        <w:t xml:space="preserve">Daher sollten die Mitgliedstaaten auch Vermarktungsvorschriften im Weinsektor erlassen können, die den Vorschlägen von anerkannten Erzeugerorganisationen oder anerkannten Branchenverbänden Rechnung tragen, wenn diese als repräsentativ für den Weinsektor in dem betreffenden Wirtschaftsgebiet gelten. </w:t>
      </w:r>
    </w:p>
    <w:bookmarkEnd w:id="1"/>
    <w:p w:rsidR="00AC5A16" w:rsidRPr="001E3A2D" w:rsidRDefault="1D13C27F" w:rsidP="001007DE">
      <w:pPr>
        <w:rPr>
          <w:noProof/>
        </w:rPr>
      </w:pPr>
      <w:r w:rsidRPr="001E3A2D">
        <w:rPr>
          <w:noProof/>
        </w:rPr>
        <w:t>Im Falle von Marktungleichgewichten haben die Mitgliedstaaten derzeit die Befugnis, nationale Zahlungen an Weinerzeuger für die freiwillige oder obligatorische Destillation von Wein zu leisten. Mit diesem Vorschlag sollen nationale Zahlungen für die freiwillige grüne Weinlese und die freiwillige Rodung produktiver Rebflächen als zusätzliche Instrumente der Angebotssteuerung zugelassen werden, da der überschüssige Wein so noch vor seiner Erzeugung kosteneffizient vom Markt genommen werden kann. Um Wettbewerbsverzerrungen zu vermeiden, werden Obergrenzen für den Gesamtbetrag der nationalen Zahlungen festgesetzt, die in einem Mitgliedstaat in einem bestimmten Jahr für die Destillation und die grüne Weinlese genehmigt werden dürfen. Für Rodung wird angesichts des strukturellen Charakters der Maßnahme und ihrer höheren Kosten die Obergrenze für nationale Zahlungen von Fall zu Fall auf der Grundlage der spezifischen Marktgegebenheiten des Mitgliedstaats und der Weinregionen, in denen sie durchgeführt werden soll, festgelegt.</w:t>
      </w:r>
    </w:p>
    <w:p w:rsidR="00AC5A16" w:rsidRPr="001E3A2D" w:rsidRDefault="1D13C27F" w:rsidP="001007DE">
      <w:pPr>
        <w:rPr>
          <w:noProof/>
        </w:rPr>
      </w:pPr>
      <w:r w:rsidRPr="001E3A2D">
        <w:rPr>
          <w:noProof/>
        </w:rPr>
        <w:t>Aromatisierte Weinerzeugnisse stellen einen weiteren wichtigen Absatzmarkt für Weinbauerzeugnisse dar. Für Getränke, die nicht den Mindestalkoholgehalt für die jeweilige Erzeugniskategorie erreichen, ist es nach den derzeitigen Rechtsvorschriften jedoch nicht erlaubt, die für aromatisierte Weinerzeugnisse vorbehaltenen Verkehrsbezeichnungen zu verwenden. Angesichts der steigenden Nachfrage der Verbraucher nach innovativen alkoholischen Getränken mit einem niedrigeren vorhandenen Alkoholgehalt sollte es zulässig sein, aromatisierte Weinerzeugnisse aus entalkoholisierten oder teilweise entalkoholisierten Weinen herzustellen. Um sicherzustellen, dass die Verbraucher über die Beschaffenheit aromatisierter Weinerzeugnisse mit einem niedrigeren Alkoholgehalt korrekt informiert werden, sollten Vorschriften für die Etikettierung entalkoholisierter oder teilweise entalkoholisierter Weine festgelegt werden, damit für diese aromatisierten Weinerzeugnisse bei ihrer Aufmachung und Etikettierung dieselben beschreibenden Merkmale verwendet werden können wie für Weinbauerzeugnisse mit dem vorgeschriebenen Alkoholgehalt. Um die Informationen für die Verbraucher klarer zu gestalten, sollten die Bestimmungen über die Angabe der Nährwertdeklaration und des Verzeichnisses der Zutaten aromatisierter Weinerzeugnisse auf elektronischem Wege an die Bestimmungen für Weinbauerzeugnisse angeglichen werden.</w:t>
      </w:r>
    </w:p>
    <w:p w:rsidR="00AC5A16" w:rsidRPr="001E3A2D" w:rsidRDefault="1D13C27F" w:rsidP="001007DE">
      <w:pPr>
        <w:rPr>
          <w:noProof/>
        </w:rPr>
      </w:pPr>
      <w:r w:rsidRPr="001E3A2D">
        <w:rPr>
          <w:noProof/>
        </w:rPr>
        <w:t>Um der neu entstandenen Nachfrage der Verbraucher und dem Bedarf an Produktinnovationen gerecht zu werden, werden die Anforderungen für die Erzeugniskategorie „Glühwein“ geändert, um die Verwendung von Roséwein zu erlauben. Gleichzeitig wird die Verwendung des Begriffs „Rosé“ in der Etikettierung eines Glühweins, der durch die Mischung von Rot- und Weißwein oder von Rot- oder Weißwein mit Roséwein hergestellt wird, verboten. Es wird eine Ausnahmeregelung für die Etikettierung eingeführt, damit Getränke, die unter denselben Anforderungen hergestellt werden, wie sie für Glühwein gelten, aber als Hauptzutat Fruchtwein anstelle von Weinbauerzeugnissen verwenden, die Verkehrsbezeichnung „Glühwein“ in ihrer Aufmachung und Etikettierung verwenden dürfen, um der Nachfrage der Verbraucher nach solchen Erzeugnissen gerecht zu werden.</w:t>
      </w:r>
    </w:p>
    <w:p w:rsidR="00AC5A16" w:rsidRPr="001E3A2D" w:rsidRDefault="1D13C27F" w:rsidP="00334211">
      <w:pPr>
        <w:rPr>
          <w:noProof/>
        </w:rPr>
      </w:pPr>
      <w:r w:rsidRPr="001E3A2D">
        <w:rPr>
          <w:noProof/>
        </w:rPr>
        <w:t>Im Rahmen der GAP-Strategiepläne können die Umstrukturierung und Umstellung von Rebflächen unterstützt werden. Um der Notwendigkeit für die Mitgliedstaaten, eine effiziente Umstrukturierung der Rebflächen zu gewährleisten, und der Notwendigkeit, eine Erzeugungssteigerung zu vermeiden, die zu einem Überangebot führen kann, gleichermaßen Rechnung zu tragen, wird es den Mitgliedstaaten gestattet, Bedingungen für die Durchführung der Art der Umstrukturierungs- und Umstellungsmaßnahmen festzulegen, um eine Ertragssteigerung und damit eine Steigerung der Erzeugung auf Rebflächen, die unter diese Interventionskategorie fallen, zu vermeiden.</w:t>
      </w:r>
    </w:p>
    <w:p w:rsidR="00AC5A16" w:rsidRPr="001E3A2D" w:rsidRDefault="1D13C27F" w:rsidP="00334211">
      <w:pPr>
        <w:rPr>
          <w:noProof/>
        </w:rPr>
      </w:pPr>
      <w:r w:rsidRPr="001E3A2D">
        <w:rPr>
          <w:noProof/>
        </w:rPr>
        <w:t>Um den Weintourismus in Weinregionen mit geschützten Ursprungsbezeichnungen und geschützten geografischen Angaben weiterzuentwickeln, können Erzeugergruppierungen, die geschützte Ursprungsbezeichnungen und geschützte geografische Angaben verwalten, nun Begünstig</w:t>
      </w:r>
      <w:r w:rsidR="001E3A2D">
        <w:rPr>
          <w:noProof/>
        </w:rPr>
        <w:t>t</w:t>
      </w:r>
      <w:r w:rsidRPr="001E3A2D">
        <w:rPr>
          <w:noProof/>
        </w:rPr>
        <w:t>e der Interventionskategorie zur Förderung des Weintourismus in den Anbauregionen werden.</w:t>
      </w:r>
    </w:p>
    <w:p w:rsidR="00AC5A16" w:rsidRPr="001E3A2D" w:rsidRDefault="1D13C27F" w:rsidP="001007DE">
      <w:pPr>
        <w:rPr>
          <w:noProof/>
        </w:rPr>
      </w:pPr>
      <w:r w:rsidRPr="001E3A2D">
        <w:rPr>
          <w:noProof/>
        </w:rPr>
        <w:t>Interessenträger und Mitgliedstaaten haben wiederholt erklärt, dass die derzeitige Höchstdauer von drei Jahren für die Förderung von Absatzförderungs- und Kommunikationsmaßnahmen in Drittländern zur Konsolidierung von Absatzmöglichkeiten zu kurz ist, um dieses Ziel zu erreichen. Die Höchstdauer wird daher von drei auf fünf Jahre verlängert.</w:t>
      </w:r>
    </w:p>
    <w:p w:rsidR="00AC5A16" w:rsidRPr="001E3A2D" w:rsidRDefault="1D13C27F" w:rsidP="001007DE">
      <w:pPr>
        <w:rPr>
          <w:noProof/>
        </w:rPr>
      </w:pPr>
      <w:r w:rsidRPr="001E3A2D">
        <w:rPr>
          <w:noProof/>
        </w:rPr>
        <w:t>Um einen zusätzlichen Anreiz für die Zusammenarbeit im Weinsektor zu schaffen, wird für bestimmte Investitionen anerkannter Erzeugerorganisationen derselbe Höchstsatz der finanziellen Hilfe der Union gelten wie für Kleinstunternehmen sowie kleine und mittlere Unternehmen.</w:t>
      </w:r>
    </w:p>
    <w:p w:rsidR="00AC5A16" w:rsidRPr="001E3A2D" w:rsidRDefault="1D13C27F" w:rsidP="000439A8">
      <w:pPr>
        <w:rPr>
          <w:noProof/>
        </w:rPr>
      </w:pPr>
      <w:r w:rsidRPr="001E3A2D">
        <w:rPr>
          <w:noProof/>
        </w:rPr>
        <w:t>Zur weiteren Unterstützung der Erzeuger beim Klimaschutz und bei der Anpassung an den Klimawandel wird den Mitgliedstaaten die Möglichkeit eingeräumt, den Höchstbetrag der finanziellen Hilfe der Union, die für Investitionen zur Verwirklichung dieser Ziele gewährt werden kann, auf bis zu 80 % der förderfähigen Investitionskosten zu erhöhen.</w:t>
      </w:r>
    </w:p>
    <w:p w:rsidR="00AC5A16" w:rsidRPr="001E3A2D" w:rsidRDefault="00214307" w:rsidP="00334211">
      <w:pPr>
        <w:rPr>
          <w:noProof/>
        </w:rPr>
      </w:pPr>
      <w:r w:rsidRPr="001E3A2D">
        <w:rPr>
          <w:noProof/>
        </w:rPr>
        <w:t>Um klarzustellen, unter welchen Bedingungen eine finanzielle Hilfe der Union für Investitionen in Innovation infrage kommt, wird ausdrücklich darauf hingewiesen, dass Unternehmen in Schwierigkeiten im Sinne der Mitteilung der Kommission mit dem Titel „Leitlinien für staatliche Beihilfen zur Rettung und Umstrukturierung nichtfinanzieller Unternehmen in Schwierigkeiten“ keine solche finanzielle Hilfe der Union gewährt werden darf.</w:t>
      </w:r>
    </w:p>
    <w:p w:rsidR="00AC5A16" w:rsidRPr="001E3A2D" w:rsidRDefault="00AC5A16">
      <w:pPr>
        <w:rPr>
          <w:noProof/>
        </w:rPr>
        <w:sectPr w:rsidR="00AC5A16" w:rsidRPr="001E3A2D" w:rsidSect="00D363CA">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F01D4B" w:rsidRDefault="00D6311E">
      <w:pPr>
        <w:pStyle w:val="Rfrenceinterinstitutionnelle"/>
        <w:rPr>
          <w:noProof/>
        </w:rPr>
      </w:pPr>
      <w:r>
        <w:rPr>
          <w:noProof/>
        </w:rPr>
        <w:t>2025/0071 (COD)</w:t>
      </w:r>
    </w:p>
    <w:p w:rsidR="00AC5A16" w:rsidRPr="001E3A2D" w:rsidRDefault="001E3A2D" w:rsidP="001E3A2D">
      <w:pPr>
        <w:pStyle w:val="Statut"/>
        <w:rPr>
          <w:noProof/>
        </w:rPr>
      </w:pPr>
      <w:r w:rsidRPr="001E3A2D">
        <w:rPr>
          <w:noProof/>
        </w:rPr>
        <w:t>Vorschlag für eine</w:t>
      </w:r>
    </w:p>
    <w:p w:rsidR="00AC5A16" w:rsidRPr="001E3A2D" w:rsidRDefault="001E3A2D" w:rsidP="001E3A2D">
      <w:pPr>
        <w:pStyle w:val="Typedudocument"/>
        <w:rPr>
          <w:noProof/>
        </w:rPr>
      </w:pPr>
      <w:r w:rsidRPr="001E3A2D">
        <w:rPr>
          <w:noProof/>
        </w:rPr>
        <w:t>VERORDNUNG DES EUROPÄISCHEN PARLAMENTS UND DES RATES</w:t>
      </w:r>
    </w:p>
    <w:p w:rsidR="00AC5A16" w:rsidRPr="001E3A2D" w:rsidRDefault="001E3A2D" w:rsidP="001E3A2D">
      <w:pPr>
        <w:pStyle w:val="Titreobjet"/>
        <w:rPr>
          <w:noProof/>
        </w:rPr>
      </w:pPr>
      <w:r w:rsidRPr="001E3A2D">
        <w:rPr>
          <w:noProof/>
        </w:rPr>
        <w:t>zur Änderung der Verordnungen (EU) Nr. 1308/2013, (EU) 2021/2115 und (EU) Nr. 251/2014 in Bezug auf bestimmte Marktvorschriften und sektorbezogene Unterstützungsmaßnahmen im Weinsektor und für aromatisierte Weinerzeugnisse</w:t>
      </w:r>
    </w:p>
    <w:p w:rsidR="00AC5A16" w:rsidRPr="001E3A2D" w:rsidRDefault="00AC5A16" w:rsidP="00395E78">
      <w:pPr>
        <w:pStyle w:val="Institutionquiagit"/>
        <w:rPr>
          <w:noProof/>
        </w:rPr>
      </w:pPr>
      <w:r w:rsidRPr="001E3A2D">
        <w:rPr>
          <w:noProof/>
        </w:rPr>
        <w:t>DAS EUROPÄISCHE PARLAMENT UND DER RAT DER EUROPÄISCHEN UNION —</w:t>
      </w:r>
    </w:p>
    <w:p w:rsidR="63F65B23" w:rsidRPr="001E3A2D" w:rsidRDefault="00AC5A16" w:rsidP="3F63F129">
      <w:pPr>
        <w:spacing w:before="0" w:after="240"/>
        <w:rPr>
          <w:noProof/>
        </w:rPr>
      </w:pPr>
      <w:r w:rsidRPr="001E3A2D">
        <w:rPr>
          <w:noProof/>
        </w:rPr>
        <w:t>gestützt auf den Vertrag über die Arbeitsweise der Europäischen Union, insbesondere auf Artikel 42 Unterabsatz 1 und Artikel 43 Absatz 2,</w:t>
      </w:r>
    </w:p>
    <w:p w:rsidR="00AC5A16" w:rsidRPr="001E3A2D" w:rsidRDefault="00AC5A16">
      <w:pPr>
        <w:rPr>
          <w:noProof/>
        </w:rPr>
      </w:pPr>
      <w:r w:rsidRPr="001E3A2D">
        <w:rPr>
          <w:noProof/>
        </w:rPr>
        <w:t>auf Vorschlag der Europäischen Kommission,</w:t>
      </w:r>
    </w:p>
    <w:p w:rsidR="00AC5A16" w:rsidRPr="001E3A2D" w:rsidRDefault="00AC5A16">
      <w:pPr>
        <w:rPr>
          <w:noProof/>
        </w:rPr>
      </w:pPr>
      <w:r w:rsidRPr="001E3A2D">
        <w:rPr>
          <w:noProof/>
        </w:rPr>
        <w:t>nach Zuleitung des Entwurfs des Gesetzgebungsakts an die nationalen Parlamente,</w:t>
      </w:r>
    </w:p>
    <w:p w:rsidR="00AC5A16" w:rsidRPr="001E3A2D" w:rsidRDefault="00AC5A16">
      <w:pPr>
        <w:rPr>
          <w:noProof/>
        </w:rPr>
      </w:pPr>
      <w:r w:rsidRPr="001E3A2D">
        <w:rPr>
          <w:noProof/>
        </w:rPr>
        <w:t>nach Stellungnahme des Europäischen Wirtschafts- und Sozialausschusses</w:t>
      </w:r>
      <w:r w:rsidRPr="001E3A2D">
        <w:rPr>
          <w:rStyle w:val="FootnoteReference"/>
          <w:noProof/>
        </w:rPr>
        <w:footnoteReference w:id="4"/>
      </w:r>
      <w:r w:rsidRPr="001E3A2D">
        <w:rPr>
          <w:noProof/>
        </w:rPr>
        <w:t xml:space="preserve">, </w:t>
      </w:r>
    </w:p>
    <w:p w:rsidR="00AC5A16" w:rsidRPr="001E3A2D" w:rsidRDefault="00AC5A16">
      <w:pPr>
        <w:rPr>
          <w:noProof/>
        </w:rPr>
      </w:pPr>
      <w:r w:rsidRPr="001E3A2D">
        <w:rPr>
          <w:noProof/>
        </w:rPr>
        <w:t>nach Stellungnahme des Ausschusses der Regionen</w:t>
      </w:r>
      <w:r w:rsidRPr="001E3A2D">
        <w:rPr>
          <w:rStyle w:val="FootnoteReference"/>
          <w:noProof/>
        </w:rPr>
        <w:footnoteReference w:id="5"/>
      </w:r>
      <w:r w:rsidRPr="001E3A2D">
        <w:rPr>
          <w:noProof/>
        </w:rPr>
        <w:t xml:space="preserve">, </w:t>
      </w:r>
    </w:p>
    <w:p w:rsidR="00AC5A16" w:rsidRPr="001E3A2D" w:rsidRDefault="00AC5A16">
      <w:pPr>
        <w:rPr>
          <w:noProof/>
        </w:rPr>
      </w:pPr>
      <w:r w:rsidRPr="001E3A2D">
        <w:rPr>
          <w:noProof/>
        </w:rPr>
        <w:t>gemäß dem ordentlichen Gesetzgebungsverfahren,</w:t>
      </w:r>
    </w:p>
    <w:p w:rsidR="00AC5A16" w:rsidRPr="001E3A2D" w:rsidRDefault="00AC5A16">
      <w:pPr>
        <w:rPr>
          <w:noProof/>
        </w:rPr>
      </w:pPr>
      <w:r w:rsidRPr="001E3A2D">
        <w:rPr>
          <w:noProof/>
        </w:rPr>
        <w:t>in Erwägung nachstehender Gründe:</w:t>
      </w:r>
    </w:p>
    <w:p w:rsidR="00ED2084" w:rsidRPr="001E3A2D" w:rsidRDefault="00CA6BC2" w:rsidP="00CA6BC2">
      <w:pPr>
        <w:pStyle w:val="ManualConsidrant"/>
        <w:rPr>
          <w:noProof/>
        </w:rPr>
      </w:pPr>
      <w:r w:rsidRPr="00CA6BC2">
        <w:rPr>
          <w:noProof/>
        </w:rPr>
        <w:t>(1)</w:t>
      </w:r>
      <w:r w:rsidRPr="00CA6BC2">
        <w:rPr>
          <w:noProof/>
        </w:rPr>
        <w:tab/>
      </w:r>
      <w:r w:rsidR="0BF3390B" w:rsidRPr="001E3A2D">
        <w:rPr>
          <w:noProof/>
        </w:rPr>
        <w:t>Während die Union bei der Erzeugung, dem Konsum und dem Exportwert von Wein nach wie vor weltweit führend ist, wirken sich gesellschaftliche und demografische Veränderungen auf Menge, Qualität und Art des getrunkenen Weins aus. Der Weinkonsum in der Union liegt derzeit auf dem niedrigsten Stand der letzten drei Jahrzehnte, und auch die traditionellen Ausfuhrmärkte für Weine aus der Union werden von einer Kombination aus rückläufigen Konsumtrends und geopolitischen Faktoren beeinflusst, was zu unsichereren Ausfuhrmustern führt. Darüber hinaus ist die Erzeugung aufgrund der Anfälligkeit des Weinsektors gegenüber dem Klimawandel zunehmend unvorhersehbar. Mit dem daraus resultierenden Überangebot, das zu einem Preisrückgang führt, verfügen die Winzer über ein geringeres Einkommen für Investitionen in ihre Geschäftstätigkeit und geringe Finanzreserven, auf die sie zurückgreifen können, wenn eines der immer häufigeren und oft lokal auftretenden extremen Wetterereignisse ihre Region trifft.</w:t>
      </w:r>
    </w:p>
    <w:p w:rsidR="00AC5A16" w:rsidRPr="001E3A2D" w:rsidRDefault="00CA6BC2" w:rsidP="00CA6BC2">
      <w:pPr>
        <w:pStyle w:val="ManualConsidrant"/>
        <w:rPr>
          <w:noProof/>
        </w:rPr>
      </w:pPr>
      <w:r w:rsidRPr="00CA6BC2">
        <w:rPr>
          <w:noProof/>
        </w:rPr>
        <w:t>(2)</w:t>
      </w:r>
      <w:r w:rsidRPr="00CA6BC2">
        <w:rPr>
          <w:noProof/>
        </w:rPr>
        <w:tab/>
      </w:r>
      <w:r w:rsidR="770B773E" w:rsidRPr="001E3A2D">
        <w:rPr>
          <w:noProof/>
        </w:rPr>
        <w:t>Die Hochrangige Gruppe „Weinpolitik“ wurde eingesetzt, um diese Herausforderungen zu erörtern und mögliche Chancen für den Weinsektor der Union aufzuzeigen. Die Hochrangige Gruppe befasste sich mit der Frage, wie der Sektor angesichts der derzeitigen strukturellen Herausforderungen durch Steuerung des Erzeugungspotenzials, Steigerung der Wettbewerbsfähigkeit und Erschließung neuer Absatzmärkte besser unterstützt werden kann. Nach vier Sitzungen billigte die Hochrangige Gruppe ein Dokument mit politischen Empfehlungen</w:t>
      </w:r>
      <w:r w:rsidR="770B773E" w:rsidRPr="001E3A2D">
        <w:rPr>
          <w:rStyle w:val="FootnoteReference"/>
          <w:noProof/>
        </w:rPr>
        <w:footnoteReference w:id="6"/>
      </w:r>
      <w:r w:rsidR="770B773E" w:rsidRPr="001E3A2D">
        <w:rPr>
          <w:noProof/>
        </w:rPr>
        <w:t>.</w:t>
      </w:r>
    </w:p>
    <w:p w:rsidR="00AC2E6D" w:rsidRPr="001E3A2D" w:rsidRDefault="00CA6BC2" w:rsidP="00CA6BC2">
      <w:pPr>
        <w:pStyle w:val="ManualConsidrant"/>
        <w:rPr>
          <w:noProof/>
        </w:rPr>
      </w:pPr>
      <w:r w:rsidRPr="00CA6BC2">
        <w:rPr>
          <w:noProof/>
        </w:rPr>
        <w:t>(3)</w:t>
      </w:r>
      <w:r w:rsidRPr="00CA6BC2">
        <w:rPr>
          <w:noProof/>
        </w:rPr>
        <w:tab/>
      </w:r>
      <w:r w:rsidR="03BB7634" w:rsidRPr="001E3A2D">
        <w:rPr>
          <w:noProof/>
        </w:rPr>
        <w:t>Um die Weinerzeuger, die mit den oben genannten Herausforderungen konfrontiert sind, bestmöglich zu unterstützen, sollte den dringendsten Empfehlungen der Hochrangigen Gruppe im Rechtsrahmen für Weine und aromatisierte Weinerzeugnisse Rechnung getragen werden.</w:t>
      </w:r>
    </w:p>
    <w:p w:rsidR="000A4D43" w:rsidRPr="001E3A2D" w:rsidRDefault="00CA6BC2" w:rsidP="00CA6BC2">
      <w:pPr>
        <w:pStyle w:val="ManualConsidrant"/>
        <w:rPr>
          <w:noProof/>
        </w:rPr>
      </w:pPr>
      <w:r w:rsidRPr="00CA6BC2">
        <w:rPr>
          <w:noProof/>
        </w:rPr>
        <w:t>(4)</w:t>
      </w:r>
      <w:r w:rsidRPr="00CA6BC2">
        <w:rPr>
          <w:noProof/>
        </w:rPr>
        <w:tab/>
      </w:r>
      <w:r w:rsidR="5D08685A" w:rsidRPr="001E3A2D">
        <w:rPr>
          <w:noProof/>
        </w:rPr>
        <w:t>Angesichts des derzeitigen Rückgangs der Nachfrage nach Wein sollte es Winzern, die Inhaber noch gültiger, nicht in Anspruch genommener Neuanpflanzungsgenehmigungen sowie von Genehmigungen sind, die aus einer Umwandlung von Anpflanzungsgenehmigungen resultieren, die ihnen vor dem 1. Januar 2025 erteilt wurden, gestattet werden, auf diese Genehmigungen zu verzichten, ohne dass dies eine Verwaltungssanktion zur Folge hätte, um den Anreiz für Inhaber von Anpflanzungsgenehmigungen zu beseitigen, Rebflächen anzupflanzen, obwohl möglicherweise keine Nachfrage nach dem dort erzeugten Wein besteht. Für nach diesem Zeitpunkt erteilte Neuanpflanzungsgenehmigungen sollte die Verwaltungssanktion weiterhin gelten, wenn diese erteilten Genehmigungen nicht in Anspruch genommen werden, um spekulative Anträge von Winzern, die nicht die Absicht haben, tatsächlich eine Rebfläche anzupflanzen, zu verhindern.</w:t>
      </w:r>
    </w:p>
    <w:p w:rsidR="13E5812C" w:rsidRPr="001E3A2D" w:rsidRDefault="00CA6BC2" w:rsidP="00CA6BC2">
      <w:pPr>
        <w:pStyle w:val="ManualConsidrant"/>
        <w:rPr>
          <w:noProof/>
        </w:rPr>
      </w:pPr>
      <w:r w:rsidRPr="00CA6BC2">
        <w:rPr>
          <w:noProof/>
        </w:rPr>
        <w:t>(5)</w:t>
      </w:r>
      <w:r w:rsidRPr="00CA6BC2">
        <w:rPr>
          <w:noProof/>
        </w:rPr>
        <w:tab/>
      </w:r>
      <w:r w:rsidR="65526753" w:rsidRPr="001E3A2D">
        <w:rPr>
          <w:noProof/>
        </w:rPr>
        <w:t>Was die Steuerung des Erzeugungspotenzials betrifft, so sollte eine längere Gültigkeitsdauer von Genehmigungen für Wiederbepflanzungen vorgesehen werden, um den Erzeugern mehr Zeit zur Prüfung der Möglichkeit zu geben, ob sie besser an die Marktnachfrage oder die sich ändernden klimatischen Bedingungen angepasste Sorten pflanzen oder neue Rebflächenbewirtschaftungstechniken nutzen können. Um den Druck auf die Winzer zu verringern, sollten zudem keine Verwaltungssanktionen gegen sie verhängt werden, wenn sie beschließen, eine Genehmigung für Wiederbepflanzungen nicht in Anspruch zu nehmen.</w:t>
      </w:r>
    </w:p>
    <w:p w:rsidR="000A4D43" w:rsidRPr="001E3A2D" w:rsidRDefault="00CA6BC2" w:rsidP="00CA6BC2">
      <w:pPr>
        <w:pStyle w:val="ManualConsidrant"/>
        <w:rPr>
          <w:rFonts w:eastAsia="Times New Roman"/>
          <w:noProof/>
          <w:u w:val="single"/>
        </w:rPr>
      </w:pPr>
      <w:r w:rsidRPr="00CA6BC2">
        <w:rPr>
          <w:noProof/>
        </w:rPr>
        <w:t>(6)</w:t>
      </w:r>
      <w:r w:rsidRPr="00CA6BC2">
        <w:rPr>
          <w:noProof/>
        </w:rPr>
        <w:tab/>
      </w:r>
      <w:r w:rsidR="69494B0E" w:rsidRPr="001E3A2D">
        <w:rPr>
          <w:noProof/>
        </w:rPr>
        <w:t>Die Mitgliedstaaten sollten die Möglichkeit erhalten, die Erteilung von Neuanpflanzungsgenehmigungen auf regionaler Ebene für bestimmte Gebiete mit Überangebot einzuschränken, in denen nationale oder EU-Maßnahmen zur Verringerung des Angebots, wie Destillation, grüne Weinlese oder Rodung von Rebflächen, durchgeführt werden oder wurden, um eine weitere Steigerung des Erzeugungspotenzials zu vermeiden.</w:t>
      </w:r>
    </w:p>
    <w:p w:rsidR="00B4744F" w:rsidRPr="001E3A2D" w:rsidRDefault="00CA6BC2" w:rsidP="00CA6BC2">
      <w:pPr>
        <w:pStyle w:val="ManualConsidrant"/>
        <w:rPr>
          <w:noProof/>
          <w:color w:val="000000" w:themeColor="text1"/>
        </w:rPr>
      </w:pPr>
      <w:r w:rsidRPr="00CA6BC2">
        <w:rPr>
          <w:noProof/>
        </w:rPr>
        <w:t>(7)</w:t>
      </w:r>
      <w:r w:rsidRPr="00CA6BC2">
        <w:rPr>
          <w:noProof/>
        </w:rPr>
        <w:tab/>
      </w:r>
      <w:r w:rsidR="39DDA2E4" w:rsidRPr="001E3A2D">
        <w:rPr>
          <w:noProof/>
        </w:rPr>
        <w:t>Beschließt ein Mitgliedstaat, regionale Obergrenzen für bestimmte Gebiete festzulegen, um einen übermäßigen Anstieg des Erzeugungspotenzials zu vermeiden, so sollten die Mitgliedstaaten vorschreiben können, dass die für die von der regionalen Begrenzung betroffene Fläche erteilten Genehmigungen in diesem Gebiet genutzt werden müssen. Um den jüngsten Entwicklungen im Weinsektor besser Rechnung zu tragen, sollten die Mitgliedstaaten die Flexibilität haben, regionale Obergrenzen für bestimmte Gebiete sogar auf 0 % festzulegen, um das Erzeugungspotenzial an die Marktnachfrage anzupassen.</w:t>
      </w:r>
      <w:bookmarkStart w:id="2" w:name="_Hlk191983281"/>
      <w:bookmarkEnd w:id="2"/>
    </w:p>
    <w:p w:rsidR="00B4744F" w:rsidRPr="001E3A2D" w:rsidRDefault="00CA6BC2" w:rsidP="00CA6BC2">
      <w:pPr>
        <w:pStyle w:val="ManualConsidrant"/>
        <w:rPr>
          <w:noProof/>
        </w:rPr>
      </w:pPr>
      <w:r w:rsidRPr="00CA6BC2">
        <w:rPr>
          <w:noProof/>
        </w:rPr>
        <w:t>(8)</w:t>
      </w:r>
      <w:r w:rsidRPr="00CA6BC2">
        <w:rPr>
          <w:noProof/>
        </w:rPr>
        <w:tab/>
      </w:r>
      <w:r w:rsidR="517C6F43" w:rsidRPr="001E3A2D">
        <w:rPr>
          <w:noProof/>
        </w:rPr>
        <w:t>Auch wenn die Wiederbepflanzung einer gerodeten Rebfläche die Weinanbaufläche nicht vergrößert, sollte den Mitgliedstaaten die Möglichkeit eingeräumt werden, Vorschriften für die Wiederbepflanzung festzulegen, um die territoriale Verteilung der Rebflächen besser zu steuern und so beispielsweise die Verlagerung von Rebflächen in Regionen mit einem Marktungleichgewicht oder weg von Terrassen- und Steillagen zu vermeiden, wo sie eine wichtige Rolle für die Erhaltung der Landschaft spielen und Bodenerosion verhindern.</w:t>
      </w:r>
      <w:r w:rsidR="517C6F43" w:rsidRPr="001E3A2D">
        <w:rPr>
          <w:noProof/>
          <w:color w:val="000000" w:themeColor="text1"/>
        </w:rPr>
        <w:t xml:space="preserve"> </w:t>
      </w:r>
      <w:r w:rsidR="517C6F43" w:rsidRPr="001E3A2D">
        <w:rPr>
          <w:noProof/>
        </w:rPr>
        <w:t>Die Mitgliedstaaten sollten auch die Möglichkeit erhalten, Bedingungen für die Verwendung von Sorten und Erzeugungsverfahren festzulegen, um so eine Steigerung der Erträge zu vermeiden und die Erhaltung traditioneller Rebsorten und Erzeugungsverfahren sicherzustellen.</w:t>
      </w:r>
    </w:p>
    <w:p w:rsidR="003E37C8" w:rsidRPr="001E3A2D" w:rsidRDefault="00CA6BC2" w:rsidP="00CA6BC2">
      <w:pPr>
        <w:pStyle w:val="ManualConsidrant"/>
        <w:rPr>
          <w:noProof/>
        </w:rPr>
      </w:pPr>
      <w:r w:rsidRPr="00CA6BC2">
        <w:rPr>
          <w:noProof/>
        </w:rPr>
        <w:t>(9)</w:t>
      </w:r>
      <w:r w:rsidRPr="00CA6BC2">
        <w:rPr>
          <w:noProof/>
        </w:rPr>
        <w:tab/>
      </w:r>
      <w:r w:rsidR="08CCAC9D" w:rsidRPr="001E3A2D">
        <w:rPr>
          <w:noProof/>
        </w:rPr>
        <w:t>Um einen verhältnismäßigen Ansatz bei der Anwendung des Genehmigungssystems für Anpflanzungen zu gewährleisten und gleichzeitig den ernsten Risiken Rechnung zu tragen, die ein Überangebot für den Markt darstellt, ist es angezeigt, eine Obergrenze der mit Reben bepflanzten Hektarfläche festzulegen, bis zu der die Mitgliedstaaten von der Verpflichtung zur Anwendung des Genehmigungssystems für Anpflanzungen ausgenommen sind.</w:t>
      </w:r>
    </w:p>
    <w:p w:rsidR="003E37C8" w:rsidRPr="001E3A2D" w:rsidRDefault="00CA6BC2" w:rsidP="00CA6BC2">
      <w:pPr>
        <w:pStyle w:val="ManualConsidrant"/>
        <w:rPr>
          <w:noProof/>
        </w:rPr>
      </w:pPr>
      <w:r w:rsidRPr="00CA6BC2">
        <w:rPr>
          <w:noProof/>
        </w:rPr>
        <w:t>(10)</w:t>
      </w:r>
      <w:r w:rsidRPr="00CA6BC2">
        <w:rPr>
          <w:noProof/>
        </w:rPr>
        <w:tab/>
      </w:r>
      <w:r w:rsidR="04D6E544" w:rsidRPr="001E3A2D">
        <w:rPr>
          <w:noProof/>
        </w:rPr>
        <w:t xml:space="preserve">In den letzten Jahren ist die Nachfrage der Verbraucher nach Weinbauerzeugnissen mit einem niedrigeren Alkoholgehalt, die derzeit durch Entalkoholisierung unter Anwendung bestimmter in der Union zugelassener Techniken hergestellt werden, immer größer geworden. Die Verbraucher kennen Begriffe wie „0,0 %“, „alkoholfrei“ und „alkoholreduziert“, die weitverbreitet, aber in den einzelnen Mitgliedstaaten unterschiedlich geregelt sind. </w:t>
      </w:r>
      <w:r w:rsidR="04D6E544" w:rsidRPr="001E3A2D">
        <w:rPr>
          <w:noProof/>
          <w:color w:val="000000" w:themeColor="text1"/>
        </w:rPr>
        <w:t xml:space="preserve">Daher ist es notwendig, die Verwendung dieser Begriffe in der gesamten Union zu harmonisieren. </w:t>
      </w:r>
      <w:r w:rsidR="04D6E544" w:rsidRPr="001E3A2D">
        <w:rPr>
          <w:noProof/>
        </w:rPr>
        <w:t>Die Vorschriften über die Etikettierung von Weinerzeugnissen sollten daher geändert werden, um die Verbraucher besser über die Merkmale von Weinbauerzeugnissen mit einem niedrigeren Alkoholgehalt zu informieren, wobei die Verpflichtung zur Bereitstellung von Informationen über das Erzeugungsverfahren, das eine Entalkoholisierung beinhaltet, beibehalten werden sollte. Dadurch könnte der Weinsektor der Union von dieser Entwicklung der Verbrauchernachfrage profitieren und gleichzeitig hohe Qualitätsstandards aufrechterhalten.</w:t>
      </w:r>
    </w:p>
    <w:p w:rsidR="00E23352" w:rsidRPr="001E3A2D" w:rsidRDefault="00CA6BC2" w:rsidP="00CA6BC2">
      <w:pPr>
        <w:pStyle w:val="ManualConsidrant"/>
        <w:rPr>
          <w:noProof/>
        </w:rPr>
      </w:pPr>
      <w:r w:rsidRPr="00CA6BC2">
        <w:rPr>
          <w:noProof/>
        </w:rPr>
        <w:t>(11)</w:t>
      </w:r>
      <w:r w:rsidRPr="00CA6BC2">
        <w:rPr>
          <w:noProof/>
        </w:rPr>
        <w:tab/>
      </w:r>
      <w:r w:rsidR="505FF85E" w:rsidRPr="001E3A2D">
        <w:rPr>
          <w:noProof/>
        </w:rPr>
        <w:t>Die hohe Nachfrage der Verbraucher nach Schaumweinerzeugnissen mit einem niedrigeren Alkoholgehalt oder ohne Alkohol stellt eine Chance für den Sektor dar. Die derzeitigen Vorschriften für die Herstellung entalkoholisierter Weine schreiben jedoch gewisse technologische Beschränkungen für die Herstellung solcher Weine vor. Nach den derzeit geltenden Vorschriften müssen Weinerzeugnisse die Merkmale und den Mindestalkoholgehalt der entsprechenden Kategorie erreicht haben, bevor sie der Entalkoholisierung unterzogen werden, was bedeutet, dass entalkoholisierte Schaumweine nur aus Schaumweinen hergestellt werden dürfen. Durch die Entalkoholisierung wird jedoch jegliches CO</w:t>
      </w:r>
      <w:r w:rsidR="505FF85E" w:rsidRPr="001E3A2D">
        <w:rPr>
          <w:noProof/>
          <w:vertAlign w:val="subscript"/>
        </w:rPr>
        <w:t>2</w:t>
      </w:r>
      <w:r w:rsidR="505FF85E" w:rsidRPr="001E3A2D">
        <w:rPr>
          <w:noProof/>
        </w:rPr>
        <w:t xml:space="preserve"> aus dem ursprünglichen Schaumwein vollständig entfernt. Zur Herstellung eines Schaumweins mit einem niedrigeren Alkoholgehalt oder ohne Alkohol ist es daher erforderlich, dem teilweise oder vollständig entalkoholisierten Wein, der seinen ursprünglichen CO</w:t>
      </w:r>
      <w:r w:rsidR="505FF85E" w:rsidRPr="001E3A2D">
        <w:rPr>
          <w:noProof/>
          <w:vertAlign w:val="subscript"/>
        </w:rPr>
        <w:t>2</w:t>
      </w:r>
      <w:r w:rsidR="505FF85E" w:rsidRPr="001E3A2D">
        <w:rPr>
          <w:noProof/>
        </w:rPr>
        <w:t>-Gehalt verloren hat, durch ein neues, gesondertes Verfahren wieder CO</w:t>
      </w:r>
      <w:r w:rsidR="505FF85E" w:rsidRPr="001E3A2D">
        <w:rPr>
          <w:noProof/>
          <w:vertAlign w:val="subscript"/>
        </w:rPr>
        <w:t>2</w:t>
      </w:r>
      <w:r w:rsidR="505FF85E" w:rsidRPr="001E3A2D">
        <w:rPr>
          <w:noProof/>
        </w:rPr>
        <w:t xml:space="preserve"> zuzuführen. Daher sollte es gestattet sein, entalkoholisierte Schaumweine und Schaumweine mit zugesetzter Kohlensäure unmittelbar aus entalkoholisierten oder teilweise entalkoholisierten nicht schäumenden Weinen durch eine zweite Gärung bzw. durch Zusatz von CO</w:t>
      </w:r>
      <w:r w:rsidR="505FF85E" w:rsidRPr="001E3A2D">
        <w:rPr>
          <w:noProof/>
          <w:vertAlign w:val="subscript"/>
        </w:rPr>
        <w:t>2</w:t>
      </w:r>
      <w:r w:rsidR="505FF85E" w:rsidRPr="001E3A2D">
        <w:rPr>
          <w:noProof/>
        </w:rPr>
        <w:t xml:space="preserve"> herzustellen. </w:t>
      </w:r>
    </w:p>
    <w:p w:rsidR="00D156D7" w:rsidRPr="001E3A2D" w:rsidRDefault="00CA6BC2" w:rsidP="00CA6BC2">
      <w:pPr>
        <w:pStyle w:val="ManualConsidrant"/>
        <w:rPr>
          <w:noProof/>
        </w:rPr>
      </w:pPr>
      <w:r w:rsidRPr="00CA6BC2">
        <w:rPr>
          <w:noProof/>
        </w:rPr>
        <w:t>(12)</w:t>
      </w:r>
      <w:r w:rsidRPr="00CA6BC2">
        <w:rPr>
          <w:noProof/>
        </w:rPr>
        <w:tab/>
      </w:r>
      <w:r w:rsidR="0A8C57E9" w:rsidRPr="001E3A2D">
        <w:rPr>
          <w:noProof/>
        </w:rPr>
        <w:t>Die Möglichkeit, das Zutatenverzeichnis und die Nährwertdeklaration für Weinerzeugnisse auf elektronischem Wege bereitzustellen, hat sich als wirksamer Weg erwiesen, sowohl für Marktteilnehmer zur Bereitstellung wichtiger Informationen für die Verbraucher erwiesen als auch für die Förderung des Funktionierens des Binnenmarkts und von Weinausfuhren, insbesondere für Kleinerzeuger. Das Fehlen harmonisierter Vorschriften für den Verweis auf das elektronische Etikett, das das Zutatenverzeichnis und/oder die Nährwertdeklaration enthält, auf der Verpackung oder dem daran befestigten Etikett führt jedoch zu unterschiedlichen Praktiken der Marktteilnehmer und zu unterschiedlichen Vorschriften der nationalen Behörden, was die ordnungsgemäße Vermarktung von Wein beeinträchtigt. Um die Kosten und den Verwaltungsaufwand für die Marktteilnehmer so gering wie möglich zu halten und ein gemeinsames Vorgehen auf dem gesamten Unionsmarkt zu gewährleisten und gleichzeitig der Notwendigkeit Rechnung zu tragen, diese Informationen den Verbrauchern zugänglich zu machen, sollte die Kommission die Befugnis erhalten, in Zusammenarbeit mit den Mitgliedstaaten Vorschriften für den Verweis auf das elektronische Etikett auf der Verpackung oder dem daran befestigten Etikett auszuarbeiten, wodurch den Verbrauchern das Zutatenverzeichnis und die Nährwertdeklaration in harmonisierter Weise zur Verfügung gestellt wird, auch durch ein sprachneutrales System.</w:t>
      </w:r>
    </w:p>
    <w:p w:rsidR="00DC54D8" w:rsidRPr="001E3A2D" w:rsidRDefault="00CA6BC2" w:rsidP="00CA6BC2">
      <w:pPr>
        <w:pStyle w:val="ManualConsidrant"/>
        <w:rPr>
          <w:noProof/>
        </w:rPr>
      </w:pPr>
      <w:r w:rsidRPr="00CA6BC2">
        <w:rPr>
          <w:noProof/>
        </w:rPr>
        <w:t>(13)</w:t>
      </w:r>
      <w:r w:rsidRPr="00CA6BC2">
        <w:rPr>
          <w:noProof/>
        </w:rPr>
        <w:tab/>
      </w:r>
      <w:r w:rsidR="31D5100E" w:rsidRPr="001E3A2D">
        <w:rPr>
          <w:noProof/>
        </w:rPr>
        <w:t>Der Kommission sollte die Befugnis übertragen werden, die Vorschriften für die elektronische Etikettierung an neue Erfordernisse anzupassen, die sich aus der rasch und ständig fortschreitenden Digitalisierung ergeben, und anderen obligatorischen oder für die Verbraucher relevanten Informationen Rechnung zu tragen, die auf elektronischem Wege bereitgestellt werden können.</w:t>
      </w:r>
    </w:p>
    <w:p w:rsidR="003E477C" w:rsidRPr="001E3A2D" w:rsidRDefault="00CA6BC2" w:rsidP="00CA6BC2">
      <w:pPr>
        <w:pStyle w:val="ManualConsidrant"/>
        <w:rPr>
          <w:noProof/>
        </w:rPr>
      </w:pPr>
      <w:r w:rsidRPr="00CA6BC2">
        <w:rPr>
          <w:noProof/>
        </w:rPr>
        <w:t>(14)</w:t>
      </w:r>
      <w:r w:rsidRPr="00CA6BC2">
        <w:rPr>
          <w:noProof/>
        </w:rPr>
        <w:tab/>
      </w:r>
      <w:r w:rsidR="51F3C1B2" w:rsidRPr="001E3A2D">
        <w:rPr>
          <w:noProof/>
        </w:rPr>
        <w:t xml:space="preserve">Die Mitgliedstaaten können Vermarktungsvorschriften zur Regulierung des Angebots im Weinsektor erlassen, um das Funktionieren des gemeinsamen Weinmarktes zu verbessern und zu stabilisieren. Vor dem Hintergrund eines strukturellen Rückgangs des Konsums und eines anhaltenden Überangebots in bestimmten Regionen und Marktsegmenten sollte klargestellt werden, dass solche Vorschriften die Festsetzung von Höchsterträgen und die Bewirtschaftung der Weinbestände umfassen können. Darüber hinaus können Erzeugerorganisationen eine wichtige Rolle bei der Stärkung der Position der Winzer in der Lebensmittelversorgung und bei der Anpassung des Angebots an die Marktentwicklung spielen. Daher sollten die Mitgliedstaaten auch Vermarktungsvorschriften im Weinsektor erlassen können, die den Vorschlägen von anerkannten Erzeugerorganisationen oder anerkannten Branchenverbänden Rechnung tragen, wenn diese als repräsentativ für den Weinsektor in dem betreffenden Wirtschaftsgebiet bzw. den betreffenden Wirtschaftsgebieten gelten. </w:t>
      </w:r>
    </w:p>
    <w:p w:rsidR="00625196" w:rsidRPr="001E3A2D" w:rsidRDefault="00CA6BC2" w:rsidP="00CA6BC2">
      <w:pPr>
        <w:pStyle w:val="ManualConsidrant"/>
        <w:rPr>
          <w:noProof/>
        </w:rPr>
      </w:pPr>
      <w:r w:rsidRPr="00CA6BC2">
        <w:rPr>
          <w:noProof/>
        </w:rPr>
        <w:t>(15)</w:t>
      </w:r>
      <w:r w:rsidRPr="00CA6BC2">
        <w:rPr>
          <w:noProof/>
        </w:rPr>
        <w:tab/>
      </w:r>
      <w:r w:rsidR="7CF9F7E7" w:rsidRPr="001E3A2D">
        <w:rPr>
          <w:noProof/>
        </w:rPr>
        <w:t>Die Mitgliedstaaten können derzeit die Erlaubnis erhalten, nationale Zahlungen an Weinerzeuger für die freiwillige oder obligatorische Destillation von Wein zu leisten. Da überschüssiger Wein noch vor seiner Erzeugung kostengünstig vom Markt genommen werden kann, sollte auch die Möglichkeit vorgesehen werden, den Mitgliedstaaten in begründeten Krisenfällen zu erlauben, nationale Zahlungen für die freiwillige grüne Weinlese und die freiwillige Rodung produktiver Rebflächen zu leisten. Um Wettbewerbsverzerrungen zu vermeiden, sollten im Rahmen dieser Verordnung Obergrenzen für den Gesamtbetrag der nationalen Zahlungen festgesetzt werden, die in einem Mitgliedstaat in einem bestimmten Jahr für die Destillation und die grüne Weinlese genehmigt werden dürfen. Für Rodungen ist es angesichts des strukturellen Charakters der Maßnahme und ihrer höheren Kosten nicht angezeigt, einen Gesamthöchstbetrag der nationalen Zahlungen festzusetzen. Die Mitgliedstaaten sollten jedoch in ihrer Mitteilung die Obergrenze für nationale Zahlungen anhand ihrer besonderen Marktgegebenheiten und derjenigen der Weinregionen, in denen die Maßnahme durchgeführt werden soll, in jedem Einzelfall begründen.</w:t>
      </w:r>
    </w:p>
    <w:p w:rsidR="00994653" w:rsidRPr="001E3A2D" w:rsidRDefault="00CA6BC2" w:rsidP="00CA6BC2">
      <w:pPr>
        <w:pStyle w:val="ManualConsidrant"/>
        <w:rPr>
          <w:noProof/>
        </w:rPr>
      </w:pPr>
      <w:r w:rsidRPr="00CA6BC2">
        <w:rPr>
          <w:noProof/>
        </w:rPr>
        <w:t>(16)</w:t>
      </w:r>
      <w:r w:rsidRPr="00CA6BC2">
        <w:rPr>
          <w:noProof/>
        </w:rPr>
        <w:tab/>
      </w:r>
      <w:r w:rsidR="31689746" w:rsidRPr="001E3A2D">
        <w:rPr>
          <w:noProof/>
        </w:rPr>
        <w:t>Aromatisierte Weinerzeugnisse stellen einen naheliegenden Absatzmarkt für Weinbauerzeugnisse dar. Für Getränke, die nicht den Mindestalkoholgehalt für die jeweilige Erzeugniskategorie erreichen, ist es nach der Verordnung (EU) Nr. 251/2014 des Europäischen Parlaments und des Rates</w:t>
      </w:r>
      <w:r w:rsidR="31689746" w:rsidRPr="001E3A2D">
        <w:rPr>
          <w:rStyle w:val="FootnoteReference"/>
          <w:noProof/>
        </w:rPr>
        <w:footnoteReference w:id="7"/>
      </w:r>
      <w:r w:rsidR="31689746" w:rsidRPr="001E3A2D">
        <w:rPr>
          <w:noProof/>
        </w:rPr>
        <w:t xml:space="preserve"> jedoch nicht erlaubt, die für aromatisierte Weinerzeugnisse vorbehaltenen Verkehrsbezeichnungen zu verwenden. Angesichts der steigenden Nachfrage der Verbraucher nach innovativen alkoholischen Getränken mit einem niedrigeren vorhandenen Alkoholgehalt (in % vol) sollte es zulässig sein, Getränke aus entalkoholisierten oder teilweise entalkoholisierten Weinen in Verkehr zu bringen, die gemäß der Verordnung (EU) Nr. 1308/2013 des Europäischen Parlaments und des Rates</w:t>
      </w:r>
      <w:r w:rsidR="31689746" w:rsidRPr="001E3A2D">
        <w:rPr>
          <w:rStyle w:val="FootnoteReference"/>
          <w:noProof/>
        </w:rPr>
        <w:footnoteReference w:id="8"/>
      </w:r>
      <w:r w:rsidR="31689746" w:rsidRPr="001E3A2D">
        <w:rPr>
          <w:noProof/>
        </w:rPr>
        <w:t xml:space="preserve"> erzeugt wurden und in ihrer Aufmachung und Etikettierung aromatisierten Weinerzeugnissen vorbehaltene Verkehrsbezeichnungen tragen.</w:t>
      </w:r>
    </w:p>
    <w:p w:rsidR="00994653" w:rsidRPr="001E3A2D" w:rsidRDefault="00CA6BC2" w:rsidP="00CA6BC2">
      <w:pPr>
        <w:pStyle w:val="ManualConsidrant"/>
        <w:rPr>
          <w:noProof/>
        </w:rPr>
      </w:pPr>
      <w:r w:rsidRPr="00CA6BC2">
        <w:rPr>
          <w:noProof/>
        </w:rPr>
        <w:t>(17)</w:t>
      </w:r>
      <w:r w:rsidRPr="00CA6BC2">
        <w:rPr>
          <w:noProof/>
        </w:rPr>
        <w:tab/>
      </w:r>
      <w:r w:rsidR="31689746" w:rsidRPr="001E3A2D">
        <w:rPr>
          <w:noProof/>
        </w:rPr>
        <w:t>Um sicherzustellen, dass die Verbraucher über die Beschaffenheit aromatisierter Weinerzeugnisse mit einem niedrigeren Alkoholgehalt korrekt informiert werden, sollten Vorschriften festgelegt werden, die mit den Vorschriften der Verordnung (EU) Nr. 1308/2013 für die Etikettierung entalkoholisierter oder teilweise entalkoholisierter Weine im Einklang stehen, damit für aromatisierte Weinerzeugnisse, die aus entalkoholisierten oder teilweise entalkoholisierten Weinen hergestellt werden, bei ihrer Aufmachung und Etikettierung dieselben beschreibenden Merkmale verwendet werden wie für Weinbauerzeugnisse mit dem vorgeschriebenen Alkoholgehalt.</w:t>
      </w:r>
    </w:p>
    <w:p w:rsidR="00D45E6E" w:rsidRPr="001E3A2D" w:rsidRDefault="00CA6BC2" w:rsidP="00CA6BC2">
      <w:pPr>
        <w:pStyle w:val="ManualConsidrant"/>
        <w:rPr>
          <w:noProof/>
        </w:rPr>
      </w:pPr>
      <w:r w:rsidRPr="00CA6BC2">
        <w:rPr>
          <w:noProof/>
        </w:rPr>
        <w:t>(18)</w:t>
      </w:r>
      <w:r w:rsidRPr="00CA6BC2">
        <w:rPr>
          <w:noProof/>
        </w:rPr>
        <w:tab/>
      </w:r>
      <w:r w:rsidR="31689746" w:rsidRPr="001E3A2D">
        <w:rPr>
          <w:noProof/>
        </w:rPr>
        <w:t xml:space="preserve">Die oben genannten Probleme bei Weinbauerzeugnissen in Bezug auf den Verweis auf das elektronische Etikett, das die Nährwertdeklaration und das Zutatenverzeichnis enthält, bestehen auch für aromatisierte Weinerzeugnisse. Daher sollte der Kommission die Befugnis übertragen werden, in Zusammenarbeit mit den Mitgliedstaaten für aromatisierte Weinerzeugnisse Vorschriften für den Verweis auf das elektronische Etikett auf der Verpackung oder dem daran befestigten Etikett auszuarbeiten. Im Interesse der Einfachheit und Klarheit sollten diese Vorschriften die gleichen sein wie für Weinbauerzeugnisse. </w:t>
      </w:r>
    </w:p>
    <w:p w:rsidR="00D45E6E" w:rsidRPr="001E3A2D" w:rsidRDefault="00CA6BC2" w:rsidP="00CA6BC2">
      <w:pPr>
        <w:pStyle w:val="ManualConsidrant"/>
        <w:rPr>
          <w:noProof/>
        </w:rPr>
      </w:pPr>
      <w:r w:rsidRPr="00CA6BC2">
        <w:rPr>
          <w:noProof/>
        </w:rPr>
        <w:t>(19)</w:t>
      </w:r>
      <w:r w:rsidRPr="00CA6BC2">
        <w:rPr>
          <w:noProof/>
        </w:rPr>
        <w:tab/>
      </w:r>
      <w:r w:rsidR="31689746" w:rsidRPr="001E3A2D">
        <w:rPr>
          <w:noProof/>
        </w:rPr>
        <w:t>Um der neu entstandenen Nachfrage der Verbraucher und dem Bedarf an Produktinnovationen gerecht zu werden, sollten die Vorschriften für die Herstellung und Etikettierung aromatisierter Weinerzeugnisse der Kategorie „Glühwein“ geändert werden, um die Verwendung von Roséwein zu erlauben. Gleichzeitig sollte die Verwendung des Begriffs „Rosé“ in der Aufmachung und Etikettierung eines Glühweins, der durch die Mischung von Rot- und Weißwein oder von Rot- oder Weißwein mit Roséwein hergestellt wird, verboten werden. Aus denselben Gründen sollte auch eine Ausnahmeregelung vorgesehen werden, wonach alkoholische Getränke, die unter denselben Anforderungen hergestellt werden, wie sie für Glühwein gelten, aber als Hauptzutat Fruchtwein anstelle von Weinbauerzeugnissen verwenden, die Verkehrsbezeichnung „Glühwein“ in ihrer Aufmachung und Etikettierung verwenden dürfen.</w:t>
      </w:r>
    </w:p>
    <w:p w:rsidR="00AB0D79" w:rsidRPr="001E3A2D" w:rsidRDefault="00CA6BC2" w:rsidP="00CA6BC2">
      <w:pPr>
        <w:pStyle w:val="ManualConsidrant"/>
        <w:rPr>
          <w:noProof/>
        </w:rPr>
      </w:pPr>
      <w:r w:rsidRPr="00CA6BC2">
        <w:rPr>
          <w:noProof/>
        </w:rPr>
        <w:t>(20)</w:t>
      </w:r>
      <w:r w:rsidRPr="00CA6BC2">
        <w:rPr>
          <w:noProof/>
        </w:rPr>
        <w:tab/>
      </w:r>
      <w:r w:rsidR="46421637" w:rsidRPr="001E3A2D">
        <w:rPr>
          <w:noProof/>
        </w:rPr>
        <w:t>Um den Weintourismus in Weinregionen mit geschützten Ursprungsbezeichnungen und geschützten geografischen Angaben weiterzuentwickeln, sollte es gestattet werden, dass Erzeugergruppierungen, die geschützte Ursprungsbezeichnungen und geschützte geografische Angaben gemäß der Verordnung (EU) 2024/1143 des Europäischen Parlaments und des Rates</w:t>
      </w:r>
      <w:r w:rsidR="46421637" w:rsidRPr="001E3A2D">
        <w:rPr>
          <w:rStyle w:val="FootnoteReference"/>
          <w:noProof/>
        </w:rPr>
        <w:footnoteReference w:id="9"/>
      </w:r>
      <w:r w:rsidR="46421637" w:rsidRPr="001E3A2D">
        <w:rPr>
          <w:noProof/>
        </w:rPr>
        <w:t xml:space="preserve"> verwalten, Begünstigte der Interventionskategorie gemäß Artikel 58 Absatz 1 Unterabsatz 1 Buchstabe i der Verordnung (EU) 2021/2115 des Europäischen Parlaments und des Rates</w:t>
      </w:r>
      <w:r w:rsidR="46421637" w:rsidRPr="001E3A2D">
        <w:rPr>
          <w:rStyle w:val="FootnoteReference"/>
          <w:noProof/>
        </w:rPr>
        <w:footnoteReference w:id="10"/>
      </w:r>
      <w:r w:rsidR="46421637" w:rsidRPr="001E3A2D">
        <w:rPr>
          <w:noProof/>
        </w:rPr>
        <w:t xml:space="preserve"> sein können.</w:t>
      </w:r>
    </w:p>
    <w:p w:rsidR="00934E93" w:rsidRPr="001E3A2D" w:rsidRDefault="00CA6BC2" w:rsidP="00CA6BC2">
      <w:pPr>
        <w:pStyle w:val="ManualConsidrant"/>
        <w:rPr>
          <w:noProof/>
        </w:rPr>
      </w:pPr>
      <w:r w:rsidRPr="00CA6BC2">
        <w:rPr>
          <w:noProof/>
        </w:rPr>
        <w:t>(21)</w:t>
      </w:r>
      <w:r w:rsidRPr="00CA6BC2">
        <w:rPr>
          <w:noProof/>
        </w:rPr>
        <w:tab/>
      </w:r>
      <w:r w:rsidR="6085DB44" w:rsidRPr="001E3A2D">
        <w:rPr>
          <w:noProof/>
        </w:rPr>
        <w:t>Um der Notwendigkeit für die Mitgliedstaaten, eine effiziente Umstrukturierung der Rebflächen zu gewährleisten, und der Notwendigkeit, eine Erzeugungssteigerung zu vermeiden, die zu einem Überangebot führen kann, gleichermaßen Rechnung zu tragen, sollte es den Mitgliedstaaten gestattet sein, Bedingungen für die Durchführung der Umstrukturierung und Umstellung von Rebflächen gemäß Artikel 58 Absatz 1 Unterabsatz 1 Buchstabe a der Verordnung (EU) 2021/2115 festzulegen. Diese Bedingungen sollten darauf abzielen, eine Ertragssteigerung und damit eine Steigerung der Erzeugung auf Rebflächen, die unter diese Interventionskategorie fallen, zu vermeiden.</w:t>
      </w:r>
    </w:p>
    <w:p w:rsidR="00C72FC0" w:rsidRPr="001E3A2D" w:rsidRDefault="00CA6BC2" w:rsidP="00CA6BC2">
      <w:pPr>
        <w:pStyle w:val="ManualConsidrant"/>
        <w:rPr>
          <w:noProof/>
        </w:rPr>
      </w:pPr>
      <w:r w:rsidRPr="00CA6BC2">
        <w:rPr>
          <w:noProof/>
        </w:rPr>
        <w:t>(22)</w:t>
      </w:r>
      <w:r w:rsidRPr="00CA6BC2">
        <w:rPr>
          <w:noProof/>
        </w:rPr>
        <w:tab/>
      </w:r>
      <w:r w:rsidR="4BCBBF8D" w:rsidRPr="001E3A2D">
        <w:rPr>
          <w:noProof/>
        </w:rPr>
        <w:t>Um sich an die Marktentwicklung anzupassen und effiziente Marktchancen zu nutzen, sollte die Höchstdauer der Förderung von Absatzförderungs- und Kommunikationsmaßnahmen in Drittländern zur Konsolidierung von Absatzmöglichkeiten von drei auf fünf Jahre verlängert werden.</w:t>
      </w:r>
    </w:p>
    <w:p w:rsidR="00BC4D34" w:rsidRPr="001E3A2D" w:rsidRDefault="00CA6BC2" w:rsidP="00CA6BC2">
      <w:pPr>
        <w:pStyle w:val="ManualConsidrant"/>
        <w:rPr>
          <w:noProof/>
        </w:rPr>
      </w:pPr>
      <w:r w:rsidRPr="00CA6BC2">
        <w:rPr>
          <w:noProof/>
        </w:rPr>
        <w:t>(23)</w:t>
      </w:r>
      <w:r w:rsidRPr="00CA6BC2">
        <w:rPr>
          <w:noProof/>
        </w:rPr>
        <w:tab/>
      </w:r>
      <w:r w:rsidR="6DD21552" w:rsidRPr="001E3A2D">
        <w:rPr>
          <w:noProof/>
        </w:rPr>
        <w:t>Zur Stärkung der Zusammenarbeit im Weinsektor sollten Investitionen gemäß Artikel 58 Absatz 1 Unterabsatz 1 Buchstabe b der Verordnung (EU) 2021/2115, die von gemäß der Verordnung (EU) Nr. 1308/2013 anerkannten Erzeugerorganisationen getätigt werden, in den Genuss des Höchstsatzes der finanziellen Hilfe der Union gemäß Artikel 59 Absatz 2 der Verordnung (EU) 2021/2115 kommen, wie dies bereits bei Kleinstunternehmen sowie kleinen und mittleren Unternehmen im Sinne der Empfehlung 2003/361/EG der Kommission</w:t>
      </w:r>
      <w:r w:rsidR="6DD21552" w:rsidRPr="001E3A2D">
        <w:rPr>
          <w:rStyle w:val="FootnoteReference"/>
          <w:noProof/>
        </w:rPr>
        <w:footnoteReference w:id="11"/>
      </w:r>
      <w:r w:rsidR="6DD21552" w:rsidRPr="001E3A2D">
        <w:rPr>
          <w:noProof/>
        </w:rPr>
        <w:t xml:space="preserve"> der Fall ist.</w:t>
      </w:r>
    </w:p>
    <w:p w:rsidR="00880887" w:rsidRPr="001E3A2D" w:rsidRDefault="00CA6BC2" w:rsidP="00CA6BC2">
      <w:pPr>
        <w:pStyle w:val="ManualConsidrant"/>
        <w:rPr>
          <w:noProof/>
        </w:rPr>
      </w:pPr>
      <w:r w:rsidRPr="00CA6BC2">
        <w:rPr>
          <w:noProof/>
        </w:rPr>
        <w:t>(24)</w:t>
      </w:r>
      <w:r w:rsidRPr="00CA6BC2">
        <w:rPr>
          <w:noProof/>
        </w:rPr>
        <w:tab/>
      </w:r>
      <w:r w:rsidR="3839DB55" w:rsidRPr="001E3A2D">
        <w:rPr>
          <w:noProof/>
        </w:rPr>
        <w:t>Um die Erzeuger beim Klimaschutz und bei der Anpassung an den Klimawandel weiter zu unterstützen, sollte den Mitgliedstaaten die Möglichkeit eingeräumt werden, den Höchstbetrag der finanziellen Hilfe der Union für Investitionen, die dieses Ziel verfolgen, auf bis zu 80 % der förderfähigen Investitionskosten zu erhöhen.</w:t>
      </w:r>
      <w:bookmarkStart w:id="3" w:name="_Hlk191482764"/>
    </w:p>
    <w:p w:rsidR="00500D90" w:rsidRPr="001E3A2D" w:rsidRDefault="00CA6BC2" w:rsidP="00CA6BC2">
      <w:pPr>
        <w:pStyle w:val="ManualConsidrant"/>
        <w:rPr>
          <w:noProof/>
        </w:rPr>
      </w:pPr>
      <w:r w:rsidRPr="00CA6BC2">
        <w:rPr>
          <w:noProof/>
        </w:rPr>
        <w:t>(25)</w:t>
      </w:r>
      <w:r w:rsidRPr="00CA6BC2">
        <w:rPr>
          <w:noProof/>
        </w:rPr>
        <w:tab/>
      </w:r>
      <w:r w:rsidR="10E26D5E" w:rsidRPr="001E3A2D">
        <w:rPr>
          <w:noProof/>
        </w:rPr>
        <w:t>Darüber hinaus muss klargestellt werden, dass die finanzielle Hilfe der Union für Innovation gemäß Artikel 58 Absatz 1 Unterabsatz 1 Buchstabe e der Verordnung (EU) 2021/2115 nicht Unternehmen in Schwierigkeiten im Sinne der Mitteilung der Kommission „Leitlinien für staatliche Beihilfen zur Rettung und Umstrukturierung nichtfinanzieller Unternehmen in Schwierigkeiten“ gewährt werden sollte, wie dies bei finanzieller Hilfe der Union für Investitionen gemäß Artikel 58 Absatz 1 Unterabsatz 1 Buchstabe b</w:t>
      </w:r>
      <w:bookmarkEnd w:id="3"/>
      <w:r w:rsidR="10E26D5E" w:rsidRPr="001E3A2D">
        <w:rPr>
          <w:noProof/>
        </w:rPr>
        <w:t xml:space="preserve"> der genannten Verordnung der Fall ist.</w:t>
      </w:r>
    </w:p>
    <w:p w:rsidR="0045497D" w:rsidRPr="001E3A2D" w:rsidRDefault="00CA6BC2" w:rsidP="00CA6BC2">
      <w:pPr>
        <w:pStyle w:val="ManualConsidrant"/>
        <w:rPr>
          <w:noProof/>
        </w:rPr>
      </w:pPr>
      <w:r w:rsidRPr="00CA6BC2">
        <w:rPr>
          <w:noProof/>
        </w:rPr>
        <w:t>(26)</w:t>
      </w:r>
      <w:r w:rsidRPr="00CA6BC2">
        <w:rPr>
          <w:noProof/>
        </w:rPr>
        <w:tab/>
      </w:r>
      <w:r w:rsidR="32F383E8" w:rsidRPr="001E3A2D">
        <w:rPr>
          <w:noProof/>
        </w:rPr>
        <w:t>Die Verordnungen (EU) Nr. 1308/2013, (EU) Nr. 251/2014 und (EU) 2021/2115 sollten daher entsprechend geändert werden.</w:t>
      </w:r>
    </w:p>
    <w:p w:rsidR="0045497D" w:rsidRPr="001E3A2D" w:rsidRDefault="00CA6BC2" w:rsidP="00CA6BC2">
      <w:pPr>
        <w:pStyle w:val="ManualConsidrant"/>
        <w:rPr>
          <w:noProof/>
        </w:rPr>
      </w:pPr>
      <w:r w:rsidRPr="00CA6BC2">
        <w:rPr>
          <w:noProof/>
        </w:rPr>
        <w:t>(27)</w:t>
      </w:r>
      <w:r w:rsidRPr="00CA6BC2">
        <w:rPr>
          <w:noProof/>
        </w:rPr>
        <w:tab/>
      </w:r>
      <w:r w:rsidR="2B624289" w:rsidRPr="001E3A2D">
        <w:rPr>
          <w:noProof/>
        </w:rPr>
        <w:t>Damit die Erzeuger Zeit haben, sich an die neuen Anforderungen in Bezug auf die Bezeichnung von Weinbauerzeugnissen mit einem niedrigeren Alkoholgehalt anzupassen, sollte der Geltungsbeginn dieser neuen Anforderungen 18 Monate nach Inkrafttreten dieser Verordnung liegen. Ferner ist es angezeigt, Übergangsbestimmungen vorzusehen, damit Weinbauerzeugnisse, die vor der Anwendung der neuen Anforderungen etikettiert wurden, bis zur Erschöpfung der Bestände weiter in Verkehr gebracht werden dürfen —</w:t>
      </w:r>
    </w:p>
    <w:p w:rsidR="00AC5A16" w:rsidRPr="001E3A2D" w:rsidRDefault="00AC5A16">
      <w:pPr>
        <w:pStyle w:val="Formuledadoption"/>
        <w:rPr>
          <w:noProof/>
        </w:rPr>
      </w:pPr>
      <w:r w:rsidRPr="001E3A2D">
        <w:rPr>
          <w:noProof/>
        </w:rPr>
        <w:t>HABEN FOLGENDE VERORDNUNG ERLASSEN:</w:t>
      </w:r>
    </w:p>
    <w:p w:rsidR="00756633" w:rsidRPr="001E3A2D" w:rsidRDefault="00AC5A16" w:rsidP="000D5914">
      <w:pPr>
        <w:pStyle w:val="Titrearticle"/>
        <w:rPr>
          <w:noProof/>
        </w:rPr>
      </w:pPr>
      <w:r w:rsidRPr="001E3A2D">
        <w:rPr>
          <w:noProof/>
        </w:rPr>
        <w:t xml:space="preserve">Artikel 1 </w:t>
      </w:r>
      <w:r w:rsidRPr="001E3A2D">
        <w:rPr>
          <w:noProof/>
        </w:rPr>
        <w:br/>
      </w:r>
      <w:r w:rsidRPr="001E3A2D">
        <w:rPr>
          <w:b/>
          <w:noProof/>
        </w:rPr>
        <w:t>Änderungen der Verordnung (EU) Nr. 1308/2013</w:t>
      </w:r>
    </w:p>
    <w:p w:rsidR="00756633" w:rsidRPr="001E3A2D" w:rsidRDefault="7F3CB8F8" w:rsidP="5BEB4FA3">
      <w:pPr>
        <w:shd w:val="clear" w:color="auto" w:fill="FFFFFF" w:themeFill="background1"/>
        <w:spacing w:after="0" w:line="312" w:lineRule="atLeast"/>
        <w:rPr>
          <w:rFonts w:eastAsia="Times New Roman"/>
          <w:noProof/>
          <w:color w:val="333333"/>
          <w:szCs w:val="24"/>
        </w:rPr>
      </w:pPr>
      <w:r w:rsidRPr="001E3A2D">
        <w:rPr>
          <w:noProof/>
          <w:color w:val="333333"/>
        </w:rPr>
        <w:t xml:space="preserve">Die Verordnung (EU) Nr. 1308/2013 wird wie folgt geändert: </w:t>
      </w:r>
    </w:p>
    <w:p w:rsidR="00694C54" w:rsidRPr="001E3A2D" w:rsidRDefault="00EA6F78" w:rsidP="00EA6F78">
      <w:pPr>
        <w:pStyle w:val="Point0"/>
        <w:rPr>
          <w:noProof/>
        </w:rPr>
      </w:pPr>
      <w:r>
        <w:rPr>
          <w:noProof/>
        </w:rPr>
        <w:t>1.</w:t>
      </w:r>
      <w:r>
        <w:rPr>
          <w:noProof/>
        </w:rPr>
        <w:tab/>
      </w:r>
      <w:r w:rsidR="00694C54" w:rsidRPr="001E3A2D">
        <w:rPr>
          <w:noProof/>
        </w:rPr>
        <w:t>Artikel 62 Absatz 3 erhält folgende Fassung:</w:t>
      </w:r>
    </w:p>
    <w:p w:rsidR="00694C54" w:rsidRPr="001E3A2D" w:rsidRDefault="0A31E72D" w:rsidP="00743313">
      <w:pPr>
        <w:ind w:left="851"/>
        <w:rPr>
          <w:noProof/>
        </w:rPr>
      </w:pPr>
      <w:r w:rsidRPr="001E3A2D">
        <w:rPr>
          <w:noProof/>
        </w:rPr>
        <w:t xml:space="preserve">„(3) Die in Absatz 1 genannten und gemäß den Artikeln 64 und 68 erteilten Genehmigungen gelten für einen Zeitraum von drei Jahren ab dem Zeitpunkt, zu dem sie erteilt wurden. Gegen einen Erzeuger, der eine gemäß den Artikeln 64 und 68 erteilte Genehmigung während der Gültigkeitsdauer dieser Genehmigung nicht in Anspruch genommen hat, wird die Verwaltungssanktion gemäß Artikel 90a Absatz 4 verhängt. </w:t>
      </w:r>
    </w:p>
    <w:p w:rsidR="00E80B21" w:rsidRPr="001E3A2D" w:rsidRDefault="00E80B21" w:rsidP="00743313">
      <w:pPr>
        <w:ind w:left="851"/>
        <w:rPr>
          <w:noProof/>
        </w:rPr>
      </w:pPr>
      <w:r w:rsidRPr="001E3A2D">
        <w:rPr>
          <w:noProof/>
        </w:rPr>
        <w:t>Abweichend von Unterabsatz 1 wird gegen Erzeuger, die vor dem 1. Januar 2025 erteilte gültige Genehmigungen gemäß den Artikeln 64 und 68 besitzen, keine Verwaltungssanktion gemäß Artikel 90a Absatz 4 verhängt, sofern sie den zuständigen Behörden vor dem Tag des Ablaufs der Genehmigung und spätestens bis zum 31. Dezember 2026 mitteilen, dass sie ihre Genehmigung nicht nutzen wollen.</w:t>
      </w:r>
    </w:p>
    <w:p w:rsidR="00B12CFE" w:rsidRPr="001E3A2D" w:rsidRDefault="042A644B" w:rsidP="00743313">
      <w:pPr>
        <w:ind w:left="851"/>
        <w:rPr>
          <w:noProof/>
        </w:rPr>
      </w:pPr>
      <w:r w:rsidRPr="001E3A2D">
        <w:rPr>
          <w:noProof/>
        </w:rPr>
        <w:t>Gemäß Artikel 66 erteilte Genehmigungen für Wiederbepflanzungen gelten für einen Zeitraum von acht Jahren ab dem Zeitpunkt, zu dem sie erteilt wurden. Gegen Erzeuger, die eine gemäß Artikel 66 erteilte Genehmigung während der Gültigkeitsdauer dieser Genehmigung nicht in Anspruch genommen haben, wird keine Verwaltungssanktion gemäß Artikel 90a Absatz 4 verhängt.“</w:t>
      </w:r>
    </w:p>
    <w:p w:rsidR="00566F42" w:rsidRPr="001E3A2D" w:rsidRDefault="00EA6F78" w:rsidP="00EA6F78">
      <w:pPr>
        <w:pStyle w:val="Point0"/>
        <w:rPr>
          <w:noProof/>
        </w:rPr>
      </w:pPr>
      <w:r>
        <w:rPr>
          <w:noProof/>
        </w:rPr>
        <w:t>2.</w:t>
      </w:r>
      <w:r>
        <w:rPr>
          <w:noProof/>
        </w:rPr>
        <w:tab/>
      </w:r>
      <w:r w:rsidR="00566F42" w:rsidRPr="001E3A2D">
        <w:rPr>
          <w:noProof/>
        </w:rPr>
        <w:t>Artikel 63 wird wie folgt geändert:</w:t>
      </w:r>
    </w:p>
    <w:p w:rsidR="00566F42" w:rsidRPr="001E3A2D" w:rsidRDefault="00EA6F78" w:rsidP="00EA6F78">
      <w:pPr>
        <w:pStyle w:val="Point1"/>
        <w:rPr>
          <w:noProof/>
        </w:rPr>
      </w:pPr>
      <w:r>
        <w:rPr>
          <w:noProof/>
        </w:rPr>
        <w:t>a)</w:t>
      </w:r>
      <w:r>
        <w:rPr>
          <w:noProof/>
        </w:rPr>
        <w:tab/>
      </w:r>
      <w:r w:rsidR="73DA5D20" w:rsidRPr="001E3A2D">
        <w:rPr>
          <w:noProof/>
        </w:rPr>
        <w:t xml:space="preserve">Absatz 2 erhält folgende Fassung: </w:t>
      </w:r>
    </w:p>
    <w:p w:rsidR="7A424F25" w:rsidRPr="001E3A2D" w:rsidRDefault="7A424F25" w:rsidP="03C658C3">
      <w:pPr>
        <w:tabs>
          <w:tab w:val="left" w:pos="1701"/>
        </w:tabs>
        <w:ind w:left="1418"/>
        <w:rPr>
          <w:noProof/>
        </w:rPr>
      </w:pPr>
      <w:r w:rsidRPr="001E3A2D">
        <w:rPr>
          <w:noProof/>
        </w:rPr>
        <w:t>„(2) Die Mitgliedstaaten können</w:t>
      </w:r>
    </w:p>
    <w:p w:rsidR="071067EC" w:rsidRPr="001E3A2D" w:rsidRDefault="071067EC" w:rsidP="03C658C3">
      <w:pPr>
        <w:tabs>
          <w:tab w:val="left" w:pos="1701"/>
        </w:tabs>
        <w:ind w:left="1418"/>
        <w:rPr>
          <w:noProof/>
        </w:rPr>
      </w:pPr>
      <w:r w:rsidRPr="001E3A2D">
        <w:rPr>
          <w:noProof/>
        </w:rPr>
        <w:t>a) auf nationaler Ebene einen niedrigeren Prozentsatz als den in Absatz 1 festgelegten Prozentsatz anwenden;</w:t>
      </w:r>
    </w:p>
    <w:p w:rsidR="00F933FE" w:rsidRPr="001E3A2D" w:rsidRDefault="071067EC" w:rsidP="03C658C3">
      <w:pPr>
        <w:ind w:left="1418"/>
        <w:rPr>
          <w:noProof/>
        </w:rPr>
      </w:pPr>
      <w:r w:rsidRPr="001E3A2D">
        <w:rPr>
          <w:noProof/>
        </w:rPr>
        <w:tab/>
        <w:t>b) die Ausstellung von Genehmigungen auf regionaler Ebene für bestimmte, für die Erzeugung von Wein mit einer geschützten Ursprungsbezeichnung in Betracht kommende Gebiete, für die Erzeugung von Wein mit einer geschützten geografischen Angabe in Betracht kommende Gebiete oder für Gebiete ohne geografische Angabe einschränken;</w:t>
      </w:r>
    </w:p>
    <w:p w:rsidR="00566F42" w:rsidRPr="001E3A2D" w:rsidRDefault="73DA5D20" w:rsidP="03C658C3">
      <w:pPr>
        <w:ind w:left="1418"/>
        <w:rPr>
          <w:rFonts w:eastAsia="Times New Roman"/>
          <w:noProof/>
          <w:szCs w:val="24"/>
        </w:rPr>
      </w:pPr>
      <w:r w:rsidRPr="001E3A2D">
        <w:rPr>
          <w:noProof/>
        </w:rPr>
        <w:t>c) die Ausstellung von Genehmigungen für Neuanpflanzungen auf regionaler Ebene für bestimmte Gebiete einschränken, in denen nationale oder unionsweite Maßnahmen für die Destillation von Wein, die grüne Weinlese oder die Rodung in begründeten Krisenfällen gelten.</w:t>
      </w:r>
    </w:p>
    <w:p w:rsidR="00566F42" w:rsidRPr="001E3A2D" w:rsidRDefault="16E0AADA" w:rsidP="03C658C3">
      <w:pPr>
        <w:tabs>
          <w:tab w:val="left" w:pos="1701"/>
        </w:tabs>
        <w:ind w:left="1440"/>
        <w:rPr>
          <w:noProof/>
        </w:rPr>
      </w:pPr>
      <w:r w:rsidRPr="001E3A2D">
        <w:rPr>
          <w:noProof/>
        </w:rPr>
        <w:t>Für die Zwecke des Buchstabens c bezeichnet ‚grüne Weinlese‘ die vollständige Vernichtung oder Entfernung noch unreifer Traubenbüschel, wodurch der Ertrag der betreffenden Fläche auf null gesenkt wird, unter Ausschluss des Nichterntens, d. h. des Verzichts auf die Ernte gewerblich angebauter Weintrauben am Ende des normalen Produktionszyklus. Mitgliedstaaten, die die Ausstellung von Genehmigungen für Neuanpflanzungen auf regionaler Ebene gemäß Unterabsatz 1 Buchstabe b oder c einschränken, können vorschreiben, dass diese Genehmigungen in diesen Regionen in Anspruch genommen werden müssen.“</w:t>
      </w:r>
    </w:p>
    <w:p w:rsidR="00C223F3" w:rsidRPr="001E3A2D" w:rsidRDefault="00EA6F78" w:rsidP="00EA6F78">
      <w:pPr>
        <w:pStyle w:val="Point1"/>
        <w:rPr>
          <w:noProof/>
        </w:rPr>
      </w:pPr>
      <w:r>
        <w:rPr>
          <w:noProof/>
        </w:rPr>
        <w:t>b)</w:t>
      </w:r>
      <w:r>
        <w:rPr>
          <w:noProof/>
        </w:rPr>
        <w:tab/>
      </w:r>
      <w:r w:rsidR="00FE5B9F" w:rsidRPr="001E3A2D">
        <w:rPr>
          <w:noProof/>
        </w:rPr>
        <w:t>In Absatz 3 Unterabsatz 1 erhält der einleitende Satz folgende Fassung:</w:t>
      </w:r>
    </w:p>
    <w:p w:rsidR="00C223F3" w:rsidRPr="001E3A2D" w:rsidRDefault="00C223F3" w:rsidP="00763598">
      <w:pPr>
        <w:ind w:left="1418"/>
        <w:rPr>
          <w:noProof/>
        </w:rPr>
      </w:pPr>
      <w:r w:rsidRPr="001E3A2D">
        <w:rPr>
          <w:noProof/>
        </w:rPr>
        <w:t>„(3) Einschränkungen nach Absatz 2 müssen zu einer Anpassung des Produktionspotenzials an die Marktnachfrage beitragen und durch einen oder mehrere der folgenden spezifischen Gründe gerechtfertigt sein:“</w:t>
      </w:r>
    </w:p>
    <w:p w:rsidR="008D0D99" w:rsidRPr="001E3A2D" w:rsidRDefault="00EA6F78" w:rsidP="00EA6F78">
      <w:pPr>
        <w:pStyle w:val="Point0"/>
        <w:rPr>
          <w:noProof/>
        </w:rPr>
      </w:pPr>
      <w:r>
        <w:rPr>
          <w:noProof/>
        </w:rPr>
        <w:t>3.</w:t>
      </w:r>
      <w:r>
        <w:rPr>
          <w:noProof/>
        </w:rPr>
        <w:tab/>
      </w:r>
      <w:r w:rsidR="130EC9D7" w:rsidRPr="001E3A2D">
        <w:rPr>
          <w:noProof/>
        </w:rPr>
        <w:t xml:space="preserve">In Artikel 66 Absatz 3 wird folgender Unterabsatz 2 angefügt: </w:t>
      </w:r>
    </w:p>
    <w:p w:rsidR="008D0D99" w:rsidRPr="001E3A2D" w:rsidRDefault="20DD7D68" w:rsidP="00743313">
      <w:pPr>
        <w:ind w:left="851"/>
        <w:rPr>
          <w:noProof/>
        </w:rPr>
      </w:pPr>
      <w:r w:rsidRPr="001E3A2D">
        <w:rPr>
          <w:noProof/>
        </w:rPr>
        <w:t>„Ein Mitgliedstaat kann die Erteilung von Genehmigungen für Wiederbepflanzungen gemäß Absatz 1 auch von einer oder mehreren der folgenden Bedingungen abhängig machen:</w:t>
      </w:r>
    </w:p>
    <w:p w:rsidR="008D0D99" w:rsidRPr="001E3A2D" w:rsidRDefault="50D60C30" w:rsidP="009F6405">
      <w:pPr>
        <w:ind w:left="851"/>
        <w:rPr>
          <w:noProof/>
        </w:rPr>
      </w:pPr>
      <w:r w:rsidRPr="001E3A2D">
        <w:rPr>
          <w:noProof/>
        </w:rPr>
        <w:t>a) die Genehmigung wird in demselben geografischen Gebiet in Anspruch genommen, in dem sich die betreffenden gerodeten Reben befanden, wenn die Erhaltung des Weinbaus in diesem geografischen Gebiet aus sozioökonomischen oder ökologischen Gründen gerechtfertigt ist;</w:t>
      </w:r>
    </w:p>
    <w:p w:rsidR="008D0D99" w:rsidRPr="001E3A2D" w:rsidRDefault="50D60C30" w:rsidP="009F6405">
      <w:pPr>
        <w:ind w:left="851"/>
        <w:rPr>
          <w:noProof/>
        </w:rPr>
      </w:pPr>
      <w:r w:rsidRPr="001E3A2D">
        <w:rPr>
          <w:noProof/>
        </w:rPr>
        <w:t>b) es dürfen nur Sorten und Erzeugungsverfahren, die den Durchschnittsertrag im Vergleich zu den gerodeten Reben nicht erhöhen, oder nur traditionelle Sorten und Erzeugungsverfahren einer bestimmten Region genutzt werden, wenn die betreffende gerodete Fläche in einer Erzeugungsregion liegt, die der Mitgliedstaat als von einem strukturellen Marktungleichgewicht betroffen eingestuft hat, oder</w:t>
      </w:r>
    </w:p>
    <w:p w:rsidR="0575B920" w:rsidRPr="001E3A2D" w:rsidRDefault="0FF4DD52" w:rsidP="009F6405">
      <w:pPr>
        <w:ind w:left="851"/>
        <w:rPr>
          <w:noProof/>
        </w:rPr>
      </w:pPr>
      <w:r w:rsidRPr="001E3A2D">
        <w:rPr>
          <w:noProof/>
        </w:rPr>
        <w:t>c) die Genehmigung darf nicht in einer anderen Erzeugungsregion als derjenigen in Anspruch genommen werden, in der sich die gerodete Fläche befindet, wenn der Mitgliedstaat diese andere Erzeugungsregion als von einem strukturellen Marktungleichgewicht betroffen eingestuft hat.“</w:t>
      </w:r>
    </w:p>
    <w:p w:rsidR="00C23673" w:rsidRPr="001E3A2D" w:rsidRDefault="00EA6F78" w:rsidP="00EA6F78">
      <w:pPr>
        <w:pStyle w:val="Point0"/>
        <w:rPr>
          <w:noProof/>
        </w:rPr>
      </w:pPr>
      <w:bookmarkStart w:id="4" w:name="_Hlk191564667"/>
      <w:r>
        <w:rPr>
          <w:noProof/>
        </w:rPr>
        <w:t>4.</w:t>
      </w:r>
      <w:r>
        <w:rPr>
          <w:noProof/>
        </w:rPr>
        <w:tab/>
      </w:r>
      <w:r w:rsidR="00C23673" w:rsidRPr="001E3A2D">
        <w:rPr>
          <w:noProof/>
        </w:rPr>
        <w:t>Artikel 67 erhält folgende Fassung:</w:t>
      </w:r>
    </w:p>
    <w:bookmarkEnd w:id="4"/>
    <w:p w:rsidR="009D6FA6" w:rsidRPr="001E3A2D" w:rsidRDefault="2CBB1C25" w:rsidP="00760E49">
      <w:pPr>
        <w:jc w:val="center"/>
        <w:rPr>
          <w:b/>
          <w:bCs/>
          <w:noProof/>
        </w:rPr>
      </w:pPr>
      <w:r w:rsidRPr="001E3A2D">
        <w:rPr>
          <w:noProof/>
        </w:rPr>
        <w:t>„</w:t>
      </w:r>
      <w:r w:rsidRPr="001E3A2D">
        <w:rPr>
          <w:i/>
          <w:noProof/>
        </w:rPr>
        <w:t>Artikel 67</w:t>
      </w:r>
      <w:r w:rsidRPr="001E3A2D">
        <w:rPr>
          <w:noProof/>
        </w:rPr>
        <w:t xml:space="preserve"> </w:t>
      </w:r>
      <w:r w:rsidRPr="001E3A2D">
        <w:rPr>
          <w:noProof/>
        </w:rPr>
        <w:br/>
      </w:r>
      <w:r w:rsidRPr="001E3A2D">
        <w:rPr>
          <w:b/>
          <w:noProof/>
        </w:rPr>
        <w:t>De minimis</w:t>
      </w:r>
    </w:p>
    <w:p w:rsidR="004820A9" w:rsidRPr="001E3A2D" w:rsidRDefault="5722E440" w:rsidP="00370E7B">
      <w:pPr>
        <w:ind w:left="851"/>
        <w:rPr>
          <w:noProof/>
        </w:rPr>
      </w:pPr>
      <w:r w:rsidRPr="001E3A2D">
        <w:rPr>
          <w:noProof/>
        </w:rPr>
        <w:t>Das Genehmigungssystem für Rebpflanzungen gemäß diesem Kapitel gilt nicht in Mitgliedstaaten, in denen die Rebflächen in mindestens drei der vorangegangenen fünf Wirtschaftsjahre bei maximal 10 000 ha lagen. Ist diese Bedingung in einem Mitgliedstaat nicht mehr erfüllt, so gilt das Genehmigungssystem für Rebpflanzungen in diesem Mitgliedstaat ab dem Beginn des Wirtschaftsjahres, das auf das Wirtschaftsjahr folgt, in dem die Bedingung nicht mehr erfüllt ist.“</w:t>
      </w:r>
    </w:p>
    <w:p w:rsidR="004B31C0" w:rsidRPr="001E3A2D" w:rsidRDefault="00EA6F78" w:rsidP="00EA6F78">
      <w:pPr>
        <w:pStyle w:val="Point0"/>
        <w:rPr>
          <w:noProof/>
        </w:rPr>
      </w:pPr>
      <w:r>
        <w:rPr>
          <w:noProof/>
        </w:rPr>
        <w:t>5.</w:t>
      </w:r>
      <w:r>
        <w:rPr>
          <w:noProof/>
        </w:rPr>
        <w:tab/>
      </w:r>
      <w:r w:rsidR="00C23673" w:rsidRPr="001E3A2D">
        <w:rPr>
          <w:noProof/>
        </w:rPr>
        <w:t>Artikel 119 Absatz 1 wird wie folgt geändert:</w:t>
      </w:r>
    </w:p>
    <w:p w:rsidR="00BF0449" w:rsidRPr="001E3A2D" w:rsidRDefault="00EA6F78" w:rsidP="00EA6F78">
      <w:pPr>
        <w:pStyle w:val="Point1"/>
        <w:rPr>
          <w:noProof/>
        </w:rPr>
      </w:pPr>
      <w:r>
        <w:rPr>
          <w:noProof/>
        </w:rPr>
        <w:t>a)</w:t>
      </w:r>
      <w:r>
        <w:rPr>
          <w:noProof/>
        </w:rPr>
        <w:tab/>
      </w:r>
      <w:r w:rsidR="71724A32" w:rsidRPr="001E3A2D">
        <w:rPr>
          <w:noProof/>
        </w:rPr>
        <w:t>Buchstabe a erhält folgende Fassung:</w:t>
      </w:r>
    </w:p>
    <w:p w:rsidR="00BF0449" w:rsidRPr="001E3A2D" w:rsidRDefault="47FD3034" w:rsidP="005C15CC">
      <w:pPr>
        <w:ind w:left="1418"/>
        <w:rPr>
          <w:noProof/>
          <w:color w:val="000000" w:themeColor="text1"/>
        </w:rPr>
      </w:pPr>
      <w:r w:rsidRPr="001E3A2D">
        <w:rPr>
          <w:noProof/>
          <w:color w:val="000000" w:themeColor="text1"/>
        </w:rPr>
        <w:t>„a) die Bezeichnung der Kategorie des Weinbauerzeugnisses gemäß Anhang VII Teil II. Wurden Weinbauerzeugnisse der in Anhang VII Teil II Nummer 1 und Nummern 4 bis 9 festgelegten Kategorien vollständig oder teilweise einer Entalkoholisierung gemäß Anhang VIII Teil I Abschnitt E unterzogen, so wird der Bezeichnung der Kategorie Folgendes vorangestellt:</w:t>
      </w:r>
    </w:p>
    <w:p w:rsidR="007824EE" w:rsidRPr="001E3A2D" w:rsidRDefault="3E10FAE8" w:rsidP="00763598">
      <w:pPr>
        <w:ind w:left="1701"/>
        <w:rPr>
          <w:noProof/>
          <w:color w:val="000000" w:themeColor="text1"/>
        </w:rPr>
      </w:pPr>
      <w:r w:rsidRPr="001E3A2D">
        <w:rPr>
          <w:noProof/>
          <w:color w:val="000000" w:themeColor="text1"/>
        </w:rPr>
        <w:t>i) der Begriff ‚alkoholfreier‘, wenn der vorhandene Alkoholgehalt des Erzeugnisses höchstens 0,5 % vol beträgt, zusammen mit der Angabe 0,0 %, wenn der vorhandene Alkoholgehalt des Erzeugnisses höchstens 0,05 % vol beträgt;</w:t>
      </w:r>
    </w:p>
    <w:p w:rsidR="007824EE" w:rsidRPr="001E3A2D" w:rsidRDefault="66D38386" w:rsidP="00763598">
      <w:pPr>
        <w:ind w:left="1701"/>
        <w:rPr>
          <w:noProof/>
          <w:color w:val="000000" w:themeColor="text1"/>
        </w:rPr>
      </w:pPr>
      <w:r w:rsidRPr="001E3A2D">
        <w:rPr>
          <w:noProof/>
          <w:color w:val="000000" w:themeColor="text1"/>
        </w:rPr>
        <w:t>ii) der Begriff ‚alkoholreduzierter‘, wenn der vorhandene Alkoholgehalt mehr als 0,5 % vol beträgt und mindestens 30 % unter dem vorhandenen Mindestalkoholgehalt der Kategorie vor der Entalkoholisierung liegt.“</w:t>
      </w:r>
    </w:p>
    <w:p w:rsidR="00736036" w:rsidRPr="001E3A2D" w:rsidRDefault="00EA6F78" w:rsidP="00EA6F78">
      <w:pPr>
        <w:pStyle w:val="Point1"/>
        <w:rPr>
          <w:noProof/>
        </w:rPr>
      </w:pPr>
      <w:r>
        <w:rPr>
          <w:noProof/>
        </w:rPr>
        <w:t>b)</w:t>
      </w:r>
      <w:r>
        <w:rPr>
          <w:noProof/>
        </w:rPr>
        <w:tab/>
      </w:r>
      <w:r w:rsidR="683EC9FC" w:rsidRPr="001E3A2D">
        <w:rPr>
          <w:noProof/>
        </w:rPr>
        <w:t>Folgender Buchstabe k wird angefügt:</w:t>
      </w:r>
    </w:p>
    <w:p w:rsidR="005514D9" w:rsidRPr="001E3A2D" w:rsidRDefault="3F36448A" w:rsidP="005D70A8">
      <w:pPr>
        <w:ind w:left="1418"/>
        <w:rPr>
          <w:noProof/>
          <w:color w:val="000000" w:themeColor="text1"/>
        </w:rPr>
      </w:pPr>
      <w:r w:rsidRPr="001E3A2D">
        <w:rPr>
          <w:noProof/>
          <w:color w:val="000000" w:themeColor="text1"/>
        </w:rPr>
        <w:t>„k) bei Weinbauerzeugnissen gemäß Buchstabe a Satz 2 die Angabe ‚durch Entalkoholisierung gewonnen‘.“</w:t>
      </w:r>
    </w:p>
    <w:p w:rsidR="001233B1" w:rsidRPr="001E3A2D" w:rsidRDefault="00EA6F78" w:rsidP="00EA6F78">
      <w:pPr>
        <w:pStyle w:val="Point0"/>
        <w:rPr>
          <w:noProof/>
        </w:rPr>
      </w:pPr>
      <w:bookmarkStart w:id="5" w:name="_Hlk190792048"/>
      <w:r>
        <w:rPr>
          <w:noProof/>
        </w:rPr>
        <w:t>6.</w:t>
      </w:r>
      <w:r>
        <w:rPr>
          <w:noProof/>
        </w:rPr>
        <w:tab/>
      </w:r>
      <w:r w:rsidR="7D7C9765" w:rsidRPr="001E3A2D">
        <w:rPr>
          <w:noProof/>
        </w:rPr>
        <w:t xml:space="preserve">In Artikel 122 Absatz 1 </w:t>
      </w:r>
      <w:bookmarkStart w:id="6" w:name="_Hlk192867601"/>
      <w:r w:rsidR="7D7C9765" w:rsidRPr="001E3A2D">
        <w:rPr>
          <w:noProof/>
        </w:rPr>
        <w:t xml:space="preserve">Buchstabe d </w:t>
      </w:r>
      <w:bookmarkEnd w:id="5"/>
      <w:bookmarkEnd w:id="6"/>
      <w:r w:rsidR="7D7C9765" w:rsidRPr="001E3A2D">
        <w:rPr>
          <w:noProof/>
        </w:rPr>
        <w:t>werden folgende Ziffern angefügt:</w:t>
      </w:r>
    </w:p>
    <w:p w:rsidR="001233B1" w:rsidRPr="001E3A2D" w:rsidRDefault="5A621FB9" w:rsidP="00057565">
      <w:pPr>
        <w:ind w:left="851"/>
        <w:rPr>
          <w:noProof/>
          <w:color w:val="000000" w:themeColor="text1"/>
        </w:rPr>
      </w:pPr>
      <w:r w:rsidRPr="001E3A2D">
        <w:rPr>
          <w:noProof/>
          <w:color w:val="000000" w:themeColor="text1"/>
        </w:rPr>
        <w:t>„v) die auf der Verpackung oder einem daran befestigten Etikett auf elektronischem Wege bereitgestellten Verweise gemäß Artikel 119 Absätze 4 und 5, auch mittels eines Piktogramms oder Symbols anstelle von Text;</w:t>
      </w:r>
    </w:p>
    <w:p w:rsidR="001233B1" w:rsidRPr="001E3A2D" w:rsidRDefault="3EE6F9DA" w:rsidP="00057565">
      <w:pPr>
        <w:ind w:left="851"/>
        <w:rPr>
          <w:noProof/>
          <w:color w:val="000000" w:themeColor="text1"/>
        </w:rPr>
      </w:pPr>
      <w:r w:rsidRPr="001E3A2D">
        <w:rPr>
          <w:noProof/>
          <w:color w:val="000000" w:themeColor="text1"/>
        </w:rPr>
        <w:t xml:space="preserve">vi) </w:t>
      </w:r>
      <w:bookmarkStart w:id="7" w:name="_Hlk192867956"/>
      <w:r w:rsidRPr="001E3A2D">
        <w:rPr>
          <w:noProof/>
          <w:color w:val="000000" w:themeColor="text1"/>
        </w:rPr>
        <w:t>die Form und Darstellung der auf elektronischem Wege bereitgestellten Angaben zur Vereinfachung der Aufmachung, zur Anpassung an künftige technologische Fortschritte bzw. neue unionsweite oder nationale gesetzliche Vorgaben für Verbraucherinformationen oder zur Verbesserung der Zugänglichkeit für Verbraucher.“</w:t>
      </w:r>
      <w:bookmarkEnd w:id="7"/>
    </w:p>
    <w:p w:rsidR="009057F6" w:rsidRPr="001E3A2D" w:rsidRDefault="00EA6F78" w:rsidP="00EA6F78">
      <w:pPr>
        <w:pStyle w:val="Point0"/>
        <w:rPr>
          <w:noProof/>
        </w:rPr>
      </w:pPr>
      <w:r>
        <w:rPr>
          <w:noProof/>
        </w:rPr>
        <w:t>7.</w:t>
      </w:r>
      <w:r>
        <w:rPr>
          <w:noProof/>
        </w:rPr>
        <w:tab/>
      </w:r>
      <w:r w:rsidR="009057F6" w:rsidRPr="001E3A2D">
        <w:rPr>
          <w:noProof/>
        </w:rPr>
        <w:t>Artikel 167 Absatz 1 Unterabsatz 1 erhält folgende Fassung:</w:t>
      </w:r>
    </w:p>
    <w:p w:rsidR="00902163" w:rsidRPr="001E3A2D" w:rsidRDefault="07BF9380" w:rsidP="39C5442A">
      <w:pPr>
        <w:ind w:left="851"/>
        <w:rPr>
          <w:noProof/>
          <w:color w:val="000000" w:themeColor="text1"/>
        </w:rPr>
      </w:pPr>
      <w:r w:rsidRPr="001E3A2D">
        <w:rPr>
          <w:noProof/>
          <w:color w:val="000000" w:themeColor="text1"/>
        </w:rPr>
        <w:t>„(1) Im Hinblick auf ein besseres und stabileres Funktionieren des gemeinsamen Marktes für Weine, einschließlich der Weintrauben, Traubenmoste und Weine, von denen sie stammen, können die Erzeugermitgliedstaaten Vermarktungsregeln zur Steuerung des Angebots festlegen, einschließlich der Festsetzung von Höchsterträgen und der Festlegung von Vorschriften für die Bewirtschaftung von Beständen. Die Mitgliedstaaten berücksichtigen Vorschläge von gemäß den Artikeln 152 und 154 anerkannten Erzeugerorganisationen oder gemäß den Artikeln 157 und 158 anerkannten Branchenverbänden, wenn diese Organisationen im Einklang mit Artikel 164 Absatz 3 als repräsentativ für den Weinsektor in dem oder den Wirtschaftsgebieten gelten, in dem/denen die Vorschriften angewendet werden sollen.“</w:t>
      </w:r>
    </w:p>
    <w:p w:rsidR="00756633" w:rsidRPr="001E3A2D" w:rsidRDefault="00EA6F78" w:rsidP="00EA6F78">
      <w:pPr>
        <w:pStyle w:val="Point0"/>
        <w:rPr>
          <w:noProof/>
        </w:rPr>
      </w:pPr>
      <w:r>
        <w:rPr>
          <w:noProof/>
        </w:rPr>
        <w:t>8.</w:t>
      </w:r>
      <w:r>
        <w:rPr>
          <w:noProof/>
        </w:rPr>
        <w:tab/>
      </w:r>
      <w:r w:rsidR="005417E7" w:rsidRPr="001E3A2D">
        <w:rPr>
          <w:noProof/>
        </w:rPr>
        <w:t>Artikel 216 wird wie folgt geändert:</w:t>
      </w:r>
    </w:p>
    <w:p w:rsidR="005417E7" w:rsidRPr="001E3A2D" w:rsidRDefault="00EA6F78" w:rsidP="00EA6F78">
      <w:pPr>
        <w:pStyle w:val="Point1"/>
        <w:rPr>
          <w:noProof/>
        </w:rPr>
      </w:pPr>
      <w:r>
        <w:rPr>
          <w:noProof/>
        </w:rPr>
        <w:t>a)</w:t>
      </w:r>
      <w:r>
        <w:rPr>
          <w:noProof/>
        </w:rPr>
        <w:tab/>
      </w:r>
      <w:r w:rsidR="00354E17" w:rsidRPr="001E3A2D">
        <w:rPr>
          <w:noProof/>
        </w:rPr>
        <w:t>Die Überschrift erhält folgende Fassung:</w:t>
      </w:r>
    </w:p>
    <w:p w:rsidR="00354E17" w:rsidRPr="001E3A2D" w:rsidRDefault="00354E17" w:rsidP="004D5D33">
      <w:pPr>
        <w:ind w:left="851"/>
        <w:rPr>
          <w:b/>
          <w:bCs/>
          <w:i/>
          <w:iCs/>
          <w:noProof/>
        </w:rPr>
      </w:pPr>
      <w:r w:rsidRPr="001E3A2D">
        <w:rPr>
          <w:b/>
          <w:i/>
          <w:noProof/>
        </w:rPr>
        <w:t>„Nationale Zahlungen für die Destillation von Wein, die grüne Weinlese oder die Rodung in begründeten Krisenfällen“</w:t>
      </w:r>
    </w:p>
    <w:p w:rsidR="00354E17" w:rsidRPr="001E3A2D" w:rsidRDefault="00EA6F78" w:rsidP="00EA6F78">
      <w:pPr>
        <w:pStyle w:val="Point1"/>
        <w:rPr>
          <w:noProof/>
        </w:rPr>
      </w:pPr>
      <w:r>
        <w:rPr>
          <w:noProof/>
        </w:rPr>
        <w:t>b)</w:t>
      </w:r>
      <w:r>
        <w:rPr>
          <w:noProof/>
        </w:rPr>
        <w:tab/>
      </w:r>
      <w:r w:rsidR="00354E17" w:rsidRPr="001E3A2D">
        <w:rPr>
          <w:noProof/>
        </w:rPr>
        <w:t>Absatz 1 erhält folgende Fassung:</w:t>
      </w:r>
    </w:p>
    <w:p w:rsidR="00A853F4" w:rsidRPr="001E3A2D" w:rsidRDefault="00354E17" w:rsidP="59411A2E">
      <w:pPr>
        <w:ind w:left="851"/>
        <w:rPr>
          <w:noProof/>
        </w:rPr>
      </w:pPr>
      <w:r w:rsidRPr="001E3A2D">
        <w:rPr>
          <w:noProof/>
        </w:rPr>
        <w:t>„(1) Die Mitgliedstaaten können Weinerzeugern nationale Zahlungen für die freiwillige oder obligatorische Destillation von Wein, die freiwillige grüne Weinlese und die freiwillige Rodung produktiver Rebflächen in begründeten Krisenfällen gewähren.</w:t>
      </w:r>
    </w:p>
    <w:p w:rsidR="00902163" w:rsidRPr="001E3A2D" w:rsidRDefault="1C211702" w:rsidP="00702974">
      <w:pPr>
        <w:ind w:left="851"/>
        <w:rPr>
          <w:noProof/>
        </w:rPr>
      </w:pPr>
      <w:r w:rsidRPr="001E3A2D">
        <w:rPr>
          <w:noProof/>
        </w:rPr>
        <w:t>Für die Zwecke dieses Artikels bezeichnet ‚grüne Weinlese‘ die vollständige Vernichtung oder Entfernung noch unreifer Traubenbüschel, wodurch der Ertrag der betreffenden Fläche auf null gesenkt wird, unter Ausschluss des Nichterntens, d. h. des Verzichts auf die Ernte gewerblich angebauter Weintrauben am Ende des normalen Produktionszyklus.</w:t>
      </w:r>
    </w:p>
    <w:p w:rsidR="00354E17" w:rsidRPr="001E3A2D" w:rsidRDefault="6BE373C3" w:rsidP="00702974">
      <w:pPr>
        <w:ind w:left="851"/>
        <w:rPr>
          <w:noProof/>
        </w:rPr>
      </w:pPr>
      <w:r w:rsidRPr="001E3A2D">
        <w:rPr>
          <w:noProof/>
        </w:rPr>
        <w:t>Die in Unterabsatz 1 genannten Zahlungen dürfen die Kosten des Erzeugnisses, soweit relevant, und der betreffenden Maßnahme zuzüglich eines Anreizes, eine solche Maßnahme zur Bewältigung der Krise durchzuführen, nicht übersteigen.</w:t>
      </w:r>
    </w:p>
    <w:p w:rsidR="00354E17" w:rsidRPr="001E3A2D" w:rsidRDefault="00354E17" w:rsidP="00702974">
      <w:pPr>
        <w:ind w:left="851"/>
        <w:rPr>
          <w:noProof/>
        </w:rPr>
      </w:pPr>
      <w:r w:rsidRPr="001E3A2D">
        <w:rPr>
          <w:noProof/>
        </w:rPr>
        <w:t>Der Gesamtbetrag, der in einem Mitgliedstaat in einem bestimmten Jahr für nationale Zahlungen für die Destillation und die grüne Weinlese bereitgestellt wird, darf 20 % der für den betreffenden Mitgliedstaat in Anhang VII der Verordnung (EU) 2021/2115 für das betreffende Jahr insgesamt festgesetzten Mittel nicht übersteigen.“</w:t>
      </w:r>
    </w:p>
    <w:p w:rsidR="004E3EC5" w:rsidRPr="001E3A2D" w:rsidRDefault="00EA6F78" w:rsidP="00EA6F78">
      <w:pPr>
        <w:pStyle w:val="Point1"/>
        <w:rPr>
          <w:noProof/>
        </w:rPr>
      </w:pPr>
      <w:r>
        <w:rPr>
          <w:noProof/>
        </w:rPr>
        <w:t>c)</w:t>
      </w:r>
      <w:r>
        <w:rPr>
          <w:noProof/>
        </w:rPr>
        <w:tab/>
      </w:r>
      <w:r w:rsidR="00173FD4" w:rsidRPr="001E3A2D">
        <w:rPr>
          <w:noProof/>
        </w:rPr>
        <w:t>Absatz 2 erhält folgende Fassung:</w:t>
      </w:r>
    </w:p>
    <w:p w:rsidR="00342335" w:rsidRPr="001E3A2D" w:rsidRDefault="58BB578D" w:rsidP="00586D12">
      <w:pPr>
        <w:ind w:left="851"/>
        <w:rPr>
          <w:noProof/>
        </w:rPr>
      </w:pPr>
      <w:r w:rsidRPr="001E3A2D">
        <w:rPr>
          <w:noProof/>
        </w:rPr>
        <w:t xml:space="preserve">„(2) Mitgliedstaaten, die die nationalen Zahlungen gemäß Absatz 1 anwenden wollen, übermitteln der Kommission eine mit Gründen versehene Mitteilung. In ihren Mitteilungen begründen die Mitgliedstaaten die Angemessenheit der Maßnahme, deren Laufzeit, die Unterstützungsbeträge und weitere Modalitäten anhand ihrer besonderen Marktgegebenheiten und derjenigen der Weinregionen, in denen die Maßnahme durchgeführt werden soll. </w:t>
      </w:r>
    </w:p>
    <w:p w:rsidR="0989D64A" w:rsidRPr="001E3A2D" w:rsidRDefault="0989D64A" w:rsidP="03C658C3">
      <w:pPr>
        <w:ind w:left="851"/>
        <w:rPr>
          <w:noProof/>
          <w:color w:val="000000" w:themeColor="text1"/>
        </w:rPr>
      </w:pPr>
      <w:r w:rsidRPr="001E3A2D">
        <w:rPr>
          <w:noProof/>
          <w:color w:val="000000" w:themeColor="text1"/>
        </w:rPr>
        <w:t>Die Kommission entscheidet ohne Anwendung des in Artikel 229 Absatz 2 oder 3 genannten Verfahrens, ob der Betrag, die Laufzeit und die anderen Modalitäten der Maßnahme gebilligt werden und ob die Zahlungen an die Weinerzeuger gewährt werden können.“</w:t>
      </w:r>
    </w:p>
    <w:p w:rsidR="00354E17" w:rsidRPr="001E3A2D" w:rsidRDefault="00EA6F78" w:rsidP="00EA6F78">
      <w:pPr>
        <w:pStyle w:val="Point1"/>
        <w:rPr>
          <w:noProof/>
        </w:rPr>
      </w:pPr>
      <w:r>
        <w:rPr>
          <w:noProof/>
        </w:rPr>
        <w:t>d)</w:t>
      </w:r>
      <w:r>
        <w:rPr>
          <w:noProof/>
        </w:rPr>
        <w:tab/>
      </w:r>
      <w:r w:rsidR="00354E17" w:rsidRPr="001E3A2D">
        <w:rPr>
          <w:noProof/>
        </w:rPr>
        <w:t>Absatz 4 erhält folgende Fassung:</w:t>
      </w:r>
    </w:p>
    <w:p w:rsidR="00354E17" w:rsidRPr="001E3A2D" w:rsidRDefault="17C6E186" w:rsidP="50338CB5">
      <w:pPr>
        <w:ind w:left="851"/>
        <w:rPr>
          <w:noProof/>
        </w:rPr>
      </w:pPr>
      <w:r w:rsidRPr="001E3A2D">
        <w:rPr>
          <w:noProof/>
        </w:rPr>
        <w:t>„(4) Die Kommission kann delegierte Rechtsakte gemäß Artikel 227 erlassen, um diesen Artikel durch Festlegung von Vorschriften über Mindestanforderungen an das Vorliegen einer Krisensituation und die Berechnung der nationalen Zahlungen zu ergänzen.“</w:t>
      </w:r>
    </w:p>
    <w:p w:rsidR="004B1F74" w:rsidRPr="001E3A2D" w:rsidRDefault="00EA6F78" w:rsidP="00EA6F78">
      <w:pPr>
        <w:pStyle w:val="Point0"/>
        <w:rPr>
          <w:noProof/>
        </w:rPr>
      </w:pPr>
      <w:r>
        <w:rPr>
          <w:noProof/>
        </w:rPr>
        <w:t>9.</w:t>
      </w:r>
      <w:r>
        <w:rPr>
          <w:noProof/>
        </w:rPr>
        <w:tab/>
      </w:r>
      <w:r w:rsidR="2A76818E" w:rsidRPr="001E3A2D">
        <w:rPr>
          <w:noProof/>
        </w:rPr>
        <w:t>In Anhang VII Teil II wird dem einleitenden Teil folgender Absatz als Unterabsatz 2 angefügt:</w:t>
      </w:r>
    </w:p>
    <w:p w:rsidR="00302B65" w:rsidRPr="001E3A2D" w:rsidRDefault="4A6E01A2" w:rsidP="00F75E95">
      <w:pPr>
        <w:ind w:left="851"/>
        <w:rPr>
          <w:noProof/>
        </w:rPr>
      </w:pPr>
      <w:r w:rsidRPr="001E3A2D">
        <w:rPr>
          <w:noProof/>
        </w:rPr>
        <w:t>„Die unter den Nummern 4 und 7 genannten Weinbauerzeugnisse können auch durch eine zweite Gärung entalkoholisierter oder teilweise entalkoholisierter Weine gemäß Nummer 1 oder durch Zusatz von Kohlendioxid zu solchen Weinen gewonnen werden.“</w:t>
      </w:r>
    </w:p>
    <w:p w:rsidR="006323D5" w:rsidRPr="001E3A2D" w:rsidRDefault="006323D5" w:rsidP="00A928E9">
      <w:pPr>
        <w:pStyle w:val="Titrearticle"/>
        <w:rPr>
          <w:b/>
          <w:bCs/>
          <w:noProof/>
        </w:rPr>
      </w:pPr>
      <w:r w:rsidRPr="001E3A2D">
        <w:rPr>
          <w:noProof/>
        </w:rPr>
        <w:t xml:space="preserve">Artikel 2 </w:t>
      </w:r>
      <w:r w:rsidRPr="001E3A2D">
        <w:rPr>
          <w:noProof/>
        </w:rPr>
        <w:br/>
      </w:r>
      <w:r w:rsidRPr="001E3A2D">
        <w:rPr>
          <w:b/>
          <w:noProof/>
        </w:rPr>
        <w:t>Änderungen der Verordnung (EU) Nr. 251/2014</w:t>
      </w:r>
    </w:p>
    <w:p w:rsidR="00567E4D" w:rsidRPr="001E3A2D" w:rsidRDefault="00567E4D" w:rsidP="00B976BF">
      <w:pPr>
        <w:rPr>
          <w:noProof/>
        </w:rPr>
      </w:pPr>
      <w:r w:rsidRPr="001E3A2D">
        <w:rPr>
          <w:noProof/>
        </w:rPr>
        <w:t>Die Verordnung (EU) Nr. 251/2014 wird wie folgt geändert:</w:t>
      </w:r>
    </w:p>
    <w:p w:rsidR="00567E4D" w:rsidRPr="001E3A2D" w:rsidRDefault="00EA6F78" w:rsidP="00EA6F78">
      <w:pPr>
        <w:pStyle w:val="Point0"/>
        <w:rPr>
          <w:noProof/>
        </w:rPr>
      </w:pPr>
      <w:r>
        <w:rPr>
          <w:noProof/>
        </w:rPr>
        <w:t>1.</w:t>
      </w:r>
      <w:r>
        <w:rPr>
          <w:noProof/>
        </w:rPr>
        <w:tab/>
      </w:r>
      <w:r w:rsidR="0F3F1E94" w:rsidRPr="001E3A2D">
        <w:rPr>
          <w:noProof/>
        </w:rPr>
        <w:t>In Artikel 3 wird folgender Absatz angefügt:</w:t>
      </w:r>
    </w:p>
    <w:p w:rsidR="00937C58" w:rsidRPr="001E3A2D" w:rsidRDefault="3C23C1C1" w:rsidP="004C01FD">
      <w:pPr>
        <w:ind w:left="851"/>
        <w:rPr>
          <w:noProof/>
        </w:rPr>
      </w:pPr>
      <w:r w:rsidRPr="001E3A2D">
        <w:rPr>
          <w:noProof/>
        </w:rPr>
        <w:t>„(5) Abweichend von den in Absatz 2 Buchstabe g, Absatz 3 Buchstabe g und Absatz 4 Buchstabe f sowie in Anhang II für jede Erzeugniskategorie festgelegten Mindestalkoholgehalten dürfen aromatisierte Weinerzeugnisse einen niedrigeren vorhandenen Alkoholgehalt aufweisen, wenn sie aus Weinbauerzeugnissen gewonnen werden, die vollständig oder teilweise einer Entalkoholisierung gemäß Anhang VIII Teil I Abschnitt E der Verordnung (EU) Nr. 1308/2013 unterzogen wurden.“</w:t>
      </w:r>
    </w:p>
    <w:p w:rsidR="00586D12" w:rsidRPr="001E3A2D" w:rsidRDefault="00EA6F78" w:rsidP="00EA6F78">
      <w:pPr>
        <w:pStyle w:val="Point0"/>
        <w:rPr>
          <w:noProof/>
        </w:rPr>
      </w:pPr>
      <w:r>
        <w:rPr>
          <w:noProof/>
        </w:rPr>
        <w:t>2.</w:t>
      </w:r>
      <w:r>
        <w:rPr>
          <w:noProof/>
        </w:rPr>
        <w:tab/>
      </w:r>
      <w:r w:rsidR="449231C6" w:rsidRPr="001E3A2D">
        <w:rPr>
          <w:noProof/>
        </w:rPr>
        <w:t>In Artikel 5 wird folgender Absatz angefügt:</w:t>
      </w:r>
    </w:p>
    <w:p w:rsidR="00567E4D" w:rsidRPr="001E3A2D" w:rsidRDefault="196E5E01" w:rsidP="00586D12">
      <w:pPr>
        <w:ind w:left="851"/>
        <w:rPr>
          <w:rFonts w:eastAsia="Times New Roman"/>
          <w:noProof/>
        </w:rPr>
      </w:pPr>
      <w:r w:rsidRPr="001E3A2D">
        <w:rPr>
          <w:noProof/>
        </w:rPr>
        <w:t>„(1a) Werden aromatisierte Weinerzeugnisse aus Weinbauerzeugnissen gewonnen, die vollständig oder teilweise einer Entalkoholisierung gemäß Anhang VIII Teil I Abschnitt E der Verordnung (EU) Nr. 1308/2013 unterzogen wurden, so werden ihre Verkehrsbezeichnungen unter denselben Bedingungen durch dieselben Begriffe ergänzt, wie sie für diese Weinbauerzeugnisse in Artikel 119 Absatz 1 Buchstabe a Satz 2 und in Artikel 119 Absatz 1 Buchstabe k der Verordnung (EU) Nr. 1308/2013 festgelegt sind.“</w:t>
      </w:r>
    </w:p>
    <w:p w:rsidR="00567E4D" w:rsidRPr="001E3A2D" w:rsidRDefault="00EA6F78" w:rsidP="00EA6F78">
      <w:pPr>
        <w:pStyle w:val="Point0"/>
        <w:rPr>
          <w:noProof/>
        </w:rPr>
      </w:pPr>
      <w:r>
        <w:rPr>
          <w:noProof/>
        </w:rPr>
        <w:t>3.</w:t>
      </w:r>
      <w:r>
        <w:rPr>
          <w:noProof/>
        </w:rPr>
        <w:tab/>
      </w:r>
      <w:r w:rsidR="3D91AF57" w:rsidRPr="001E3A2D">
        <w:rPr>
          <w:noProof/>
        </w:rPr>
        <w:t>In Artikel 6a wird folgender Absatz angefügt:</w:t>
      </w:r>
    </w:p>
    <w:p w:rsidR="00567E4D" w:rsidRPr="001E3A2D" w:rsidRDefault="561027E1" w:rsidP="3F0E9C9A">
      <w:pPr>
        <w:ind w:left="851"/>
        <w:rPr>
          <w:rFonts w:eastAsia="Times New Roman"/>
          <w:noProof/>
        </w:rPr>
      </w:pPr>
      <w:r w:rsidRPr="001E3A2D">
        <w:rPr>
          <w:noProof/>
        </w:rPr>
        <w:t>„(4a) Um den besonderen Merkmalen des Sektors für aromatisierte Weine Rechnung zu tragen, wird der Kommission die Befugnis übertragen, delegierte Rechtsakte gemäß Artikel 34 Absatz 2 zu erlassen, um diese Verordnung durch Vorschriften zu folgenden Punkten zu ergänzen:</w:t>
      </w:r>
    </w:p>
    <w:p w:rsidR="00567E4D" w:rsidRPr="001E3A2D" w:rsidRDefault="008A0246" w:rsidP="008A0246">
      <w:pPr>
        <w:ind w:left="1134" w:hanging="357"/>
        <w:rPr>
          <w:noProof/>
        </w:rPr>
      </w:pPr>
      <w:r w:rsidRPr="001E3A2D">
        <w:rPr>
          <w:noProof/>
        </w:rPr>
        <w:t>a) den auf der Verpackung oder einem daran befestigten Etikett auf elektronischem Wege bereitgestellten Verweise gemäß den Absätzen 2 und 3, auch mittels eines Piktogramms oder Symbols anstelle von Text;</w:t>
      </w:r>
    </w:p>
    <w:p w:rsidR="00567E4D" w:rsidRPr="001E3A2D" w:rsidRDefault="75588D55" w:rsidP="001B6A52">
      <w:pPr>
        <w:ind w:left="1134" w:hanging="357"/>
        <w:rPr>
          <w:rFonts w:eastAsia="Times New Roman"/>
          <w:noProof/>
        </w:rPr>
      </w:pPr>
      <w:r w:rsidRPr="001E3A2D">
        <w:rPr>
          <w:noProof/>
        </w:rPr>
        <w:t>b) der Form und Darstellung der auf elektronischem Wege bereitgestellten Angaben zur Vereinfachung der Aufmachung, zur Anpassung an künftige technologische Fortschritte bzw. neue unionsweite oder nationale gesetzliche Vorgaben für Verbraucherinformationen oder zur Verbesserung der Zugänglichkeit für Verbraucher.“</w:t>
      </w:r>
    </w:p>
    <w:p w:rsidR="00567E4D" w:rsidRPr="001E3A2D" w:rsidRDefault="00EA6F78" w:rsidP="00EA6F78">
      <w:pPr>
        <w:pStyle w:val="Point0"/>
        <w:rPr>
          <w:noProof/>
        </w:rPr>
      </w:pPr>
      <w:r>
        <w:rPr>
          <w:noProof/>
        </w:rPr>
        <w:t>4.</w:t>
      </w:r>
      <w:r>
        <w:rPr>
          <w:noProof/>
        </w:rPr>
        <w:tab/>
      </w:r>
      <w:r w:rsidR="6E5A7A0D" w:rsidRPr="001E3A2D">
        <w:rPr>
          <w:noProof/>
        </w:rPr>
        <w:t>Anhang II Teil B Nummer 8 erhält folgende Fassung:</w:t>
      </w:r>
    </w:p>
    <w:p w:rsidR="00567E4D" w:rsidRPr="001E3A2D" w:rsidRDefault="00567E4D" w:rsidP="00F51696">
      <w:pPr>
        <w:ind w:left="851"/>
        <w:rPr>
          <w:rFonts w:eastAsia="Times New Roman"/>
          <w:i/>
          <w:iCs/>
          <w:noProof/>
        </w:rPr>
      </w:pPr>
      <w:r w:rsidRPr="001E3A2D">
        <w:rPr>
          <w:noProof/>
        </w:rPr>
        <w:t>„8. Glühwein</w:t>
      </w:r>
    </w:p>
    <w:p w:rsidR="00567E4D" w:rsidRPr="001E3A2D" w:rsidRDefault="00567E4D" w:rsidP="007753A9">
      <w:pPr>
        <w:ind w:left="851"/>
        <w:rPr>
          <w:rFonts w:eastAsia="Times New Roman"/>
          <w:noProof/>
        </w:rPr>
      </w:pPr>
      <w:r w:rsidRPr="001E3A2D">
        <w:rPr>
          <w:noProof/>
        </w:rPr>
        <w:t>Aromatisiertes weinhaltiges Getränk,</w:t>
      </w:r>
    </w:p>
    <w:p w:rsidR="00567E4D" w:rsidRPr="001E3A2D" w:rsidRDefault="00567E4D" w:rsidP="00220D60">
      <w:pPr>
        <w:pStyle w:val="Tiret1"/>
        <w:numPr>
          <w:ilvl w:val="0"/>
          <w:numId w:val="20"/>
        </w:numPr>
        <w:rPr>
          <w:noProof/>
        </w:rPr>
      </w:pPr>
      <w:r w:rsidRPr="001E3A2D">
        <w:rPr>
          <w:noProof/>
        </w:rPr>
        <w:t>das ausschließlich aus Rot- oder Weiß- oder Roséwein oder einer Kombination dieser Weine gewonnen wird,</w:t>
      </w:r>
    </w:p>
    <w:p w:rsidR="00567E4D" w:rsidRPr="001E3A2D" w:rsidRDefault="00567E4D">
      <w:pPr>
        <w:pStyle w:val="Tiret1"/>
        <w:rPr>
          <w:noProof/>
        </w:rPr>
      </w:pPr>
      <w:r w:rsidRPr="001E3A2D">
        <w:rPr>
          <w:noProof/>
        </w:rPr>
        <w:t>das hauptsächlich mit Zimt oder Gewürznelken oder beidem gewürzt wird und</w:t>
      </w:r>
    </w:p>
    <w:p w:rsidR="00567E4D" w:rsidRPr="001E3A2D" w:rsidRDefault="00567E4D">
      <w:pPr>
        <w:pStyle w:val="Tiret1"/>
        <w:rPr>
          <w:noProof/>
        </w:rPr>
      </w:pPr>
      <w:r w:rsidRPr="001E3A2D">
        <w:rPr>
          <w:noProof/>
        </w:rPr>
        <w:t>bei dem der vorhandene Alkoholgehalt mindestens 7 % vol beträgt.</w:t>
      </w:r>
    </w:p>
    <w:p w:rsidR="00567E4D" w:rsidRPr="001E3A2D" w:rsidRDefault="00567E4D" w:rsidP="00A46DAE">
      <w:pPr>
        <w:ind w:left="851"/>
        <w:rPr>
          <w:rFonts w:eastAsia="Times New Roman"/>
          <w:noProof/>
        </w:rPr>
      </w:pPr>
      <w:r w:rsidRPr="001E3A2D">
        <w:rPr>
          <w:noProof/>
        </w:rPr>
        <w:t>Abgesehen von der Wassermenge, die aufgrund der Anwendung von Anhang I Nummer 2 zugesetzt wird, ist der Zusatz von Wasser untersagt.</w:t>
      </w:r>
    </w:p>
    <w:p w:rsidR="00567E4D" w:rsidRPr="001E3A2D" w:rsidRDefault="00567E4D" w:rsidP="00300927">
      <w:pPr>
        <w:ind w:left="851"/>
        <w:rPr>
          <w:rFonts w:eastAsia="Times New Roman"/>
          <w:noProof/>
        </w:rPr>
      </w:pPr>
      <w:r w:rsidRPr="001E3A2D">
        <w:rPr>
          <w:noProof/>
        </w:rPr>
        <w:t>Im Fall der Zubereitung aus Weißwein muss die Verkehrsbezeichnung „Glühwein“ durch Wörter, die auf die Verwendung von Weißwein hinweisen, beispielsweise das Wort „weiß“, ergänzt werden.</w:t>
      </w:r>
    </w:p>
    <w:p w:rsidR="00567E4D" w:rsidRPr="001E3A2D" w:rsidRDefault="7F3228FE" w:rsidP="00AB704F">
      <w:pPr>
        <w:ind w:left="851"/>
        <w:rPr>
          <w:rFonts w:eastAsia="Times New Roman"/>
          <w:noProof/>
        </w:rPr>
      </w:pPr>
      <w:r w:rsidRPr="001E3A2D">
        <w:rPr>
          <w:noProof/>
        </w:rPr>
        <w:t>Im Fall der Zubereitung ausschließlich aus Roséwein muss die Verkehrsbezeichnung „Glühwein“ durch Wörter, die auf die Verwendung von Roséwein hinweisen, beispielsweise das Wort „rosé“, ergänzt werden. Das Wort „rosé“ darf jedoch nicht verwendet werden, wenn der Glühwein durch Kombination von Rot- und Weißwein oder einem dieser Weine mit Roséwein gewonnen wird.</w:t>
      </w:r>
    </w:p>
    <w:p w:rsidR="00567E4D" w:rsidRPr="001E3A2D" w:rsidRDefault="196E5E01" w:rsidP="00A46DAE">
      <w:pPr>
        <w:ind w:left="851"/>
        <w:rPr>
          <w:rFonts w:eastAsia="Times New Roman"/>
          <w:noProof/>
        </w:rPr>
      </w:pPr>
      <w:r w:rsidRPr="001E3A2D">
        <w:rPr>
          <w:noProof/>
        </w:rPr>
        <w:t>Abweichend von Artikel 5 Absätze 1 und 3 dieser Verordnung darf die Verkehrsbezeichnung „Glühwein“ bei der Aufmachung und Kennzeichnung alkoholischer Getränke verwendet werden, die im Einklang mit den vorstehend genannten Anforderungen hergestellt werden, aber aus gegorenen Getränken auf der Basis anderer Früchte als Trauben gewonnen wurden. In diesem Fall muss die Verkehrsbezeichnung „Glühwein“ durch einen Hinweis, dass der Glühwein aus einem Fruchtwein gewonnen wurde, oder durch einen der folgenden Begriffe ergänzt werden: ‚Heidelbeer-Glühwein‘, ‚Apfel-Glühwein‘ oder ‚Frucht-Glühwein‘.“</w:t>
      </w:r>
    </w:p>
    <w:p w:rsidR="006E0745" w:rsidRPr="001E3A2D" w:rsidRDefault="006E0745" w:rsidP="00A928E9">
      <w:pPr>
        <w:pStyle w:val="Titrearticle"/>
        <w:rPr>
          <w:b/>
          <w:bCs/>
          <w:noProof/>
        </w:rPr>
      </w:pPr>
      <w:r w:rsidRPr="001E3A2D">
        <w:rPr>
          <w:noProof/>
        </w:rPr>
        <w:t xml:space="preserve">Artikel 3 </w:t>
      </w:r>
      <w:r w:rsidRPr="001E3A2D">
        <w:rPr>
          <w:noProof/>
        </w:rPr>
        <w:br/>
      </w:r>
      <w:r w:rsidRPr="001E3A2D">
        <w:rPr>
          <w:b/>
          <w:noProof/>
        </w:rPr>
        <w:t xml:space="preserve">Änderungen der </w:t>
      </w:r>
      <w:bookmarkStart w:id="8" w:name="_Hlk192867569"/>
      <w:r w:rsidRPr="001E3A2D">
        <w:rPr>
          <w:b/>
          <w:noProof/>
        </w:rPr>
        <w:t>Verordnung (EU) 2021/2115</w:t>
      </w:r>
      <w:bookmarkEnd w:id="8"/>
    </w:p>
    <w:p w:rsidR="00150DAF" w:rsidRPr="001E3A2D" w:rsidRDefault="00150DAF" w:rsidP="003C79BF">
      <w:pPr>
        <w:rPr>
          <w:noProof/>
        </w:rPr>
      </w:pPr>
      <w:r w:rsidRPr="001E3A2D">
        <w:rPr>
          <w:noProof/>
        </w:rPr>
        <w:t>Die Verordnung (EU) 2021/2115 wird wie folgt geändert:</w:t>
      </w:r>
    </w:p>
    <w:p w:rsidR="009A172D" w:rsidRPr="001E3A2D" w:rsidRDefault="00EA6F78" w:rsidP="00EA6F78">
      <w:pPr>
        <w:pStyle w:val="Point0"/>
        <w:rPr>
          <w:noProof/>
        </w:rPr>
      </w:pPr>
      <w:r>
        <w:rPr>
          <w:noProof/>
        </w:rPr>
        <w:t>1.</w:t>
      </w:r>
      <w:r>
        <w:rPr>
          <w:noProof/>
        </w:rPr>
        <w:tab/>
      </w:r>
      <w:r w:rsidR="69566B76" w:rsidRPr="001E3A2D">
        <w:rPr>
          <w:noProof/>
        </w:rPr>
        <w:t>Artikel 58 Absatz 1 wird wie folgt geändert:</w:t>
      </w:r>
    </w:p>
    <w:p w:rsidR="00114A4D" w:rsidRPr="001E3A2D" w:rsidRDefault="00EA6F78" w:rsidP="00EA6F78">
      <w:pPr>
        <w:pStyle w:val="Point1"/>
        <w:rPr>
          <w:noProof/>
        </w:rPr>
      </w:pPr>
      <w:r>
        <w:rPr>
          <w:noProof/>
        </w:rPr>
        <w:t>a)</w:t>
      </w:r>
      <w:r>
        <w:rPr>
          <w:noProof/>
        </w:rPr>
        <w:tab/>
      </w:r>
      <w:r w:rsidR="00114A4D" w:rsidRPr="001E3A2D">
        <w:rPr>
          <w:noProof/>
        </w:rPr>
        <w:t>Buchstabe i erhält folgende Fassung:</w:t>
      </w:r>
    </w:p>
    <w:p w:rsidR="5E54C1E8" w:rsidRPr="001E3A2D" w:rsidRDefault="5E54C1E8" w:rsidP="03C658C3">
      <w:pPr>
        <w:ind w:left="1418"/>
        <w:rPr>
          <w:noProof/>
        </w:rPr>
      </w:pPr>
      <w:r w:rsidRPr="001E3A2D">
        <w:rPr>
          <w:noProof/>
        </w:rPr>
        <w:t>„i) Maßnahmen durch von den Mitgliedstaaten gemäß der Verordnung (EU) Nr. 1308/2013 anerkannte Branchenverbände im Weinsektor oder durch Erzeugerorganisationen, die geschützte Ursprungsbezeichnungen und geschützte geografische Angaben gemäß der Verordnung (EU) 2024/1143* verwalten, die darauf ausgerichtet sind, das Ansehen der Weinbaubetriebe der Union durch Förderung des Weintourismus in den Anbauregionen zu stärken;</w:t>
      </w:r>
    </w:p>
    <w:p w:rsidR="002F24E3" w:rsidRPr="001E3A2D" w:rsidRDefault="002F24E3" w:rsidP="002F24E3">
      <w:pPr>
        <w:ind w:left="1350"/>
        <w:rPr>
          <w:noProof/>
        </w:rPr>
      </w:pPr>
      <w:r w:rsidRPr="001E3A2D">
        <w:rPr>
          <w:noProof/>
        </w:rPr>
        <w:t>_______________________</w:t>
      </w:r>
    </w:p>
    <w:p w:rsidR="002F24E3" w:rsidRPr="001E3A2D" w:rsidRDefault="00D6311E" w:rsidP="002F24E3">
      <w:pPr>
        <w:spacing w:before="0" w:after="160" w:line="257" w:lineRule="auto"/>
        <w:ind w:left="1350"/>
        <w:rPr>
          <w:rFonts w:eastAsia="Times New Roman"/>
          <w:noProof/>
        </w:rPr>
      </w:pPr>
      <w:r>
        <w:rPr>
          <w:noProof/>
        </w:rPr>
        <w:pict w14:anchorId="299E7682">
          <v:rect id="_x0000_i1026" style="width:0;height:1.5pt" o:hralign="center" o:hrstd="t" o:hr="t" fillcolor="#a0a0a0" stroked="f"/>
        </w:pict>
      </w:r>
    </w:p>
    <w:p w:rsidR="00B43FE7" w:rsidRPr="001E3A2D" w:rsidRDefault="5E54C1E8" w:rsidP="03C658C3">
      <w:pPr>
        <w:ind w:left="1418"/>
        <w:rPr>
          <w:noProof/>
        </w:rPr>
      </w:pPr>
      <w:r w:rsidRPr="001E3A2D">
        <w:rPr>
          <w:noProof/>
        </w:rPr>
        <w:t xml:space="preserve">* Verordnung (EU) 2024/1143 des Europäischen Parlaments und des Rates vom 11. April 2024 über geografische Angaben für Wein, Spirituosen und landwirtschaftliche Erzeugnisse und über garantiert traditionelle Spezialitäten und fakultative Qualitätsangaben für landwirtschaftliche Erzeugnisse sowie zur Änderung der Verordnungen (EU) Nr. 1308/2013, (EU) 2019/787 und (EU) 2019/1753 und zur Aufhebung der Verordnung (EU) Nr. 1151/2012 (ABl. L, 2024/1143, 23.4.2024, ELI: </w:t>
      </w:r>
      <w:hyperlink r:id="rId19" w:history="1">
        <w:r w:rsidRPr="001E3A2D">
          <w:rPr>
            <w:rStyle w:val="Hyperlink"/>
            <w:noProof/>
          </w:rPr>
          <w:t>http://data.europa.eu/eli/reg/2024/1143/oj</w:t>
        </w:r>
      </w:hyperlink>
      <w:r w:rsidRPr="001E3A2D">
        <w:rPr>
          <w:noProof/>
        </w:rPr>
        <w:t>).“</w:t>
      </w:r>
    </w:p>
    <w:p w:rsidR="00B43FE7" w:rsidRPr="001E3A2D" w:rsidRDefault="00B43FE7" w:rsidP="002F4D51">
      <w:pPr>
        <w:ind w:left="1418"/>
        <w:rPr>
          <w:rFonts w:eastAsia="Times New Roman"/>
          <w:noProof/>
        </w:rPr>
      </w:pPr>
    </w:p>
    <w:p w:rsidR="009A172D" w:rsidRPr="001E3A2D" w:rsidRDefault="00EA6F78" w:rsidP="00EA6F78">
      <w:pPr>
        <w:pStyle w:val="Point1"/>
        <w:rPr>
          <w:noProof/>
        </w:rPr>
      </w:pPr>
      <w:r>
        <w:rPr>
          <w:noProof/>
        </w:rPr>
        <w:t>b)</w:t>
      </w:r>
      <w:r>
        <w:rPr>
          <w:noProof/>
        </w:rPr>
        <w:tab/>
      </w:r>
      <w:r w:rsidR="00B3547B" w:rsidRPr="001E3A2D">
        <w:rPr>
          <w:noProof/>
        </w:rPr>
        <w:t>Nach Unterabsatz 1 wird folgender Unterabsatz 2 eingefügt:</w:t>
      </w:r>
    </w:p>
    <w:p w:rsidR="3F63F129" w:rsidRPr="001E3A2D" w:rsidRDefault="3F1651BD" w:rsidP="00A52974">
      <w:pPr>
        <w:ind w:left="1985"/>
        <w:rPr>
          <w:noProof/>
        </w:rPr>
      </w:pPr>
      <w:bookmarkStart w:id="9" w:name="_Hlk192854977"/>
      <w:r w:rsidRPr="001E3A2D">
        <w:rPr>
          <w:noProof/>
        </w:rPr>
        <w:t xml:space="preserve">„Für die Zwecke von Unterabsatz 1 Buchstabe a können die Mitgliedstaaten in ihren GAP-Strategieplänen spezifische Bedingungen für den Weinbau, agronomische oder sonstige Bedingungen festlegen, durch die sichergestellt wird, dass sich der Ertrag auf den Rebflächen, die unter diese Interventionskategorie fallen, nach der Sortenumstellung, der </w:t>
      </w:r>
      <w:r w:rsidR="001E3A2D">
        <w:rPr>
          <w:noProof/>
        </w:rPr>
        <w:t>Um</w:t>
      </w:r>
      <w:r w:rsidRPr="001E3A2D">
        <w:rPr>
          <w:noProof/>
        </w:rPr>
        <w:t>bepflanzung von Rebflächen, der Wiederbepflanzung von Rebflächen oder der Verbesserung der Rebflächenbewirtschaftungstechniken nicht erhöht.“</w:t>
      </w:r>
      <w:bookmarkEnd w:id="9"/>
    </w:p>
    <w:p w:rsidR="005C6698" w:rsidRPr="001E3A2D" w:rsidRDefault="00EA6F78" w:rsidP="00EA6F78">
      <w:pPr>
        <w:pStyle w:val="Point1"/>
        <w:rPr>
          <w:noProof/>
        </w:rPr>
      </w:pPr>
      <w:r>
        <w:rPr>
          <w:noProof/>
        </w:rPr>
        <w:t>c)</w:t>
      </w:r>
      <w:r>
        <w:rPr>
          <w:noProof/>
        </w:rPr>
        <w:tab/>
      </w:r>
      <w:r w:rsidR="25D05732" w:rsidRPr="001E3A2D">
        <w:rPr>
          <w:noProof/>
        </w:rPr>
        <w:t xml:space="preserve">Unterabsatz 2 wird Unterabsatz 3 und erhält folgende Fassung: </w:t>
      </w:r>
    </w:p>
    <w:p w:rsidR="005C6698" w:rsidRPr="001E3A2D" w:rsidRDefault="005C6698" w:rsidP="00A52974">
      <w:pPr>
        <w:ind w:left="1985"/>
        <w:rPr>
          <w:noProof/>
        </w:rPr>
      </w:pPr>
      <w:r w:rsidRPr="001E3A2D">
        <w:rPr>
          <w:noProof/>
        </w:rPr>
        <w:t>„Unterabsatz 1 Buchstabe k betrifft ausschließlich Weine mit geschützter Ursprungsbezeichnung oder geschützter geografischer Angabe oder Weine mit Angabe der Keltertraubensorte. Absatzförderungs- und Kommunikationsmaßnahmen sowie Tätigkeiten zur Konsolidierung der Absatzmärkte sind auf eine nicht verlängerbare Laufzeit von höchstens fünf Jahren beschränkt und beziehen sich ausschließlich auf die Qualitätsregelungen der Union für Ursprungsbezeichnungen und geografische Angaben.“</w:t>
      </w:r>
    </w:p>
    <w:p w:rsidR="009A172D" w:rsidRPr="001E3A2D" w:rsidRDefault="00EA6F78" w:rsidP="00EA6F78">
      <w:pPr>
        <w:pStyle w:val="Point0"/>
        <w:rPr>
          <w:noProof/>
        </w:rPr>
      </w:pPr>
      <w:r>
        <w:rPr>
          <w:noProof/>
        </w:rPr>
        <w:t>2.</w:t>
      </w:r>
      <w:r>
        <w:rPr>
          <w:noProof/>
        </w:rPr>
        <w:tab/>
      </w:r>
      <w:r w:rsidR="2273F4C3" w:rsidRPr="001E3A2D">
        <w:rPr>
          <w:noProof/>
        </w:rPr>
        <w:t>Artikel 59 wird wie folgt geändert:</w:t>
      </w:r>
    </w:p>
    <w:p w:rsidR="009A172D" w:rsidRPr="001E3A2D" w:rsidRDefault="00EA6F78" w:rsidP="00EA6F78">
      <w:pPr>
        <w:pStyle w:val="Point1"/>
        <w:rPr>
          <w:noProof/>
        </w:rPr>
      </w:pPr>
      <w:r>
        <w:rPr>
          <w:noProof/>
        </w:rPr>
        <w:t>a)</w:t>
      </w:r>
      <w:r>
        <w:rPr>
          <w:noProof/>
        </w:rPr>
        <w:tab/>
      </w:r>
      <w:r w:rsidR="009E0CA1" w:rsidRPr="001E3A2D">
        <w:rPr>
          <w:noProof/>
        </w:rPr>
        <w:t>Absatz 2 erhält folgende Fassung:</w:t>
      </w:r>
    </w:p>
    <w:p w:rsidR="009A172D" w:rsidRPr="001E3A2D" w:rsidRDefault="337B1B19" w:rsidP="00985FC5">
      <w:pPr>
        <w:ind w:left="1417"/>
        <w:rPr>
          <w:noProof/>
        </w:rPr>
      </w:pPr>
      <w:r w:rsidRPr="001E3A2D">
        <w:rPr>
          <w:noProof/>
        </w:rPr>
        <w:t>„(2) Die finanzielle Hilfe der Union für Investitionen gemäß Artikel 58 Absatz 1 Unterabsatz 1 Buchstabe b darf die folgenden Obergrenzen nicht überschreiten:</w:t>
      </w:r>
    </w:p>
    <w:p w:rsidR="009A172D" w:rsidRPr="001E3A2D" w:rsidRDefault="639567D4" w:rsidP="0007253C">
      <w:pPr>
        <w:spacing w:before="0" w:after="160" w:line="257" w:lineRule="auto"/>
        <w:ind w:left="1985"/>
        <w:rPr>
          <w:rFonts w:eastAsia="Times New Roman"/>
          <w:noProof/>
        </w:rPr>
      </w:pPr>
      <w:r w:rsidRPr="001E3A2D">
        <w:rPr>
          <w:noProof/>
        </w:rPr>
        <w:t>a) 50 % der förderfähigen Investitionskosten in weniger entwickelten Regionen;</w:t>
      </w:r>
    </w:p>
    <w:p w:rsidR="006A58C5" w:rsidRPr="001E3A2D" w:rsidRDefault="5567EE8F" w:rsidP="0007253C">
      <w:pPr>
        <w:spacing w:before="0" w:after="160" w:line="257" w:lineRule="auto"/>
        <w:ind w:left="2835" w:hanging="850"/>
        <w:rPr>
          <w:rFonts w:eastAsia="Times New Roman"/>
          <w:noProof/>
        </w:rPr>
      </w:pPr>
      <w:r w:rsidRPr="001E3A2D">
        <w:rPr>
          <w:noProof/>
        </w:rPr>
        <w:t>b) 40 % der förderfähigen Investitionskosten in anderen Regionen als weniger entwickelten Regionen;</w:t>
      </w:r>
    </w:p>
    <w:p w:rsidR="006A58C5" w:rsidRPr="001E3A2D" w:rsidRDefault="7CC3098D" w:rsidP="0007253C">
      <w:pPr>
        <w:spacing w:before="0" w:after="160" w:line="257" w:lineRule="auto"/>
        <w:ind w:left="1985"/>
        <w:rPr>
          <w:rFonts w:eastAsia="Times New Roman"/>
          <w:noProof/>
        </w:rPr>
      </w:pPr>
      <w:r w:rsidRPr="001E3A2D">
        <w:rPr>
          <w:noProof/>
        </w:rPr>
        <w:t>c) 75 % der förderfähigen Investitionskosten in den Regionen in äußerster Randlage;</w:t>
      </w:r>
    </w:p>
    <w:p w:rsidR="702FA903" w:rsidRPr="001E3A2D" w:rsidRDefault="70E7D76C" w:rsidP="0007253C">
      <w:pPr>
        <w:spacing w:before="0" w:after="160" w:line="257" w:lineRule="auto"/>
        <w:ind w:left="1985"/>
        <w:rPr>
          <w:rFonts w:eastAsia="Times New Roman"/>
          <w:noProof/>
        </w:rPr>
      </w:pPr>
      <w:r w:rsidRPr="001E3A2D">
        <w:rPr>
          <w:noProof/>
        </w:rPr>
        <w:t>d) 65 % der förderfähigen Investitionskosten auf den kleineren Inseln des Ägäischen Meeres.</w:t>
      </w:r>
    </w:p>
    <w:p w:rsidR="009A172D" w:rsidRPr="001E3A2D" w:rsidRDefault="619A8E31" w:rsidP="00985FC5">
      <w:pPr>
        <w:ind w:left="1417"/>
        <w:rPr>
          <w:rFonts w:eastAsia="Times New Roman"/>
          <w:noProof/>
        </w:rPr>
      </w:pPr>
      <w:r w:rsidRPr="001E3A2D">
        <w:rPr>
          <w:noProof/>
        </w:rPr>
        <w:t>Die finanzielle Hilfe der Union zum Höchstsatz gemäß Unterabsatz 1 wird nur Kleinstunternehmen sowie kleinen und mittleren Unternehmen im Sinne der Empfehlung 2003/361/EG der Kommission** und gemäß der Verordnung (EU) Nr. 1308/2013 anerkannten Erzeugerorganisationen gewährt. Sie kann jedoch allen Unternehmen in den Regionen in äußerster Randlage und auf den kleineren Inseln des Ägäischen Meeres gewährt werden.</w:t>
      </w:r>
    </w:p>
    <w:p w:rsidR="009A172D" w:rsidRPr="001E3A2D" w:rsidRDefault="619A8E31" w:rsidP="00985FC5">
      <w:pPr>
        <w:ind w:left="1417"/>
        <w:rPr>
          <w:rFonts w:eastAsia="Times New Roman"/>
          <w:noProof/>
        </w:rPr>
      </w:pPr>
      <w:r w:rsidRPr="001E3A2D">
        <w:rPr>
          <w:noProof/>
        </w:rPr>
        <w:t>Bei anderen Unternehmen als gemäß der Verordnung (EU) Nr. 1308/2013 anerkannten Erzeugerorganisationen, die nicht unter Artikel 2 Absatz 1 des Anhangs der Empfehlung 2003/361/EG fallen, weniger als 750 Personen beschäftigen oder einen Jahresumsatz von weniger als 200 Mio. EUR erzielen, werden die in Unterabsatz 1 bestimmten Obergrenzen für die finanzielle Hilfe der Union halbiert.</w:t>
      </w:r>
    </w:p>
    <w:p w:rsidR="009F0180" w:rsidRPr="001E3A2D" w:rsidRDefault="0013421C" w:rsidP="009F0180">
      <w:pPr>
        <w:spacing w:before="0" w:after="160" w:line="257" w:lineRule="auto"/>
        <w:ind w:left="1350"/>
        <w:rPr>
          <w:rFonts w:eastAsia="Times New Roman"/>
          <w:noProof/>
        </w:rPr>
      </w:pPr>
      <w:r w:rsidRPr="001E3A2D">
        <w:rPr>
          <w:noProof/>
        </w:rPr>
        <w:t>Abweichend von Unterabsatz 1 kann die finanzielle Hilfe der Union für Investitionen gemäß Artikel 58 Absatz 1 Unterabsatz 1 Buchstabe b auf bis zu 80 % der förderfähigen Investitionskosten für Investitionen im Zusammenhang mit dem Ziel des Beitrags zum Klimaschutz und zur Anpassung an den Klimawandel gemäß Artikel 57 Buchstabe b erhöht werden.</w:t>
      </w:r>
    </w:p>
    <w:p w:rsidR="002B3FE8" w:rsidRPr="001E3A2D" w:rsidRDefault="01183B8E" w:rsidP="03C658C3">
      <w:pPr>
        <w:ind w:left="1350"/>
        <w:rPr>
          <w:noProof/>
        </w:rPr>
      </w:pPr>
      <w:r w:rsidRPr="001E3A2D">
        <w:rPr>
          <w:noProof/>
        </w:rPr>
        <w:t>Unternehmen in Schwierigkeiten im Sinne der Mitteilung der Kommission ‚Leitlinien für staatliche Beihilfen zur Rettung und Umstrukturierung nichtfinanzieller Unternehmen in Schwierigkeiten‘</w:t>
      </w:r>
      <w:r w:rsidRPr="001E3A2D">
        <w:rPr>
          <w:noProof/>
          <w:vertAlign w:val="superscript"/>
        </w:rPr>
        <w:t>***</w:t>
      </w:r>
      <w:r w:rsidRPr="001E3A2D">
        <w:rPr>
          <w:noProof/>
        </w:rPr>
        <w:t xml:space="preserve"> wird keine finanzielle Hilfe der Union gewährt.</w:t>
      </w:r>
    </w:p>
    <w:p w:rsidR="002B3FE8" w:rsidRPr="001E3A2D" w:rsidRDefault="3F51805B" w:rsidP="03C658C3">
      <w:pPr>
        <w:ind w:left="1350"/>
        <w:rPr>
          <w:noProof/>
        </w:rPr>
      </w:pPr>
      <w:r w:rsidRPr="001E3A2D">
        <w:rPr>
          <w:noProof/>
        </w:rPr>
        <w:t>_______________________</w:t>
      </w:r>
    </w:p>
    <w:p w:rsidR="002B3FE8" w:rsidRPr="001E3A2D" w:rsidRDefault="00D6311E" w:rsidP="702FA903">
      <w:pPr>
        <w:spacing w:before="0" w:after="160" w:line="257" w:lineRule="auto"/>
        <w:ind w:left="1350"/>
        <w:rPr>
          <w:rFonts w:eastAsia="Times New Roman"/>
          <w:noProof/>
        </w:rPr>
      </w:pPr>
      <w:r>
        <w:rPr>
          <w:noProof/>
        </w:rPr>
        <w:pict w14:anchorId="3F3514DF">
          <v:rect id="_x0000_i1027" style="width:0;height:1.5pt" o:hralign="center" o:hrstd="t" o:hr="t" fillcolor="#a0a0a0" stroked="f"/>
        </w:pict>
      </w:r>
    </w:p>
    <w:p w:rsidR="009A172D" w:rsidRPr="001E3A2D" w:rsidRDefault="00347D7A" w:rsidP="702FA903">
      <w:pPr>
        <w:spacing w:before="0" w:after="160" w:line="257" w:lineRule="auto"/>
        <w:ind w:left="1350"/>
        <w:rPr>
          <w:rFonts w:eastAsia="Times New Roman"/>
          <w:noProof/>
        </w:rPr>
      </w:pPr>
      <w:r w:rsidRPr="001E3A2D">
        <w:rPr>
          <w:noProof/>
        </w:rPr>
        <w:t xml:space="preserve">** Empfehlung 2003/361/EG der Kommission vom 6. Mai 2003 betreffend die Definition der Kleinstunternehmen sowie der kleinen und mittleren Unternehmen (ABl. L 124 vom 20.5.2003, S. 36, ELI: </w:t>
      </w:r>
      <w:hyperlink r:id="rId20" w:history="1">
        <w:r w:rsidRPr="001E3A2D">
          <w:rPr>
            <w:rStyle w:val="Hyperlink"/>
            <w:noProof/>
          </w:rPr>
          <w:t>http://data.europa.eu/eli/reco/2003/361/oj</w:t>
        </w:r>
      </w:hyperlink>
      <w:r w:rsidRPr="001E3A2D">
        <w:rPr>
          <w:noProof/>
        </w:rPr>
        <w:t>).</w:t>
      </w:r>
    </w:p>
    <w:p w:rsidR="00115563" w:rsidRPr="001E3A2D" w:rsidRDefault="30A318FE" w:rsidP="007F45C5">
      <w:pPr>
        <w:spacing w:before="0" w:after="160" w:line="257" w:lineRule="auto"/>
        <w:ind w:left="1350"/>
        <w:rPr>
          <w:noProof/>
        </w:rPr>
      </w:pPr>
      <w:r w:rsidRPr="001E3A2D">
        <w:rPr>
          <w:noProof/>
        </w:rPr>
        <w:t xml:space="preserve">*** ABl. C 249 vom 31.7.2014, S. 1, ELI: </w:t>
      </w:r>
      <w:hyperlink r:id="rId21" w:history="1">
        <w:r w:rsidRPr="001E3A2D">
          <w:rPr>
            <w:rStyle w:val="Hyperlink"/>
            <w:noProof/>
          </w:rPr>
          <w:t>https://eur-lex.europa.eu/legal-content/DE/TXT/PDF/?uri=CELEX:52014XC0731(01)</w:t>
        </w:r>
      </w:hyperlink>
      <w:r w:rsidRPr="001E3A2D">
        <w:rPr>
          <w:noProof/>
        </w:rPr>
        <w:t>.“</w:t>
      </w:r>
    </w:p>
    <w:p w:rsidR="009A172D" w:rsidRPr="001E3A2D" w:rsidRDefault="00EA6F78" w:rsidP="00EA6F78">
      <w:pPr>
        <w:pStyle w:val="Point1"/>
        <w:rPr>
          <w:noProof/>
        </w:rPr>
      </w:pPr>
      <w:r>
        <w:rPr>
          <w:noProof/>
        </w:rPr>
        <w:t>b)</w:t>
      </w:r>
      <w:r>
        <w:rPr>
          <w:noProof/>
        </w:rPr>
        <w:tab/>
      </w:r>
      <w:r w:rsidR="0D590044" w:rsidRPr="001E3A2D">
        <w:rPr>
          <w:noProof/>
        </w:rPr>
        <w:t>In Absatz 4 wird folgender Unterabsatz angefügt:</w:t>
      </w:r>
    </w:p>
    <w:p w:rsidR="00115563" w:rsidRPr="001E3A2D" w:rsidRDefault="45EA89B5" w:rsidP="00985FC5">
      <w:pPr>
        <w:ind w:left="1417"/>
        <w:rPr>
          <w:noProof/>
        </w:rPr>
      </w:pPr>
      <w:r w:rsidRPr="001E3A2D">
        <w:rPr>
          <w:noProof/>
        </w:rPr>
        <w:t>„Die finanzielle Hilfe der Union für Investitionen gemäß Artikel 58 Absatz 1 Unterabsatz 1 Buchstabe m kann jedoch auf bis zu 80 % der förderfähigen Investitionskosten für Investitionen im Zusammenhang mit dem Ziel des Beitrags zum Klimaschutz und zur Anpassung an den Klimawandel gemäß Artikel 57 Buchstabe b erhöht werden.“</w:t>
      </w:r>
    </w:p>
    <w:p w:rsidR="00115563" w:rsidRPr="001E3A2D" w:rsidRDefault="00EA6F78" w:rsidP="00EA6F78">
      <w:pPr>
        <w:pStyle w:val="Point1"/>
        <w:rPr>
          <w:noProof/>
        </w:rPr>
      </w:pPr>
      <w:r>
        <w:rPr>
          <w:noProof/>
        </w:rPr>
        <w:t>c)</w:t>
      </w:r>
      <w:r>
        <w:rPr>
          <w:noProof/>
        </w:rPr>
        <w:tab/>
      </w:r>
      <w:r w:rsidR="373550B4" w:rsidRPr="001E3A2D">
        <w:rPr>
          <w:noProof/>
        </w:rPr>
        <w:tab/>
        <w:t>Absatz 6 erhält folgende Fassung:</w:t>
      </w:r>
    </w:p>
    <w:p w:rsidR="00CB1597" w:rsidRPr="001E3A2D" w:rsidRDefault="00CB1597" w:rsidP="00985FC5">
      <w:pPr>
        <w:ind w:left="1417"/>
        <w:rPr>
          <w:rFonts w:eastAsia="Times New Roman"/>
          <w:noProof/>
        </w:rPr>
      </w:pPr>
      <w:r w:rsidRPr="001E3A2D">
        <w:rPr>
          <w:noProof/>
        </w:rPr>
        <w:t>„(6)</w:t>
      </w:r>
      <w:r w:rsidRPr="001E3A2D">
        <w:rPr>
          <w:noProof/>
        </w:rPr>
        <w:tab/>
        <w:t>Die finanzielle Hilfe der Union für Innovation gemäß Artikel 58 Absatz 1 Unterabsatz 1 Buchstabe e darf die folgenden Obergrenzen nicht überschreiten:</w:t>
      </w:r>
    </w:p>
    <w:p w:rsidR="004D2154" w:rsidRPr="001E3A2D" w:rsidRDefault="26B3D376" w:rsidP="0007253C">
      <w:pPr>
        <w:spacing w:before="0" w:after="160" w:line="257" w:lineRule="auto"/>
        <w:ind w:left="1985"/>
        <w:rPr>
          <w:rFonts w:eastAsia="Times New Roman"/>
          <w:noProof/>
        </w:rPr>
      </w:pPr>
      <w:r w:rsidRPr="001E3A2D">
        <w:rPr>
          <w:noProof/>
        </w:rPr>
        <w:t>a) 50 % der förderfähigen Investitionskosten in weniger entwickelten Regionen;</w:t>
      </w:r>
    </w:p>
    <w:p w:rsidR="00D16622" w:rsidRPr="001E3A2D" w:rsidRDefault="4AC51DEE" w:rsidP="0007253C">
      <w:pPr>
        <w:spacing w:before="0" w:after="160" w:line="257" w:lineRule="auto"/>
        <w:ind w:left="2835" w:hanging="850"/>
        <w:rPr>
          <w:rFonts w:eastAsia="Times New Roman"/>
          <w:noProof/>
        </w:rPr>
      </w:pPr>
      <w:r w:rsidRPr="001E3A2D">
        <w:rPr>
          <w:noProof/>
        </w:rPr>
        <w:t>b) 40 % der förderfähigen Investitionskosten in anderen Regionen als weniger entwickelten Regionen;</w:t>
      </w:r>
    </w:p>
    <w:p w:rsidR="008B59B2" w:rsidRPr="001E3A2D" w:rsidRDefault="671866A6" w:rsidP="0007253C">
      <w:pPr>
        <w:spacing w:before="0" w:after="160" w:line="257" w:lineRule="auto"/>
        <w:ind w:left="1985"/>
        <w:rPr>
          <w:noProof/>
        </w:rPr>
      </w:pPr>
      <w:r w:rsidRPr="001E3A2D">
        <w:rPr>
          <w:noProof/>
        </w:rPr>
        <w:t>c) 80 % der förderfähigen Investitionskosten in den Regionen in äußerster Randlage;</w:t>
      </w:r>
    </w:p>
    <w:p w:rsidR="006E109B" w:rsidRPr="001E3A2D" w:rsidRDefault="7C1183F3" w:rsidP="0007253C">
      <w:pPr>
        <w:spacing w:before="0" w:after="160" w:line="257" w:lineRule="auto"/>
        <w:ind w:left="1985"/>
        <w:rPr>
          <w:noProof/>
        </w:rPr>
      </w:pPr>
      <w:r w:rsidRPr="001E3A2D">
        <w:rPr>
          <w:noProof/>
        </w:rPr>
        <w:t>d) 65 % der förderfähigen Investitionskosten auf den kleineren Inseln des Ägäischen Meeres.</w:t>
      </w:r>
    </w:p>
    <w:p w:rsidR="00530CEB" w:rsidRPr="001E3A2D" w:rsidRDefault="00530CEB" w:rsidP="00522F8B">
      <w:pPr>
        <w:ind w:left="1417"/>
        <w:rPr>
          <w:rFonts w:eastAsia="Times New Roman"/>
          <w:noProof/>
        </w:rPr>
      </w:pPr>
      <w:r w:rsidRPr="001E3A2D">
        <w:rPr>
          <w:noProof/>
        </w:rPr>
        <w:t>Die finanzielle Hilfe der Union zum Höchstsatz gemäß Unterabsatz 1 wird nur Kleinstunternehmen sowie kleinen und mittleren Unternehmen im Sinne der Empfehlung 2003/361/EG der Kommission und gemäß der Verordnung (EU) Nr. 1308/2013 anerkannten Erzeugerorganisationen gewährt. Sie kann jedoch allen Unternehmen in den Regionen in äußerster Randlage und auf den kleineren Inseln des Ägäischen Meeres gewährt werden.</w:t>
      </w:r>
    </w:p>
    <w:p w:rsidR="00530CEB" w:rsidRPr="001E3A2D" w:rsidRDefault="00530CEB" w:rsidP="00522F8B">
      <w:pPr>
        <w:ind w:left="1417"/>
        <w:rPr>
          <w:rFonts w:eastAsia="Times New Roman"/>
          <w:noProof/>
        </w:rPr>
      </w:pPr>
      <w:r w:rsidRPr="001E3A2D">
        <w:rPr>
          <w:noProof/>
        </w:rPr>
        <w:t>Bei anderen Unternehmen als gemäß der Verordnung (EU) Nr. 1308/2013 anerkannten Erzeugerorganisationen, die nicht unter Artikel 2 Absatz 1 des Anhangs der Empfehlung 2003/361/EG fallen, weniger als 750 Personen beschäftigen oder einen Jahresumsatz von weniger als 200 Mio. EUR erzielen, werden die in Unterabsatz 1 bestimmten Obergrenzen für die finanzielle Hilfe der Union halbiert.</w:t>
      </w:r>
    </w:p>
    <w:p w:rsidR="003F5FB2" w:rsidRPr="001E3A2D" w:rsidRDefault="00716658" w:rsidP="00821FEB">
      <w:pPr>
        <w:ind w:left="1417"/>
        <w:rPr>
          <w:noProof/>
        </w:rPr>
      </w:pPr>
      <w:r w:rsidRPr="001E3A2D">
        <w:rPr>
          <w:noProof/>
        </w:rPr>
        <w:t>Abweichend von Unterabsatz 1 kann die finanzielle Hilfe der Union für Investitionen gemäß Artikel 58 Absatz 1 Unterabsatz 1 Buchstabe e auf bis zu 80 % der förderfähigen Investitionskosten für Investitionen im Zusammenhang mit dem Ziel des Beitrags zum Klimaschutz und zur Anpassung an den Klimawandel gemäß Artikel 57 Buchstabe b erhöht werden.</w:t>
      </w:r>
    </w:p>
    <w:p w:rsidR="009E0CA1" w:rsidRPr="001E3A2D" w:rsidRDefault="4D69BDF9" w:rsidP="009C50CA">
      <w:pPr>
        <w:ind w:left="1417"/>
        <w:rPr>
          <w:rFonts w:eastAsia="Times New Roman"/>
          <w:noProof/>
        </w:rPr>
      </w:pPr>
      <w:r w:rsidRPr="001E3A2D">
        <w:rPr>
          <w:noProof/>
        </w:rPr>
        <w:t>Unternehmen in Schwierigkeiten im Sinne der Mitteilung der Kommission ‚Leitlinien für staatliche Beihilfen zur Rettung und Umstrukturierung nichtfinanzieller Unternehmen in Schwierigkeiten‘ wird keine finanzielle Hilfe der Union gewährt.“</w:t>
      </w:r>
    </w:p>
    <w:p w:rsidR="00AC5A16" w:rsidRPr="001E3A2D" w:rsidRDefault="13980309" w:rsidP="00A928E9">
      <w:pPr>
        <w:pStyle w:val="Titrearticle"/>
        <w:rPr>
          <w:b/>
          <w:bCs/>
          <w:noProof/>
        </w:rPr>
      </w:pPr>
      <w:r w:rsidRPr="001E3A2D">
        <w:rPr>
          <w:noProof/>
        </w:rPr>
        <w:t xml:space="preserve">Artikel 4 </w:t>
      </w:r>
      <w:r w:rsidRPr="001E3A2D">
        <w:rPr>
          <w:noProof/>
        </w:rPr>
        <w:br/>
      </w:r>
      <w:r w:rsidRPr="001E3A2D">
        <w:rPr>
          <w:b/>
          <w:noProof/>
        </w:rPr>
        <w:t xml:space="preserve">Übergangsbestimmung </w:t>
      </w:r>
    </w:p>
    <w:p w:rsidR="00AC5A16" w:rsidRPr="001E3A2D" w:rsidRDefault="21CC7F61" w:rsidP="39A461D7">
      <w:pPr>
        <w:pStyle w:val="Applicationdirecte"/>
        <w:rPr>
          <w:noProof/>
        </w:rPr>
      </w:pPr>
      <w:r w:rsidRPr="001E3A2D">
        <w:rPr>
          <w:noProof/>
        </w:rPr>
        <w:t>Weinbauerzeugnisse, deren Kennzeichnung gemäß Artikel 119 Absatz 1 Buchstabe a Satz 2 der Verordnung (EU) Nr. 1308/2013 vor dem [</w:t>
      </w:r>
      <w:r w:rsidRPr="001E3A2D">
        <w:rPr>
          <w:i/>
          <w:noProof/>
        </w:rPr>
        <w:t>konkretes Datum – 18 Monate nach dem Datum des Inkrafttretens</w:t>
      </w:r>
      <w:r w:rsidRPr="001E3A2D">
        <w:rPr>
          <w:noProof/>
        </w:rPr>
        <w:t>] erfolgte, dürfen bis zur Erschöpfung der Bestände weiter in Verkehr gebracht werden.</w:t>
      </w:r>
    </w:p>
    <w:p w:rsidR="1E7D736E" w:rsidRPr="001E3A2D" w:rsidRDefault="00AC5A16" w:rsidP="00A928E9">
      <w:pPr>
        <w:pStyle w:val="Titrearticle"/>
        <w:rPr>
          <w:b/>
          <w:noProof/>
        </w:rPr>
      </w:pPr>
      <w:r w:rsidRPr="001E3A2D">
        <w:rPr>
          <w:noProof/>
        </w:rPr>
        <w:t xml:space="preserve">Artikel 5 </w:t>
      </w:r>
      <w:r w:rsidRPr="001E3A2D">
        <w:rPr>
          <w:noProof/>
        </w:rPr>
        <w:br/>
      </w:r>
      <w:r w:rsidRPr="001E3A2D">
        <w:rPr>
          <w:b/>
          <w:noProof/>
        </w:rPr>
        <w:t xml:space="preserve">Inkrafttreten und Geltungsbeginn </w:t>
      </w:r>
    </w:p>
    <w:p w:rsidR="00AC5A16" w:rsidRPr="001E3A2D" w:rsidRDefault="2CC72698">
      <w:pPr>
        <w:rPr>
          <w:noProof/>
        </w:rPr>
      </w:pPr>
      <w:r w:rsidRPr="001E3A2D">
        <w:rPr>
          <w:noProof/>
        </w:rPr>
        <w:t xml:space="preserve">Diese Verordnung tritt am zwanzigsten Tag nach ihrer Veröffentlichung im </w:t>
      </w:r>
      <w:r w:rsidRPr="001E3A2D">
        <w:rPr>
          <w:i/>
          <w:noProof/>
        </w:rPr>
        <w:t>Amtsblatt der Europäischen Union</w:t>
      </w:r>
      <w:r w:rsidRPr="001E3A2D">
        <w:rPr>
          <w:noProof/>
        </w:rPr>
        <w:t xml:space="preserve"> in Kraft.</w:t>
      </w:r>
    </w:p>
    <w:p w:rsidR="5179F2B7" w:rsidRPr="001E3A2D" w:rsidRDefault="5179F2B7">
      <w:pPr>
        <w:rPr>
          <w:noProof/>
        </w:rPr>
      </w:pPr>
      <w:r w:rsidRPr="001E3A2D">
        <w:rPr>
          <w:noProof/>
        </w:rPr>
        <w:t>Artikel 1 Nummer 5 gilt jedoch ab dem [</w:t>
      </w:r>
      <w:r w:rsidRPr="001E3A2D">
        <w:rPr>
          <w:i/>
          <w:noProof/>
        </w:rPr>
        <w:t>konkretes Datum – 18 Monate nach dem Datum des Inkrafttretens</w:t>
      </w:r>
      <w:r w:rsidRPr="001E3A2D">
        <w:rPr>
          <w:noProof/>
        </w:rPr>
        <w:t>].</w:t>
      </w:r>
    </w:p>
    <w:p w:rsidR="00AC5A16" w:rsidRPr="001E3A2D" w:rsidRDefault="001E3A2D" w:rsidP="00984F44">
      <w:pPr>
        <w:pStyle w:val="Fait"/>
        <w:rPr>
          <w:noProof/>
        </w:rPr>
      </w:pPr>
      <w:r>
        <w:rPr>
          <w:noProof/>
        </w:rPr>
        <w:t xml:space="preserve">Geschehen zu Brüssel am </w:t>
      </w:r>
    </w:p>
    <w:p w:rsidR="00AC5A16" w:rsidRPr="001E3A2D" w:rsidRDefault="00AC5A16" w:rsidP="00984F44">
      <w:pPr>
        <w:pStyle w:val="Institutionquisigne"/>
        <w:rPr>
          <w:noProof/>
        </w:rPr>
      </w:pPr>
      <w:r w:rsidRPr="001E3A2D">
        <w:rPr>
          <w:noProof/>
        </w:rPr>
        <w:t>Im Namen des Europäischen Parlaments</w:t>
      </w:r>
      <w:r w:rsidRPr="001E3A2D">
        <w:rPr>
          <w:noProof/>
        </w:rPr>
        <w:tab/>
        <w:t>Im Namen des Rates</w:t>
      </w:r>
    </w:p>
    <w:p w:rsidR="00AC5A16" w:rsidRPr="001E3A2D" w:rsidRDefault="00AC5A16" w:rsidP="00AC5A16">
      <w:pPr>
        <w:pStyle w:val="Personnequisigne"/>
        <w:rPr>
          <w:noProof/>
        </w:rPr>
      </w:pPr>
      <w:r w:rsidRPr="001E3A2D">
        <w:rPr>
          <w:noProof/>
        </w:rPr>
        <w:t>Die Präsidentin</w:t>
      </w:r>
      <w:r w:rsidRPr="001E3A2D">
        <w:rPr>
          <w:noProof/>
        </w:rPr>
        <w:tab/>
        <w:t>Der Präsident /// Die Präsidentin</w:t>
      </w:r>
    </w:p>
    <w:p w:rsidR="00AC5A16" w:rsidRPr="001E3A2D" w:rsidRDefault="00AC5A16" w:rsidP="00AC5A16">
      <w:pPr>
        <w:rPr>
          <w:noProof/>
        </w:rPr>
        <w:sectPr w:rsidR="00AC5A16" w:rsidRPr="001E3A2D" w:rsidSect="00D363CA">
          <w:pgSz w:w="11907" w:h="16839"/>
          <w:pgMar w:top="1134" w:right="1417" w:bottom="1134" w:left="1417" w:header="709" w:footer="709" w:gutter="0"/>
          <w:cols w:space="708"/>
          <w:docGrid w:linePitch="360"/>
        </w:sectPr>
      </w:pPr>
    </w:p>
    <w:p w:rsidR="00AC5A16" w:rsidRPr="001E3A2D" w:rsidRDefault="00AC5A16">
      <w:pPr>
        <w:pStyle w:val="Fichefinanciretitre"/>
        <w:keepNext/>
        <w:rPr>
          <w:noProof/>
        </w:rPr>
      </w:pPr>
      <w:r w:rsidRPr="001E3A2D">
        <w:rPr>
          <w:noProof/>
        </w:rPr>
        <w:t>FINANZ- UND DIGITALBOGEN ZU RECHTSAKTEN</w:t>
      </w:r>
    </w:p>
    <w:p w:rsidR="00AC5A16" w:rsidRPr="001E3A2D" w:rsidRDefault="00AC5A16">
      <w:pPr>
        <w:pStyle w:val="TOC1"/>
        <w:rPr>
          <w:rFonts w:asciiTheme="minorHAnsi" w:eastAsiaTheme="minorEastAsia" w:hAnsiTheme="minorHAnsi" w:cstheme="minorBidi"/>
          <w:noProof/>
          <w:kern w:val="2"/>
          <w:sz w:val="22"/>
          <w14:ligatures w14:val="standardContextual"/>
        </w:rPr>
      </w:pPr>
      <w:r w:rsidRPr="001E3A2D">
        <w:rPr>
          <w:noProof/>
        </w:rPr>
        <w:t>1</w:t>
      </w:r>
      <w:r w:rsidRPr="001E3A2D">
        <w:rPr>
          <w:noProof/>
        </w:rPr>
        <w:tab/>
        <w:t>RAHMEN DES VORSCHLAGS/DER INITIATIVE</w:t>
      </w:r>
      <w:r w:rsidRPr="001E3A2D">
        <w:rPr>
          <w:noProof/>
        </w:rPr>
        <w:tab/>
      </w:r>
      <w:r w:rsidRPr="001E3A2D">
        <w:rPr>
          <w:noProof/>
          <w:webHidden/>
        </w:rPr>
        <w:t>3</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1.1</w:t>
      </w:r>
      <w:r w:rsidRPr="001E3A2D">
        <w:rPr>
          <w:noProof/>
        </w:rPr>
        <w:tab/>
        <w:t>Bezeichnung des Vorschlags/der Initiative</w:t>
      </w:r>
      <w:r w:rsidRPr="001E3A2D">
        <w:rPr>
          <w:noProof/>
        </w:rPr>
        <w:tab/>
      </w:r>
      <w:r w:rsidRPr="001E3A2D">
        <w:rPr>
          <w:noProof/>
          <w:webHidden/>
        </w:rPr>
        <w:t>3</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1.2</w:t>
      </w:r>
      <w:r w:rsidRPr="001E3A2D">
        <w:rPr>
          <w:noProof/>
        </w:rPr>
        <w:tab/>
        <w:t>Politikbereich(e)</w:t>
      </w:r>
      <w:r w:rsidRPr="001E3A2D">
        <w:rPr>
          <w:noProof/>
        </w:rPr>
        <w:tab/>
      </w:r>
      <w:r w:rsidRPr="001E3A2D">
        <w:rPr>
          <w:noProof/>
          <w:webHidden/>
        </w:rPr>
        <w:t>3</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1.3</w:t>
      </w:r>
      <w:r w:rsidRPr="001E3A2D">
        <w:rPr>
          <w:noProof/>
        </w:rPr>
        <w:tab/>
        <w:t>Ziel(e)</w:t>
      </w:r>
      <w:r w:rsidRPr="001E3A2D">
        <w:rPr>
          <w:noProof/>
        </w:rPr>
        <w:tab/>
      </w:r>
      <w:r w:rsidRPr="001E3A2D">
        <w:rPr>
          <w:noProof/>
          <w:webHidden/>
        </w:rPr>
        <w:t>3</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1.3.1</w:t>
      </w:r>
      <w:r w:rsidRPr="001E3A2D">
        <w:rPr>
          <w:noProof/>
        </w:rPr>
        <w:tab/>
        <w:t>Allgemeine(s) Ziel(e)</w:t>
      </w:r>
      <w:r w:rsidRPr="001E3A2D">
        <w:rPr>
          <w:noProof/>
        </w:rPr>
        <w:tab/>
      </w:r>
      <w:r w:rsidRPr="001E3A2D">
        <w:rPr>
          <w:noProof/>
          <w:webHidden/>
        </w:rPr>
        <w:t>3</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1.3.2</w:t>
      </w:r>
      <w:r w:rsidRPr="001E3A2D">
        <w:rPr>
          <w:noProof/>
        </w:rPr>
        <w:tab/>
        <w:t>Einzelziel(e)</w:t>
      </w:r>
      <w:r w:rsidRPr="001E3A2D">
        <w:rPr>
          <w:noProof/>
        </w:rPr>
        <w:tab/>
      </w:r>
      <w:r w:rsidRPr="001E3A2D">
        <w:rPr>
          <w:noProof/>
          <w:webHidden/>
        </w:rPr>
        <w:t>3</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1.3.3</w:t>
      </w:r>
      <w:r w:rsidRPr="001E3A2D">
        <w:rPr>
          <w:noProof/>
        </w:rPr>
        <w:tab/>
        <w:t>Erwartete Ergebnisse und Auswirkungen</w:t>
      </w:r>
      <w:r w:rsidRPr="001E3A2D">
        <w:rPr>
          <w:noProof/>
        </w:rPr>
        <w:tab/>
      </w:r>
      <w:r w:rsidRPr="001E3A2D">
        <w:rPr>
          <w:noProof/>
          <w:webHidden/>
        </w:rPr>
        <w:t>3</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1.3.4</w:t>
      </w:r>
      <w:r w:rsidRPr="001E3A2D">
        <w:rPr>
          <w:noProof/>
        </w:rPr>
        <w:tab/>
        <w:t>Leistungsindikatoren</w:t>
      </w:r>
      <w:r w:rsidRPr="001E3A2D">
        <w:rPr>
          <w:noProof/>
        </w:rPr>
        <w:tab/>
      </w:r>
      <w:r w:rsidRPr="001E3A2D">
        <w:rPr>
          <w:noProof/>
          <w:webHidden/>
        </w:rPr>
        <w:t>3</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1.4</w:t>
      </w:r>
      <w:r w:rsidRPr="001E3A2D">
        <w:rPr>
          <w:noProof/>
        </w:rPr>
        <w:tab/>
        <w:t>Der Vorschlag/Die Initiative betrifft</w:t>
      </w:r>
      <w:r w:rsidRPr="001E3A2D">
        <w:rPr>
          <w:noProof/>
        </w:rPr>
        <w:tab/>
      </w:r>
      <w:r w:rsidRPr="001E3A2D">
        <w:rPr>
          <w:noProof/>
          <w:webHidden/>
        </w:rPr>
        <w:t>4</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1.5</w:t>
      </w:r>
      <w:r w:rsidRPr="001E3A2D">
        <w:rPr>
          <w:noProof/>
        </w:rPr>
        <w:tab/>
        <w:t>Begründung des Vorschlags/der Initiative</w:t>
      </w:r>
      <w:r w:rsidRPr="001E3A2D">
        <w:rPr>
          <w:noProof/>
        </w:rPr>
        <w:tab/>
      </w:r>
      <w:r w:rsidRPr="001E3A2D">
        <w:rPr>
          <w:noProof/>
          <w:webHidden/>
        </w:rPr>
        <w:t>4</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1.5.1</w:t>
      </w:r>
      <w:r w:rsidRPr="001E3A2D">
        <w:rPr>
          <w:noProof/>
        </w:rPr>
        <w:tab/>
        <w:t>Kurz- oder langfristig zu deckender Bedarf, einschließlich einer detaillierten Zeitleiste für die Durchführung der Initiative</w:t>
      </w:r>
      <w:r w:rsidRPr="001E3A2D">
        <w:rPr>
          <w:noProof/>
        </w:rPr>
        <w:tab/>
      </w:r>
      <w:r w:rsidRPr="001E3A2D">
        <w:rPr>
          <w:noProof/>
          <w:webHidden/>
        </w:rPr>
        <w:t>4</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1.5.2</w:t>
      </w:r>
      <w:r w:rsidRPr="001E3A2D">
        <w:rPr>
          <w:noProof/>
        </w:rPr>
        <w:tab/>
        <w:t>Mehrwert aufgrund des Tätigwerdens der Union (kann sich aus unterschiedlichen Faktoren ergeben, z. B. Vorteile durch Koordinierung, Rechtssicherheit, größerer Wirksamkeit oder Komplementarität). Für die Zwecke dieses Abschnitts bezeichnet der Ausdruck „Mehrwert aufgrund des Tätigwerdens der Union“ den Wert, der sich aus dem Tätigwerden der Union ergibt und den Wert ergänzt, der andernfalls allein von den Mitgliedstaaten geschaffen worden wäre.</w:t>
      </w:r>
      <w:r w:rsidRPr="001E3A2D">
        <w:rPr>
          <w:noProof/>
        </w:rPr>
        <w:tab/>
      </w:r>
      <w:r w:rsidRPr="001E3A2D">
        <w:rPr>
          <w:noProof/>
          <w:webHidden/>
        </w:rPr>
        <w:t>4</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1.5.3</w:t>
      </w:r>
      <w:r w:rsidRPr="001E3A2D">
        <w:rPr>
          <w:noProof/>
        </w:rPr>
        <w:tab/>
        <w:t>Aus früheren ähnlichen Maßnahmen gewonnene Erkenntnisse</w:t>
      </w:r>
      <w:r w:rsidRPr="001E3A2D">
        <w:rPr>
          <w:noProof/>
        </w:rPr>
        <w:tab/>
      </w:r>
      <w:r w:rsidRPr="001E3A2D">
        <w:rPr>
          <w:noProof/>
          <w:webHidden/>
        </w:rPr>
        <w:t>4</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1.5.4</w:t>
      </w:r>
      <w:r w:rsidRPr="001E3A2D">
        <w:rPr>
          <w:noProof/>
        </w:rPr>
        <w:tab/>
        <w:t>Vereinbarkeit mit dem Mehrjährigen Finanzrahmen sowie mögliche Synergieeffekte mit anderen geeigneten Instrumenten</w:t>
      </w:r>
      <w:r w:rsidRPr="001E3A2D">
        <w:rPr>
          <w:noProof/>
        </w:rPr>
        <w:tab/>
      </w:r>
      <w:r w:rsidRPr="001E3A2D">
        <w:rPr>
          <w:noProof/>
          <w:webHidden/>
        </w:rPr>
        <w:t>5</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1.5.5</w:t>
      </w:r>
      <w:r w:rsidRPr="001E3A2D">
        <w:rPr>
          <w:noProof/>
        </w:rPr>
        <w:tab/>
        <w:t>Bewertung der verschiedenen verfügbaren Finanzierungsoptionen, einschließlich der Möglichkeiten für eine Umschichtung</w:t>
      </w:r>
      <w:r w:rsidRPr="001E3A2D">
        <w:rPr>
          <w:noProof/>
        </w:rPr>
        <w:tab/>
      </w:r>
      <w:r w:rsidRPr="001E3A2D">
        <w:rPr>
          <w:noProof/>
          <w:webHidden/>
        </w:rPr>
        <w:t>5</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1.6</w:t>
      </w:r>
      <w:r w:rsidRPr="001E3A2D">
        <w:rPr>
          <w:noProof/>
        </w:rPr>
        <w:tab/>
        <w:t>Laufzeit der vorgeschlagenen Maßnahme/der Initiative und Dauer der finanziellen Auswirkungen</w:t>
      </w:r>
      <w:r w:rsidRPr="001E3A2D">
        <w:rPr>
          <w:noProof/>
        </w:rPr>
        <w:tab/>
      </w:r>
      <w:r w:rsidRPr="001E3A2D">
        <w:rPr>
          <w:noProof/>
          <w:webHidden/>
        </w:rPr>
        <w:t>6</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1.7</w:t>
      </w:r>
      <w:r w:rsidRPr="001E3A2D">
        <w:rPr>
          <w:noProof/>
        </w:rPr>
        <w:tab/>
        <w:t>Vorgeschlagene Haushaltsvollzugsart(en)</w:t>
      </w:r>
      <w:r w:rsidRPr="001E3A2D">
        <w:rPr>
          <w:noProof/>
        </w:rPr>
        <w:tab/>
      </w:r>
      <w:r w:rsidRPr="001E3A2D">
        <w:rPr>
          <w:noProof/>
          <w:webHidden/>
        </w:rPr>
        <w:t>6</w:t>
      </w:r>
    </w:p>
    <w:p w:rsidR="00AC5A16" w:rsidRPr="001E3A2D" w:rsidRDefault="00AC5A16">
      <w:pPr>
        <w:pStyle w:val="TOC1"/>
        <w:rPr>
          <w:rFonts w:asciiTheme="minorHAnsi" w:eastAsiaTheme="minorEastAsia" w:hAnsiTheme="minorHAnsi" w:cstheme="minorBidi"/>
          <w:noProof/>
          <w:kern w:val="2"/>
          <w:sz w:val="22"/>
          <w14:ligatures w14:val="standardContextual"/>
        </w:rPr>
      </w:pPr>
      <w:r w:rsidRPr="001E3A2D">
        <w:rPr>
          <w:noProof/>
        </w:rPr>
        <w:t>2</w:t>
      </w:r>
      <w:r w:rsidRPr="001E3A2D">
        <w:rPr>
          <w:noProof/>
        </w:rPr>
        <w:tab/>
        <w:t>VERWALTUNGSMAẞNAHMEN</w:t>
      </w:r>
      <w:r w:rsidRPr="001E3A2D">
        <w:rPr>
          <w:noProof/>
        </w:rPr>
        <w:tab/>
      </w:r>
      <w:r w:rsidRPr="001E3A2D">
        <w:rPr>
          <w:noProof/>
          <w:webHidden/>
        </w:rPr>
        <w:t>8</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2.1</w:t>
      </w:r>
      <w:r w:rsidRPr="001E3A2D">
        <w:rPr>
          <w:noProof/>
        </w:rPr>
        <w:tab/>
        <w:t>Überwachung und Berichterstattung</w:t>
      </w:r>
      <w:r w:rsidRPr="001E3A2D">
        <w:rPr>
          <w:noProof/>
        </w:rPr>
        <w:tab/>
      </w:r>
      <w:r w:rsidRPr="001E3A2D">
        <w:rPr>
          <w:noProof/>
          <w:webHidden/>
        </w:rPr>
        <w:t>8</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2.2</w:t>
      </w:r>
      <w:r w:rsidRPr="001E3A2D">
        <w:rPr>
          <w:noProof/>
        </w:rPr>
        <w:tab/>
        <w:t>Verwaltungs- und Kontrollsystem(e)</w:t>
      </w:r>
      <w:r w:rsidRPr="001E3A2D">
        <w:rPr>
          <w:noProof/>
        </w:rPr>
        <w:tab/>
      </w:r>
      <w:r w:rsidRPr="001E3A2D">
        <w:rPr>
          <w:noProof/>
          <w:webHidden/>
        </w:rPr>
        <w:t>8</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2.2.1</w:t>
      </w:r>
      <w:r w:rsidRPr="001E3A2D">
        <w:rPr>
          <w:noProof/>
        </w:rPr>
        <w:tab/>
        <w:t>Begründung der Haushaltsvollzugsart(en), des Durchführungsmechanismus/der Durchführungsmechanismen für die Finanzierung, der Zahlungsmodalitäten und der Kontrollstrategie, wie vorgeschlagen</w:t>
      </w:r>
      <w:r w:rsidRPr="001E3A2D">
        <w:rPr>
          <w:noProof/>
        </w:rPr>
        <w:tab/>
      </w:r>
      <w:r w:rsidRPr="001E3A2D">
        <w:rPr>
          <w:noProof/>
          <w:webHidden/>
        </w:rPr>
        <w:t>8</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2.2.2</w:t>
      </w:r>
      <w:r w:rsidRPr="001E3A2D">
        <w:rPr>
          <w:noProof/>
        </w:rPr>
        <w:tab/>
        <w:t>Angaben zu den ermittelten Risiken und dem/den zu deren Eindämmung eingerichteten System(en) der internen Kontrolle</w:t>
      </w:r>
      <w:r w:rsidRPr="001E3A2D">
        <w:rPr>
          <w:noProof/>
        </w:rPr>
        <w:tab/>
      </w:r>
      <w:r w:rsidRPr="001E3A2D">
        <w:rPr>
          <w:noProof/>
          <w:webHidden/>
        </w:rPr>
        <w:t>8</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2.2.3</w:t>
      </w:r>
      <w:r w:rsidRPr="001E3A2D">
        <w:rPr>
          <w:noProof/>
        </w:rPr>
        <w:tab/>
        <w:t>Schätzung und Begründung der Kosteneffizienz der Kontrollen (Verhältnis zwischen den Kontrollkosten und dem Wert der betreffenden verwalteten Mittel) sowie Bewertung des erwarteten Ausmaßes des Fehlerrisikos (bei Zahlung und beim Abschluss)</w:t>
      </w:r>
      <w:r w:rsidRPr="001E3A2D">
        <w:rPr>
          <w:noProof/>
        </w:rPr>
        <w:tab/>
      </w:r>
      <w:r w:rsidRPr="001E3A2D">
        <w:rPr>
          <w:noProof/>
          <w:webHidden/>
        </w:rPr>
        <w:t>8</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2.3</w:t>
      </w:r>
      <w:r w:rsidRPr="001E3A2D">
        <w:rPr>
          <w:noProof/>
        </w:rPr>
        <w:tab/>
        <w:t>Prävention von Betrug und Unregelmäßigkeiten</w:t>
      </w:r>
      <w:r w:rsidRPr="001E3A2D">
        <w:rPr>
          <w:noProof/>
        </w:rPr>
        <w:tab/>
      </w:r>
      <w:r w:rsidRPr="001E3A2D">
        <w:rPr>
          <w:noProof/>
          <w:webHidden/>
        </w:rPr>
        <w:t>9</w:t>
      </w:r>
    </w:p>
    <w:p w:rsidR="00AC5A16" w:rsidRPr="001E3A2D" w:rsidRDefault="00AC5A16">
      <w:pPr>
        <w:pStyle w:val="TOC1"/>
        <w:rPr>
          <w:rFonts w:asciiTheme="minorHAnsi" w:eastAsiaTheme="minorEastAsia" w:hAnsiTheme="minorHAnsi" w:cstheme="minorBidi"/>
          <w:noProof/>
          <w:kern w:val="2"/>
          <w:sz w:val="22"/>
          <w14:ligatures w14:val="standardContextual"/>
        </w:rPr>
      </w:pPr>
      <w:r w:rsidRPr="001E3A2D">
        <w:rPr>
          <w:noProof/>
        </w:rPr>
        <w:t>3</w:t>
      </w:r>
      <w:r w:rsidRPr="001E3A2D">
        <w:rPr>
          <w:noProof/>
        </w:rPr>
        <w:tab/>
        <w:t>GESCHÄTZTE FINANZIELLE AUSWIRKUNGEN DES VORSCHLAGS/DER INITIATIVE</w:t>
      </w:r>
      <w:r w:rsidRPr="001E3A2D">
        <w:rPr>
          <w:noProof/>
        </w:rPr>
        <w:tab/>
      </w:r>
      <w:r w:rsidRPr="001E3A2D">
        <w:rPr>
          <w:noProof/>
          <w:webHidden/>
        </w:rPr>
        <w:t>10</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3.1</w:t>
      </w:r>
      <w:r w:rsidRPr="001E3A2D">
        <w:rPr>
          <w:noProof/>
        </w:rPr>
        <w:tab/>
        <w:t>Betroffene Rubrik(en) des Mehrjährigen Finanzrahmens und Ausgabenlinie(n) im Haushaltsplan</w:t>
      </w:r>
      <w:r w:rsidRPr="001E3A2D">
        <w:rPr>
          <w:noProof/>
        </w:rPr>
        <w:tab/>
      </w:r>
      <w:r w:rsidRPr="001E3A2D">
        <w:rPr>
          <w:noProof/>
          <w:webHidden/>
        </w:rPr>
        <w:t>10</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3.2</w:t>
      </w:r>
      <w:r w:rsidRPr="001E3A2D">
        <w:rPr>
          <w:noProof/>
        </w:rPr>
        <w:tab/>
        <w:t>Geschätzte finanzielle Auswirkungen des Vorschlags auf die Mittel</w:t>
      </w:r>
      <w:r w:rsidRPr="001E3A2D">
        <w:rPr>
          <w:noProof/>
        </w:rPr>
        <w:tab/>
      </w:r>
      <w:r w:rsidRPr="001E3A2D">
        <w:rPr>
          <w:noProof/>
          <w:webHidden/>
        </w:rPr>
        <w:t>12</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3.2.1</w:t>
      </w:r>
      <w:r w:rsidRPr="001E3A2D">
        <w:rPr>
          <w:noProof/>
        </w:rPr>
        <w:tab/>
        <w:t>Übersicht über die geschätzten Auswirkungen auf die operativen Mittel</w:t>
      </w:r>
      <w:r w:rsidRPr="001E3A2D">
        <w:rPr>
          <w:noProof/>
        </w:rPr>
        <w:tab/>
      </w:r>
      <w:r w:rsidRPr="001E3A2D">
        <w:rPr>
          <w:noProof/>
          <w:webHidden/>
        </w:rPr>
        <w:t>12</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3.2.1.1</w:t>
      </w:r>
      <w:r w:rsidRPr="001E3A2D">
        <w:rPr>
          <w:noProof/>
        </w:rPr>
        <w:tab/>
        <w:t>Mittel aus dem verabschiedeten Haushaltsplan</w:t>
      </w:r>
      <w:r w:rsidRPr="001E3A2D">
        <w:rPr>
          <w:noProof/>
        </w:rPr>
        <w:tab/>
      </w:r>
      <w:r w:rsidRPr="001E3A2D">
        <w:rPr>
          <w:noProof/>
          <w:webHidden/>
        </w:rPr>
        <w:t>12</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3.2.1.2</w:t>
      </w:r>
      <w:r w:rsidRPr="001E3A2D">
        <w:rPr>
          <w:noProof/>
        </w:rPr>
        <w:tab/>
        <w:t>Mittel aus externen zweckgebundenen Einnahmen</w:t>
      </w:r>
      <w:r w:rsidRPr="001E3A2D">
        <w:rPr>
          <w:noProof/>
        </w:rPr>
        <w:tab/>
      </w:r>
      <w:r w:rsidRPr="001E3A2D">
        <w:rPr>
          <w:noProof/>
          <w:webHidden/>
        </w:rPr>
        <w:t>17</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3.2.2</w:t>
      </w:r>
      <w:r w:rsidRPr="001E3A2D">
        <w:rPr>
          <w:noProof/>
        </w:rPr>
        <w:tab/>
        <w:t>Geschätzte Ergebnisse, die mit operativen Mitteln finanziert werden</w:t>
      </w:r>
      <w:r w:rsidRPr="001E3A2D">
        <w:rPr>
          <w:noProof/>
        </w:rPr>
        <w:tab/>
      </w:r>
      <w:r w:rsidRPr="001E3A2D">
        <w:rPr>
          <w:noProof/>
          <w:webHidden/>
        </w:rPr>
        <w:t>22</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3.2.3</w:t>
      </w:r>
      <w:r w:rsidRPr="001E3A2D">
        <w:rPr>
          <w:noProof/>
        </w:rPr>
        <w:tab/>
        <w:t>Übersicht über die geschätzten Auswirkungen auf die Verwaltungsmittel</w:t>
      </w:r>
      <w:r w:rsidRPr="001E3A2D">
        <w:rPr>
          <w:noProof/>
        </w:rPr>
        <w:tab/>
      </w:r>
      <w:r w:rsidRPr="001E3A2D">
        <w:rPr>
          <w:noProof/>
          <w:webHidden/>
        </w:rPr>
        <w:t>24</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3.2.3.1 Mittel aus dem verabschiedeten Haushaltsplan</w:t>
      </w:r>
      <w:r w:rsidRPr="001E3A2D">
        <w:rPr>
          <w:noProof/>
        </w:rPr>
        <w:tab/>
      </w:r>
      <w:r w:rsidRPr="001E3A2D">
        <w:rPr>
          <w:noProof/>
          <w:webHidden/>
        </w:rPr>
        <w:t>24</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3.2.3.2</w:t>
      </w:r>
      <w:r w:rsidRPr="001E3A2D">
        <w:rPr>
          <w:noProof/>
        </w:rPr>
        <w:tab/>
        <w:t>Mittel aus externen zweckgebundenen Einnahmen</w:t>
      </w:r>
      <w:r w:rsidRPr="001E3A2D">
        <w:rPr>
          <w:noProof/>
        </w:rPr>
        <w:tab/>
      </w:r>
      <w:r w:rsidRPr="001E3A2D">
        <w:rPr>
          <w:noProof/>
          <w:webHidden/>
        </w:rPr>
        <w:t>24</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3.2.3.3</w:t>
      </w:r>
      <w:r w:rsidRPr="001E3A2D">
        <w:rPr>
          <w:noProof/>
        </w:rPr>
        <w:tab/>
        <w:t>Mittel insgesamt</w:t>
      </w:r>
      <w:r w:rsidRPr="001E3A2D">
        <w:rPr>
          <w:noProof/>
        </w:rPr>
        <w:tab/>
      </w:r>
      <w:r w:rsidRPr="001E3A2D">
        <w:rPr>
          <w:noProof/>
          <w:webHidden/>
        </w:rPr>
        <w:t>24</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3.2.4</w:t>
      </w:r>
      <w:r w:rsidRPr="001E3A2D">
        <w:rPr>
          <w:noProof/>
        </w:rPr>
        <w:tab/>
        <w:t>Geschätzter Personalbedarf</w:t>
      </w:r>
      <w:r w:rsidRPr="001E3A2D">
        <w:rPr>
          <w:noProof/>
        </w:rPr>
        <w:tab/>
      </w:r>
      <w:r w:rsidRPr="001E3A2D">
        <w:rPr>
          <w:noProof/>
          <w:webHidden/>
        </w:rPr>
        <w:t>25</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3.2.4.1</w:t>
      </w:r>
      <w:r w:rsidRPr="001E3A2D">
        <w:rPr>
          <w:noProof/>
        </w:rPr>
        <w:tab/>
        <w:t>Finanziert aus dem verabschiedeten Haushalt</w:t>
      </w:r>
      <w:r w:rsidRPr="001E3A2D">
        <w:rPr>
          <w:noProof/>
        </w:rPr>
        <w:tab/>
      </w:r>
      <w:r w:rsidRPr="001E3A2D">
        <w:rPr>
          <w:noProof/>
          <w:webHidden/>
        </w:rPr>
        <w:t>25</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3.2.4.2</w:t>
      </w:r>
      <w:r w:rsidRPr="001E3A2D">
        <w:rPr>
          <w:noProof/>
        </w:rPr>
        <w:tab/>
        <w:t>Finanziert aus externen zweckgebundenen Einnahmen</w:t>
      </w:r>
      <w:r w:rsidRPr="001E3A2D">
        <w:rPr>
          <w:noProof/>
        </w:rPr>
        <w:tab/>
      </w:r>
      <w:r w:rsidRPr="001E3A2D">
        <w:rPr>
          <w:noProof/>
          <w:webHidden/>
        </w:rPr>
        <w:t>26</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3.2.4.3</w:t>
      </w:r>
      <w:r w:rsidRPr="001E3A2D">
        <w:rPr>
          <w:noProof/>
        </w:rPr>
        <w:tab/>
        <w:t>Geschätzter Personalbedarf insgesamt</w:t>
      </w:r>
      <w:r w:rsidRPr="001E3A2D">
        <w:rPr>
          <w:noProof/>
        </w:rPr>
        <w:tab/>
      </w:r>
      <w:r w:rsidRPr="001E3A2D">
        <w:rPr>
          <w:noProof/>
          <w:webHidden/>
        </w:rPr>
        <w:t>26</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3.2.5</w:t>
      </w:r>
      <w:r w:rsidRPr="001E3A2D">
        <w:rPr>
          <w:noProof/>
        </w:rPr>
        <w:tab/>
        <w:t>Einschätzung der Auswirkungen auf die Investitionen im Zusammenhang mit digitalen Technologien</w:t>
      </w:r>
      <w:r w:rsidRPr="001E3A2D">
        <w:rPr>
          <w:noProof/>
        </w:rPr>
        <w:tab/>
      </w:r>
      <w:r w:rsidRPr="001E3A2D">
        <w:rPr>
          <w:noProof/>
          <w:webHidden/>
        </w:rPr>
        <w:t>28</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3.2.6</w:t>
      </w:r>
      <w:r w:rsidRPr="001E3A2D">
        <w:rPr>
          <w:noProof/>
        </w:rPr>
        <w:tab/>
        <w:t>Vereinbarkeit mit dem derzeitigen Mehrjährigen Finanzrahmen</w:t>
      </w:r>
      <w:r w:rsidRPr="001E3A2D">
        <w:rPr>
          <w:noProof/>
        </w:rPr>
        <w:tab/>
      </w:r>
      <w:r w:rsidRPr="001E3A2D">
        <w:rPr>
          <w:noProof/>
          <w:webHidden/>
        </w:rPr>
        <w:t>28</w:t>
      </w:r>
    </w:p>
    <w:p w:rsidR="00AC5A16" w:rsidRPr="001E3A2D" w:rsidRDefault="00AC5A16">
      <w:pPr>
        <w:pStyle w:val="TOC3"/>
        <w:rPr>
          <w:rFonts w:asciiTheme="minorHAnsi" w:eastAsiaTheme="minorEastAsia" w:hAnsiTheme="minorHAnsi" w:cstheme="minorBidi"/>
          <w:noProof/>
          <w:kern w:val="2"/>
          <w:sz w:val="22"/>
          <w14:ligatures w14:val="standardContextual"/>
        </w:rPr>
      </w:pPr>
      <w:r w:rsidRPr="001E3A2D">
        <w:rPr>
          <w:noProof/>
        </w:rPr>
        <w:t>3.2.7</w:t>
      </w:r>
      <w:r w:rsidRPr="001E3A2D">
        <w:rPr>
          <w:noProof/>
        </w:rPr>
        <w:tab/>
        <w:t>Finanzierungsbeteiligung Dritter</w:t>
      </w:r>
      <w:r w:rsidRPr="001E3A2D">
        <w:rPr>
          <w:noProof/>
        </w:rPr>
        <w:tab/>
      </w:r>
      <w:r w:rsidRPr="001E3A2D">
        <w:rPr>
          <w:noProof/>
          <w:webHidden/>
        </w:rPr>
        <w:t>28</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3.3</w:t>
      </w:r>
      <w:r w:rsidRPr="001E3A2D">
        <w:rPr>
          <w:noProof/>
        </w:rPr>
        <w:tab/>
        <w:t>Geschätzte Auswirkungen auf die Einnahmen</w:t>
      </w:r>
      <w:r w:rsidRPr="001E3A2D">
        <w:rPr>
          <w:noProof/>
        </w:rPr>
        <w:tab/>
      </w:r>
      <w:r w:rsidRPr="001E3A2D">
        <w:rPr>
          <w:noProof/>
          <w:webHidden/>
        </w:rPr>
        <w:t>29</w:t>
      </w:r>
    </w:p>
    <w:p w:rsidR="00AC5A16" w:rsidRPr="001E3A2D" w:rsidRDefault="00AC5A16">
      <w:pPr>
        <w:pStyle w:val="TOC1"/>
        <w:rPr>
          <w:rFonts w:asciiTheme="minorHAnsi" w:eastAsiaTheme="minorEastAsia" w:hAnsiTheme="minorHAnsi" w:cstheme="minorBidi"/>
          <w:noProof/>
          <w:kern w:val="2"/>
          <w:sz w:val="22"/>
          <w14:ligatures w14:val="standardContextual"/>
        </w:rPr>
      </w:pPr>
      <w:r w:rsidRPr="001E3A2D">
        <w:rPr>
          <w:noProof/>
        </w:rPr>
        <w:t>4</w:t>
      </w:r>
      <w:r w:rsidRPr="001E3A2D">
        <w:rPr>
          <w:noProof/>
        </w:rPr>
        <w:tab/>
      </w:r>
      <w:r w:rsidRPr="001E3A2D">
        <w:rPr>
          <w:caps/>
          <w:noProof/>
        </w:rPr>
        <w:t>Digitale Aspekte</w:t>
      </w:r>
      <w:r w:rsidRPr="001E3A2D">
        <w:rPr>
          <w:noProof/>
        </w:rPr>
        <w:tab/>
      </w:r>
      <w:r w:rsidRPr="001E3A2D">
        <w:rPr>
          <w:noProof/>
          <w:webHidden/>
        </w:rPr>
        <w:t>29</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4.1</w:t>
      </w:r>
      <w:r w:rsidRPr="001E3A2D">
        <w:rPr>
          <w:noProof/>
        </w:rPr>
        <w:tab/>
        <w:t>Anforderungen von digitaler Relevanz</w:t>
      </w:r>
      <w:r w:rsidRPr="001E3A2D">
        <w:rPr>
          <w:noProof/>
        </w:rPr>
        <w:tab/>
      </w:r>
      <w:r w:rsidRPr="001E3A2D">
        <w:rPr>
          <w:noProof/>
          <w:webHidden/>
        </w:rPr>
        <w:t>30</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4.2</w:t>
      </w:r>
      <w:r w:rsidRPr="001E3A2D">
        <w:rPr>
          <w:noProof/>
        </w:rPr>
        <w:tab/>
        <w:t>Daten</w:t>
      </w:r>
      <w:r w:rsidRPr="001E3A2D">
        <w:rPr>
          <w:noProof/>
        </w:rPr>
        <w:tab/>
      </w:r>
      <w:r w:rsidRPr="001E3A2D">
        <w:rPr>
          <w:noProof/>
          <w:webHidden/>
        </w:rPr>
        <w:t>30</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4.3</w:t>
      </w:r>
      <w:r w:rsidRPr="001E3A2D">
        <w:rPr>
          <w:noProof/>
        </w:rPr>
        <w:tab/>
        <w:t>Digitale Lösungen</w:t>
      </w:r>
      <w:r w:rsidRPr="001E3A2D">
        <w:rPr>
          <w:noProof/>
        </w:rPr>
        <w:tab/>
      </w:r>
      <w:r w:rsidRPr="001E3A2D">
        <w:rPr>
          <w:noProof/>
          <w:webHidden/>
        </w:rPr>
        <w:t>31</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4.4</w:t>
      </w:r>
      <w:r w:rsidRPr="001E3A2D">
        <w:rPr>
          <w:noProof/>
        </w:rPr>
        <w:tab/>
        <w:t>Interoperabilitätsbewertung</w:t>
      </w:r>
      <w:r w:rsidRPr="001E3A2D">
        <w:rPr>
          <w:noProof/>
        </w:rPr>
        <w:tab/>
      </w:r>
      <w:r w:rsidRPr="001E3A2D">
        <w:rPr>
          <w:noProof/>
          <w:webHidden/>
        </w:rPr>
        <w:t>31</w:t>
      </w:r>
    </w:p>
    <w:p w:rsidR="00AC5A16" w:rsidRPr="001E3A2D" w:rsidRDefault="00AC5A16">
      <w:pPr>
        <w:pStyle w:val="TOC2"/>
        <w:rPr>
          <w:rFonts w:asciiTheme="minorHAnsi" w:eastAsiaTheme="minorEastAsia" w:hAnsiTheme="minorHAnsi" w:cstheme="minorBidi"/>
          <w:noProof/>
          <w:kern w:val="2"/>
          <w:sz w:val="22"/>
          <w14:ligatures w14:val="standardContextual"/>
        </w:rPr>
      </w:pPr>
      <w:r w:rsidRPr="001E3A2D">
        <w:rPr>
          <w:noProof/>
        </w:rPr>
        <w:t>4.5</w:t>
      </w:r>
      <w:r w:rsidRPr="001E3A2D">
        <w:rPr>
          <w:noProof/>
        </w:rPr>
        <w:tab/>
        <w:t>Unterstützungsmaßnahmen für die digitale Umsetzung</w:t>
      </w:r>
      <w:r w:rsidRPr="001E3A2D">
        <w:rPr>
          <w:noProof/>
        </w:rPr>
        <w:tab/>
      </w:r>
      <w:r w:rsidRPr="001E3A2D">
        <w:rPr>
          <w:noProof/>
          <w:webHidden/>
        </w:rPr>
        <w:t>32</w:t>
      </w:r>
    </w:p>
    <w:p w:rsidR="00AC5A16" w:rsidRPr="001E3A2D" w:rsidRDefault="00AC5A16">
      <w:pPr>
        <w:pStyle w:val="TOC1"/>
        <w:ind w:left="0" w:firstLine="0"/>
        <w:rPr>
          <w:noProof/>
        </w:rPr>
        <w:sectPr w:rsidR="00AC5A16" w:rsidRPr="001E3A2D" w:rsidSect="00D363CA">
          <w:pgSz w:w="11907" w:h="16840" w:code="9"/>
          <w:pgMar w:top="1134" w:right="1418" w:bottom="1134" w:left="1418" w:header="709" w:footer="709" w:gutter="0"/>
          <w:pgNumType w:start="1"/>
          <w:cols w:space="720"/>
          <w:docGrid w:linePitch="360"/>
        </w:sectPr>
      </w:pPr>
    </w:p>
    <w:p w:rsidR="00127A9D" w:rsidRPr="001E3A2D" w:rsidRDefault="00AC5A16" w:rsidP="00127A9D">
      <w:pPr>
        <w:pStyle w:val="ManualHeading1"/>
        <w:rPr>
          <w:noProof/>
        </w:rPr>
      </w:pPr>
      <w:bookmarkStart w:id="10" w:name="_Toc514938007"/>
      <w:bookmarkStart w:id="11" w:name="_Toc520485025"/>
      <w:bookmarkStart w:id="12" w:name="_Toc160804567"/>
      <w:bookmarkStart w:id="13" w:name="_Toc167220259"/>
      <w:bookmarkStart w:id="14" w:name="_Toc177548992"/>
      <w:r w:rsidRPr="001E3A2D">
        <w:rPr>
          <w:noProof/>
        </w:rPr>
        <w:t>1</w:t>
      </w:r>
      <w:r w:rsidRPr="001E3A2D">
        <w:rPr>
          <w:noProof/>
        </w:rPr>
        <w:tab/>
      </w:r>
      <w:bookmarkEnd w:id="10"/>
      <w:bookmarkEnd w:id="11"/>
      <w:bookmarkEnd w:id="12"/>
      <w:bookmarkEnd w:id="13"/>
      <w:bookmarkEnd w:id="14"/>
      <w:r w:rsidRPr="001E3A2D">
        <w:rPr>
          <w:noProof/>
        </w:rPr>
        <w:t xml:space="preserve">RAHMEN DES VORSCHLAGS/DER INITIATIVE </w:t>
      </w:r>
    </w:p>
    <w:p w:rsidR="00127A9D" w:rsidRPr="001E3A2D" w:rsidRDefault="00127A9D" w:rsidP="00127A9D">
      <w:pPr>
        <w:keepNext/>
        <w:tabs>
          <w:tab w:val="left" w:pos="850"/>
        </w:tabs>
        <w:ind w:left="850" w:hanging="850"/>
        <w:outlineLvl w:val="1"/>
        <w:rPr>
          <w:b/>
          <w:noProof/>
        </w:rPr>
      </w:pPr>
      <w:bookmarkStart w:id="15" w:name="_Toc514938008"/>
      <w:bookmarkStart w:id="16" w:name="_Toc520485026"/>
      <w:bookmarkStart w:id="17" w:name="_Toc160804568"/>
      <w:bookmarkStart w:id="18" w:name="_Toc167220260"/>
      <w:bookmarkStart w:id="19" w:name="_Toc177548993"/>
      <w:r w:rsidRPr="001E3A2D">
        <w:rPr>
          <w:b/>
          <w:noProof/>
        </w:rPr>
        <w:t>1.1</w:t>
      </w:r>
      <w:r w:rsidRPr="001E3A2D">
        <w:rPr>
          <w:noProof/>
        </w:rPr>
        <w:tab/>
      </w:r>
      <w:r w:rsidRPr="001E3A2D">
        <w:rPr>
          <w:b/>
          <w:noProof/>
        </w:rPr>
        <w:t>Bezeichnung des Vorschlags/der Initiative</w:t>
      </w:r>
      <w:bookmarkEnd w:id="15"/>
      <w:bookmarkEnd w:id="16"/>
      <w:bookmarkEnd w:id="17"/>
      <w:bookmarkEnd w:id="18"/>
      <w:bookmarkEnd w:id="19"/>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Vorschlag für eine VERORDNUNG DES EUROPÄISCHEN PARLAMENTS UND DES RATES zur Änderung der Verordnungen (EU) Nr. 1308/2013, (EU) 2021/2115 und (EU) Nr. 251/2014 in Bezug auf bestimmte Marktvorschriften und sektorbezogene Unterstützungsmaßnahmen im Weinsektor und für aromatisierte Weinerzeugnisse.</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1"/>
        <w:rPr>
          <w:b/>
          <w:i/>
          <w:noProof/>
        </w:rPr>
      </w:pPr>
      <w:bookmarkStart w:id="20" w:name="_Toc514938011"/>
      <w:bookmarkStart w:id="21" w:name="_Toc520485027"/>
      <w:bookmarkStart w:id="22" w:name="_Toc160804569"/>
      <w:bookmarkStart w:id="23" w:name="_Toc167220261"/>
      <w:bookmarkStart w:id="24" w:name="_Toc177548994"/>
      <w:r w:rsidRPr="001E3A2D">
        <w:rPr>
          <w:b/>
          <w:noProof/>
        </w:rPr>
        <w:t>1.2</w:t>
      </w:r>
      <w:r w:rsidRPr="001E3A2D">
        <w:rPr>
          <w:noProof/>
        </w:rPr>
        <w:tab/>
      </w:r>
      <w:r w:rsidRPr="001E3A2D">
        <w:rPr>
          <w:b/>
          <w:noProof/>
        </w:rPr>
        <w:t>Politikbereich(e)</w:t>
      </w:r>
      <w:bookmarkEnd w:id="20"/>
      <w:bookmarkEnd w:id="21"/>
      <w:bookmarkEnd w:id="22"/>
      <w:bookmarkEnd w:id="23"/>
      <w:bookmarkEnd w:id="24"/>
      <w:r w:rsidRPr="001E3A2D">
        <w:rPr>
          <w:b/>
          <w:i/>
          <w:noProof/>
        </w:rPr>
        <w:t xml:space="preserve"> </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Programmcluster 8 – Landwirtschaft und Meerespolitik unter Rubrik 3 des Mehrjährigen Finanzrahmens (MFR) 2021-2027.</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1"/>
        <w:rPr>
          <w:b/>
          <w:noProof/>
        </w:rPr>
      </w:pPr>
      <w:bookmarkStart w:id="25" w:name="_Toc514938015"/>
      <w:bookmarkStart w:id="26" w:name="_Toc520485029"/>
      <w:bookmarkStart w:id="27" w:name="_Toc160804571"/>
      <w:bookmarkStart w:id="28" w:name="_Toc167220263"/>
      <w:bookmarkStart w:id="29" w:name="_Toc177548995"/>
      <w:r w:rsidRPr="001E3A2D">
        <w:rPr>
          <w:b/>
          <w:noProof/>
        </w:rPr>
        <w:t>1.3</w:t>
      </w:r>
      <w:r w:rsidRPr="001E3A2D">
        <w:rPr>
          <w:noProof/>
        </w:rPr>
        <w:tab/>
      </w:r>
      <w:r w:rsidRPr="001E3A2D">
        <w:rPr>
          <w:b/>
          <w:noProof/>
        </w:rPr>
        <w:t>Ziel(e)</w:t>
      </w:r>
      <w:bookmarkEnd w:id="25"/>
      <w:bookmarkEnd w:id="26"/>
      <w:bookmarkEnd w:id="27"/>
      <w:bookmarkEnd w:id="28"/>
      <w:bookmarkEnd w:id="29"/>
    </w:p>
    <w:p w:rsidR="00127A9D" w:rsidRPr="001E3A2D" w:rsidRDefault="00127A9D" w:rsidP="00127A9D">
      <w:pPr>
        <w:keepNext/>
        <w:tabs>
          <w:tab w:val="left" w:pos="850"/>
        </w:tabs>
        <w:ind w:left="850" w:hanging="850"/>
        <w:outlineLvl w:val="2"/>
        <w:rPr>
          <w:i/>
          <w:noProof/>
        </w:rPr>
      </w:pPr>
      <w:bookmarkStart w:id="30" w:name="_Toc514938016"/>
      <w:bookmarkStart w:id="31" w:name="_Toc520485030"/>
      <w:bookmarkStart w:id="32" w:name="_Toc160804572"/>
      <w:bookmarkStart w:id="33" w:name="_Toc167220264"/>
      <w:bookmarkStart w:id="34" w:name="_Toc177548996"/>
      <w:r w:rsidRPr="001E3A2D">
        <w:rPr>
          <w:i/>
          <w:noProof/>
        </w:rPr>
        <w:t>1.3.1</w:t>
      </w:r>
      <w:r w:rsidRPr="001E3A2D">
        <w:rPr>
          <w:noProof/>
        </w:rPr>
        <w:tab/>
      </w:r>
      <w:r w:rsidRPr="001E3A2D">
        <w:rPr>
          <w:i/>
          <w:noProof/>
        </w:rPr>
        <w:t>Allgemeine(s) Ziel(e)</w:t>
      </w:r>
      <w:bookmarkEnd w:id="30"/>
      <w:bookmarkEnd w:id="31"/>
      <w:bookmarkEnd w:id="32"/>
      <w:bookmarkEnd w:id="33"/>
      <w:bookmarkEnd w:id="34"/>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 xml:space="preserve">Um den strukturellen Herausforderungen für den europäischen Weinsektor zu begegnen, besteht das Ziel des Vorschlags darin, die Wettbewerbsfähigkeit und Widerstandsfähigkeit des Sektors zu stärken, die wirtschaftliche Bedeutung des Weinsektors der EU und seine soziale Bedeutung zu wahren und insbesondere dazu beizutragen, die Vitalität vieler ländlicher Gebiete zu erhalten. </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2"/>
        <w:rPr>
          <w:i/>
          <w:noProof/>
        </w:rPr>
      </w:pPr>
      <w:bookmarkStart w:id="35" w:name="_Toc514938018"/>
      <w:bookmarkStart w:id="36" w:name="_Toc520485031"/>
      <w:bookmarkStart w:id="37" w:name="_Toc160804573"/>
      <w:bookmarkStart w:id="38" w:name="_Toc167220265"/>
      <w:bookmarkStart w:id="39" w:name="_Toc177548997"/>
      <w:r w:rsidRPr="001E3A2D">
        <w:rPr>
          <w:i/>
          <w:noProof/>
        </w:rPr>
        <w:t>1.3.2</w:t>
      </w:r>
      <w:r w:rsidRPr="001E3A2D">
        <w:rPr>
          <w:noProof/>
        </w:rPr>
        <w:tab/>
      </w:r>
      <w:r w:rsidRPr="001E3A2D">
        <w:rPr>
          <w:i/>
          <w:noProof/>
        </w:rPr>
        <w:t>Einzelziel(e)</w:t>
      </w:r>
      <w:bookmarkEnd w:id="35"/>
      <w:bookmarkEnd w:id="36"/>
      <w:bookmarkEnd w:id="37"/>
      <w:bookmarkEnd w:id="38"/>
      <w:bookmarkEnd w:id="39"/>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Der Vorschlag zielt darauf ab, nachhaltige politische Instrumente bereitzustellen, um die Mitgliedstaaten und den Weinsektor dabei zu unterstützen, die folgenden spezifischen Ziele zu erreichen:</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1) Steuerung des Erzeugungspotenzials</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2) Stärkung der Widerstandsfähigkeit des Weinsektors der EU gegen den Klimawandel und Spannungen durch sich verändernde Märkte</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3) Anpassung des Sektors an die Marktentwicklung und Unterstützung bei der Nutzung neuer Marktchancen</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2"/>
        <w:rPr>
          <w:i/>
          <w:noProof/>
        </w:rPr>
      </w:pPr>
      <w:bookmarkStart w:id="40" w:name="_Toc514938019"/>
      <w:bookmarkStart w:id="41" w:name="_Toc520485032"/>
      <w:bookmarkStart w:id="42" w:name="_Toc160804574"/>
      <w:bookmarkStart w:id="43" w:name="_Toc167220266"/>
      <w:bookmarkStart w:id="44" w:name="_Toc177548998"/>
      <w:r w:rsidRPr="001E3A2D">
        <w:rPr>
          <w:i/>
          <w:noProof/>
        </w:rPr>
        <w:t>1.3.3</w:t>
      </w:r>
      <w:r w:rsidRPr="001E3A2D">
        <w:rPr>
          <w:noProof/>
        </w:rPr>
        <w:tab/>
      </w:r>
      <w:r w:rsidRPr="001E3A2D">
        <w:rPr>
          <w:i/>
          <w:noProof/>
        </w:rPr>
        <w:t>Erwartete Ergebnisse und Auswirkungen</w:t>
      </w:r>
      <w:bookmarkEnd w:id="40"/>
      <w:bookmarkEnd w:id="41"/>
      <w:bookmarkEnd w:id="42"/>
      <w:bookmarkEnd w:id="43"/>
      <w:bookmarkEnd w:id="44"/>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Die wichtigsten erwarteten Ergebnisse umfassen Folgendes:</w:t>
      </w:r>
    </w:p>
    <w:p w:rsidR="00127A9D" w:rsidRPr="001E3A2D" w:rsidRDefault="00127A9D" w:rsidP="004962F9">
      <w:pPr>
        <w:pStyle w:val="Tiret0"/>
        <w:numPr>
          <w:ilvl w:val="0"/>
          <w:numId w:val="18"/>
        </w:numPr>
        <w:rPr>
          <w:noProof/>
        </w:rPr>
      </w:pPr>
      <w:r w:rsidRPr="001E3A2D">
        <w:rPr>
          <w:noProof/>
        </w:rPr>
        <w:t>Der EU-Weinsektor bleibt auf dem Weinmarkt weiterhin weltweit.</w:t>
      </w:r>
    </w:p>
    <w:p w:rsidR="00127A9D" w:rsidRPr="001E3A2D" w:rsidRDefault="00127A9D" w:rsidP="00F337A7">
      <w:pPr>
        <w:pStyle w:val="Tiret0"/>
        <w:rPr>
          <w:noProof/>
        </w:rPr>
      </w:pPr>
      <w:r w:rsidRPr="001E3A2D">
        <w:rPr>
          <w:noProof/>
        </w:rPr>
        <w:t>Das Gleichgewicht zwischen dem Weinerzeugungspotenzial und der Entwicklung der Nachfrage auf dem nationalen und dem internationalen Markt wird wiederhergestellt.</w:t>
      </w:r>
    </w:p>
    <w:p w:rsidR="00127A9D" w:rsidRPr="001E3A2D" w:rsidRDefault="00127A9D" w:rsidP="00F337A7">
      <w:pPr>
        <w:pStyle w:val="Tiret0"/>
        <w:rPr>
          <w:noProof/>
        </w:rPr>
      </w:pPr>
      <w:r w:rsidRPr="001E3A2D">
        <w:rPr>
          <w:noProof/>
        </w:rPr>
        <w:t xml:space="preserve">Die Mitgliedstaaten sind in der Lage, Maßnahmen zu ergreifen, um Herausforderungen und Schwierigkeiten mit größerer Flexibilität zu begegnen. </w:t>
      </w:r>
    </w:p>
    <w:p w:rsidR="00127A9D" w:rsidRPr="001E3A2D" w:rsidRDefault="00127A9D" w:rsidP="00F337A7">
      <w:pPr>
        <w:pStyle w:val="Tiret0"/>
        <w:rPr>
          <w:noProof/>
        </w:rPr>
      </w:pPr>
      <w:r w:rsidRPr="001E3A2D">
        <w:rPr>
          <w:noProof/>
        </w:rPr>
        <w:t>Landwirte und Erzeugerorganisationen profitieren von einem flexibleren Politikrahmen für Entscheidungen, die auf die Marktentwicklung abgestimmt sind.</w:t>
      </w:r>
    </w:p>
    <w:p w:rsidR="00127A9D" w:rsidRPr="001E3A2D" w:rsidRDefault="00127A9D" w:rsidP="00F337A7">
      <w:pPr>
        <w:pStyle w:val="Tiret0"/>
        <w:rPr>
          <w:noProof/>
        </w:rPr>
      </w:pPr>
      <w:r w:rsidRPr="001E3A2D">
        <w:rPr>
          <w:noProof/>
        </w:rPr>
        <w:t>Der EU-Weinsektor stärkt seine Fähigkeit, seine Position auf aufstrebenden und neuen Märkten zu verbessern und die Einkommensquellen zu diversifizieren.</w:t>
      </w:r>
    </w:p>
    <w:p w:rsidR="00127A9D" w:rsidRPr="001E3A2D" w:rsidRDefault="00127A9D" w:rsidP="00F337A7">
      <w:pPr>
        <w:pStyle w:val="Tiret0"/>
        <w:rPr>
          <w:noProof/>
        </w:rPr>
      </w:pPr>
      <w:r w:rsidRPr="001E3A2D">
        <w:rPr>
          <w:noProof/>
        </w:rPr>
        <w:t>Der EU-Weinsektor ist in der Lage, die Unsicherheiten auf dem Markt, einschließlich im Zusammenhang mit dem Klimawandel, besser zu bewältigen.</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2"/>
        <w:rPr>
          <w:i/>
          <w:noProof/>
        </w:rPr>
      </w:pPr>
      <w:bookmarkStart w:id="45" w:name="_Toc514938023"/>
      <w:bookmarkStart w:id="46" w:name="_Toc520485033"/>
      <w:bookmarkStart w:id="47" w:name="_Toc160804575"/>
      <w:bookmarkStart w:id="48" w:name="_Toc167220267"/>
      <w:bookmarkStart w:id="49" w:name="_Toc177548999"/>
      <w:r w:rsidRPr="001E3A2D">
        <w:rPr>
          <w:i/>
          <w:noProof/>
        </w:rPr>
        <w:t>1.3.4</w:t>
      </w:r>
      <w:r w:rsidRPr="001E3A2D">
        <w:rPr>
          <w:noProof/>
        </w:rPr>
        <w:tab/>
      </w:r>
      <w:r w:rsidRPr="001E3A2D">
        <w:rPr>
          <w:i/>
          <w:noProof/>
        </w:rPr>
        <w:t>Leistungsindikatoren</w:t>
      </w:r>
      <w:bookmarkEnd w:id="45"/>
      <w:bookmarkEnd w:id="46"/>
      <w:bookmarkEnd w:id="47"/>
      <w:bookmarkEnd w:id="48"/>
      <w:bookmarkEnd w:id="49"/>
    </w:p>
    <w:p w:rsidR="00127A9D" w:rsidRPr="001E3A2D" w:rsidRDefault="00127A9D" w:rsidP="00127A9D">
      <w:pPr>
        <w:ind w:left="850"/>
        <w:rPr>
          <w:i/>
          <w:noProof/>
          <w:sz w:val="20"/>
        </w:rPr>
      </w:pP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Der Vorschlag berührt nicht den Überwachungsrahmen der GAP.</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1"/>
        <w:rPr>
          <w:b/>
          <w:noProof/>
        </w:rPr>
      </w:pPr>
      <w:bookmarkStart w:id="50" w:name="_Toc177549000"/>
      <w:r w:rsidRPr="001E3A2D">
        <w:rPr>
          <w:b/>
          <w:noProof/>
        </w:rPr>
        <w:t>1.4</w:t>
      </w:r>
      <w:r w:rsidRPr="001E3A2D">
        <w:rPr>
          <w:noProof/>
        </w:rPr>
        <w:tab/>
      </w:r>
      <w:r w:rsidRPr="001E3A2D">
        <w:rPr>
          <w:b/>
          <w:noProof/>
        </w:rPr>
        <w:t>Der Vorschlag/Die Initiative betrifft</w:t>
      </w:r>
      <w:bookmarkEnd w:id="50"/>
      <w:r w:rsidRPr="001E3A2D">
        <w:rPr>
          <w:b/>
          <w:noProof/>
        </w:rPr>
        <w:t xml:space="preserve"> </w:t>
      </w:r>
    </w:p>
    <w:p w:rsidR="00127A9D" w:rsidRPr="001E3A2D" w:rsidRDefault="00127A9D" w:rsidP="00127A9D">
      <w:pPr>
        <w:ind w:left="850"/>
        <w:rPr>
          <w:noProof/>
          <w:sz w:val="22"/>
        </w:rPr>
      </w:pPr>
      <w:r w:rsidRPr="001E3A2D">
        <w:rPr>
          <w:rFonts w:ascii="Wingdings" w:hAnsi="Wingdings"/>
          <w:noProof/>
          <w:sz w:val="22"/>
        </w:rPr>
        <w:t></w:t>
      </w:r>
      <w:r w:rsidRPr="001E3A2D">
        <w:rPr>
          <w:i/>
          <w:noProof/>
          <w:sz w:val="22"/>
        </w:rPr>
        <w:t xml:space="preserve"> </w:t>
      </w:r>
      <w:r w:rsidRPr="001E3A2D">
        <w:rPr>
          <w:noProof/>
        </w:rPr>
        <w:t>eine neue Maßnahme</w:t>
      </w:r>
      <w:r w:rsidRPr="001E3A2D">
        <w:rPr>
          <w:noProof/>
          <w:sz w:val="22"/>
        </w:rPr>
        <w:t xml:space="preserve"> </w:t>
      </w:r>
    </w:p>
    <w:p w:rsidR="00127A9D" w:rsidRPr="001E3A2D" w:rsidRDefault="00127A9D" w:rsidP="00127A9D">
      <w:pPr>
        <w:ind w:left="850"/>
        <w:rPr>
          <w:noProof/>
          <w:sz w:val="22"/>
        </w:rPr>
      </w:pPr>
      <w:r w:rsidRPr="001E3A2D">
        <w:rPr>
          <w:rFonts w:ascii="Wingdings" w:hAnsi="Wingdings"/>
          <w:noProof/>
          <w:sz w:val="22"/>
        </w:rPr>
        <w:t></w:t>
      </w:r>
      <w:r w:rsidRPr="001E3A2D">
        <w:rPr>
          <w:i/>
          <w:noProof/>
          <w:sz w:val="22"/>
        </w:rPr>
        <w:t xml:space="preserve"> </w:t>
      </w:r>
      <w:r w:rsidRPr="001E3A2D">
        <w:rPr>
          <w:noProof/>
        </w:rPr>
        <w:t>eine neue Maßnahme im Anschluss an ein Pilotprojekt/eine vorbereitende Maßnahme</w:t>
      </w:r>
      <w:r w:rsidRPr="001E3A2D">
        <w:rPr>
          <w:rStyle w:val="FootnoteReference"/>
          <w:noProof/>
        </w:rPr>
        <w:footnoteReference w:id="12"/>
      </w:r>
      <w:r w:rsidRPr="001E3A2D">
        <w:rPr>
          <w:noProof/>
          <w:sz w:val="22"/>
        </w:rPr>
        <w:t xml:space="preserve"> </w:t>
      </w:r>
    </w:p>
    <w:p w:rsidR="00127A9D" w:rsidRPr="001E3A2D" w:rsidRDefault="00127A9D" w:rsidP="00127A9D">
      <w:pPr>
        <w:ind w:left="850"/>
        <w:rPr>
          <w:noProof/>
          <w:sz w:val="22"/>
        </w:rPr>
      </w:pPr>
      <w:r w:rsidRPr="001E3A2D">
        <w:rPr>
          <w:rFonts w:ascii="Wingdings" w:hAnsi="Wingdings"/>
          <w:noProof/>
          <w:sz w:val="22"/>
        </w:rPr>
        <w:t></w:t>
      </w:r>
      <w:r w:rsidRPr="001E3A2D">
        <w:rPr>
          <w:i/>
          <w:noProof/>
          <w:sz w:val="22"/>
        </w:rPr>
        <w:t xml:space="preserve"> </w:t>
      </w:r>
      <w:r w:rsidRPr="001E3A2D">
        <w:rPr>
          <w:noProof/>
        </w:rPr>
        <w:t>die Verlängerung einer bestehenden Maßnahme</w:t>
      </w:r>
      <w:r w:rsidRPr="001E3A2D">
        <w:rPr>
          <w:noProof/>
          <w:sz w:val="22"/>
        </w:rPr>
        <w:t xml:space="preserve"> </w:t>
      </w:r>
    </w:p>
    <w:p w:rsidR="00127A9D" w:rsidRPr="001E3A2D" w:rsidRDefault="00127A9D" w:rsidP="00127A9D">
      <w:pPr>
        <w:ind w:left="850"/>
        <w:rPr>
          <w:noProof/>
        </w:rPr>
      </w:pPr>
      <w:r w:rsidRPr="001E3A2D">
        <w:rPr>
          <w:rFonts w:ascii="Wingdings" w:hAnsi="Wingdings"/>
          <w:noProof/>
          <w:sz w:val="22"/>
        </w:rPr>
        <w:t></w:t>
      </w:r>
      <w:r w:rsidRPr="001E3A2D">
        <w:rPr>
          <w:i/>
          <w:noProof/>
          <w:sz w:val="22"/>
        </w:rPr>
        <w:t xml:space="preserve"> </w:t>
      </w:r>
      <w:r w:rsidRPr="001E3A2D">
        <w:rPr>
          <w:noProof/>
        </w:rPr>
        <w:t>die Zusammenführung mehrerer Maßnahmen oder die Neuausrichtung mindestens einer Maßnahme</w:t>
      </w:r>
    </w:p>
    <w:p w:rsidR="00127A9D" w:rsidRPr="001E3A2D" w:rsidRDefault="00127A9D" w:rsidP="00127A9D">
      <w:pPr>
        <w:keepNext/>
        <w:tabs>
          <w:tab w:val="left" w:pos="850"/>
        </w:tabs>
        <w:ind w:left="850" w:hanging="850"/>
        <w:outlineLvl w:val="1"/>
        <w:rPr>
          <w:b/>
          <w:bCs/>
          <w:noProof/>
          <w:szCs w:val="24"/>
        </w:rPr>
      </w:pPr>
      <w:bookmarkStart w:id="51" w:name="_Toc514938025"/>
      <w:bookmarkStart w:id="52" w:name="_Toc520485034"/>
      <w:bookmarkStart w:id="53" w:name="_Toc160804576"/>
      <w:bookmarkStart w:id="54" w:name="_Toc167220268"/>
      <w:bookmarkStart w:id="55" w:name="_Toc177549001"/>
      <w:r w:rsidRPr="001E3A2D">
        <w:rPr>
          <w:b/>
          <w:noProof/>
        </w:rPr>
        <w:t>1.5</w:t>
      </w:r>
      <w:r w:rsidRPr="001E3A2D">
        <w:rPr>
          <w:noProof/>
        </w:rPr>
        <w:tab/>
      </w:r>
      <w:r w:rsidRPr="001E3A2D">
        <w:rPr>
          <w:b/>
          <w:noProof/>
        </w:rPr>
        <w:t>Begründung des Vorschlags/der Initiative</w:t>
      </w:r>
      <w:bookmarkEnd w:id="51"/>
      <w:bookmarkEnd w:id="52"/>
      <w:bookmarkEnd w:id="53"/>
      <w:bookmarkEnd w:id="54"/>
      <w:bookmarkEnd w:id="55"/>
      <w:r w:rsidRPr="001E3A2D">
        <w:rPr>
          <w:b/>
          <w:noProof/>
        </w:rPr>
        <w:t xml:space="preserve"> </w:t>
      </w:r>
    </w:p>
    <w:p w:rsidR="00127A9D" w:rsidRPr="001E3A2D" w:rsidRDefault="00127A9D" w:rsidP="00127A9D">
      <w:pPr>
        <w:keepNext/>
        <w:tabs>
          <w:tab w:val="left" w:pos="850"/>
        </w:tabs>
        <w:ind w:left="850" w:hanging="850"/>
        <w:outlineLvl w:val="2"/>
        <w:rPr>
          <w:i/>
          <w:noProof/>
        </w:rPr>
      </w:pPr>
      <w:bookmarkStart w:id="56" w:name="_Toc514938026"/>
      <w:bookmarkStart w:id="57" w:name="_Toc520485035"/>
      <w:bookmarkStart w:id="58" w:name="_Toc160804577"/>
      <w:bookmarkStart w:id="59" w:name="_Toc167220269"/>
      <w:bookmarkStart w:id="60" w:name="_Toc177549002"/>
      <w:r w:rsidRPr="001E3A2D">
        <w:rPr>
          <w:i/>
          <w:noProof/>
        </w:rPr>
        <w:t>1.5.1</w:t>
      </w:r>
      <w:r w:rsidRPr="001E3A2D">
        <w:rPr>
          <w:noProof/>
        </w:rPr>
        <w:tab/>
      </w:r>
      <w:r w:rsidRPr="001E3A2D">
        <w:rPr>
          <w:i/>
          <w:noProof/>
        </w:rPr>
        <w:t>Kurz- oder langfristig zu deckender Bedarf, einschließlich einer detaillierten Zeitleiste für die Durchführung der Initiative</w:t>
      </w:r>
      <w:bookmarkEnd w:id="56"/>
      <w:bookmarkEnd w:id="57"/>
      <w:bookmarkEnd w:id="58"/>
      <w:bookmarkEnd w:id="59"/>
      <w:bookmarkEnd w:id="60"/>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Der vorliegende Vorschlag trägt den dringendsten und spezifischen Empfehlungen Rechnung, die von der Hochrangigen Gruppe zur Weinpolitik im Dezember 2024 gebilligt wurden, indem der bestehende Rechtsrahmen so weit geändert wird, wie es erforderlich ist, um zur Erreichung der festgelegten Ziele beizutragen. Sobald der Vorschlag angenommen ist, wird er es den Mitgliedstaaten und dem Weinsektor ermöglichen, rasch zu handeln und die zahlreichen Herausforderungen zu bewältigen.</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 xml:space="preserve">Die vorgeschlagenen Änderungen könnten bei künftigen politischen Reformen weiter ergänzt werden, um einigen weiteren Empfehlungen Rechnung zu tragen, die nicht sektorspezifisch sind oder im derzeitigen Kontext nicht umgesetzt werden können. </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2"/>
        <w:rPr>
          <w:bCs/>
          <w:i/>
          <w:noProof/>
          <w:szCs w:val="24"/>
        </w:rPr>
      </w:pPr>
      <w:bookmarkStart w:id="61" w:name="_Toc514938029"/>
      <w:bookmarkStart w:id="62" w:name="_Toc520485036"/>
      <w:bookmarkStart w:id="63" w:name="_Toc160804578"/>
      <w:bookmarkStart w:id="64" w:name="_Toc167220270"/>
      <w:bookmarkStart w:id="65" w:name="_Toc177549003"/>
      <w:r w:rsidRPr="001E3A2D">
        <w:rPr>
          <w:i/>
          <w:noProof/>
        </w:rPr>
        <w:t>1.5.2</w:t>
      </w:r>
      <w:r w:rsidRPr="001E3A2D">
        <w:rPr>
          <w:noProof/>
        </w:rPr>
        <w:tab/>
      </w:r>
      <w:r w:rsidRPr="001E3A2D">
        <w:rPr>
          <w:i/>
          <w:noProof/>
        </w:rPr>
        <w:t>Mehrwert aufgrund des Tätigwerdens der EU (kann sich aus unterschiedlichen Faktoren ergeben, z. B. Vorteile durch Koordinierung, Rechtssicherheit, größerer Wirksamkeit oder Komplementarität). Für die Zwecke dieses Abschnitts bezeichnet der Ausdruck „Mehrwert aufgrund des Tätigwerdens der EU“ den Wert, der sich aus dem Tätigwerden der EU ergibt und den Wert ergänzt, der andernfalls allein von den Mitgliedstaaten geschaffen worden wäre.</w:t>
      </w:r>
      <w:bookmarkEnd w:id="61"/>
      <w:bookmarkEnd w:id="62"/>
      <w:bookmarkEnd w:id="63"/>
      <w:bookmarkEnd w:id="64"/>
      <w:bookmarkEnd w:id="65"/>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Der grenzüberschreitende und globale Charakter der wichtigsten Herausforderungen, mit denen der EU-Weinsektor konfrontiert ist, und der umfassende Rechtsrahmen, dem der Wein in der EU unterliegt, erfordern eine gemeinsame Reaktion auf EU-Ebene, die das Funktionieren des Binnenmarkts und gleiche Wettbewerbsbedingungen, die durch die GAP geschaffen werden, gewährleistet.</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2"/>
        <w:rPr>
          <w:i/>
          <w:noProof/>
        </w:rPr>
      </w:pPr>
      <w:bookmarkStart w:id="66" w:name="_Toc514938030"/>
      <w:bookmarkStart w:id="67" w:name="_Toc520485037"/>
      <w:bookmarkStart w:id="68" w:name="_Toc160804579"/>
      <w:bookmarkStart w:id="69" w:name="_Toc167220271"/>
      <w:bookmarkStart w:id="70" w:name="_Toc177549004"/>
      <w:r w:rsidRPr="001E3A2D">
        <w:rPr>
          <w:i/>
          <w:noProof/>
        </w:rPr>
        <w:t>1.5.3</w:t>
      </w:r>
      <w:r w:rsidRPr="001E3A2D">
        <w:rPr>
          <w:noProof/>
        </w:rPr>
        <w:tab/>
      </w:r>
      <w:r w:rsidRPr="001E3A2D">
        <w:rPr>
          <w:i/>
          <w:noProof/>
        </w:rPr>
        <w:t>Aus früheren ähnlichen Maßnahmen gewonnene Erkenntnisse</w:t>
      </w:r>
      <w:bookmarkEnd w:id="66"/>
      <w:bookmarkEnd w:id="67"/>
      <w:bookmarkEnd w:id="68"/>
      <w:bookmarkEnd w:id="69"/>
      <w:bookmarkEnd w:id="70"/>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Entfällt</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2"/>
        <w:rPr>
          <w:i/>
          <w:noProof/>
        </w:rPr>
      </w:pPr>
      <w:bookmarkStart w:id="71" w:name="_Toc514938033"/>
      <w:bookmarkStart w:id="72" w:name="_Toc520485038"/>
      <w:bookmarkStart w:id="73" w:name="_Toc160804580"/>
      <w:bookmarkStart w:id="74" w:name="_Toc167220272"/>
      <w:bookmarkStart w:id="75" w:name="_Toc177549005"/>
      <w:r w:rsidRPr="001E3A2D">
        <w:rPr>
          <w:i/>
          <w:noProof/>
        </w:rPr>
        <w:t>1.5.4</w:t>
      </w:r>
      <w:r w:rsidRPr="001E3A2D">
        <w:rPr>
          <w:noProof/>
        </w:rPr>
        <w:tab/>
      </w:r>
      <w:r w:rsidRPr="001E3A2D">
        <w:rPr>
          <w:i/>
          <w:noProof/>
        </w:rPr>
        <w:t>Vereinbarkeit mit dem Mehrjährigen Finanzrahmen sowie mögliche Synergieeffekte mit anderen geeigneten Instrumenten</w:t>
      </w:r>
      <w:bookmarkEnd w:id="71"/>
      <w:bookmarkEnd w:id="72"/>
      <w:bookmarkEnd w:id="73"/>
      <w:bookmarkEnd w:id="74"/>
      <w:bookmarkEnd w:id="75"/>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 xml:space="preserve">Der Vorschlag berührt nicht den Mehrjährigen Finanzrahmen und ändert weder den derzeitigen GAP-Haushalt noch die Aufteilung der Haushaltsmittel auf die beiden Säulen oder die Gestaltung der Maßnahmen im Rahmen der beiden Säulen. </w:t>
      </w:r>
    </w:p>
    <w:p w:rsidR="00127A9D" w:rsidRPr="001E3A2D" w:rsidRDefault="00127A9D" w:rsidP="00127A9D">
      <w:pPr>
        <w:keepNext/>
        <w:tabs>
          <w:tab w:val="left" w:pos="850"/>
        </w:tabs>
        <w:ind w:left="850" w:hanging="850"/>
        <w:outlineLvl w:val="2"/>
        <w:rPr>
          <w:i/>
          <w:noProof/>
        </w:rPr>
      </w:pPr>
      <w:bookmarkStart w:id="76" w:name="_Toc514938036"/>
      <w:bookmarkStart w:id="77" w:name="_Toc520485039"/>
      <w:bookmarkStart w:id="78" w:name="_Toc160804581"/>
      <w:bookmarkStart w:id="79" w:name="_Toc167220273"/>
      <w:bookmarkStart w:id="80" w:name="_Toc177549006"/>
      <w:r w:rsidRPr="001E3A2D">
        <w:rPr>
          <w:i/>
          <w:noProof/>
        </w:rPr>
        <w:t>1.5.5</w:t>
      </w:r>
      <w:r w:rsidRPr="001E3A2D">
        <w:rPr>
          <w:noProof/>
        </w:rPr>
        <w:tab/>
      </w:r>
      <w:r w:rsidRPr="001E3A2D">
        <w:rPr>
          <w:i/>
          <w:noProof/>
        </w:rPr>
        <w:t>Bewertung der verschiedenen verfügbaren Finanzierungsoptionen, einschließlich der Möglichkeiten für eine Umschichtung</w:t>
      </w:r>
      <w:bookmarkEnd w:id="76"/>
      <w:bookmarkEnd w:id="77"/>
      <w:bookmarkEnd w:id="78"/>
      <w:bookmarkEnd w:id="79"/>
      <w:bookmarkEnd w:id="80"/>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Alle Ausgaben im Zusammenhang mit der GAP werden aus den Mitteln der nationalen Stützungsprogramme für den Weinsektor bestritten. Andere Maßnahmen können aus nationalen Mitteln finanziert werden.</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1"/>
        <w:rPr>
          <w:b/>
          <w:bCs/>
          <w:noProof/>
          <w:szCs w:val="24"/>
        </w:rPr>
      </w:pPr>
      <w:bookmarkStart w:id="81" w:name="_Toc514938039"/>
      <w:bookmarkStart w:id="82" w:name="_Toc520485040"/>
      <w:bookmarkStart w:id="83" w:name="_Toc160804582"/>
      <w:bookmarkStart w:id="84" w:name="_Toc167220274"/>
      <w:bookmarkStart w:id="85" w:name="_Toc177549007"/>
      <w:r w:rsidRPr="001E3A2D">
        <w:rPr>
          <w:b/>
          <w:noProof/>
        </w:rPr>
        <w:t>1.6</w:t>
      </w:r>
      <w:r w:rsidRPr="001E3A2D">
        <w:rPr>
          <w:noProof/>
        </w:rPr>
        <w:tab/>
      </w:r>
      <w:r w:rsidRPr="001E3A2D">
        <w:rPr>
          <w:b/>
          <w:noProof/>
        </w:rPr>
        <w:t>Laufzeit der vorgeschlagenen Maßnahme/der Initiative und Dauer der finanziellen Auswirkungen</w:t>
      </w:r>
      <w:bookmarkEnd w:id="81"/>
      <w:bookmarkEnd w:id="82"/>
      <w:r w:rsidRPr="001E3A2D">
        <w:rPr>
          <w:b/>
          <w:noProof/>
        </w:rPr>
        <w:t xml:space="preserve"> und Dauer der finanziellen Auswirkungen</w:t>
      </w:r>
      <w:bookmarkEnd w:id="83"/>
      <w:bookmarkEnd w:id="84"/>
      <w:bookmarkEnd w:id="85"/>
    </w:p>
    <w:p w:rsidR="00127A9D" w:rsidRPr="001E3A2D" w:rsidRDefault="00127A9D" w:rsidP="00127A9D">
      <w:pPr>
        <w:ind w:left="850"/>
        <w:rPr>
          <w:noProof/>
        </w:rPr>
      </w:pPr>
      <w:r w:rsidRPr="001E3A2D">
        <w:rPr>
          <w:rFonts w:ascii="Wingdings" w:hAnsi="Wingdings"/>
          <w:noProof/>
        </w:rPr>
        <w:t></w:t>
      </w:r>
      <w:r w:rsidRPr="001E3A2D">
        <w:rPr>
          <w:b/>
          <w:i/>
          <w:noProof/>
        </w:rPr>
        <w:t xml:space="preserve"> </w:t>
      </w:r>
      <w:r w:rsidRPr="001E3A2D">
        <w:rPr>
          <w:b/>
          <w:noProof/>
        </w:rPr>
        <w:t xml:space="preserve">Befristete Laufzeit </w:t>
      </w:r>
    </w:p>
    <w:p w:rsidR="00127A9D" w:rsidRPr="001E3A2D" w:rsidRDefault="00127A9D" w:rsidP="00F337A7">
      <w:pPr>
        <w:rPr>
          <w:rFonts w:eastAsia="Times New Roman"/>
          <w:noProof/>
        </w:rPr>
      </w:pPr>
      <w:r w:rsidRPr="001E3A2D">
        <w:rPr>
          <w:rFonts w:ascii="Wingdings" w:hAnsi="Wingdings"/>
          <w:noProof/>
        </w:rPr>
        <w:t></w:t>
      </w:r>
      <w:r w:rsidRPr="001E3A2D">
        <w:rPr>
          <w:noProof/>
        </w:rPr>
        <w:tab/>
        <w:t xml:space="preserve">Laufzeit: [TT.MM.]JJJJ bis [TT.MM.]JJJJ </w:t>
      </w:r>
    </w:p>
    <w:p w:rsidR="00127A9D" w:rsidRPr="001E3A2D" w:rsidRDefault="00127A9D" w:rsidP="00F337A7">
      <w:pPr>
        <w:rPr>
          <w:rFonts w:eastAsia="Times New Roman"/>
          <w:noProof/>
        </w:rPr>
      </w:pPr>
      <w:r w:rsidRPr="001E3A2D">
        <w:rPr>
          <w:rFonts w:ascii="Wingdings" w:hAnsi="Wingdings"/>
          <w:noProof/>
        </w:rPr>
        <w:t></w:t>
      </w:r>
      <w:r w:rsidRPr="001E3A2D">
        <w:rPr>
          <w:noProof/>
        </w:rPr>
        <w:tab/>
        <w:t xml:space="preserve">Finanzielle Auswirkungen auf die Mittel für Verpflichtungen von JJJJ bis JJJJ und auf die Mittel für Zahlungen von JJJJ bis JJJJ </w:t>
      </w:r>
    </w:p>
    <w:p w:rsidR="00127A9D" w:rsidRPr="001E3A2D" w:rsidRDefault="00127A9D" w:rsidP="00127A9D">
      <w:pPr>
        <w:ind w:left="850"/>
        <w:rPr>
          <w:noProof/>
        </w:rPr>
      </w:pPr>
      <w:r w:rsidRPr="001E3A2D">
        <w:rPr>
          <w:rFonts w:ascii="Wingdings" w:hAnsi="Wingdings"/>
          <w:noProof/>
        </w:rPr>
        <w:t></w:t>
      </w:r>
      <w:r w:rsidRPr="001E3A2D">
        <w:rPr>
          <w:b/>
          <w:i/>
          <w:noProof/>
        </w:rPr>
        <w:t xml:space="preserve"> </w:t>
      </w:r>
      <w:r w:rsidRPr="001E3A2D">
        <w:rPr>
          <w:b/>
          <w:noProof/>
        </w:rPr>
        <w:t>Unbefristete Laufzeit</w:t>
      </w:r>
    </w:p>
    <w:p w:rsidR="00127A9D" w:rsidRPr="001E3A2D" w:rsidRDefault="00127A9D" w:rsidP="004962F9">
      <w:pPr>
        <w:pStyle w:val="Bullet0"/>
        <w:numPr>
          <w:ilvl w:val="0"/>
          <w:numId w:val="19"/>
        </w:numPr>
        <w:rPr>
          <w:noProof/>
        </w:rPr>
      </w:pPr>
      <w:r w:rsidRPr="001E3A2D">
        <w:rPr>
          <w:noProof/>
        </w:rPr>
        <w:t>Anlaufphase von JJJJ bis JJJJ,</w:t>
      </w:r>
    </w:p>
    <w:p w:rsidR="00127A9D" w:rsidRPr="001E3A2D" w:rsidRDefault="00127A9D" w:rsidP="00F337A7">
      <w:pPr>
        <w:pStyle w:val="Bullet0"/>
        <w:rPr>
          <w:noProof/>
        </w:rPr>
      </w:pPr>
      <w:r w:rsidRPr="001E3A2D">
        <w:rPr>
          <w:noProof/>
        </w:rPr>
        <w:t>anschließend reguläre Umsetzung.</w:t>
      </w:r>
    </w:p>
    <w:p w:rsidR="00127A9D" w:rsidRPr="001E3A2D" w:rsidRDefault="00127A9D" w:rsidP="00127A9D">
      <w:pPr>
        <w:keepNext/>
        <w:tabs>
          <w:tab w:val="left" w:pos="850"/>
        </w:tabs>
        <w:ind w:left="850" w:hanging="850"/>
        <w:outlineLvl w:val="1"/>
        <w:rPr>
          <w:b/>
          <w:bCs/>
          <w:noProof/>
          <w:szCs w:val="24"/>
        </w:rPr>
      </w:pPr>
      <w:bookmarkStart w:id="86" w:name="_Toc514938040"/>
      <w:bookmarkStart w:id="87" w:name="_Toc520485041"/>
      <w:bookmarkStart w:id="88" w:name="_Toc160804583"/>
      <w:bookmarkStart w:id="89" w:name="_Toc167220275"/>
      <w:bookmarkStart w:id="90" w:name="_Toc177549008"/>
      <w:r w:rsidRPr="001E3A2D">
        <w:rPr>
          <w:b/>
          <w:noProof/>
        </w:rPr>
        <w:t>1.7</w:t>
      </w:r>
      <w:r w:rsidRPr="001E3A2D">
        <w:rPr>
          <w:noProof/>
        </w:rPr>
        <w:tab/>
      </w:r>
      <w:r w:rsidRPr="001E3A2D">
        <w:rPr>
          <w:b/>
          <w:noProof/>
        </w:rPr>
        <w:t>Vorgeschlagene Haushaltsvollzugsart(en)</w:t>
      </w:r>
      <w:r w:rsidRPr="001E3A2D">
        <w:rPr>
          <w:rStyle w:val="FootnoteReference"/>
          <w:noProof/>
        </w:rPr>
        <w:footnoteReference w:id="13"/>
      </w:r>
      <w:bookmarkEnd w:id="86"/>
      <w:bookmarkEnd w:id="87"/>
      <w:bookmarkEnd w:id="88"/>
      <w:bookmarkEnd w:id="89"/>
      <w:bookmarkEnd w:id="90"/>
      <w:r w:rsidRPr="001E3A2D">
        <w:rPr>
          <w:b/>
          <w:noProof/>
          <w:vertAlign w:val="superscript"/>
        </w:rPr>
        <w:t xml:space="preserve"> </w:t>
      </w:r>
    </w:p>
    <w:p w:rsidR="00127A9D" w:rsidRPr="001E3A2D" w:rsidRDefault="00127A9D" w:rsidP="00127A9D">
      <w:pPr>
        <w:ind w:left="850"/>
        <w:rPr>
          <w:noProof/>
        </w:rPr>
      </w:pPr>
      <w:r w:rsidRPr="001E3A2D">
        <w:rPr>
          <w:rFonts w:ascii="Wingdings" w:hAnsi="Wingdings"/>
          <w:noProof/>
        </w:rPr>
        <w:t></w:t>
      </w:r>
      <w:r w:rsidRPr="001E3A2D">
        <w:rPr>
          <w:i/>
          <w:noProof/>
        </w:rPr>
        <w:t xml:space="preserve"> </w:t>
      </w:r>
      <w:r w:rsidRPr="001E3A2D">
        <w:rPr>
          <w:b/>
          <w:noProof/>
        </w:rPr>
        <w:t>Direkte Mittelverwaltung</w:t>
      </w:r>
      <w:r w:rsidRPr="001E3A2D">
        <w:rPr>
          <w:noProof/>
        </w:rPr>
        <w:t xml:space="preserve"> durch die Kommission</w:t>
      </w:r>
    </w:p>
    <w:p w:rsidR="00127A9D" w:rsidRPr="001E3A2D" w:rsidRDefault="00127A9D" w:rsidP="00F337A7">
      <w:pPr>
        <w:pStyle w:val="Bullet0"/>
        <w:rPr>
          <w:rFonts w:cs="EUAlbertina"/>
          <w:noProof/>
        </w:rPr>
      </w:pPr>
      <w:r w:rsidRPr="001E3A2D">
        <w:rPr>
          <w:rFonts w:ascii="Wingdings" w:hAnsi="Wingdings"/>
          <w:noProof/>
        </w:rPr>
        <w:t></w:t>
      </w:r>
      <w:r w:rsidRPr="001E3A2D">
        <w:rPr>
          <w:noProof/>
        </w:rPr>
        <w:t xml:space="preserve"> über ihre Dienststellen, einschließlich ihres Personals in den EU-Delegationen </w:t>
      </w:r>
    </w:p>
    <w:p w:rsidR="00127A9D" w:rsidRPr="001E3A2D" w:rsidRDefault="00127A9D" w:rsidP="00F337A7">
      <w:pPr>
        <w:pStyle w:val="Bullet0"/>
        <w:rPr>
          <w:noProof/>
        </w:rPr>
      </w:pPr>
      <w:r w:rsidRPr="001E3A2D">
        <w:rPr>
          <w:rFonts w:ascii="Wingdings" w:hAnsi="Wingdings"/>
          <w:noProof/>
        </w:rPr>
        <w:t></w:t>
      </w:r>
      <w:r w:rsidRPr="001E3A2D">
        <w:rPr>
          <w:noProof/>
        </w:rPr>
        <w:tab/>
        <w:t xml:space="preserve">über Exekutivagenturen </w:t>
      </w:r>
    </w:p>
    <w:p w:rsidR="00127A9D" w:rsidRPr="001E3A2D" w:rsidRDefault="00127A9D" w:rsidP="00127A9D">
      <w:pPr>
        <w:ind w:left="850"/>
        <w:rPr>
          <w:noProof/>
        </w:rPr>
      </w:pPr>
      <w:r w:rsidRPr="001E3A2D">
        <w:rPr>
          <w:rFonts w:ascii="Wingdings" w:hAnsi="Wingdings"/>
          <w:noProof/>
        </w:rPr>
        <w:t></w:t>
      </w:r>
      <w:r w:rsidRPr="001E3A2D">
        <w:rPr>
          <w:b/>
          <w:i/>
          <w:noProof/>
        </w:rPr>
        <w:t xml:space="preserve"> </w:t>
      </w:r>
      <w:r w:rsidRPr="001E3A2D">
        <w:rPr>
          <w:b/>
          <w:noProof/>
        </w:rPr>
        <w:t>Geteilte Mittelverwaltung</w:t>
      </w:r>
      <w:r w:rsidRPr="001E3A2D">
        <w:rPr>
          <w:noProof/>
        </w:rPr>
        <w:t xml:space="preserve"> mit Mitgliedstaaten </w:t>
      </w:r>
    </w:p>
    <w:p w:rsidR="00127A9D" w:rsidRPr="001E3A2D" w:rsidRDefault="00127A9D" w:rsidP="00127A9D">
      <w:pPr>
        <w:ind w:left="850"/>
        <w:rPr>
          <w:noProof/>
        </w:rPr>
      </w:pPr>
      <w:r w:rsidRPr="001E3A2D">
        <w:rPr>
          <w:rFonts w:ascii="Wingdings" w:hAnsi="Wingdings"/>
          <w:noProof/>
        </w:rPr>
        <w:t></w:t>
      </w:r>
      <w:r w:rsidRPr="001E3A2D">
        <w:rPr>
          <w:i/>
          <w:noProof/>
        </w:rPr>
        <w:t xml:space="preserve"> </w:t>
      </w:r>
      <w:r w:rsidRPr="001E3A2D">
        <w:rPr>
          <w:b/>
          <w:noProof/>
        </w:rPr>
        <w:t>Indirekte Mittelverwaltung</w:t>
      </w:r>
      <w:r w:rsidRPr="001E3A2D">
        <w:rPr>
          <w:noProof/>
        </w:rPr>
        <w:t xml:space="preserve"> durch Übertragung von Haushaltsvollzugsaufgaben an:</w:t>
      </w:r>
    </w:p>
    <w:p w:rsidR="00127A9D" w:rsidRPr="001E3A2D" w:rsidRDefault="00127A9D" w:rsidP="00F337A7">
      <w:pPr>
        <w:pStyle w:val="Bullet0"/>
        <w:rPr>
          <w:noProof/>
        </w:rPr>
      </w:pPr>
      <w:r w:rsidRPr="001E3A2D">
        <w:rPr>
          <w:rFonts w:ascii="Wingdings" w:hAnsi="Wingdings"/>
          <w:noProof/>
        </w:rPr>
        <w:t></w:t>
      </w:r>
      <w:r w:rsidRPr="001E3A2D">
        <w:rPr>
          <w:noProof/>
        </w:rPr>
        <w:t xml:space="preserve"> Drittländer oder die von ihnen benannten Einrichtungen</w:t>
      </w:r>
    </w:p>
    <w:p w:rsidR="00127A9D" w:rsidRPr="001E3A2D" w:rsidRDefault="00127A9D" w:rsidP="00F337A7">
      <w:pPr>
        <w:pStyle w:val="Bullet0"/>
        <w:rPr>
          <w:noProof/>
        </w:rPr>
      </w:pPr>
      <w:r w:rsidRPr="001E3A2D">
        <w:rPr>
          <w:rFonts w:ascii="Wingdings" w:hAnsi="Wingdings"/>
          <w:noProof/>
        </w:rPr>
        <w:t></w:t>
      </w:r>
      <w:r w:rsidRPr="001E3A2D">
        <w:rPr>
          <w:noProof/>
        </w:rPr>
        <w:t xml:space="preserve"> internationale Einrichtungen und deren Agenturen (bitte angeben)</w:t>
      </w:r>
    </w:p>
    <w:p w:rsidR="00127A9D" w:rsidRPr="001E3A2D" w:rsidRDefault="00127A9D" w:rsidP="00F337A7">
      <w:pPr>
        <w:pStyle w:val="Bullet0"/>
        <w:rPr>
          <w:noProof/>
        </w:rPr>
      </w:pPr>
      <w:r w:rsidRPr="001E3A2D">
        <w:rPr>
          <w:rFonts w:ascii="Wingdings" w:hAnsi="Wingdings"/>
          <w:noProof/>
        </w:rPr>
        <w:t></w:t>
      </w:r>
      <w:r w:rsidRPr="001E3A2D">
        <w:rPr>
          <w:noProof/>
        </w:rPr>
        <w:t xml:space="preserve"> die Europäische Investitionsbank und den Europäischen Investitionsfonds</w:t>
      </w:r>
    </w:p>
    <w:p w:rsidR="00127A9D" w:rsidRPr="001E3A2D" w:rsidRDefault="00127A9D" w:rsidP="00F337A7">
      <w:pPr>
        <w:pStyle w:val="Bullet0"/>
        <w:rPr>
          <w:noProof/>
        </w:rPr>
      </w:pPr>
      <w:r w:rsidRPr="001E3A2D">
        <w:rPr>
          <w:rFonts w:ascii="Wingdings" w:hAnsi="Wingdings"/>
          <w:noProof/>
        </w:rPr>
        <w:t></w:t>
      </w:r>
      <w:r w:rsidRPr="001E3A2D">
        <w:rPr>
          <w:noProof/>
        </w:rPr>
        <w:t xml:space="preserve"> Einrichtungen im Sinne der Artikel 70 und 71 der Haushaltsordnung</w:t>
      </w:r>
    </w:p>
    <w:p w:rsidR="00127A9D" w:rsidRPr="001E3A2D" w:rsidRDefault="00127A9D" w:rsidP="00F337A7">
      <w:pPr>
        <w:pStyle w:val="Bullet0"/>
        <w:rPr>
          <w:noProof/>
        </w:rPr>
      </w:pPr>
      <w:r w:rsidRPr="001E3A2D">
        <w:rPr>
          <w:rFonts w:ascii="Wingdings" w:hAnsi="Wingdings"/>
          <w:noProof/>
        </w:rPr>
        <w:t></w:t>
      </w:r>
      <w:r w:rsidRPr="001E3A2D">
        <w:rPr>
          <w:noProof/>
        </w:rPr>
        <w:t xml:space="preserve"> öffentlich-rechtliche Körperschaften</w:t>
      </w:r>
    </w:p>
    <w:p w:rsidR="00127A9D" w:rsidRPr="001E3A2D" w:rsidRDefault="00127A9D" w:rsidP="00F337A7">
      <w:pPr>
        <w:pStyle w:val="Bullet0"/>
        <w:rPr>
          <w:noProof/>
        </w:rPr>
      </w:pPr>
      <w:r w:rsidRPr="001E3A2D">
        <w:rPr>
          <w:rFonts w:ascii="Wingdings" w:hAnsi="Wingdings"/>
          <w:noProof/>
        </w:rPr>
        <w:t></w:t>
      </w:r>
      <w:r w:rsidRPr="001E3A2D">
        <w:rPr>
          <w:noProof/>
        </w:rPr>
        <w:t xml:space="preserve"> privatrechtliche Einrichtungen, die im öffentlichen Auftrag tätig werden, sofern ihnen ausreichende finanzielle Garantien bereitgestellt werden</w:t>
      </w:r>
    </w:p>
    <w:p w:rsidR="00127A9D" w:rsidRPr="001E3A2D" w:rsidRDefault="00127A9D" w:rsidP="00F337A7">
      <w:pPr>
        <w:pStyle w:val="Bullet0"/>
        <w:rPr>
          <w:noProof/>
        </w:rPr>
      </w:pPr>
      <w:r w:rsidRPr="001E3A2D">
        <w:rPr>
          <w:rFonts w:ascii="Wingdings" w:hAnsi="Wingdings"/>
          <w:noProof/>
        </w:rPr>
        <w:t></w:t>
      </w:r>
      <w:r w:rsidRPr="001E3A2D">
        <w:rPr>
          <w:noProof/>
        </w:rPr>
        <w:t xml:space="preserve"> privatrechtliche Einrichtungen eines Mitgliedstaats, die mit der Einrichtung einer öffentlich-privaten Partnerschaft betraut werden und denen ausreichende finanzielle Garantien bereitgestellt werden</w:t>
      </w:r>
    </w:p>
    <w:p w:rsidR="00127A9D" w:rsidRPr="001E3A2D" w:rsidRDefault="00127A9D" w:rsidP="00F337A7">
      <w:pPr>
        <w:pStyle w:val="Bullet0"/>
        <w:rPr>
          <w:noProof/>
        </w:rPr>
      </w:pPr>
      <w:r w:rsidRPr="001E3A2D">
        <w:rPr>
          <w:rFonts w:ascii="Wingdings" w:hAnsi="Wingdings"/>
          <w:noProof/>
        </w:rPr>
        <w:t></w:t>
      </w:r>
      <w:r w:rsidRPr="001E3A2D">
        <w:rPr>
          <w:noProof/>
        </w:rPr>
        <w:t xml:space="preserve"> Einrichtungen oder Personen, die mit der Durchführung bestimmter Maßnahmen im Bereich der Gemeinsamen Außen- und Sicherheitspolitik im Rahmen des Titels V des Vertrags über die Europäische Union betraut und die in dem maßgeblichen Basisrechtsakt benannt sind</w:t>
      </w:r>
    </w:p>
    <w:p w:rsidR="00127A9D" w:rsidRPr="001E3A2D" w:rsidRDefault="00127A9D" w:rsidP="00F337A7">
      <w:pPr>
        <w:pStyle w:val="Bullet0"/>
        <w:rPr>
          <w:noProof/>
        </w:rPr>
      </w:pPr>
      <w:r w:rsidRPr="001E3A2D">
        <w:rPr>
          <w:rFonts w:ascii="Wingdings" w:hAnsi="Wingdings"/>
          <w:noProof/>
        </w:rPr>
        <w:t></w:t>
      </w:r>
      <w:r w:rsidRPr="001E3A2D">
        <w:rPr>
          <w:rFonts w:ascii="Wingdings" w:hAnsi="Wingdings"/>
          <w:noProof/>
        </w:rPr>
        <w:t></w:t>
      </w:r>
      <w:r w:rsidRPr="001E3A2D">
        <w:rPr>
          <w:noProof/>
        </w:rPr>
        <w:t>in einem Mitgliedstaat ansässige Einrichtungen, die dem Privatrecht eines Mitgliedstaats oder dem Unionsrecht unterliegen und im Einklang mit sektorspezifischen Vorschriften für die Betrauung mit der Ausführung von Unionsmitteln oder mit der Erteilung von Haushaltsgarantien in Betracht kommen, insofern diese Einrichtungen von privatrechtlichen, im öffentlichen Auftrag tätig werdenden Einrichtungen kontrolliert und von den Kontrollstellen mit angemessenen finanziellen Garantien mit gesamtschuldnerischer Haftung oder gleichwertigen finanziellen Garantien ausgestattet werden, die bei jeder Maßnahme auf den Höchstbetrag der Unionsunterstützung begrenzt sein können</w:t>
      </w:r>
    </w:p>
    <w:p w:rsidR="00127A9D" w:rsidRPr="001E3A2D" w:rsidRDefault="00127A9D" w:rsidP="00127A9D">
      <w:pPr>
        <w:rPr>
          <w:noProof/>
        </w:rPr>
      </w:pPr>
    </w:p>
    <w:p w:rsidR="00127A9D" w:rsidRPr="001E3A2D" w:rsidRDefault="00127A9D" w:rsidP="00127A9D">
      <w:pPr>
        <w:rPr>
          <w:noProof/>
        </w:rPr>
      </w:pPr>
      <w:r w:rsidRPr="001E3A2D">
        <w:rPr>
          <w:noProof/>
        </w:rPr>
        <w:t>Bemerkungen</w:t>
      </w:r>
    </w:p>
    <w:p w:rsidR="00376079" w:rsidRPr="001E3A2D" w:rsidRDefault="00376079" w:rsidP="00127A9D">
      <w:pPr>
        <w:pBdr>
          <w:top w:val="single" w:sz="4" w:space="1" w:color="auto"/>
          <w:left w:val="single" w:sz="4" w:space="4" w:color="auto"/>
          <w:bottom w:val="single" w:sz="4" w:space="1" w:color="auto"/>
          <w:right w:val="single" w:sz="4" w:space="4" w:color="auto"/>
        </w:pBdr>
        <w:rPr>
          <w:noProof/>
        </w:rPr>
      </w:pPr>
    </w:p>
    <w:p w:rsidR="00376079" w:rsidRPr="001E3A2D" w:rsidRDefault="00376079" w:rsidP="00127A9D">
      <w:pPr>
        <w:pBdr>
          <w:top w:val="single" w:sz="4" w:space="1" w:color="auto"/>
          <w:left w:val="single" w:sz="4" w:space="4" w:color="auto"/>
          <w:bottom w:val="single" w:sz="4" w:space="1" w:color="auto"/>
          <w:right w:val="single" w:sz="4" w:space="4" w:color="auto"/>
        </w:pBdr>
        <w:rPr>
          <w:noProof/>
        </w:rPr>
      </w:pPr>
    </w:p>
    <w:p w:rsidR="00127A9D" w:rsidRPr="001E3A2D" w:rsidRDefault="00127A9D" w:rsidP="00127A9D">
      <w:pPr>
        <w:rPr>
          <w:noProof/>
        </w:rPr>
        <w:sectPr w:rsidR="00127A9D" w:rsidRPr="001E3A2D" w:rsidSect="00D363CA">
          <w:pgSz w:w="11907" w:h="16840" w:code="9"/>
          <w:pgMar w:top="1134" w:right="1418" w:bottom="1134" w:left="1418" w:header="709" w:footer="709" w:gutter="0"/>
          <w:cols w:space="708"/>
          <w:docGrid w:linePitch="360"/>
        </w:sectPr>
      </w:pPr>
    </w:p>
    <w:p w:rsidR="00127A9D" w:rsidRPr="001E3A2D" w:rsidRDefault="00127A9D" w:rsidP="00127A9D">
      <w:pPr>
        <w:keepNext/>
        <w:tabs>
          <w:tab w:val="left" w:pos="850"/>
        </w:tabs>
        <w:spacing w:before="360"/>
        <w:ind w:left="850" w:hanging="850"/>
        <w:outlineLvl w:val="0"/>
        <w:rPr>
          <w:b/>
          <w:bCs/>
          <w:smallCaps/>
          <w:noProof/>
          <w:szCs w:val="24"/>
        </w:rPr>
      </w:pPr>
      <w:bookmarkStart w:id="91" w:name="_Toc514938041"/>
      <w:bookmarkStart w:id="92" w:name="_Toc520485042"/>
      <w:bookmarkStart w:id="93" w:name="_Toc160804584"/>
      <w:bookmarkStart w:id="94" w:name="_Toc167220276"/>
      <w:bookmarkStart w:id="95" w:name="_Toc177549009"/>
      <w:r w:rsidRPr="001E3A2D">
        <w:rPr>
          <w:b/>
          <w:smallCaps/>
          <w:noProof/>
        </w:rPr>
        <w:t>2</w:t>
      </w:r>
      <w:r w:rsidRPr="001E3A2D">
        <w:rPr>
          <w:noProof/>
        </w:rPr>
        <w:tab/>
      </w:r>
      <w:r w:rsidRPr="001E3A2D">
        <w:rPr>
          <w:b/>
          <w:smallCaps/>
          <w:noProof/>
        </w:rPr>
        <w:t>VERWALTUNGSMAẞNAHMEN</w:t>
      </w:r>
      <w:bookmarkEnd w:id="91"/>
      <w:bookmarkEnd w:id="92"/>
      <w:bookmarkEnd w:id="93"/>
      <w:bookmarkEnd w:id="94"/>
      <w:bookmarkEnd w:id="95"/>
      <w:r w:rsidRPr="001E3A2D">
        <w:rPr>
          <w:b/>
          <w:smallCaps/>
          <w:noProof/>
        </w:rPr>
        <w:t xml:space="preserve"> </w:t>
      </w:r>
    </w:p>
    <w:p w:rsidR="00127A9D" w:rsidRPr="001E3A2D" w:rsidRDefault="00127A9D" w:rsidP="00127A9D">
      <w:pPr>
        <w:keepNext/>
        <w:tabs>
          <w:tab w:val="left" w:pos="850"/>
        </w:tabs>
        <w:ind w:left="850" w:hanging="850"/>
        <w:outlineLvl w:val="1"/>
        <w:rPr>
          <w:b/>
          <w:noProof/>
        </w:rPr>
      </w:pPr>
      <w:bookmarkStart w:id="96" w:name="_Toc514938042"/>
      <w:bookmarkStart w:id="97" w:name="_Toc520485043"/>
      <w:bookmarkStart w:id="98" w:name="_Toc160804585"/>
      <w:bookmarkStart w:id="99" w:name="_Toc167220277"/>
      <w:bookmarkStart w:id="100" w:name="_Toc177549010"/>
      <w:r w:rsidRPr="001E3A2D">
        <w:rPr>
          <w:b/>
          <w:noProof/>
        </w:rPr>
        <w:t>2.1</w:t>
      </w:r>
      <w:r w:rsidRPr="001E3A2D">
        <w:rPr>
          <w:noProof/>
        </w:rPr>
        <w:tab/>
      </w:r>
      <w:r w:rsidRPr="001E3A2D">
        <w:rPr>
          <w:b/>
          <w:noProof/>
        </w:rPr>
        <w:t>Überwachung und Berichterstattung</w:t>
      </w:r>
      <w:bookmarkEnd w:id="96"/>
      <w:bookmarkEnd w:id="97"/>
      <w:bookmarkEnd w:id="98"/>
      <w:bookmarkEnd w:id="99"/>
      <w:bookmarkEnd w:id="100"/>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In Bezug auf den Leistungs-, Überwachungs- und Evaluierungsrahmen im Rahmen der derzeitigen GAP sind keine Änderungen vorgesehen.</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1"/>
        <w:rPr>
          <w:b/>
          <w:bCs/>
          <w:noProof/>
          <w:szCs w:val="24"/>
        </w:rPr>
      </w:pPr>
      <w:bookmarkStart w:id="101" w:name="_Toc514938045"/>
      <w:bookmarkStart w:id="102" w:name="_Toc520485044"/>
      <w:bookmarkStart w:id="103" w:name="_Toc160804586"/>
      <w:bookmarkStart w:id="104" w:name="_Toc167220278"/>
      <w:bookmarkStart w:id="105" w:name="_Toc177549011"/>
      <w:r w:rsidRPr="001E3A2D">
        <w:rPr>
          <w:b/>
          <w:noProof/>
        </w:rPr>
        <w:t>2.2</w:t>
      </w:r>
      <w:r w:rsidRPr="001E3A2D">
        <w:rPr>
          <w:noProof/>
        </w:rPr>
        <w:tab/>
      </w:r>
      <w:r w:rsidRPr="001E3A2D">
        <w:rPr>
          <w:b/>
          <w:noProof/>
        </w:rPr>
        <w:t>Verwaltungs- und Kontrollsystem(e)</w:t>
      </w:r>
      <w:bookmarkEnd w:id="101"/>
      <w:bookmarkEnd w:id="102"/>
      <w:bookmarkEnd w:id="103"/>
      <w:bookmarkEnd w:id="104"/>
      <w:bookmarkEnd w:id="105"/>
      <w:r w:rsidRPr="001E3A2D">
        <w:rPr>
          <w:b/>
          <w:noProof/>
        </w:rPr>
        <w:t xml:space="preserve"> </w:t>
      </w:r>
    </w:p>
    <w:p w:rsidR="00127A9D" w:rsidRPr="001E3A2D" w:rsidRDefault="00127A9D" w:rsidP="00127A9D">
      <w:pPr>
        <w:keepNext/>
        <w:tabs>
          <w:tab w:val="left" w:pos="850"/>
        </w:tabs>
        <w:ind w:left="850" w:hanging="850"/>
        <w:outlineLvl w:val="2"/>
        <w:rPr>
          <w:i/>
          <w:noProof/>
        </w:rPr>
      </w:pPr>
      <w:bookmarkStart w:id="106" w:name="_Toc514938046"/>
      <w:bookmarkStart w:id="107" w:name="_Toc520485045"/>
      <w:bookmarkStart w:id="108" w:name="_Toc160804587"/>
      <w:bookmarkStart w:id="109" w:name="_Toc167220279"/>
      <w:bookmarkStart w:id="110" w:name="_Toc177549012"/>
      <w:r w:rsidRPr="001E3A2D">
        <w:rPr>
          <w:i/>
          <w:noProof/>
        </w:rPr>
        <w:t>2.2.1</w:t>
      </w:r>
      <w:r w:rsidRPr="001E3A2D">
        <w:rPr>
          <w:noProof/>
        </w:rPr>
        <w:tab/>
      </w:r>
      <w:r w:rsidRPr="001E3A2D">
        <w:rPr>
          <w:i/>
          <w:noProof/>
        </w:rPr>
        <w:t>Begründung der Haushaltsvollzugsart(en), des Durchführungsmechanismus/der Durchführungsmechanismen für die Finanzierung, der Zahlungsmodalitäten und der Kontrollstrategie, wie vorgeschlagen</w:t>
      </w:r>
      <w:bookmarkEnd w:id="106"/>
      <w:bookmarkEnd w:id="107"/>
      <w:bookmarkEnd w:id="108"/>
      <w:bookmarkEnd w:id="109"/>
      <w:bookmarkEnd w:id="110"/>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 xml:space="preserve"> Es sind keine Änderungen im Zusammenhang mit dem derzeitigen Umsetzungsmodell der GAP in Bezug auf die Haushaltsvollzugsarten, die Durchführungsmechanismen für die Finanzierung, die Zahlungsmodalitäten oder die Kontrollstrategie vorgesehen. </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2"/>
        <w:rPr>
          <w:bCs/>
          <w:i/>
          <w:noProof/>
          <w:szCs w:val="24"/>
        </w:rPr>
      </w:pPr>
      <w:bookmarkStart w:id="111" w:name="_Toc514938047"/>
      <w:bookmarkStart w:id="112" w:name="_Toc520485046"/>
      <w:bookmarkStart w:id="113" w:name="_Toc160804588"/>
      <w:bookmarkStart w:id="114" w:name="_Toc167220280"/>
      <w:bookmarkStart w:id="115" w:name="_Toc177549013"/>
      <w:r w:rsidRPr="001E3A2D">
        <w:rPr>
          <w:i/>
          <w:noProof/>
        </w:rPr>
        <w:t>2.2.2</w:t>
      </w:r>
      <w:r w:rsidRPr="001E3A2D">
        <w:rPr>
          <w:noProof/>
        </w:rPr>
        <w:tab/>
      </w:r>
      <w:r w:rsidRPr="001E3A2D">
        <w:rPr>
          <w:i/>
          <w:noProof/>
        </w:rPr>
        <w:t>Angaben zu den ermittelten Risiken und dem/den zu deren Eindämmung eingerichteten System(en) der internen Kontrolle</w:t>
      </w:r>
      <w:bookmarkEnd w:id="111"/>
      <w:bookmarkEnd w:id="112"/>
      <w:bookmarkEnd w:id="113"/>
      <w:bookmarkEnd w:id="114"/>
      <w:bookmarkEnd w:id="115"/>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Entfällt</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2"/>
        <w:rPr>
          <w:i/>
          <w:noProof/>
        </w:rPr>
      </w:pPr>
      <w:bookmarkStart w:id="116" w:name="_Toc514938048"/>
      <w:bookmarkStart w:id="117" w:name="_Toc520485047"/>
      <w:bookmarkStart w:id="118" w:name="_Toc160804589"/>
      <w:bookmarkStart w:id="119" w:name="_Toc167220281"/>
      <w:bookmarkStart w:id="120" w:name="_Toc177549014"/>
      <w:r w:rsidRPr="001E3A2D">
        <w:rPr>
          <w:i/>
          <w:noProof/>
        </w:rPr>
        <w:t>2.2.3</w:t>
      </w:r>
      <w:r w:rsidRPr="001E3A2D">
        <w:rPr>
          <w:noProof/>
        </w:rPr>
        <w:tab/>
      </w:r>
      <w:r w:rsidRPr="001E3A2D">
        <w:rPr>
          <w:i/>
          <w:noProof/>
        </w:rPr>
        <w:t>Schätzung und Begründung der Kosteneffizienz der Kontrollen (Verhältnis zwischen den Kontrollkosten und dem Wert der betreffenden verwalteten Mittel) sowie Bewertung des erwarteten Ausmaßes des Fehlerrisikos (bei Zahlung und beim Abschluss)</w:t>
      </w:r>
      <w:bookmarkEnd w:id="116"/>
      <w:bookmarkEnd w:id="117"/>
      <w:bookmarkEnd w:id="118"/>
      <w:bookmarkEnd w:id="119"/>
      <w:bookmarkEnd w:id="120"/>
      <w:r w:rsidRPr="001E3A2D">
        <w:rPr>
          <w:i/>
          <w:noProof/>
        </w:rPr>
        <w:t xml:space="preserve"> </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 xml:space="preserve">Es sind keine Änderungen des Status quo vorgesehen. </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1"/>
        <w:rPr>
          <w:b/>
          <w:bCs/>
          <w:noProof/>
          <w:szCs w:val="24"/>
        </w:rPr>
      </w:pPr>
      <w:bookmarkStart w:id="121" w:name="_Toc514938049"/>
      <w:bookmarkStart w:id="122" w:name="_Toc520485048"/>
      <w:bookmarkStart w:id="123" w:name="_Toc160804590"/>
      <w:bookmarkStart w:id="124" w:name="_Toc167220282"/>
      <w:bookmarkStart w:id="125" w:name="_Toc177549015"/>
      <w:r w:rsidRPr="001E3A2D">
        <w:rPr>
          <w:b/>
          <w:noProof/>
        </w:rPr>
        <w:t>2.3</w:t>
      </w:r>
      <w:r w:rsidRPr="001E3A2D">
        <w:rPr>
          <w:noProof/>
        </w:rPr>
        <w:tab/>
      </w:r>
      <w:r w:rsidRPr="001E3A2D">
        <w:rPr>
          <w:b/>
          <w:noProof/>
        </w:rPr>
        <w:t>Prävention von Betrug und Unregelmäßigkeiten</w:t>
      </w:r>
      <w:bookmarkEnd w:id="121"/>
      <w:bookmarkEnd w:id="122"/>
      <w:bookmarkEnd w:id="123"/>
      <w:bookmarkEnd w:id="124"/>
      <w:bookmarkEnd w:id="125"/>
      <w:r w:rsidRPr="001E3A2D">
        <w:rPr>
          <w:b/>
          <w:noProof/>
        </w:rPr>
        <w:t xml:space="preserve"> </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Es sind keine Änderungen des Status quo vorgesehen.</w:t>
      </w:r>
    </w:p>
    <w:p w:rsidR="00127A9D" w:rsidRPr="001E3A2D" w:rsidRDefault="00127A9D" w:rsidP="00376079">
      <w:pPr>
        <w:pBdr>
          <w:top w:val="single" w:sz="4" w:space="1" w:color="auto"/>
          <w:left w:val="single" w:sz="4" w:space="4" w:color="auto"/>
          <w:bottom w:val="single" w:sz="4" w:space="1" w:color="auto"/>
          <w:right w:val="single" w:sz="4" w:space="4" w:color="auto"/>
        </w:pBdr>
        <w:ind w:left="850"/>
        <w:rPr>
          <w:noProof/>
        </w:rPr>
      </w:pPr>
    </w:p>
    <w:p w:rsidR="00376079" w:rsidRPr="001E3A2D" w:rsidRDefault="00376079" w:rsidP="00376079">
      <w:pPr>
        <w:pBdr>
          <w:top w:val="single" w:sz="4" w:space="1" w:color="auto"/>
          <w:left w:val="single" w:sz="4" w:space="4" w:color="auto"/>
          <w:bottom w:val="single" w:sz="4" w:space="1" w:color="auto"/>
          <w:right w:val="single" w:sz="4" w:space="4" w:color="auto"/>
        </w:pBdr>
        <w:ind w:left="850"/>
        <w:rPr>
          <w:noProof/>
        </w:rPr>
        <w:sectPr w:rsidR="00376079" w:rsidRPr="001E3A2D" w:rsidSect="00D363CA">
          <w:pgSz w:w="11907" w:h="16840" w:code="9"/>
          <w:pgMar w:top="1134" w:right="1418" w:bottom="1134" w:left="1418" w:header="709" w:footer="709" w:gutter="0"/>
          <w:cols w:space="708"/>
          <w:docGrid w:linePitch="360"/>
        </w:sectPr>
      </w:pPr>
    </w:p>
    <w:p w:rsidR="00127A9D" w:rsidRPr="001E3A2D" w:rsidRDefault="00127A9D" w:rsidP="00127A9D">
      <w:pPr>
        <w:keepNext/>
        <w:tabs>
          <w:tab w:val="left" w:pos="850"/>
        </w:tabs>
        <w:spacing w:before="360"/>
        <w:ind w:left="850" w:hanging="850"/>
        <w:outlineLvl w:val="0"/>
        <w:rPr>
          <w:b/>
          <w:bCs/>
          <w:smallCaps/>
          <w:noProof/>
          <w:szCs w:val="24"/>
        </w:rPr>
      </w:pPr>
      <w:bookmarkStart w:id="126" w:name="_Toc514938050"/>
      <w:bookmarkStart w:id="127" w:name="_Toc520485049"/>
      <w:bookmarkStart w:id="128" w:name="_Toc160804591"/>
      <w:bookmarkStart w:id="129" w:name="_Toc167220283"/>
      <w:bookmarkStart w:id="130" w:name="_Toc177549016"/>
      <w:r w:rsidRPr="001E3A2D">
        <w:rPr>
          <w:b/>
          <w:smallCaps/>
          <w:noProof/>
        </w:rPr>
        <w:t>3</w:t>
      </w:r>
      <w:r w:rsidRPr="001E3A2D">
        <w:rPr>
          <w:noProof/>
        </w:rPr>
        <w:tab/>
      </w:r>
      <w:r w:rsidRPr="001E3A2D">
        <w:rPr>
          <w:b/>
          <w:smallCaps/>
          <w:noProof/>
        </w:rPr>
        <w:t>GESCHÄTZTE FINANZIELLE AUSWIRKUNGEN DES VORSCHLAGS/DER INITIATIVE</w:t>
      </w:r>
      <w:bookmarkEnd w:id="126"/>
      <w:bookmarkEnd w:id="127"/>
      <w:bookmarkEnd w:id="128"/>
      <w:bookmarkEnd w:id="129"/>
      <w:bookmarkEnd w:id="130"/>
      <w:r w:rsidRPr="001E3A2D">
        <w:rPr>
          <w:b/>
          <w:smallCaps/>
          <w:noProof/>
        </w:rPr>
        <w:t xml:space="preserve"> </w:t>
      </w:r>
    </w:p>
    <w:p w:rsidR="00127A9D" w:rsidRPr="001E3A2D" w:rsidRDefault="00127A9D" w:rsidP="00127A9D">
      <w:pPr>
        <w:keepNext/>
        <w:tabs>
          <w:tab w:val="left" w:pos="850"/>
        </w:tabs>
        <w:ind w:left="850" w:hanging="850"/>
        <w:outlineLvl w:val="1"/>
        <w:rPr>
          <w:b/>
          <w:noProof/>
        </w:rPr>
      </w:pPr>
      <w:bookmarkStart w:id="131" w:name="_Toc514938051"/>
      <w:bookmarkStart w:id="132" w:name="_Toc520485050"/>
      <w:bookmarkStart w:id="133" w:name="_Toc160804592"/>
      <w:bookmarkStart w:id="134" w:name="_Toc167220284"/>
      <w:bookmarkStart w:id="135" w:name="_Toc177549017"/>
      <w:r w:rsidRPr="001E3A2D">
        <w:rPr>
          <w:b/>
          <w:noProof/>
        </w:rPr>
        <w:t>3.1</w:t>
      </w:r>
      <w:r w:rsidRPr="001E3A2D">
        <w:rPr>
          <w:noProof/>
        </w:rPr>
        <w:tab/>
      </w:r>
      <w:r w:rsidRPr="001E3A2D">
        <w:rPr>
          <w:b/>
          <w:noProof/>
        </w:rPr>
        <w:t>Betroffene Rubrik(en) des Mehrjährigen Finanzrahmens und Ausgabenlinie(n) im Haushaltsplan</w:t>
      </w:r>
      <w:bookmarkEnd w:id="131"/>
      <w:bookmarkEnd w:id="132"/>
      <w:bookmarkEnd w:id="133"/>
      <w:bookmarkEnd w:id="134"/>
      <w:bookmarkEnd w:id="135"/>
      <w:r w:rsidRPr="001E3A2D">
        <w:rPr>
          <w:b/>
          <w:noProof/>
        </w:rPr>
        <w:t xml:space="preserve"> </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bookmarkStart w:id="136" w:name="_Hlk157691648"/>
      <w:r w:rsidRPr="001E3A2D">
        <w:rPr>
          <w:noProof/>
        </w:rPr>
        <w:t xml:space="preserve">Der Vorschlag hat keine quantifizierbaren Auswirkungen auf den Haushalt. </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Im Einklang mit den Empfehlungen der Hochrangigen Gruppe „Wein“ enthält der Vorschlag Maßnahmen, die darauf abzielen, das Erzeugungspotenzial zu steuern, die Wettbewerbsfähigkeit zu steigern und neue Absatzmärkte für den Sektor zu erschließen.</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 xml:space="preserve">Einige Maßnahmen (siehe Punkt 5 – Ausführliche Erläuterung einzelner Bestimmungen des Vorschlags) könnten die Durchführung beschleunigen und folglich zu höheren Ausgaben im Weinhaushalt führen, doch alle damit verbundenen Ausgaben werden aus den Mittelzuweisungen der Mitgliedstaaten für den Weinsektor finanziert. </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 xml:space="preserve">Der Vorschlag enthält Bestimmungen, die den Mitgliedstaaten ein gewisses Maß an Flexibilität einräumen, um die finanzielle Hilfe der Union für bestimmte Interventionskategorien und Begünstigte im Rahmen der GAP-Strategiepläne zu erhöhen. So können Erzeugergruppierungen, die geschützte Ursprungsbezeichnungen und geschützte geografische Angaben verwalten, nun Begünstigte der Interventionskategorie zur Förderung des Weintourismus in den Erzeugerregionen sein. Die Höchstdauer der Förderung von Absatzförderungs- und Kommunikationsmaßnahmen in Drittländern wird von drei auf fünf Jahre verlängert. Für bestimmte Investitionen anerkannter Erzeugerorganisationen wird derselbe Höchstsatz der finanziellen Hilfe gelten wie für Kleinstunternehmen sowie kleine und mittlere Unternehmen. Die Mitgliedstaaten können den Unterstützungssatz für Investitionen in den Klimaschutz und die Anpassung an den Klimawandel erhöhen. </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Die Auswirkungen der im Politikrahmen eingeführten Flexibilitätsregelungen lassen sich zum gegenwärtigen Zeitpunkt nicht quantifizieren.</w:t>
      </w:r>
    </w:p>
    <w:bookmarkEnd w:id="136"/>
    <w:p w:rsidR="00127A9D" w:rsidRPr="001E3A2D" w:rsidRDefault="00127A9D" w:rsidP="00F337A7">
      <w:pPr>
        <w:pStyle w:val="Tiret0"/>
        <w:rPr>
          <w:noProof/>
        </w:rPr>
      </w:pPr>
      <w:r w:rsidRPr="001E3A2D">
        <w:rPr>
          <w:noProof/>
        </w:rPr>
        <w:t xml:space="preserve">Bestehende Haushaltslinien </w:t>
      </w:r>
    </w:p>
    <w:p w:rsidR="00127A9D" w:rsidRPr="001E3A2D" w:rsidRDefault="00127A9D" w:rsidP="00127A9D">
      <w:pPr>
        <w:ind w:left="850"/>
        <w:rPr>
          <w:i/>
          <w:noProof/>
        </w:rPr>
      </w:pPr>
      <w:r w:rsidRPr="001E3A2D">
        <w:rPr>
          <w:i/>
          <w:noProof/>
        </w:rPr>
        <w:t>In der Reihenfolge der Rubriken des Mehrjährigen Finanzrahmens und der Haushaltslinien.</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127A9D" w:rsidRPr="001E3A2D">
        <w:trPr>
          <w:jc w:val="center"/>
        </w:trPr>
        <w:tc>
          <w:tcPr>
            <w:tcW w:w="1092" w:type="dxa"/>
            <w:vMerge w:val="restart"/>
            <w:vAlign w:val="center"/>
          </w:tcPr>
          <w:p w:rsidR="00127A9D" w:rsidRPr="001E3A2D" w:rsidRDefault="00127A9D" w:rsidP="00127A9D">
            <w:pPr>
              <w:spacing w:before="60" w:after="60"/>
              <w:jc w:val="center"/>
              <w:rPr>
                <w:noProof/>
              </w:rPr>
            </w:pPr>
            <w:r w:rsidRPr="001E3A2D">
              <w:rPr>
                <w:noProof/>
                <w:sz w:val="18"/>
              </w:rPr>
              <w:t>Rubrik des Mehrjährigen Finanzrahmens</w:t>
            </w:r>
          </w:p>
        </w:tc>
        <w:tc>
          <w:tcPr>
            <w:tcW w:w="4002" w:type="dxa"/>
            <w:vAlign w:val="center"/>
          </w:tcPr>
          <w:p w:rsidR="00127A9D" w:rsidRPr="001E3A2D" w:rsidRDefault="00127A9D" w:rsidP="00127A9D">
            <w:pPr>
              <w:spacing w:before="60" w:after="60"/>
              <w:jc w:val="center"/>
              <w:rPr>
                <w:noProof/>
              </w:rPr>
            </w:pPr>
            <w:r w:rsidRPr="001E3A2D">
              <w:rPr>
                <w:noProof/>
                <w:sz w:val="20"/>
              </w:rPr>
              <w:t>Haushaltslinie</w:t>
            </w:r>
          </w:p>
        </w:tc>
        <w:tc>
          <w:tcPr>
            <w:tcW w:w="1092" w:type="dxa"/>
            <w:vAlign w:val="center"/>
          </w:tcPr>
          <w:p w:rsidR="00127A9D" w:rsidRPr="001E3A2D" w:rsidRDefault="00127A9D" w:rsidP="00127A9D">
            <w:pPr>
              <w:spacing w:before="60" w:after="60"/>
              <w:jc w:val="center"/>
              <w:rPr>
                <w:noProof/>
              </w:rPr>
            </w:pPr>
            <w:r w:rsidRPr="001E3A2D">
              <w:rPr>
                <w:noProof/>
                <w:sz w:val="18"/>
              </w:rPr>
              <w:t>Art der Ausgaben</w:t>
            </w:r>
          </w:p>
        </w:tc>
        <w:tc>
          <w:tcPr>
            <w:tcW w:w="4487" w:type="dxa"/>
            <w:gridSpan w:val="4"/>
            <w:vAlign w:val="center"/>
          </w:tcPr>
          <w:p w:rsidR="00127A9D" w:rsidRPr="001E3A2D" w:rsidRDefault="00127A9D" w:rsidP="00127A9D">
            <w:pPr>
              <w:spacing w:before="60" w:after="60"/>
              <w:jc w:val="center"/>
              <w:rPr>
                <w:noProof/>
              </w:rPr>
            </w:pPr>
            <w:r w:rsidRPr="001E3A2D">
              <w:rPr>
                <w:noProof/>
                <w:sz w:val="20"/>
              </w:rPr>
              <w:t xml:space="preserve">Beitrag </w:t>
            </w:r>
          </w:p>
        </w:tc>
      </w:tr>
      <w:tr w:rsidR="00127A9D" w:rsidRPr="001E3A2D">
        <w:trPr>
          <w:cantSplit/>
          <w:jc w:val="center"/>
        </w:trPr>
        <w:tc>
          <w:tcPr>
            <w:tcW w:w="1092" w:type="dxa"/>
            <w:vMerge/>
            <w:vAlign w:val="center"/>
          </w:tcPr>
          <w:p w:rsidR="00127A9D" w:rsidRPr="001E3A2D" w:rsidRDefault="00127A9D" w:rsidP="00127A9D">
            <w:pPr>
              <w:jc w:val="center"/>
              <w:rPr>
                <w:noProof/>
              </w:rPr>
            </w:pPr>
          </w:p>
        </w:tc>
        <w:tc>
          <w:tcPr>
            <w:tcW w:w="4002" w:type="dxa"/>
            <w:vAlign w:val="center"/>
          </w:tcPr>
          <w:p w:rsidR="00127A9D" w:rsidRPr="001E3A2D" w:rsidRDefault="00127A9D" w:rsidP="00127A9D">
            <w:pPr>
              <w:rPr>
                <w:noProof/>
              </w:rPr>
            </w:pPr>
            <w:r w:rsidRPr="001E3A2D">
              <w:rPr>
                <w:noProof/>
                <w:sz w:val="20"/>
              </w:rPr>
              <w:t xml:space="preserve">Zahl </w:t>
            </w:r>
            <w:r w:rsidRPr="001E3A2D">
              <w:rPr>
                <w:noProof/>
              </w:rPr>
              <w:t xml:space="preserve"> </w:t>
            </w:r>
            <w:r w:rsidRPr="001E3A2D">
              <w:rPr>
                <w:noProof/>
              </w:rPr>
              <w:br/>
            </w:r>
          </w:p>
        </w:tc>
        <w:tc>
          <w:tcPr>
            <w:tcW w:w="1092" w:type="dxa"/>
            <w:vAlign w:val="center"/>
          </w:tcPr>
          <w:p w:rsidR="00127A9D" w:rsidRPr="001E3A2D" w:rsidRDefault="00127A9D" w:rsidP="00127A9D">
            <w:pPr>
              <w:jc w:val="center"/>
              <w:rPr>
                <w:noProof/>
              </w:rPr>
            </w:pPr>
            <w:r w:rsidRPr="001E3A2D">
              <w:rPr>
                <w:noProof/>
                <w:sz w:val="18"/>
              </w:rPr>
              <w:t>GM/NGM</w:t>
            </w:r>
            <w:r w:rsidRPr="001E3A2D">
              <w:rPr>
                <w:rStyle w:val="FootnoteReference"/>
                <w:noProof/>
              </w:rPr>
              <w:footnoteReference w:id="14"/>
            </w:r>
          </w:p>
        </w:tc>
        <w:tc>
          <w:tcPr>
            <w:tcW w:w="966" w:type="dxa"/>
            <w:vAlign w:val="center"/>
          </w:tcPr>
          <w:p w:rsidR="00127A9D" w:rsidRPr="001E3A2D" w:rsidRDefault="00127A9D" w:rsidP="00127A9D">
            <w:pPr>
              <w:jc w:val="center"/>
              <w:rPr>
                <w:b/>
                <w:noProof/>
                <w:sz w:val="18"/>
              </w:rPr>
            </w:pPr>
            <w:r w:rsidRPr="001E3A2D">
              <w:rPr>
                <w:noProof/>
                <w:sz w:val="18"/>
              </w:rPr>
              <w:t>von EFTA-Ländern</w:t>
            </w:r>
            <w:r w:rsidRPr="001E3A2D">
              <w:rPr>
                <w:rStyle w:val="FootnoteReference"/>
                <w:noProof/>
              </w:rPr>
              <w:footnoteReference w:id="15"/>
            </w:r>
          </w:p>
        </w:tc>
        <w:tc>
          <w:tcPr>
            <w:tcW w:w="1092" w:type="dxa"/>
            <w:vAlign w:val="center"/>
          </w:tcPr>
          <w:p w:rsidR="00127A9D" w:rsidRPr="001E3A2D" w:rsidRDefault="00127A9D" w:rsidP="00127A9D">
            <w:pPr>
              <w:jc w:val="center"/>
              <w:rPr>
                <w:noProof/>
                <w:sz w:val="18"/>
              </w:rPr>
            </w:pPr>
            <w:r w:rsidRPr="001E3A2D">
              <w:rPr>
                <w:noProof/>
                <w:sz w:val="18"/>
              </w:rPr>
              <w:t>von Kandidatenländern und potenziellen Kandidaten</w:t>
            </w:r>
            <w:r w:rsidRPr="001E3A2D">
              <w:rPr>
                <w:rStyle w:val="FootnoteReference"/>
                <w:noProof/>
              </w:rPr>
              <w:footnoteReference w:id="16"/>
            </w:r>
          </w:p>
        </w:tc>
        <w:tc>
          <w:tcPr>
            <w:tcW w:w="966" w:type="dxa"/>
            <w:vAlign w:val="center"/>
          </w:tcPr>
          <w:p w:rsidR="00127A9D" w:rsidRPr="001E3A2D" w:rsidRDefault="00127A9D" w:rsidP="00127A9D">
            <w:pPr>
              <w:jc w:val="center"/>
              <w:rPr>
                <w:noProof/>
                <w:sz w:val="18"/>
              </w:rPr>
            </w:pPr>
            <w:r w:rsidRPr="001E3A2D">
              <w:rPr>
                <w:noProof/>
                <w:sz w:val="18"/>
              </w:rPr>
              <w:t>von anderen Drittländern</w:t>
            </w:r>
          </w:p>
        </w:tc>
        <w:tc>
          <w:tcPr>
            <w:tcW w:w="1463" w:type="dxa"/>
            <w:vAlign w:val="center"/>
          </w:tcPr>
          <w:p w:rsidR="00127A9D" w:rsidRPr="001E3A2D" w:rsidRDefault="00127A9D" w:rsidP="00127A9D">
            <w:pPr>
              <w:jc w:val="center"/>
              <w:rPr>
                <w:noProof/>
              </w:rPr>
            </w:pPr>
            <w:r w:rsidRPr="001E3A2D">
              <w:rPr>
                <w:noProof/>
                <w:sz w:val="18"/>
              </w:rPr>
              <w:t>andere zweckgebundene Einnahmen</w:t>
            </w:r>
          </w:p>
        </w:tc>
      </w:tr>
      <w:tr w:rsidR="00127A9D" w:rsidRPr="001E3A2D">
        <w:trPr>
          <w:jc w:val="center"/>
        </w:trPr>
        <w:tc>
          <w:tcPr>
            <w:tcW w:w="1092" w:type="dxa"/>
            <w:vAlign w:val="center"/>
          </w:tcPr>
          <w:p w:rsidR="00127A9D" w:rsidRPr="001E3A2D" w:rsidRDefault="00127A9D" w:rsidP="00127A9D">
            <w:pPr>
              <w:jc w:val="center"/>
              <w:rPr>
                <w:noProof/>
              </w:rPr>
            </w:pPr>
            <w:r w:rsidRPr="001E3A2D">
              <w:rPr>
                <w:noProof/>
              </w:rPr>
              <w:t>3</w:t>
            </w:r>
          </w:p>
        </w:tc>
        <w:tc>
          <w:tcPr>
            <w:tcW w:w="4002" w:type="dxa"/>
            <w:vAlign w:val="center"/>
          </w:tcPr>
          <w:p w:rsidR="00127A9D" w:rsidRPr="001E3A2D" w:rsidRDefault="00127A9D" w:rsidP="00127A9D">
            <w:pPr>
              <w:spacing w:before="60"/>
              <w:rPr>
                <w:noProof/>
                <w:sz w:val="22"/>
              </w:rPr>
            </w:pPr>
            <w:r w:rsidRPr="001E3A2D">
              <w:rPr>
                <w:noProof/>
                <w:sz w:val="22"/>
              </w:rPr>
              <w:t xml:space="preserve">[08.02.02.03] Interventionskategorien in </w:t>
            </w:r>
          </w:p>
          <w:p w:rsidR="00127A9D" w:rsidRPr="001E3A2D" w:rsidRDefault="00127A9D" w:rsidP="00127A9D">
            <w:pPr>
              <w:spacing w:before="60"/>
              <w:rPr>
                <w:noProof/>
                <w:sz w:val="22"/>
              </w:rPr>
            </w:pPr>
            <w:r w:rsidRPr="001E3A2D">
              <w:rPr>
                <w:noProof/>
                <w:sz w:val="22"/>
              </w:rPr>
              <w:t xml:space="preserve">bestimmten Sektoren im Rahmen der GAP- </w:t>
            </w:r>
          </w:p>
          <w:p w:rsidR="00127A9D" w:rsidRPr="001E3A2D" w:rsidRDefault="00127A9D" w:rsidP="00127A9D">
            <w:pPr>
              <w:spacing w:before="60"/>
              <w:rPr>
                <w:noProof/>
              </w:rPr>
            </w:pPr>
            <w:r w:rsidRPr="001E3A2D">
              <w:rPr>
                <w:noProof/>
                <w:sz w:val="22"/>
              </w:rPr>
              <w:t>Strategiepläne – Weinsektor</w:t>
            </w:r>
          </w:p>
          <w:p w:rsidR="00127A9D" w:rsidRPr="001E3A2D" w:rsidRDefault="00127A9D" w:rsidP="00127A9D">
            <w:pPr>
              <w:spacing w:after="60"/>
              <w:rPr>
                <w:noProof/>
              </w:rPr>
            </w:pPr>
          </w:p>
        </w:tc>
        <w:tc>
          <w:tcPr>
            <w:tcW w:w="1092" w:type="dxa"/>
            <w:vAlign w:val="center"/>
          </w:tcPr>
          <w:p w:rsidR="00127A9D" w:rsidRPr="001E3A2D" w:rsidRDefault="00127A9D" w:rsidP="00127A9D">
            <w:pPr>
              <w:jc w:val="center"/>
              <w:rPr>
                <w:noProof/>
              </w:rPr>
            </w:pPr>
            <w:r w:rsidRPr="001E3A2D">
              <w:rPr>
                <w:noProof/>
                <w:sz w:val="22"/>
              </w:rPr>
              <w:t>GM/NGM</w:t>
            </w:r>
          </w:p>
        </w:tc>
        <w:tc>
          <w:tcPr>
            <w:tcW w:w="966" w:type="dxa"/>
            <w:vAlign w:val="center"/>
          </w:tcPr>
          <w:p w:rsidR="00127A9D" w:rsidRPr="001E3A2D" w:rsidRDefault="00127A9D" w:rsidP="00127A9D">
            <w:pPr>
              <w:jc w:val="center"/>
              <w:rPr>
                <w:noProof/>
                <w:sz w:val="20"/>
                <w:szCs w:val="20"/>
              </w:rPr>
            </w:pPr>
            <w:r w:rsidRPr="001E3A2D">
              <w:rPr>
                <w:noProof/>
                <w:sz w:val="20"/>
              </w:rPr>
              <w:t>JA/NEIN</w:t>
            </w:r>
          </w:p>
        </w:tc>
        <w:tc>
          <w:tcPr>
            <w:tcW w:w="1092" w:type="dxa"/>
            <w:vAlign w:val="center"/>
          </w:tcPr>
          <w:p w:rsidR="00127A9D" w:rsidRPr="001E3A2D" w:rsidRDefault="00127A9D" w:rsidP="00127A9D">
            <w:pPr>
              <w:jc w:val="center"/>
              <w:rPr>
                <w:noProof/>
                <w:sz w:val="20"/>
                <w:szCs w:val="20"/>
              </w:rPr>
            </w:pPr>
            <w:r w:rsidRPr="001E3A2D">
              <w:rPr>
                <w:noProof/>
                <w:sz w:val="20"/>
              </w:rPr>
              <w:t>JA/NEIN</w:t>
            </w:r>
          </w:p>
        </w:tc>
        <w:tc>
          <w:tcPr>
            <w:tcW w:w="966" w:type="dxa"/>
            <w:vAlign w:val="center"/>
          </w:tcPr>
          <w:p w:rsidR="00127A9D" w:rsidRPr="001E3A2D" w:rsidRDefault="00127A9D" w:rsidP="00127A9D">
            <w:pPr>
              <w:jc w:val="center"/>
              <w:rPr>
                <w:noProof/>
                <w:sz w:val="20"/>
                <w:szCs w:val="20"/>
              </w:rPr>
            </w:pPr>
            <w:r w:rsidRPr="001E3A2D">
              <w:rPr>
                <w:noProof/>
                <w:sz w:val="20"/>
              </w:rPr>
              <w:t>JA/NEIN</w:t>
            </w:r>
          </w:p>
        </w:tc>
        <w:tc>
          <w:tcPr>
            <w:tcW w:w="1463" w:type="dxa"/>
            <w:vAlign w:val="center"/>
          </w:tcPr>
          <w:p w:rsidR="00127A9D" w:rsidRPr="001E3A2D" w:rsidRDefault="00127A9D" w:rsidP="00127A9D">
            <w:pPr>
              <w:jc w:val="center"/>
              <w:rPr>
                <w:noProof/>
                <w:sz w:val="20"/>
                <w:szCs w:val="20"/>
              </w:rPr>
            </w:pPr>
            <w:r w:rsidRPr="001E3A2D">
              <w:rPr>
                <w:noProof/>
                <w:sz w:val="20"/>
              </w:rPr>
              <w:t>JA/NEIN</w:t>
            </w:r>
          </w:p>
        </w:tc>
      </w:tr>
      <w:tr w:rsidR="00127A9D" w:rsidRPr="001E3A2D">
        <w:trPr>
          <w:jc w:val="center"/>
        </w:trPr>
        <w:tc>
          <w:tcPr>
            <w:tcW w:w="1092" w:type="dxa"/>
            <w:vAlign w:val="center"/>
          </w:tcPr>
          <w:p w:rsidR="00127A9D" w:rsidRPr="001E3A2D" w:rsidRDefault="00127A9D" w:rsidP="00127A9D">
            <w:pPr>
              <w:jc w:val="center"/>
              <w:rPr>
                <w:noProof/>
              </w:rPr>
            </w:pPr>
          </w:p>
        </w:tc>
        <w:tc>
          <w:tcPr>
            <w:tcW w:w="4002" w:type="dxa"/>
            <w:vAlign w:val="center"/>
          </w:tcPr>
          <w:p w:rsidR="00127A9D" w:rsidRPr="001E3A2D" w:rsidRDefault="00127A9D" w:rsidP="00127A9D">
            <w:pPr>
              <w:spacing w:before="60"/>
              <w:rPr>
                <w:noProof/>
              </w:rPr>
            </w:pPr>
            <w:r w:rsidRPr="001E3A2D">
              <w:rPr>
                <w:noProof/>
                <w:sz w:val="22"/>
              </w:rPr>
              <w:t>[XX.YY.YY.YY]</w:t>
            </w:r>
          </w:p>
          <w:p w:rsidR="00127A9D" w:rsidRPr="001E3A2D" w:rsidRDefault="00127A9D" w:rsidP="00127A9D">
            <w:pPr>
              <w:spacing w:after="60"/>
              <w:rPr>
                <w:noProof/>
              </w:rPr>
            </w:pPr>
          </w:p>
        </w:tc>
        <w:tc>
          <w:tcPr>
            <w:tcW w:w="1092" w:type="dxa"/>
            <w:vAlign w:val="center"/>
          </w:tcPr>
          <w:p w:rsidR="00127A9D" w:rsidRPr="001E3A2D" w:rsidRDefault="00127A9D" w:rsidP="00127A9D">
            <w:pPr>
              <w:jc w:val="center"/>
              <w:rPr>
                <w:noProof/>
              </w:rPr>
            </w:pPr>
            <w:r w:rsidRPr="001E3A2D">
              <w:rPr>
                <w:noProof/>
                <w:sz w:val="22"/>
              </w:rPr>
              <w:t>GM/NGM</w:t>
            </w:r>
          </w:p>
        </w:tc>
        <w:tc>
          <w:tcPr>
            <w:tcW w:w="966" w:type="dxa"/>
            <w:vAlign w:val="center"/>
          </w:tcPr>
          <w:p w:rsidR="00127A9D" w:rsidRPr="001E3A2D" w:rsidRDefault="00127A9D" w:rsidP="00127A9D">
            <w:pPr>
              <w:jc w:val="center"/>
              <w:rPr>
                <w:noProof/>
                <w:sz w:val="20"/>
                <w:szCs w:val="20"/>
              </w:rPr>
            </w:pPr>
            <w:r w:rsidRPr="001E3A2D">
              <w:rPr>
                <w:noProof/>
                <w:sz w:val="20"/>
              </w:rPr>
              <w:t>JA/NEIN</w:t>
            </w:r>
          </w:p>
        </w:tc>
        <w:tc>
          <w:tcPr>
            <w:tcW w:w="1092" w:type="dxa"/>
            <w:vAlign w:val="center"/>
          </w:tcPr>
          <w:p w:rsidR="00127A9D" w:rsidRPr="001E3A2D" w:rsidRDefault="00127A9D" w:rsidP="00127A9D">
            <w:pPr>
              <w:jc w:val="center"/>
              <w:rPr>
                <w:noProof/>
                <w:sz w:val="20"/>
                <w:szCs w:val="20"/>
              </w:rPr>
            </w:pPr>
            <w:r w:rsidRPr="001E3A2D">
              <w:rPr>
                <w:noProof/>
                <w:sz w:val="20"/>
              </w:rPr>
              <w:t>JA/NEIN</w:t>
            </w:r>
          </w:p>
        </w:tc>
        <w:tc>
          <w:tcPr>
            <w:tcW w:w="966" w:type="dxa"/>
            <w:vAlign w:val="center"/>
          </w:tcPr>
          <w:p w:rsidR="00127A9D" w:rsidRPr="001E3A2D" w:rsidRDefault="00127A9D" w:rsidP="00127A9D">
            <w:pPr>
              <w:jc w:val="center"/>
              <w:rPr>
                <w:noProof/>
                <w:sz w:val="20"/>
                <w:szCs w:val="20"/>
              </w:rPr>
            </w:pPr>
            <w:r w:rsidRPr="001E3A2D">
              <w:rPr>
                <w:noProof/>
                <w:sz w:val="20"/>
              </w:rPr>
              <w:t>JA/NEIN</w:t>
            </w:r>
          </w:p>
        </w:tc>
        <w:tc>
          <w:tcPr>
            <w:tcW w:w="1463" w:type="dxa"/>
            <w:vAlign w:val="center"/>
          </w:tcPr>
          <w:p w:rsidR="00127A9D" w:rsidRPr="001E3A2D" w:rsidRDefault="00127A9D" w:rsidP="00127A9D">
            <w:pPr>
              <w:jc w:val="center"/>
              <w:rPr>
                <w:noProof/>
                <w:sz w:val="20"/>
                <w:szCs w:val="20"/>
              </w:rPr>
            </w:pPr>
            <w:r w:rsidRPr="001E3A2D">
              <w:rPr>
                <w:noProof/>
                <w:sz w:val="20"/>
              </w:rPr>
              <w:t>JA/NEIN</w:t>
            </w:r>
          </w:p>
        </w:tc>
      </w:tr>
      <w:tr w:rsidR="00127A9D" w:rsidRPr="001E3A2D">
        <w:trPr>
          <w:jc w:val="center"/>
        </w:trPr>
        <w:tc>
          <w:tcPr>
            <w:tcW w:w="1092" w:type="dxa"/>
            <w:vAlign w:val="center"/>
          </w:tcPr>
          <w:p w:rsidR="00127A9D" w:rsidRPr="001E3A2D" w:rsidRDefault="00127A9D" w:rsidP="00127A9D">
            <w:pPr>
              <w:jc w:val="center"/>
              <w:rPr>
                <w:noProof/>
              </w:rPr>
            </w:pPr>
          </w:p>
        </w:tc>
        <w:tc>
          <w:tcPr>
            <w:tcW w:w="4002" w:type="dxa"/>
            <w:vAlign w:val="center"/>
          </w:tcPr>
          <w:p w:rsidR="00127A9D" w:rsidRPr="001E3A2D" w:rsidRDefault="00127A9D" w:rsidP="00127A9D">
            <w:pPr>
              <w:spacing w:before="60"/>
              <w:rPr>
                <w:noProof/>
              </w:rPr>
            </w:pPr>
            <w:r w:rsidRPr="001E3A2D">
              <w:rPr>
                <w:noProof/>
                <w:sz w:val="22"/>
              </w:rPr>
              <w:t>[XX.YY.YY.YY]</w:t>
            </w:r>
          </w:p>
          <w:p w:rsidR="00127A9D" w:rsidRPr="001E3A2D" w:rsidRDefault="00127A9D" w:rsidP="00127A9D">
            <w:pPr>
              <w:spacing w:after="60"/>
              <w:rPr>
                <w:noProof/>
              </w:rPr>
            </w:pPr>
          </w:p>
        </w:tc>
        <w:tc>
          <w:tcPr>
            <w:tcW w:w="1092" w:type="dxa"/>
            <w:vAlign w:val="center"/>
          </w:tcPr>
          <w:p w:rsidR="00127A9D" w:rsidRPr="001E3A2D" w:rsidRDefault="00127A9D" w:rsidP="00127A9D">
            <w:pPr>
              <w:jc w:val="center"/>
              <w:rPr>
                <w:noProof/>
              </w:rPr>
            </w:pPr>
            <w:r w:rsidRPr="001E3A2D">
              <w:rPr>
                <w:noProof/>
                <w:sz w:val="22"/>
              </w:rPr>
              <w:t>GM/NGM</w:t>
            </w:r>
          </w:p>
        </w:tc>
        <w:tc>
          <w:tcPr>
            <w:tcW w:w="966" w:type="dxa"/>
            <w:vAlign w:val="center"/>
          </w:tcPr>
          <w:p w:rsidR="00127A9D" w:rsidRPr="001E3A2D" w:rsidRDefault="00127A9D" w:rsidP="00127A9D">
            <w:pPr>
              <w:jc w:val="center"/>
              <w:rPr>
                <w:noProof/>
                <w:sz w:val="20"/>
                <w:szCs w:val="20"/>
              </w:rPr>
            </w:pPr>
            <w:r w:rsidRPr="001E3A2D">
              <w:rPr>
                <w:noProof/>
                <w:sz w:val="20"/>
              </w:rPr>
              <w:t>JA/NEIN</w:t>
            </w:r>
          </w:p>
        </w:tc>
        <w:tc>
          <w:tcPr>
            <w:tcW w:w="1092" w:type="dxa"/>
            <w:vAlign w:val="center"/>
          </w:tcPr>
          <w:p w:rsidR="00127A9D" w:rsidRPr="001E3A2D" w:rsidRDefault="00127A9D" w:rsidP="00127A9D">
            <w:pPr>
              <w:jc w:val="center"/>
              <w:rPr>
                <w:noProof/>
                <w:sz w:val="20"/>
                <w:szCs w:val="20"/>
              </w:rPr>
            </w:pPr>
            <w:r w:rsidRPr="001E3A2D">
              <w:rPr>
                <w:noProof/>
                <w:sz w:val="20"/>
              </w:rPr>
              <w:t>JA/NEIN</w:t>
            </w:r>
          </w:p>
        </w:tc>
        <w:tc>
          <w:tcPr>
            <w:tcW w:w="966" w:type="dxa"/>
            <w:vAlign w:val="center"/>
          </w:tcPr>
          <w:p w:rsidR="00127A9D" w:rsidRPr="001E3A2D" w:rsidRDefault="00127A9D" w:rsidP="00127A9D">
            <w:pPr>
              <w:jc w:val="center"/>
              <w:rPr>
                <w:noProof/>
                <w:sz w:val="20"/>
                <w:szCs w:val="20"/>
              </w:rPr>
            </w:pPr>
            <w:r w:rsidRPr="001E3A2D">
              <w:rPr>
                <w:noProof/>
                <w:sz w:val="20"/>
              </w:rPr>
              <w:t>JA/NEIN</w:t>
            </w:r>
          </w:p>
        </w:tc>
        <w:tc>
          <w:tcPr>
            <w:tcW w:w="1463" w:type="dxa"/>
            <w:vAlign w:val="center"/>
          </w:tcPr>
          <w:p w:rsidR="00127A9D" w:rsidRPr="001E3A2D" w:rsidRDefault="00127A9D" w:rsidP="00127A9D">
            <w:pPr>
              <w:jc w:val="center"/>
              <w:rPr>
                <w:noProof/>
                <w:sz w:val="20"/>
                <w:szCs w:val="20"/>
              </w:rPr>
            </w:pPr>
            <w:r w:rsidRPr="001E3A2D">
              <w:rPr>
                <w:noProof/>
                <w:sz w:val="20"/>
              </w:rPr>
              <w:t>JA/NEIN</w:t>
            </w:r>
          </w:p>
        </w:tc>
      </w:tr>
    </w:tbl>
    <w:p w:rsidR="00127A9D" w:rsidRPr="001E3A2D" w:rsidRDefault="00127A9D" w:rsidP="00F337A7">
      <w:pPr>
        <w:pStyle w:val="Tiret0"/>
        <w:rPr>
          <w:noProof/>
        </w:rPr>
      </w:pPr>
      <w:r w:rsidRPr="001E3A2D">
        <w:rPr>
          <w:noProof/>
        </w:rPr>
        <w:t xml:space="preserve">Neu zu schaffende Haushaltslinien </w:t>
      </w:r>
    </w:p>
    <w:p w:rsidR="00127A9D" w:rsidRPr="001E3A2D" w:rsidRDefault="00127A9D" w:rsidP="00127A9D">
      <w:pPr>
        <w:ind w:left="850"/>
        <w:rPr>
          <w:i/>
          <w:noProof/>
          <w:sz w:val="20"/>
        </w:rPr>
      </w:pPr>
      <w:r w:rsidRPr="001E3A2D">
        <w:rPr>
          <w:i/>
          <w:noProof/>
        </w:rPr>
        <w:t>In der Reihenfolge der Rubriken des Mehrjährigen Finanzrahmens und der Haushaltslinien.</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127A9D" w:rsidRPr="001E3A2D">
        <w:trPr>
          <w:jc w:val="center"/>
        </w:trPr>
        <w:tc>
          <w:tcPr>
            <w:tcW w:w="1080" w:type="dxa"/>
            <w:vMerge w:val="restart"/>
            <w:vAlign w:val="center"/>
          </w:tcPr>
          <w:p w:rsidR="00127A9D" w:rsidRPr="001E3A2D" w:rsidRDefault="00127A9D" w:rsidP="00127A9D">
            <w:pPr>
              <w:spacing w:before="60" w:after="60"/>
              <w:jc w:val="center"/>
              <w:rPr>
                <w:noProof/>
                <w:sz w:val="18"/>
                <w:szCs w:val="18"/>
              </w:rPr>
            </w:pPr>
            <w:r w:rsidRPr="001E3A2D">
              <w:rPr>
                <w:noProof/>
                <w:sz w:val="18"/>
              </w:rPr>
              <w:t>Rubrik des Mehrjährigen Finanzrahmens</w:t>
            </w:r>
          </w:p>
        </w:tc>
        <w:tc>
          <w:tcPr>
            <w:tcW w:w="3960" w:type="dxa"/>
            <w:vAlign w:val="center"/>
          </w:tcPr>
          <w:p w:rsidR="00127A9D" w:rsidRPr="001E3A2D" w:rsidRDefault="00127A9D" w:rsidP="00127A9D">
            <w:pPr>
              <w:spacing w:before="60" w:after="60"/>
              <w:jc w:val="center"/>
              <w:rPr>
                <w:noProof/>
              </w:rPr>
            </w:pPr>
            <w:r w:rsidRPr="001E3A2D">
              <w:rPr>
                <w:noProof/>
                <w:sz w:val="20"/>
              </w:rPr>
              <w:t>Haushaltslinie</w:t>
            </w:r>
          </w:p>
        </w:tc>
        <w:tc>
          <w:tcPr>
            <w:tcW w:w="1080" w:type="dxa"/>
            <w:vAlign w:val="center"/>
          </w:tcPr>
          <w:p w:rsidR="00127A9D" w:rsidRPr="001E3A2D" w:rsidRDefault="00127A9D" w:rsidP="00127A9D">
            <w:pPr>
              <w:spacing w:before="60" w:after="60"/>
              <w:jc w:val="center"/>
              <w:rPr>
                <w:noProof/>
              </w:rPr>
            </w:pPr>
            <w:r w:rsidRPr="001E3A2D">
              <w:rPr>
                <w:noProof/>
                <w:sz w:val="18"/>
              </w:rPr>
              <w:t>Art der Ausgaben</w:t>
            </w:r>
          </w:p>
        </w:tc>
        <w:tc>
          <w:tcPr>
            <w:tcW w:w="4440" w:type="dxa"/>
            <w:gridSpan w:val="4"/>
            <w:vAlign w:val="center"/>
          </w:tcPr>
          <w:p w:rsidR="00127A9D" w:rsidRPr="001E3A2D" w:rsidRDefault="00127A9D" w:rsidP="00127A9D">
            <w:pPr>
              <w:spacing w:before="60" w:after="60"/>
              <w:jc w:val="center"/>
              <w:rPr>
                <w:noProof/>
              </w:rPr>
            </w:pPr>
            <w:r w:rsidRPr="001E3A2D">
              <w:rPr>
                <w:noProof/>
                <w:sz w:val="20"/>
              </w:rPr>
              <w:t xml:space="preserve">Beitrag </w:t>
            </w:r>
          </w:p>
        </w:tc>
      </w:tr>
      <w:tr w:rsidR="00127A9D" w:rsidRPr="001E3A2D">
        <w:trPr>
          <w:cantSplit/>
          <w:jc w:val="center"/>
        </w:trPr>
        <w:tc>
          <w:tcPr>
            <w:tcW w:w="1080" w:type="dxa"/>
            <w:vMerge/>
            <w:vAlign w:val="center"/>
          </w:tcPr>
          <w:p w:rsidR="00127A9D" w:rsidRPr="001E3A2D" w:rsidRDefault="00127A9D" w:rsidP="00127A9D">
            <w:pPr>
              <w:jc w:val="center"/>
              <w:rPr>
                <w:noProof/>
              </w:rPr>
            </w:pPr>
          </w:p>
        </w:tc>
        <w:tc>
          <w:tcPr>
            <w:tcW w:w="3960" w:type="dxa"/>
            <w:vAlign w:val="center"/>
          </w:tcPr>
          <w:p w:rsidR="00127A9D" w:rsidRPr="001E3A2D" w:rsidRDefault="00127A9D" w:rsidP="00127A9D">
            <w:pPr>
              <w:rPr>
                <w:noProof/>
              </w:rPr>
            </w:pPr>
            <w:r w:rsidRPr="001E3A2D">
              <w:rPr>
                <w:noProof/>
                <w:sz w:val="20"/>
              </w:rPr>
              <w:t xml:space="preserve">Zahl </w:t>
            </w:r>
            <w:r w:rsidRPr="001E3A2D">
              <w:rPr>
                <w:noProof/>
              </w:rPr>
              <w:t xml:space="preserve"> </w:t>
            </w:r>
            <w:r w:rsidRPr="001E3A2D">
              <w:rPr>
                <w:noProof/>
              </w:rPr>
              <w:br/>
            </w:r>
          </w:p>
        </w:tc>
        <w:tc>
          <w:tcPr>
            <w:tcW w:w="1080" w:type="dxa"/>
            <w:vAlign w:val="center"/>
          </w:tcPr>
          <w:p w:rsidR="00127A9D" w:rsidRPr="001E3A2D" w:rsidRDefault="00127A9D" w:rsidP="00127A9D">
            <w:pPr>
              <w:jc w:val="center"/>
              <w:rPr>
                <w:noProof/>
              </w:rPr>
            </w:pPr>
            <w:r w:rsidRPr="001E3A2D">
              <w:rPr>
                <w:noProof/>
                <w:sz w:val="18"/>
              </w:rPr>
              <w:t>GM/NGM</w:t>
            </w:r>
          </w:p>
        </w:tc>
        <w:tc>
          <w:tcPr>
            <w:tcW w:w="956" w:type="dxa"/>
            <w:vAlign w:val="center"/>
          </w:tcPr>
          <w:p w:rsidR="00127A9D" w:rsidRPr="001E3A2D" w:rsidRDefault="00127A9D" w:rsidP="00127A9D">
            <w:pPr>
              <w:jc w:val="center"/>
              <w:rPr>
                <w:noProof/>
                <w:sz w:val="18"/>
              </w:rPr>
            </w:pPr>
            <w:r w:rsidRPr="001E3A2D">
              <w:rPr>
                <w:noProof/>
                <w:sz w:val="18"/>
              </w:rPr>
              <w:t>von EFTA-Ländern</w:t>
            </w:r>
          </w:p>
        </w:tc>
        <w:tc>
          <w:tcPr>
            <w:tcW w:w="1080" w:type="dxa"/>
            <w:vAlign w:val="center"/>
          </w:tcPr>
          <w:p w:rsidR="00127A9D" w:rsidRPr="001E3A2D" w:rsidRDefault="00127A9D" w:rsidP="00127A9D">
            <w:pPr>
              <w:jc w:val="center"/>
              <w:rPr>
                <w:noProof/>
                <w:sz w:val="18"/>
              </w:rPr>
            </w:pPr>
            <w:r w:rsidRPr="001E3A2D">
              <w:rPr>
                <w:noProof/>
                <w:sz w:val="18"/>
              </w:rPr>
              <w:t>von Kandidatenländern und potenziellen Kandidaten</w:t>
            </w:r>
          </w:p>
        </w:tc>
        <w:tc>
          <w:tcPr>
            <w:tcW w:w="956" w:type="dxa"/>
            <w:vAlign w:val="center"/>
          </w:tcPr>
          <w:p w:rsidR="00127A9D" w:rsidRPr="001E3A2D" w:rsidRDefault="00127A9D" w:rsidP="00127A9D">
            <w:pPr>
              <w:jc w:val="center"/>
              <w:rPr>
                <w:noProof/>
                <w:sz w:val="18"/>
              </w:rPr>
            </w:pPr>
            <w:r w:rsidRPr="001E3A2D">
              <w:rPr>
                <w:noProof/>
                <w:sz w:val="18"/>
              </w:rPr>
              <w:t>von anderen Drittländern</w:t>
            </w:r>
          </w:p>
        </w:tc>
        <w:tc>
          <w:tcPr>
            <w:tcW w:w="1448" w:type="dxa"/>
            <w:vAlign w:val="center"/>
          </w:tcPr>
          <w:p w:rsidR="00127A9D" w:rsidRPr="001E3A2D" w:rsidRDefault="00127A9D" w:rsidP="00127A9D">
            <w:pPr>
              <w:jc w:val="center"/>
              <w:rPr>
                <w:noProof/>
              </w:rPr>
            </w:pPr>
            <w:r w:rsidRPr="001E3A2D">
              <w:rPr>
                <w:noProof/>
                <w:sz w:val="18"/>
              </w:rPr>
              <w:t xml:space="preserve">andere zweckgebundene Einnahmen </w:t>
            </w:r>
          </w:p>
        </w:tc>
      </w:tr>
      <w:tr w:rsidR="00127A9D" w:rsidRPr="001E3A2D">
        <w:trPr>
          <w:cantSplit/>
          <w:jc w:val="center"/>
        </w:trPr>
        <w:tc>
          <w:tcPr>
            <w:tcW w:w="1080" w:type="dxa"/>
            <w:vAlign w:val="center"/>
          </w:tcPr>
          <w:p w:rsidR="00127A9D" w:rsidRPr="001E3A2D" w:rsidRDefault="00127A9D" w:rsidP="00127A9D">
            <w:pPr>
              <w:jc w:val="center"/>
              <w:rPr>
                <w:noProof/>
              </w:rPr>
            </w:pPr>
          </w:p>
        </w:tc>
        <w:tc>
          <w:tcPr>
            <w:tcW w:w="3960" w:type="dxa"/>
            <w:vAlign w:val="center"/>
          </w:tcPr>
          <w:p w:rsidR="00127A9D" w:rsidRPr="001E3A2D" w:rsidRDefault="00127A9D" w:rsidP="00127A9D">
            <w:pPr>
              <w:spacing w:before="60"/>
              <w:rPr>
                <w:noProof/>
              </w:rPr>
            </w:pPr>
            <w:r w:rsidRPr="001E3A2D">
              <w:rPr>
                <w:noProof/>
                <w:sz w:val="22"/>
              </w:rPr>
              <w:t>[XX.YY.YY.YY]</w:t>
            </w:r>
          </w:p>
          <w:p w:rsidR="00127A9D" w:rsidRPr="001E3A2D" w:rsidRDefault="00127A9D" w:rsidP="00127A9D">
            <w:pPr>
              <w:spacing w:after="60"/>
              <w:rPr>
                <w:noProof/>
              </w:rPr>
            </w:pPr>
          </w:p>
        </w:tc>
        <w:tc>
          <w:tcPr>
            <w:tcW w:w="1080" w:type="dxa"/>
            <w:vAlign w:val="center"/>
          </w:tcPr>
          <w:p w:rsidR="00127A9D" w:rsidRPr="001E3A2D" w:rsidRDefault="00127A9D" w:rsidP="00127A9D">
            <w:pPr>
              <w:jc w:val="center"/>
              <w:rPr>
                <w:noProof/>
              </w:rPr>
            </w:pPr>
            <w:r w:rsidRPr="001E3A2D">
              <w:rPr>
                <w:noProof/>
                <w:sz w:val="22"/>
              </w:rPr>
              <w:t>GM/NGM</w:t>
            </w:r>
          </w:p>
        </w:tc>
        <w:tc>
          <w:tcPr>
            <w:tcW w:w="956" w:type="dxa"/>
            <w:vAlign w:val="center"/>
          </w:tcPr>
          <w:p w:rsidR="00127A9D" w:rsidRPr="001E3A2D" w:rsidRDefault="00127A9D" w:rsidP="00127A9D">
            <w:pPr>
              <w:jc w:val="center"/>
              <w:rPr>
                <w:noProof/>
                <w:sz w:val="20"/>
                <w:szCs w:val="20"/>
              </w:rPr>
            </w:pPr>
            <w:r w:rsidRPr="001E3A2D">
              <w:rPr>
                <w:noProof/>
                <w:sz w:val="20"/>
              </w:rPr>
              <w:t>JA/NEIN</w:t>
            </w:r>
          </w:p>
        </w:tc>
        <w:tc>
          <w:tcPr>
            <w:tcW w:w="1080" w:type="dxa"/>
            <w:vAlign w:val="center"/>
          </w:tcPr>
          <w:p w:rsidR="00127A9D" w:rsidRPr="001E3A2D" w:rsidRDefault="00127A9D" w:rsidP="00127A9D">
            <w:pPr>
              <w:jc w:val="center"/>
              <w:rPr>
                <w:noProof/>
                <w:sz w:val="20"/>
                <w:szCs w:val="20"/>
              </w:rPr>
            </w:pPr>
            <w:r w:rsidRPr="001E3A2D">
              <w:rPr>
                <w:noProof/>
                <w:sz w:val="20"/>
              </w:rPr>
              <w:t>JA/NEIN</w:t>
            </w:r>
          </w:p>
        </w:tc>
        <w:tc>
          <w:tcPr>
            <w:tcW w:w="956" w:type="dxa"/>
            <w:vAlign w:val="center"/>
          </w:tcPr>
          <w:p w:rsidR="00127A9D" w:rsidRPr="001E3A2D" w:rsidRDefault="00127A9D" w:rsidP="00127A9D">
            <w:pPr>
              <w:jc w:val="center"/>
              <w:rPr>
                <w:noProof/>
                <w:sz w:val="20"/>
                <w:szCs w:val="20"/>
              </w:rPr>
            </w:pPr>
            <w:r w:rsidRPr="001E3A2D">
              <w:rPr>
                <w:noProof/>
                <w:sz w:val="20"/>
              </w:rPr>
              <w:t>JA/NEIN</w:t>
            </w:r>
          </w:p>
        </w:tc>
        <w:tc>
          <w:tcPr>
            <w:tcW w:w="1448" w:type="dxa"/>
            <w:vAlign w:val="center"/>
          </w:tcPr>
          <w:p w:rsidR="00127A9D" w:rsidRPr="001E3A2D" w:rsidRDefault="00127A9D" w:rsidP="00127A9D">
            <w:pPr>
              <w:jc w:val="center"/>
              <w:rPr>
                <w:noProof/>
                <w:sz w:val="20"/>
                <w:szCs w:val="20"/>
              </w:rPr>
            </w:pPr>
            <w:r w:rsidRPr="001E3A2D">
              <w:rPr>
                <w:noProof/>
                <w:sz w:val="20"/>
              </w:rPr>
              <w:t>JA/NEIN</w:t>
            </w:r>
          </w:p>
        </w:tc>
      </w:tr>
      <w:tr w:rsidR="00127A9D" w:rsidRPr="001E3A2D">
        <w:trPr>
          <w:cantSplit/>
          <w:jc w:val="center"/>
        </w:trPr>
        <w:tc>
          <w:tcPr>
            <w:tcW w:w="1080" w:type="dxa"/>
            <w:vAlign w:val="center"/>
          </w:tcPr>
          <w:p w:rsidR="00127A9D" w:rsidRPr="001E3A2D" w:rsidRDefault="00127A9D" w:rsidP="00127A9D">
            <w:pPr>
              <w:jc w:val="center"/>
              <w:rPr>
                <w:noProof/>
              </w:rPr>
            </w:pPr>
          </w:p>
        </w:tc>
        <w:tc>
          <w:tcPr>
            <w:tcW w:w="3960" w:type="dxa"/>
            <w:vAlign w:val="center"/>
          </w:tcPr>
          <w:p w:rsidR="00127A9D" w:rsidRPr="001E3A2D" w:rsidRDefault="00127A9D" w:rsidP="00127A9D">
            <w:pPr>
              <w:spacing w:before="60"/>
              <w:rPr>
                <w:noProof/>
              </w:rPr>
            </w:pPr>
            <w:r w:rsidRPr="001E3A2D">
              <w:rPr>
                <w:noProof/>
                <w:sz w:val="22"/>
              </w:rPr>
              <w:t>[XX.YY.YY.YY]</w:t>
            </w:r>
          </w:p>
          <w:p w:rsidR="00127A9D" w:rsidRPr="001E3A2D" w:rsidRDefault="00127A9D" w:rsidP="00127A9D">
            <w:pPr>
              <w:spacing w:after="60"/>
              <w:rPr>
                <w:noProof/>
              </w:rPr>
            </w:pPr>
          </w:p>
        </w:tc>
        <w:tc>
          <w:tcPr>
            <w:tcW w:w="1080" w:type="dxa"/>
            <w:vAlign w:val="center"/>
          </w:tcPr>
          <w:p w:rsidR="00127A9D" w:rsidRPr="001E3A2D" w:rsidRDefault="00127A9D" w:rsidP="00127A9D">
            <w:pPr>
              <w:jc w:val="center"/>
              <w:rPr>
                <w:noProof/>
              </w:rPr>
            </w:pPr>
            <w:r w:rsidRPr="001E3A2D">
              <w:rPr>
                <w:noProof/>
                <w:sz w:val="22"/>
              </w:rPr>
              <w:t>GM/NGM</w:t>
            </w:r>
          </w:p>
        </w:tc>
        <w:tc>
          <w:tcPr>
            <w:tcW w:w="956" w:type="dxa"/>
            <w:vAlign w:val="center"/>
          </w:tcPr>
          <w:p w:rsidR="00127A9D" w:rsidRPr="001E3A2D" w:rsidRDefault="00127A9D" w:rsidP="00127A9D">
            <w:pPr>
              <w:jc w:val="center"/>
              <w:rPr>
                <w:noProof/>
                <w:sz w:val="20"/>
                <w:szCs w:val="20"/>
              </w:rPr>
            </w:pPr>
            <w:r w:rsidRPr="001E3A2D">
              <w:rPr>
                <w:noProof/>
                <w:sz w:val="20"/>
              </w:rPr>
              <w:t>JA/NEIN</w:t>
            </w:r>
          </w:p>
        </w:tc>
        <w:tc>
          <w:tcPr>
            <w:tcW w:w="1080" w:type="dxa"/>
            <w:vAlign w:val="center"/>
          </w:tcPr>
          <w:p w:rsidR="00127A9D" w:rsidRPr="001E3A2D" w:rsidRDefault="00127A9D" w:rsidP="00127A9D">
            <w:pPr>
              <w:jc w:val="center"/>
              <w:rPr>
                <w:noProof/>
                <w:sz w:val="20"/>
                <w:szCs w:val="20"/>
              </w:rPr>
            </w:pPr>
            <w:r w:rsidRPr="001E3A2D">
              <w:rPr>
                <w:noProof/>
                <w:sz w:val="20"/>
              </w:rPr>
              <w:t>JA/NEIN</w:t>
            </w:r>
          </w:p>
        </w:tc>
        <w:tc>
          <w:tcPr>
            <w:tcW w:w="956" w:type="dxa"/>
            <w:vAlign w:val="center"/>
          </w:tcPr>
          <w:p w:rsidR="00127A9D" w:rsidRPr="001E3A2D" w:rsidRDefault="00127A9D" w:rsidP="00127A9D">
            <w:pPr>
              <w:jc w:val="center"/>
              <w:rPr>
                <w:noProof/>
                <w:sz w:val="20"/>
                <w:szCs w:val="20"/>
              </w:rPr>
            </w:pPr>
            <w:r w:rsidRPr="001E3A2D">
              <w:rPr>
                <w:noProof/>
                <w:sz w:val="20"/>
              </w:rPr>
              <w:t>JA/NEIN</w:t>
            </w:r>
          </w:p>
        </w:tc>
        <w:tc>
          <w:tcPr>
            <w:tcW w:w="1448" w:type="dxa"/>
            <w:vAlign w:val="center"/>
          </w:tcPr>
          <w:p w:rsidR="00127A9D" w:rsidRPr="001E3A2D" w:rsidRDefault="00127A9D" w:rsidP="00127A9D">
            <w:pPr>
              <w:jc w:val="center"/>
              <w:rPr>
                <w:noProof/>
                <w:sz w:val="20"/>
                <w:szCs w:val="20"/>
              </w:rPr>
            </w:pPr>
            <w:r w:rsidRPr="001E3A2D">
              <w:rPr>
                <w:noProof/>
                <w:sz w:val="20"/>
              </w:rPr>
              <w:t>JA/NEIN</w:t>
            </w:r>
          </w:p>
        </w:tc>
      </w:tr>
      <w:tr w:rsidR="00127A9D" w:rsidRPr="001E3A2D">
        <w:trPr>
          <w:jc w:val="center"/>
        </w:trPr>
        <w:tc>
          <w:tcPr>
            <w:tcW w:w="1080" w:type="dxa"/>
            <w:vAlign w:val="center"/>
          </w:tcPr>
          <w:p w:rsidR="00127A9D" w:rsidRPr="001E3A2D" w:rsidRDefault="00127A9D" w:rsidP="00127A9D">
            <w:pPr>
              <w:jc w:val="center"/>
              <w:rPr>
                <w:noProof/>
              </w:rPr>
            </w:pPr>
          </w:p>
        </w:tc>
        <w:tc>
          <w:tcPr>
            <w:tcW w:w="3960" w:type="dxa"/>
            <w:vAlign w:val="center"/>
          </w:tcPr>
          <w:p w:rsidR="00127A9D" w:rsidRPr="001E3A2D" w:rsidRDefault="00127A9D" w:rsidP="00127A9D">
            <w:pPr>
              <w:spacing w:before="60"/>
              <w:rPr>
                <w:noProof/>
              </w:rPr>
            </w:pPr>
            <w:r w:rsidRPr="001E3A2D">
              <w:rPr>
                <w:noProof/>
                <w:sz w:val="22"/>
              </w:rPr>
              <w:t>[XX.YY.YY.YY]</w:t>
            </w:r>
          </w:p>
          <w:p w:rsidR="00127A9D" w:rsidRPr="001E3A2D" w:rsidRDefault="00127A9D" w:rsidP="00127A9D">
            <w:pPr>
              <w:spacing w:after="60"/>
              <w:rPr>
                <w:noProof/>
              </w:rPr>
            </w:pPr>
          </w:p>
        </w:tc>
        <w:tc>
          <w:tcPr>
            <w:tcW w:w="1080" w:type="dxa"/>
            <w:vAlign w:val="center"/>
          </w:tcPr>
          <w:p w:rsidR="00127A9D" w:rsidRPr="001E3A2D" w:rsidRDefault="00127A9D" w:rsidP="00127A9D">
            <w:pPr>
              <w:jc w:val="center"/>
              <w:rPr>
                <w:noProof/>
              </w:rPr>
            </w:pPr>
            <w:r w:rsidRPr="001E3A2D">
              <w:rPr>
                <w:noProof/>
                <w:sz w:val="22"/>
              </w:rPr>
              <w:t>GM/NGM</w:t>
            </w:r>
          </w:p>
        </w:tc>
        <w:tc>
          <w:tcPr>
            <w:tcW w:w="956" w:type="dxa"/>
            <w:vAlign w:val="center"/>
          </w:tcPr>
          <w:p w:rsidR="00127A9D" w:rsidRPr="001E3A2D" w:rsidRDefault="00127A9D" w:rsidP="00127A9D">
            <w:pPr>
              <w:jc w:val="center"/>
              <w:rPr>
                <w:noProof/>
                <w:sz w:val="20"/>
                <w:szCs w:val="20"/>
              </w:rPr>
            </w:pPr>
            <w:r w:rsidRPr="001E3A2D">
              <w:rPr>
                <w:noProof/>
                <w:sz w:val="20"/>
              </w:rPr>
              <w:t>JA/NEIN</w:t>
            </w:r>
          </w:p>
        </w:tc>
        <w:tc>
          <w:tcPr>
            <w:tcW w:w="1080" w:type="dxa"/>
            <w:vAlign w:val="center"/>
          </w:tcPr>
          <w:p w:rsidR="00127A9D" w:rsidRPr="001E3A2D" w:rsidRDefault="00127A9D" w:rsidP="00127A9D">
            <w:pPr>
              <w:jc w:val="center"/>
              <w:rPr>
                <w:noProof/>
                <w:sz w:val="20"/>
                <w:szCs w:val="20"/>
              </w:rPr>
            </w:pPr>
            <w:r w:rsidRPr="001E3A2D">
              <w:rPr>
                <w:noProof/>
                <w:sz w:val="20"/>
              </w:rPr>
              <w:t>JA/NEIN</w:t>
            </w:r>
          </w:p>
        </w:tc>
        <w:tc>
          <w:tcPr>
            <w:tcW w:w="956" w:type="dxa"/>
            <w:vAlign w:val="center"/>
          </w:tcPr>
          <w:p w:rsidR="00127A9D" w:rsidRPr="001E3A2D" w:rsidRDefault="00127A9D" w:rsidP="00127A9D">
            <w:pPr>
              <w:jc w:val="center"/>
              <w:rPr>
                <w:noProof/>
                <w:sz w:val="20"/>
                <w:szCs w:val="20"/>
              </w:rPr>
            </w:pPr>
            <w:r w:rsidRPr="001E3A2D">
              <w:rPr>
                <w:noProof/>
                <w:sz w:val="20"/>
              </w:rPr>
              <w:t>JA/NEIN</w:t>
            </w:r>
          </w:p>
        </w:tc>
        <w:tc>
          <w:tcPr>
            <w:tcW w:w="1448" w:type="dxa"/>
            <w:vAlign w:val="center"/>
          </w:tcPr>
          <w:p w:rsidR="00127A9D" w:rsidRPr="001E3A2D" w:rsidRDefault="00127A9D" w:rsidP="00127A9D">
            <w:pPr>
              <w:jc w:val="center"/>
              <w:rPr>
                <w:noProof/>
                <w:sz w:val="20"/>
                <w:szCs w:val="20"/>
              </w:rPr>
            </w:pPr>
            <w:r w:rsidRPr="001E3A2D">
              <w:rPr>
                <w:noProof/>
                <w:sz w:val="20"/>
              </w:rPr>
              <w:t>JA/NEIN</w:t>
            </w:r>
          </w:p>
        </w:tc>
      </w:tr>
    </w:tbl>
    <w:p w:rsidR="00127A9D" w:rsidRPr="001E3A2D" w:rsidRDefault="00127A9D" w:rsidP="00127A9D">
      <w:pPr>
        <w:rPr>
          <w:noProof/>
        </w:rPr>
        <w:sectPr w:rsidR="00127A9D" w:rsidRPr="001E3A2D" w:rsidSect="00D363CA">
          <w:pgSz w:w="11907" w:h="16840" w:code="1"/>
          <w:pgMar w:top="1134" w:right="1418" w:bottom="1134" w:left="1418" w:header="709" w:footer="709" w:gutter="0"/>
          <w:cols w:space="708"/>
          <w:docGrid w:linePitch="360"/>
        </w:sectPr>
      </w:pPr>
    </w:p>
    <w:p w:rsidR="00127A9D" w:rsidRPr="001E3A2D" w:rsidRDefault="00127A9D" w:rsidP="00127A9D">
      <w:pPr>
        <w:keepNext/>
        <w:tabs>
          <w:tab w:val="left" w:pos="850"/>
        </w:tabs>
        <w:ind w:left="850" w:hanging="850"/>
        <w:outlineLvl w:val="1"/>
        <w:rPr>
          <w:b/>
          <w:bCs/>
          <w:noProof/>
          <w:szCs w:val="24"/>
        </w:rPr>
      </w:pPr>
      <w:bookmarkStart w:id="137" w:name="_Toc514938052"/>
      <w:bookmarkStart w:id="138" w:name="_Toc520485051"/>
      <w:bookmarkStart w:id="139" w:name="_Toc160804593"/>
      <w:bookmarkStart w:id="140" w:name="_Toc167220285"/>
      <w:bookmarkStart w:id="141" w:name="_Toc177549018"/>
      <w:r w:rsidRPr="001E3A2D">
        <w:rPr>
          <w:b/>
          <w:noProof/>
        </w:rPr>
        <w:t>3.2</w:t>
      </w:r>
      <w:r w:rsidRPr="001E3A2D">
        <w:rPr>
          <w:noProof/>
        </w:rPr>
        <w:tab/>
      </w:r>
      <w:r w:rsidRPr="001E3A2D">
        <w:rPr>
          <w:b/>
          <w:noProof/>
        </w:rPr>
        <w:t>Geschätzte finanzielle Auswirkungen des Vorschlags auf die Mittel</w:t>
      </w:r>
      <w:bookmarkEnd w:id="137"/>
      <w:bookmarkEnd w:id="138"/>
      <w:bookmarkEnd w:id="139"/>
      <w:bookmarkEnd w:id="140"/>
      <w:bookmarkEnd w:id="141"/>
      <w:r w:rsidRPr="001E3A2D">
        <w:rPr>
          <w:b/>
          <w:noProof/>
        </w:rPr>
        <w:t xml:space="preserve"> </w:t>
      </w:r>
    </w:p>
    <w:p w:rsidR="00127A9D" w:rsidRPr="001E3A2D" w:rsidRDefault="00127A9D" w:rsidP="00127A9D">
      <w:pPr>
        <w:keepNext/>
        <w:tabs>
          <w:tab w:val="left" w:pos="850"/>
        </w:tabs>
        <w:ind w:left="850" w:hanging="850"/>
        <w:outlineLvl w:val="2"/>
        <w:rPr>
          <w:i/>
          <w:noProof/>
        </w:rPr>
      </w:pPr>
      <w:bookmarkStart w:id="142" w:name="_Toc514938053"/>
      <w:bookmarkStart w:id="143" w:name="_Toc520485052"/>
      <w:bookmarkStart w:id="144" w:name="_Toc160804594"/>
      <w:bookmarkStart w:id="145" w:name="_Toc167220286"/>
      <w:bookmarkStart w:id="146" w:name="_Toc177549019"/>
      <w:r w:rsidRPr="001E3A2D">
        <w:rPr>
          <w:i/>
          <w:noProof/>
        </w:rPr>
        <w:t>3.2.1</w:t>
      </w:r>
      <w:r w:rsidRPr="001E3A2D">
        <w:rPr>
          <w:noProof/>
        </w:rPr>
        <w:tab/>
      </w:r>
      <w:r w:rsidRPr="001E3A2D">
        <w:rPr>
          <w:i/>
          <w:noProof/>
        </w:rPr>
        <w:t>Übersicht über die geschätzten Auswirkungen auf die operativen Mittel</w:t>
      </w:r>
      <w:bookmarkEnd w:id="142"/>
      <w:bookmarkEnd w:id="143"/>
      <w:bookmarkEnd w:id="144"/>
      <w:bookmarkEnd w:id="145"/>
      <w:bookmarkEnd w:id="146"/>
      <w:r w:rsidRPr="001E3A2D">
        <w:rPr>
          <w:i/>
          <w:noProof/>
        </w:rPr>
        <w:t xml:space="preserve"> </w:t>
      </w:r>
    </w:p>
    <w:p w:rsidR="00127A9D" w:rsidRPr="001E3A2D" w:rsidRDefault="00127A9D" w:rsidP="00F337A7">
      <w:pPr>
        <w:pStyle w:val="Bullet0"/>
        <w:rPr>
          <w:noProof/>
        </w:rPr>
      </w:pPr>
      <w:r w:rsidRPr="001E3A2D">
        <w:rPr>
          <w:rFonts w:ascii="Wingdings" w:hAnsi="Wingdings"/>
          <w:noProof/>
        </w:rPr>
        <w:t></w:t>
      </w:r>
      <w:r w:rsidRPr="001E3A2D">
        <w:rPr>
          <w:noProof/>
        </w:rPr>
        <w:tab/>
        <w:t xml:space="preserve">Für den Vorschlag/die Initiative werden keine operativen Mittel benötigt. </w:t>
      </w:r>
    </w:p>
    <w:p w:rsidR="00127A9D" w:rsidRPr="001E3A2D" w:rsidRDefault="00127A9D" w:rsidP="00F337A7">
      <w:pPr>
        <w:pStyle w:val="Bullet0"/>
        <w:rPr>
          <w:noProof/>
        </w:rPr>
      </w:pPr>
      <w:r w:rsidRPr="001E3A2D">
        <w:rPr>
          <w:rFonts w:ascii="Wingdings" w:hAnsi="Wingdings"/>
          <w:noProof/>
        </w:rPr>
        <w:t></w:t>
      </w:r>
      <w:r w:rsidRPr="001E3A2D">
        <w:rPr>
          <w:noProof/>
        </w:rPr>
        <w:tab/>
        <w:t>Für den Vorschlag/die Initiative werden die folgenden operativen Mittel benötigt:</w:t>
      </w:r>
    </w:p>
    <w:p w:rsidR="00127A9D" w:rsidRPr="001E3A2D" w:rsidRDefault="00127A9D" w:rsidP="00127A9D">
      <w:pPr>
        <w:keepNext/>
        <w:tabs>
          <w:tab w:val="left" w:pos="850"/>
        </w:tabs>
        <w:ind w:left="850" w:hanging="850"/>
        <w:outlineLvl w:val="2"/>
        <w:rPr>
          <w:i/>
          <w:noProof/>
        </w:rPr>
      </w:pPr>
      <w:bookmarkStart w:id="147" w:name="_Toc160804595"/>
      <w:bookmarkStart w:id="148" w:name="_Toc167220287"/>
      <w:bookmarkStart w:id="149" w:name="_Toc177549020"/>
      <w:r w:rsidRPr="001E3A2D">
        <w:rPr>
          <w:i/>
          <w:noProof/>
        </w:rPr>
        <w:t>3.2.1.1</w:t>
      </w:r>
      <w:r w:rsidRPr="001E3A2D">
        <w:rPr>
          <w:noProof/>
        </w:rPr>
        <w:tab/>
      </w:r>
      <w:r w:rsidRPr="001E3A2D">
        <w:rPr>
          <w:i/>
          <w:noProof/>
        </w:rPr>
        <w:t>Mittel aus dem verabschiedeten Haushaltsplan</w:t>
      </w:r>
      <w:bookmarkEnd w:id="147"/>
      <w:bookmarkEnd w:id="148"/>
      <w:bookmarkEnd w:id="149"/>
    </w:p>
    <w:p w:rsidR="00127A9D" w:rsidRPr="001E3A2D" w:rsidRDefault="00127A9D" w:rsidP="00127A9D">
      <w:pPr>
        <w:jc w:val="right"/>
        <w:rPr>
          <w:noProof/>
          <w:sz w:val="18"/>
          <w:szCs w:val="18"/>
        </w:rPr>
      </w:pPr>
      <w:r w:rsidRPr="001E3A2D">
        <w:rPr>
          <w:noProof/>
          <w:sz w:val="18"/>
        </w:rPr>
        <w:t>in Mio. EUR (3 Dezimalstellen)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127A9D" w:rsidRPr="001E3A2D">
        <w:tc>
          <w:tcPr>
            <w:tcW w:w="1739" w:type="pct"/>
            <w:shd w:val="thinDiagStripe" w:color="C0C0C0" w:fill="auto"/>
            <w:vAlign w:val="center"/>
          </w:tcPr>
          <w:p w:rsidR="00127A9D" w:rsidRPr="001E3A2D" w:rsidRDefault="00127A9D" w:rsidP="00127A9D">
            <w:pPr>
              <w:spacing w:before="60" w:after="60"/>
              <w:jc w:val="center"/>
              <w:rPr>
                <w:b/>
                <w:noProof/>
              </w:rPr>
            </w:pPr>
            <w:r w:rsidRPr="001E3A2D">
              <w:rPr>
                <w:b/>
                <w:noProof/>
                <w:sz w:val="22"/>
              </w:rPr>
              <w:t xml:space="preserve">Rubrik des Mehrjährigen Finanzrahmens </w:t>
            </w:r>
          </w:p>
        </w:tc>
        <w:tc>
          <w:tcPr>
            <w:tcW w:w="396" w:type="pct"/>
            <w:vAlign w:val="center"/>
          </w:tcPr>
          <w:p w:rsidR="00127A9D" w:rsidRPr="001E3A2D" w:rsidRDefault="00127A9D" w:rsidP="00127A9D">
            <w:pPr>
              <w:spacing w:before="60" w:after="60"/>
              <w:jc w:val="center"/>
              <w:rPr>
                <w:noProof/>
              </w:rPr>
            </w:pPr>
            <w:r w:rsidRPr="001E3A2D">
              <w:rPr>
                <w:noProof/>
                <w:sz w:val="22"/>
              </w:rPr>
              <w:t>Zahl</w:t>
            </w:r>
          </w:p>
        </w:tc>
        <w:tc>
          <w:tcPr>
            <w:tcW w:w="2865" w:type="pct"/>
            <w:vAlign w:val="center"/>
          </w:tcPr>
          <w:p w:rsidR="00127A9D" w:rsidRPr="001E3A2D" w:rsidRDefault="00127A9D" w:rsidP="00127A9D">
            <w:pPr>
              <w:spacing w:before="60" w:after="60"/>
              <w:rPr>
                <w:noProof/>
              </w:rPr>
            </w:pPr>
          </w:p>
        </w:tc>
      </w:tr>
    </w:tbl>
    <w:p w:rsidR="00127A9D" w:rsidRPr="001E3A2D" w:rsidRDefault="00127A9D" w:rsidP="00127A9D">
      <w:pPr>
        <w:rPr>
          <w:noProof/>
          <w:sz w:val="16"/>
        </w:rPr>
      </w:pPr>
    </w:p>
    <w:tbl>
      <w:tblPr>
        <w:tblW w:w="5000" w:type="pct"/>
        <w:tblLook w:val="04A0" w:firstRow="1" w:lastRow="0" w:firstColumn="1" w:lastColumn="0" w:noHBand="0" w:noVBand="1"/>
      </w:tblPr>
      <w:tblGrid>
        <w:gridCol w:w="4035"/>
        <w:gridCol w:w="1504"/>
        <w:gridCol w:w="1411"/>
        <w:gridCol w:w="1411"/>
        <w:gridCol w:w="1411"/>
        <w:gridCol w:w="1411"/>
        <w:gridCol w:w="1359"/>
        <w:gridCol w:w="1678"/>
      </w:tblGrid>
      <w:tr w:rsidR="00127A9D" w:rsidRPr="001E3A2D">
        <w:trPr>
          <w:trHeight w:val="420"/>
        </w:trPr>
        <w:tc>
          <w:tcPr>
            <w:tcW w:w="2444"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22"/>
              </w:rPr>
            </w:pPr>
            <w:r w:rsidRPr="001E3A2D">
              <w:rPr>
                <w:noProof/>
                <w:sz w:val="22"/>
              </w:rPr>
              <w:t>GD: GD AGRI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478"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MFR 2021-2027 INSGESAMT</w:t>
            </w:r>
          </w:p>
        </w:tc>
      </w:tr>
      <w:tr w:rsidR="00127A9D" w:rsidRPr="001E3A2D">
        <w:trPr>
          <w:trHeight w:val="288"/>
        </w:trPr>
        <w:tc>
          <w:tcPr>
            <w:tcW w:w="2444" w:type="pct"/>
            <w:gridSpan w:val="3"/>
            <w:vMerge/>
            <w:vAlign w:val="center"/>
            <w:hideMark/>
          </w:tcPr>
          <w:p w:rsidR="00127A9D" w:rsidRPr="001E3A2D" w:rsidRDefault="00127A9D" w:rsidP="00127A9D">
            <w:pPr>
              <w:spacing w:before="0" w:after="0"/>
              <w:jc w:val="left"/>
              <w:rPr>
                <w:noProof/>
                <w:sz w:val="22"/>
                <w:lang w:eastAsia="en-IE"/>
              </w:rPr>
            </w:pP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2024</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2025</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2026</w:t>
            </w:r>
          </w:p>
        </w:tc>
        <w:tc>
          <w:tcPr>
            <w:tcW w:w="478"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2027</w:t>
            </w:r>
          </w:p>
        </w:tc>
        <w:tc>
          <w:tcPr>
            <w:tcW w:w="590" w:type="pct"/>
            <w:vMerge/>
            <w:vAlign w:val="center"/>
            <w:hideMark/>
          </w:tcPr>
          <w:p w:rsidR="00127A9D" w:rsidRPr="001E3A2D" w:rsidRDefault="00127A9D" w:rsidP="00127A9D">
            <w:pPr>
              <w:spacing w:before="0" w:after="0"/>
              <w:jc w:val="left"/>
              <w:rPr>
                <w:b/>
                <w:bCs/>
                <w:noProof/>
                <w:sz w:val="20"/>
                <w:szCs w:val="20"/>
                <w:lang w:eastAsia="en-IE"/>
              </w:rPr>
            </w:pPr>
          </w:p>
        </w:tc>
      </w:tr>
      <w:tr w:rsidR="00127A9D" w:rsidRPr="001E3A2D">
        <w:trPr>
          <w:trHeight w:val="300"/>
        </w:trPr>
        <w:tc>
          <w:tcPr>
            <w:tcW w:w="5000" w:type="pct"/>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left"/>
              <w:rPr>
                <w:noProof/>
                <w:sz w:val="21"/>
                <w:szCs w:val="21"/>
              </w:rPr>
            </w:pPr>
            <w:r w:rsidRPr="001E3A2D">
              <w:rPr>
                <w:noProof/>
                <w:sz w:val="21"/>
              </w:rPr>
              <w:t xml:space="preserve">Operative Mittel </w:t>
            </w:r>
          </w:p>
        </w:tc>
      </w:tr>
      <w:tr w:rsidR="00127A9D" w:rsidRPr="001E3A2D">
        <w:trPr>
          <w:trHeight w:val="288"/>
        </w:trPr>
        <w:tc>
          <w:tcPr>
            <w:tcW w:w="1419"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127A9D" w:rsidRPr="001E3A2D" w:rsidRDefault="00127A9D" w:rsidP="00127A9D">
            <w:pPr>
              <w:spacing w:before="0" w:after="0"/>
              <w:jc w:val="left"/>
              <w:rPr>
                <w:noProof/>
                <w:sz w:val="22"/>
              </w:rPr>
            </w:pPr>
            <w:r w:rsidRPr="001E3A2D">
              <w:rPr>
                <w:noProof/>
                <w:sz w:val="22"/>
              </w:rPr>
              <w:t>Haushaltslinie</w:t>
            </w:r>
          </w:p>
        </w:tc>
        <w:tc>
          <w:tcPr>
            <w:tcW w:w="529"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18"/>
                <w:szCs w:val="18"/>
              </w:rPr>
            </w:pPr>
            <w:r w:rsidRPr="001E3A2D">
              <w:rPr>
                <w:noProof/>
                <w:sz w:val="18"/>
              </w:rPr>
              <w:t>Verpflichtungen</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4"/>
                <w:szCs w:val="14"/>
              </w:rPr>
            </w:pPr>
            <w:r w:rsidRPr="001E3A2D">
              <w:rPr>
                <w:noProof/>
                <w:sz w:val="14"/>
              </w:rPr>
              <w:t>(1a)</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315"/>
        </w:trPr>
        <w:tc>
          <w:tcPr>
            <w:tcW w:w="1419" w:type="pct"/>
            <w:vMerge/>
            <w:vAlign w:val="center"/>
            <w:hideMark/>
          </w:tcPr>
          <w:p w:rsidR="00127A9D" w:rsidRPr="001E3A2D" w:rsidRDefault="00127A9D" w:rsidP="00127A9D">
            <w:pPr>
              <w:spacing w:before="0" w:after="0"/>
              <w:jc w:val="left"/>
              <w:rPr>
                <w:noProof/>
                <w:sz w:val="22"/>
                <w:lang w:eastAsia="en-IE"/>
              </w:rPr>
            </w:pPr>
          </w:p>
        </w:tc>
        <w:tc>
          <w:tcPr>
            <w:tcW w:w="529"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18"/>
                <w:szCs w:val="18"/>
              </w:rPr>
            </w:pPr>
            <w:r w:rsidRPr="001E3A2D">
              <w:rPr>
                <w:noProof/>
                <w:sz w:val="18"/>
              </w:rPr>
              <w:t>Zahlungen</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4"/>
                <w:szCs w:val="14"/>
              </w:rPr>
            </w:pPr>
            <w:r w:rsidRPr="001E3A2D">
              <w:rPr>
                <w:noProof/>
                <w:sz w:val="14"/>
              </w:rPr>
              <w:t>(2a)</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315"/>
        </w:trPr>
        <w:tc>
          <w:tcPr>
            <w:tcW w:w="1419" w:type="pct"/>
            <w:vMerge w:val="restart"/>
            <w:tcBorders>
              <w:top w:val="nil"/>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20"/>
                <w:szCs w:val="20"/>
              </w:rPr>
            </w:pPr>
            <w:r w:rsidRPr="001E3A2D">
              <w:rPr>
                <w:noProof/>
                <w:sz w:val="20"/>
              </w:rPr>
              <w:t>Haushaltslinie</w:t>
            </w:r>
          </w:p>
        </w:tc>
        <w:tc>
          <w:tcPr>
            <w:tcW w:w="529"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18"/>
                <w:szCs w:val="18"/>
              </w:rPr>
            </w:pPr>
            <w:r w:rsidRPr="001E3A2D">
              <w:rPr>
                <w:noProof/>
                <w:sz w:val="18"/>
              </w:rPr>
              <w:t>Verpflichtungen</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4"/>
                <w:szCs w:val="14"/>
              </w:rPr>
            </w:pPr>
            <w:r w:rsidRPr="001E3A2D">
              <w:rPr>
                <w:noProof/>
                <w:sz w:val="14"/>
              </w:rPr>
              <w:t>(1b)</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315"/>
        </w:trPr>
        <w:tc>
          <w:tcPr>
            <w:tcW w:w="1419" w:type="pct"/>
            <w:vMerge/>
            <w:vAlign w:val="center"/>
            <w:hideMark/>
          </w:tcPr>
          <w:p w:rsidR="00127A9D" w:rsidRPr="001E3A2D" w:rsidRDefault="00127A9D" w:rsidP="00127A9D">
            <w:pPr>
              <w:spacing w:before="0" w:after="0"/>
              <w:jc w:val="left"/>
              <w:rPr>
                <w:noProof/>
                <w:sz w:val="20"/>
                <w:szCs w:val="20"/>
                <w:lang w:eastAsia="en-IE"/>
              </w:rPr>
            </w:pPr>
          </w:p>
        </w:tc>
        <w:tc>
          <w:tcPr>
            <w:tcW w:w="529"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18"/>
                <w:szCs w:val="18"/>
              </w:rPr>
            </w:pPr>
            <w:r w:rsidRPr="001E3A2D">
              <w:rPr>
                <w:noProof/>
                <w:sz w:val="18"/>
              </w:rPr>
              <w:t>Zahlungen</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4"/>
                <w:szCs w:val="14"/>
              </w:rPr>
            </w:pPr>
            <w:r w:rsidRPr="001E3A2D">
              <w:rPr>
                <w:noProof/>
                <w:sz w:val="14"/>
              </w:rPr>
              <w:t>(2b)</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20"/>
                <w:szCs w:val="20"/>
              </w:rPr>
            </w:pPr>
            <w:r w:rsidRPr="001E3A2D">
              <w:rPr>
                <w:noProof/>
                <w:sz w:val="20"/>
              </w:rPr>
              <w:t xml:space="preserve">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288"/>
        </w:trPr>
        <w:tc>
          <w:tcPr>
            <w:tcW w:w="5000" w:type="pct"/>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7A9D" w:rsidRPr="001E3A2D" w:rsidRDefault="00127A9D" w:rsidP="00127A9D">
            <w:pPr>
              <w:spacing w:before="0" w:after="0"/>
              <w:jc w:val="left"/>
              <w:rPr>
                <w:noProof/>
                <w:sz w:val="22"/>
              </w:rPr>
            </w:pPr>
            <w:r w:rsidRPr="001E3A2D">
              <w:rPr>
                <w:noProof/>
                <w:sz w:val="22"/>
              </w:rPr>
              <w:t>Aus der Dotation bestimmter spezifischer Programme finanzierte Verwaltungsmittel</w:t>
            </w:r>
            <w:r w:rsidRPr="001E3A2D">
              <w:rPr>
                <w:rStyle w:val="FootnoteReference"/>
                <w:noProof/>
              </w:rPr>
              <w:footnoteReference w:id="17"/>
            </w:r>
          </w:p>
        </w:tc>
      </w:tr>
      <w:tr w:rsidR="00127A9D" w:rsidRPr="001E3A2D">
        <w:trPr>
          <w:trHeight w:val="288"/>
        </w:trPr>
        <w:tc>
          <w:tcPr>
            <w:tcW w:w="1419" w:type="pct"/>
            <w:tcBorders>
              <w:top w:val="nil"/>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20"/>
                <w:szCs w:val="20"/>
              </w:rPr>
            </w:pPr>
            <w:r w:rsidRPr="001E3A2D">
              <w:rPr>
                <w:noProof/>
                <w:sz w:val="20"/>
              </w:rPr>
              <w:t>Haushaltslinie</w:t>
            </w:r>
          </w:p>
        </w:tc>
        <w:tc>
          <w:tcPr>
            <w:tcW w:w="529"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noProof/>
                <w:sz w:val="18"/>
                <w:szCs w:val="18"/>
              </w:rPr>
            </w:pPr>
            <w:r w:rsidRPr="001E3A2D">
              <w:rPr>
                <w:noProof/>
                <w:sz w:val="18"/>
              </w:rPr>
              <w:t xml:space="preserve"> </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4"/>
                <w:szCs w:val="14"/>
              </w:rPr>
            </w:pPr>
            <w:r w:rsidRPr="001E3A2D">
              <w:rPr>
                <w:noProof/>
                <w:sz w:val="14"/>
              </w:rPr>
              <w:t>(3)</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b/>
                <w:bCs/>
                <w:noProof/>
                <w:sz w:val="20"/>
                <w:szCs w:val="20"/>
              </w:rPr>
            </w:pPr>
            <w:r w:rsidRPr="001E3A2D">
              <w:rPr>
                <w:b/>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b/>
                <w:bCs/>
                <w:noProof/>
                <w:sz w:val="20"/>
                <w:szCs w:val="20"/>
              </w:rPr>
            </w:pPr>
            <w:r w:rsidRPr="001E3A2D">
              <w:rPr>
                <w:b/>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b/>
                <w:bCs/>
                <w:noProof/>
                <w:sz w:val="20"/>
                <w:szCs w:val="20"/>
              </w:rPr>
            </w:pPr>
            <w:r w:rsidRPr="001E3A2D">
              <w:rPr>
                <w:b/>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right"/>
              <w:rPr>
                <w:b/>
                <w:bCs/>
                <w:noProof/>
                <w:sz w:val="20"/>
                <w:szCs w:val="20"/>
              </w:rPr>
            </w:pPr>
            <w:r w:rsidRPr="001E3A2D">
              <w:rPr>
                <w:b/>
                <w:noProof/>
                <w:sz w:val="20"/>
              </w:rPr>
              <w:t xml:space="preserve">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288"/>
        </w:trPr>
        <w:tc>
          <w:tcPr>
            <w:tcW w:w="1419" w:type="pct"/>
            <w:vMerge w:val="restart"/>
            <w:tcBorders>
              <w:top w:val="nil"/>
              <w:left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2"/>
              </w:rPr>
            </w:pPr>
            <w:r w:rsidRPr="001E3A2D">
              <w:rPr>
                <w:b/>
                <w:noProof/>
                <w:sz w:val="22"/>
              </w:rPr>
              <w:t>Mittel INSGESAMT</w:t>
            </w:r>
          </w:p>
          <w:p w:rsidR="00127A9D" w:rsidRPr="001E3A2D" w:rsidRDefault="00127A9D" w:rsidP="00127A9D">
            <w:pPr>
              <w:spacing w:before="0" w:after="0"/>
              <w:jc w:val="center"/>
              <w:rPr>
                <w:b/>
                <w:bCs/>
                <w:noProof/>
                <w:sz w:val="22"/>
              </w:rPr>
            </w:pPr>
            <w:r w:rsidRPr="001E3A2D">
              <w:rPr>
                <w:b/>
                <w:noProof/>
                <w:sz w:val="22"/>
              </w:rPr>
              <w:t>für die GD AGRI</w:t>
            </w:r>
          </w:p>
        </w:tc>
        <w:tc>
          <w:tcPr>
            <w:tcW w:w="529"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18"/>
                <w:szCs w:val="18"/>
              </w:rPr>
            </w:pPr>
            <w:r w:rsidRPr="001E3A2D">
              <w:rPr>
                <w:noProof/>
                <w:sz w:val="18"/>
              </w:rPr>
              <w:t>Verpflichtungen</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4"/>
                <w:szCs w:val="14"/>
              </w:rPr>
            </w:pPr>
            <w:r w:rsidRPr="001E3A2D">
              <w:rPr>
                <w:noProof/>
                <w:sz w:val="14"/>
              </w:rPr>
              <w:t>= 1a + 1b + 3</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78"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288"/>
        </w:trPr>
        <w:tc>
          <w:tcPr>
            <w:tcW w:w="1419" w:type="pct"/>
            <w:vMerge/>
            <w:vAlign w:val="center"/>
            <w:hideMark/>
          </w:tcPr>
          <w:p w:rsidR="00127A9D" w:rsidRPr="001E3A2D" w:rsidRDefault="00127A9D" w:rsidP="00127A9D">
            <w:pPr>
              <w:spacing w:before="0" w:after="0"/>
              <w:jc w:val="center"/>
              <w:rPr>
                <w:b/>
                <w:bCs/>
                <w:noProof/>
                <w:sz w:val="22"/>
                <w:lang w:eastAsia="en-IE"/>
              </w:rPr>
            </w:pPr>
          </w:p>
        </w:tc>
        <w:tc>
          <w:tcPr>
            <w:tcW w:w="529" w:type="pct"/>
            <w:tcBorders>
              <w:top w:val="nil"/>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18"/>
                <w:szCs w:val="18"/>
              </w:rPr>
            </w:pPr>
            <w:r w:rsidRPr="001E3A2D">
              <w:rPr>
                <w:noProof/>
                <w:sz w:val="18"/>
              </w:rPr>
              <w:t>Zahlungen</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4"/>
                <w:szCs w:val="14"/>
              </w:rPr>
            </w:pPr>
            <w:r w:rsidRPr="001E3A2D">
              <w:rPr>
                <w:noProof/>
                <w:sz w:val="14"/>
              </w:rPr>
              <w:t>= 2a + 2b + 3</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78"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bl>
    <w:p w:rsidR="00127A9D" w:rsidRPr="001E3A2D" w:rsidRDefault="00127A9D" w:rsidP="00127A9D">
      <w:pPr>
        <w:rPr>
          <w:noProof/>
        </w:rPr>
      </w:pPr>
      <w:r w:rsidRPr="001E3A2D">
        <w:rPr>
          <w:noProof/>
        </w:rPr>
        <w:t>Obligatorische Tabelle</w:t>
      </w:r>
    </w:p>
    <w:tbl>
      <w:tblPr>
        <w:tblW w:w="5000" w:type="pct"/>
        <w:tblLook w:val="04A0" w:firstRow="1" w:lastRow="0" w:firstColumn="1" w:lastColumn="0" w:noHBand="0" w:noVBand="1"/>
      </w:tblPr>
      <w:tblGrid>
        <w:gridCol w:w="4014"/>
        <w:gridCol w:w="1504"/>
        <w:gridCol w:w="1399"/>
        <w:gridCol w:w="1402"/>
        <w:gridCol w:w="1402"/>
        <w:gridCol w:w="1402"/>
        <w:gridCol w:w="1402"/>
        <w:gridCol w:w="1695"/>
      </w:tblGrid>
      <w:tr w:rsidR="00127A9D" w:rsidRPr="001E3A2D">
        <w:trPr>
          <w:trHeight w:val="300"/>
        </w:trPr>
        <w:tc>
          <w:tcPr>
            <w:tcW w:w="2432"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27A9D" w:rsidRPr="001E3A2D" w:rsidRDefault="00127A9D" w:rsidP="00127A9D">
            <w:pPr>
              <w:spacing w:before="0" w:after="0"/>
              <w:jc w:val="center"/>
              <w:rPr>
                <w:b/>
                <w:bCs/>
                <w:noProof/>
                <w:sz w:val="22"/>
              </w:rPr>
            </w:pPr>
            <w:r w:rsidRPr="001E3A2D">
              <w:rPr>
                <w:b/>
                <w:noProof/>
                <w:sz w:val="22"/>
              </w:rPr>
              <w:t xml:space="preserve"> </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59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MFR 2021-2027 INSGESAMT</w:t>
            </w:r>
          </w:p>
        </w:tc>
      </w:tr>
      <w:tr w:rsidR="00127A9D" w:rsidRPr="001E3A2D">
        <w:trPr>
          <w:trHeight w:val="300"/>
        </w:trPr>
        <w:tc>
          <w:tcPr>
            <w:tcW w:w="2432" w:type="pct"/>
            <w:gridSpan w:val="3"/>
            <w:vMerge/>
            <w:tcBorders>
              <w:top w:val="single" w:sz="8" w:space="0" w:color="auto"/>
              <w:left w:val="single" w:sz="8" w:space="0" w:color="auto"/>
              <w:bottom w:val="single" w:sz="8" w:space="0" w:color="000000"/>
              <w:right w:val="single" w:sz="8" w:space="0" w:color="000000"/>
            </w:tcBorders>
            <w:vAlign w:val="center"/>
            <w:hideMark/>
          </w:tcPr>
          <w:p w:rsidR="00127A9D" w:rsidRPr="001E3A2D" w:rsidRDefault="00127A9D" w:rsidP="00127A9D">
            <w:pPr>
              <w:spacing w:before="0" w:after="0"/>
              <w:jc w:val="left"/>
              <w:rPr>
                <w:b/>
                <w:bCs/>
                <w:noProof/>
                <w:sz w:val="22"/>
                <w:lang w:eastAsia="en-IE"/>
              </w:rPr>
            </w:pPr>
          </w:p>
        </w:tc>
        <w:tc>
          <w:tcPr>
            <w:tcW w:w="493"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2024</w:t>
            </w:r>
          </w:p>
        </w:tc>
        <w:tc>
          <w:tcPr>
            <w:tcW w:w="493"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2025</w:t>
            </w:r>
          </w:p>
        </w:tc>
        <w:tc>
          <w:tcPr>
            <w:tcW w:w="493"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2026</w:t>
            </w:r>
          </w:p>
        </w:tc>
        <w:tc>
          <w:tcPr>
            <w:tcW w:w="493"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2027</w:t>
            </w:r>
          </w:p>
        </w:tc>
        <w:tc>
          <w:tcPr>
            <w:tcW w:w="596" w:type="pct"/>
            <w:vMerge/>
            <w:tcBorders>
              <w:top w:val="single" w:sz="8" w:space="0" w:color="auto"/>
              <w:left w:val="single" w:sz="8" w:space="0" w:color="auto"/>
              <w:bottom w:val="single" w:sz="8" w:space="0" w:color="auto"/>
              <w:right w:val="single" w:sz="8" w:space="0" w:color="auto"/>
            </w:tcBorders>
            <w:vAlign w:val="center"/>
            <w:hideMark/>
          </w:tcPr>
          <w:p w:rsidR="00127A9D" w:rsidRPr="001E3A2D" w:rsidRDefault="00127A9D" w:rsidP="00127A9D">
            <w:pPr>
              <w:spacing w:before="0" w:after="0"/>
              <w:jc w:val="left"/>
              <w:rPr>
                <w:b/>
                <w:bCs/>
                <w:noProof/>
                <w:sz w:val="20"/>
                <w:szCs w:val="20"/>
                <w:lang w:eastAsia="en-IE"/>
              </w:rPr>
            </w:pPr>
          </w:p>
        </w:tc>
      </w:tr>
      <w:tr w:rsidR="00127A9D" w:rsidRPr="001E3A2D">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21"/>
                <w:szCs w:val="21"/>
              </w:rPr>
            </w:pPr>
            <w:r w:rsidRPr="001E3A2D">
              <w:rPr>
                <w:noProof/>
                <w:sz w:val="21"/>
              </w:rPr>
              <w:t xml:space="preserve">Operative Mittel INSGESAMT </w:t>
            </w:r>
            <w:r w:rsidRPr="001E3A2D">
              <w:rPr>
                <w:noProof/>
              </w:rPr>
              <w:t xml:space="preserve"> </w:t>
            </w:r>
            <w:r w:rsidRPr="001E3A2D">
              <w:rPr>
                <w:noProof/>
              </w:rPr>
              <w:br/>
            </w:r>
          </w:p>
        </w:tc>
        <w:tc>
          <w:tcPr>
            <w:tcW w:w="529"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18"/>
                <w:szCs w:val="18"/>
              </w:rPr>
            </w:pPr>
            <w:r w:rsidRPr="001E3A2D">
              <w:rPr>
                <w:noProof/>
                <w:sz w:val="18"/>
              </w:rPr>
              <w:t>Verpflichtungen</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4"/>
                <w:szCs w:val="14"/>
              </w:rPr>
            </w:pPr>
            <w:r w:rsidRPr="001E3A2D">
              <w:rPr>
                <w:noProof/>
                <w:sz w:val="14"/>
              </w:rPr>
              <w:t>(4)</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456"/>
        </w:trPr>
        <w:tc>
          <w:tcPr>
            <w:tcW w:w="1411" w:type="pct"/>
            <w:vMerge/>
            <w:tcBorders>
              <w:top w:val="nil"/>
              <w:left w:val="single" w:sz="8" w:space="0" w:color="auto"/>
              <w:bottom w:val="single" w:sz="8" w:space="0" w:color="auto"/>
              <w:right w:val="single" w:sz="8" w:space="0" w:color="auto"/>
            </w:tcBorders>
            <w:vAlign w:val="center"/>
            <w:hideMark/>
          </w:tcPr>
          <w:p w:rsidR="00127A9D" w:rsidRPr="001E3A2D" w:rsidRDefault="00127A9D" w:rsidP="00127A9D">
            <w:pPr>
              <w:spacing w:before="0" w:after="0"/>
              <w:jc w:val="left"/>
              <w:rPr>
                <w:noProof/>
                <w:sz w:val="21"/>
                <w:szCs w:val="21"/>
                <w:lang w:eastAsia="en-IE"/>
              </w:rPr>
            </w:pPr>
          </w:p>
        </w:tc>
        <w:tc>
          <w:tcPr>
            <w:tcW w:w="529"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18"/>
                <w:szCs w:val="18"/>
              </w:rPr>
            </w:pPr>
            <w:r w:rsidRPr="001E3A2D">
              <w:rPr>
                <w:noProof/>
                <w:sz w:val="18"/>
              </w:rPr>
              <w:t>Zahlungen</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4"/>
                <w:szCs w:val="14"/>
              </w:rPr>
            </w:pPr>
            <w:r w:rsidRPr="001E3A2D">
              <w:rPr>
                <w:noProof/>
                <w:sz w:val="14"/>
              </w:rPr>
              <w:t>(5)</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924"/>
        </w:trPr>
        <w:tc>
          <w:tcPr>
            <w:tcW w:w="193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21"/>
                <w:szCs w:val="21"/>
              </w:rPr>
            </w:pPr>
            <w:r w:rsidRPr="001E3A2D">
              <w:rPr>
                <w:noProof/>
                <w:sz w:val="21"/>
              </w:rPr>
              <w:t xml:space="preserve">Aus der Dotation bestimmter spezifischer Programme finanzierte Verwaltungsausgaben INSGESAMT </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4"/>
                <w:szCs w:val="14"/>
              </w:rPr>
            </w:pPr>
            <w:r w:rsidRPr="001E3A2D">
              <w:rPr>
                <w:noProof/>
                <w:sz w:val="14"/>
              </w:rPr>
              <w:t>(6)</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rsidR="00127A9D" w:rsidRPr="001E3A2D" w:rsidRDefault="00127A9D" w:rsidP="00127A9D">
            <w:pPr>
              <w:spacing w:before="0" w:after="0"/>
              <w:jc w:val="center"/>
              <w:rPr>
                <w:b/>
                <w:bCs/>
                <w:noProof/>
                <w:sz w:val="22"/>
              </w:rPr>
            </w:pPr>
            <w:r w:rsidRPr="001E3A2D">
              <w:rPr>
                <w:b/>
                <w:noProof/>
                <w:sz w:val="22"/>
              </w:rPr>
              <w:t>Mittel INSGESAMT unter der RUBRIK &lt;….&gt;</w:t>
            </w:r>
          </w:p>
        </w:tc>
        <w:tc>
          <w:tcPr>
            <w:tcW w:w="529"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18"/>
                <w:szCs w:val="18"/>
              </w:rPr>
            </w:pPr>
            <w:r w:rsidRPr="001E3A2D">
              <w:rPr>
                <w:noProof/>
                <w:sz w:val="18"/>
              </w:rPr>
              <w:t>Verpflichtungen</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4"/>
                <w:szCs w:val="14"/>
              </w:rPr>
            </w:pPr>
            <w:r w:rsidRPr="001E3A2D">
              <w:rPr>
                <w:noProof/>
                <w:sz w:val="14"/>
              </w:rPr>
              <w:t>= 4 + 6</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rsidR="00127A9D" w:rsidRPr="001E3A2D" w:rsidRDefault="00127A9D" w:rsidP="00127A9D">
            <w:pPr>
              <w:spacing w:before="0" w:after="0"/>
              <w:jc w:val="center"/>
              <w:rPr>
                <w:noProof/>
                <w:sz w:val="22"/>
              </w:rPr>
            </w:pPr>
            <w:r w:rsidRPr="001E3A2D">
              <w:rPr>
                <w:noProof/>
                <w:sz w:val="22"/>
              </w:rPr>
              <w:t>des Mehrjährigen Finanzrahmens</w:t>
            </w:r>
          </w:p>
        </w:tc>
        <w:tc>
          <w:tcPr>
            <w:tcW w:w="529"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18"/>
                <w:szCs w:val="18"/>
              </w:rPr>
            </w:pPr>
            <w:r w:rsidRPr="001E3A2D">
              <w:rPr>
                <w:noProof/>
                <w:sz w:val="18"/>
              </w:rPr>
              <w:t>Zahlungen</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4"/>
                <w:szCs w:val="14"/>
              </w:rPr>
            </w:pPr>
            <w:r w:rsidRPr="001E3A2D">
              <w:rPr>
                <w:noProof/>
                <w:sz w:val="14"/>
              </w:rPr>
              <w:t>= 5 + 6</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bl>
    <w:p w:rsidR="00127A9D" w:rsidRPr="001E3A2D" w:rsidRDefault="00127A9D" w:rsidP="00127A9D">
      <w:pPr>
        <w:jc w:val="left"/>
        <w:rPr>
          <w:noProof/>
        </w:rPr>
      </w:pPr>
    </w:p>
    <w:tbl>
      <w:tblPr>
        <w:tblW w:w="5000" w:type="pct"/>
        <w:tblLook w:val="04A0" w:firstRow="1" w:lastRow="0" w:firstColumn="1" w:lastColumn="0" w:noHBand="0" w:noVBand="1"/>
      </w:tblPr>
      <w:tblGrid>
        <w:gridCol w:w="4655"/>
        <w:gridCol w:w="2599"/>
        <w:gridCol w:w="727"/>
        <w:gridCol w:w="729"/>
        <w:gridCol w:w="1023"/>
        <w:gridCol w:w="1023"/>
        <w:gridCol w:w="1023"/>
        <w:gridCol w:w="1024"/>
        <w:gridCol w:w="1417"/>
      </w:tblGrid>
      <w:tr w:rsidR="00127A9D" w:rsidRPr="001E3A2D">
        <w:trPr>
          <w:trHeight w:val="288"/>
        </w:trPr>
        <w:tc>
          <w:tcPr>
            <w:tcW w:w="3032" w:type="pct"/>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Cs w:val="24"/>
              </w:rPr>
            </w:pPr>
            <w:r w:rsidRPr="001E3A2D">
              <w:rPr>
                <w:noProof/>
              </w:rPr>
              <w:t>GD: GD AGRI</w:t>
            </w:r>
          </w:p>
        </w:tc>
        <w:tc>
          <w:tcPr>
            <w:tcW w:w="376"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376"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376"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376"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MFR 2021-2027 INSGESAMT</w:t>
            </w:r>
          </w:p>
        </w:tc>
      </w:tr>
      <w:tr w:rsidR="00127A9D" w:rsidRPr="001E3A2D">
        <w:trPr>
          <w:trHeight w:val="300"/>
        </w:trPr>
        <w:tc>
          <w:tcPr>
            <w:tcW w:w="3032" w:type="pct"/>
            <w:gridSpan w:val="4"/>
            <w:vMerge/>
            <w:tcBorders>
              <w:top w:val="single" w:sz="8" w:space="0" w:color="auto"/>
              <w:left w:val="single" w:sz="8" w:space="0" w:color="auto"/>
              <w:bottom w:val="single" w:sz="8" w:space="0" w:color="auto"/>
              <w:right w:val="single" w:sz="8" w:space="0" w:color="auto"/>
            </w:tcBorders>
            <w:vAlign w:val="center"/>
            <w:hideMark/>
          </w:tcPr>
          <w:p w:rsidR="00127A9D" w:rsidRPr="001E3A2D" w:rsidRDefault="00127A9D" w:rsidP="00127A9D">
            <w:pPr>
              <w:spacing w:before="0" w:after="0"/>
              <w:jc w:val="left"/>
              <w:rPr>
                <w:noProof/>
                <w:szCs w:val="24"/>
                <w:lang w:eastAsia="en-IE"/>
              </w:rPr>
            </w:pPr>
          </w:p>
        </w:tc>
        <w:tc>
          <w:tcPr>
            <w:tcW w:w="37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2024</w:t>
            </w:r>
          </w:p>
        </w:tc>
        <w:tc>
          <w:tcPr>
            <w:tcW w:w="37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2025</w:t>
            </w:r>
          </w:p>
        </w:tc>
        <w:tc>
          <w:tcPr>
            <w:tcW w:w="37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2026</w:t>
            </w:r>
          </w:p>
        </w:tc>
        <w:tc>
          <w:tcPr>
            <w:tcW w:w="37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2027</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127A9D" w:rsidRPr="001E3A2D" w:rsidRDefault="00127A9D" w:rsidP="00127A9D">
            <w:pPr>
              <w:spacing w:before="0" w:after="0"/>
              <w:jc w:val="left"/>
              <w:rPr>
                <w:b/>
                <w:bCs/>
                <w:noProof/>
                <w:sz w:val="20"/>
                <w:szCs w:val="20"/>
                <w:lang w:eastAsia="en-IE"/>
              </w:rPr>
            </w:pPr>
          </w:p>
        </w:tc>
      </w:tr>
      <w:tr w:rsidR="00127A9D" w:rsidRPr="001E3A2D">
        <w:trPr>
          <w:trHeight w:val="300"/>
        </w:trPr>
        <w:tc>
          <w:tcPr>
            <w:tcW w:w="3032"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left"/>
              <w:rPr>
                <w:rFonts w:ascii="Wingdings" w:hAnsi="Wingdings" w:cs="Calibri"/>
                <w:noProof/>
                <w:sz w:val="22"/>
              </w:rPr>
            </w:pPr>
            <w:r w:rsidRPr="001E3A2D">
              <w:rPr>
                <w:rFonts w:ascii="Wingdings" w:hAnsi="Wingdings"/>
                <w:noProof/>
                <w:sz w:val="22"/>
              </w:rPr>
              <w:t></w:t>
            </w:r>
            <w:r w:rsidRPr="001E3A2D">
              <w:rPr>
                <w:noProof/>
              </w:rPr>
              <w:t xml:space="preserve"> Personalausgaben</w:t>
            </w:r>
            <w:r w:rsidRPr="001E3A2D">
              <w:rPr>
                <w:noProof/>
                <w:sz w:val="22"/>
              </w:rPr>
              <w:t xml:space="preserve"> </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300"/>
        </w:trPr>
        <w:tc>
          <w:tcPr>
            <w:tcW w:w="3032"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left"/>
              <w:rPr>
                <w:rFonts w:ascii="Wingdings" w:hAnsi="Wingdings" w:cs="Calibri"/>
                <w:noProof/>
                <w:sz w:val="22"/>
              </w:rPr>
            </w:pPr>
            <w:r w:rsidRPr="001E3A2D">
              <w:rPr>
                <w:rFonts w:ascii="Wingdings" w:hAnsi="Wingdings"/>
                <w:noProof/>
                <w:sz w:val="22"/>
              </w:rPr>
              <w:t></w:t>
            </w:r>
            <w:r w:rsidRPr="001E3A2D">
              <w:rPr>
                <w:noProof/>
              </w:rPr>
              <w:t xml:space="preserve"> Sonstige Verwaltungsausgaben</w:t>
            </w:r>
            <w:r w:rsidRPr="001E3A2D">
              <w:rPr>
                <w:noProof/>
                <w:sz w:val="22"/>
              </w:rPr>
              <w:t xml:space="preserve"> </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2"/>
              </w:rPr>
            </w:pPr>
            <w:r w:rsidRPr="001E3A2D">
              <w:rPr>
                <w:b/>
                <w:noProof/>
                <w:sz w:val="22"/>
              </w:rPr>
              <w:t>GD</w:t>
            </w:r>
            <w:r w:rsidRPr="001E3A2D">
              <w:rPr>
                <w:noProof/>
                <w:sz w:val="22"/>
              </w:rPr>
              <w:t xml:space="preserve"> &lt;….&gt;</w:t>
            </w:r>
            <w:r w:rsidRPr="001E3A2D">
              <w:rPr>
                <w:b/>
                <w:noProof/>
                <w:sz w:val="22"/>
              </w:rPr>
              <w:t xml:space="preserve"> INSGESAMT</w:t>
            </w:r>
          </w:p>
        </w:tc>
        <w:tc>
          <w:tcPr>
            <w:tcW w:w="1378" w:type="pct"/>
            <w:gridSpan w:val="3"/>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left"/>
              <w:rPr>
                <w:noProof/>
                <w:sz w:val="18"/>
                <w:szCs w:val="18"/>
              </w:rPr>
            </w:pPr>
            <w:r w:rsidRPr="001E3A2D">
              <w:rPr>
                <w:noProof/>
                <w:sz w:val="18"/>
              </w:rPr>
              <w:t xml:space="preserve">Mittel </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300"/>
        </w:trPr>
        <w:tc>
          <w:tcPr>
            <w:tcW w:w="1653"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right"/>
              <w:rPr>
                <w:b/>
                <w:bCs/>
                <w:noProof/>
                <w:sz w:val="20"/>
                <w:szCs w:val="20"/>
                <w:lang w:eastAsia="en-IE"/>
              </w:rPr>
            </w:pPr>
          </w:p>
        </w:tc>
        <w:tc>
          <w:tcPr>
            <w:tcW w:w="929"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224"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225"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465"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r>
      <w:tr w:rsidR="00127A9D" w:rsidRPr="001E3A2D">
        <w:trPr>
          <w:trHeight w:val="315"/>
        </w:trPr>
        <w:tc>
          <w:tcPr>
            <w:tcW w:w="3032" w:type="pct"/>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Cs w:val="24"/>
              </w:rPr>
            </w:pPr>
            <w:r w:rsidRPr="001E3A2D">
              <w:rPr>
                <w:noProof/>
              </w:rPr>
              <w:t>GD: &lt;…….&gt;</w:t>
            </w:r>
          </w:p>
        </w:tc>
        <w:tc>
          <w:tcPr>
            <w:tcW w:w="376"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376"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376"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376"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MFR 2021-2027 INSGESAMT</w:t>
            </w:r>
          </w:p>
        </w:tc>
      </w:tr>
      <w:tr w:rsidR="00127A9D" w:rsidRPr="001E3A2D">
        <w:trPr>
          <w:trHeight w:val="300"/>
        </w:trPr>
        <w:tc>
          <w:tcPr>
            <w:tcW w:w="3032" w:type="pct"/>
            <w:gridSpan w:val="4"/>
            <w:vMerge/>
            <w:tcBorders>
              <w:top w:val="single" w:sz="8" w:space="0" w:color="auto"/>
              <w:left w:val="single" w:sz="8" w:space="0" w:color="auto"/>
              <w:bottom w:val="single" w:sz="8" w:space="0" w:color="auto"/>
              <w:right w:val="single" w:sz="8" w:space="0" w:color="auto"/>
            </w:tcBorders>
            <w:vAlign w:val="center"/>
            <w:hideMark/>
          </w:tcPr>
          <w:p w:rsidR="00127A9D" w:rsidRPr="001E3A2D" w:rsidRDefault="00127A9D" w:rsidP="00127A9D">
            <w:pPr>
              <w:spacing w:before="0" w:after="0"/>
              <w:jc w:val="left"/>
              <w:rPr>
                <w:noProof/>
                <w:szCs w:val="24"/>
                <w:lang w:eastAsia="en-IE"/>
              </w:rPr>
            </w:pPr>
          </w:p>
        </w:tc>
        <w:tc>
          <w:tcPr>
            <w:tcW w:w="37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2024</w:t>
            </w:r>
          </w:p>
        </w:tc>
        <w:tc>
          <w:tcPr>
            <w:tcW w:w="37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2025</w:t>
            </w:r>
          </w:p>
        </w:tc>
        <w:tc>
          <w:tcPr>
            <w:tcW w:w="37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2026</w:t>
            </w:r>
          </w:p>
        </w:tc>
        <w:tc>
          <w:tcPr>
            <w:tcW w:w="376"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2027</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127A9D" w:rsidRPr="001E3A2D" w:rsidRDefault="00127A9D" w:rsidP="00127A9D">
            <w:pPr>
              <w:spacing w:before="0" w:after="0"/>
              <w:jc w:val="left"/>
              <w:rPr>
                <w:b/>
                <w:bCs/>
                <w:noProof/>
                <w:sz w:val="20"/>
                <w:szCs w:val="20"/>
                <w:lang w:eastAsia="en-IE"/>
              </w:rPr>
            </w:pPr>
          </w:p>
        </w:tc>
      </w:tr>
      <w:tr w:rsidR="00127A9D" w:rsidRPr="001E3A2D">
        <w:trPr>
          <w:trHeight w:val="300"/>
        </w:trPr>
        <w:tc>
          <w:tcPr>
            <w:tcW w:w="3032"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left"/>
              <w:rPr>
                <w:rFonts w:ascii="Wingdings" w:hAnsi="Wingdings" w:cs="Calibri"/>
                <w:noProof/>
                <w:sz w:val="22"/>
              </w:rPr>
            </w:pPr>
            <w:r w:rsidRPr="001E3A2D">
              <w:rPr>
                <w:rFonts w:ascii="Wingdings" w:hAnsi="Wingdings"/>
                <w:noProof/>
                <w:sz w:val="22"/>
              </w:rPr>
              <w:t></w:t>
            </w:r>
            <w:r w:rsidRPr="001E3A2D">
              <w:rPr>
                <w:noProof/>
              </w:rPr>
              <w:t xml:space="preserve"> Personalausgaben</w:t>
            </w:r>
            <w:r w:rsidRPr="001E3A2D">
              <w:rPr>
                <w:noProof/>
                <w:sz w:val="22"/>
              </w:rPr>
              <w:t xml:space="preserve"> </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300"/>
        </w:trPr>
        <w:tc>
          <w:tcPr>
            <w:tcW w:w="3032"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left"/>
              <w:rPr>
                <w:rFonts w:ascii="Wingdings" w:hAnsi="Wingdings" w:cs="Calibri"/>
                <w:noProof/>
                <w:sz w:val="22"/>
              </w:rPr>
            </w:pPr>
            <w:r w:rsidRPr="001E3A2D">
              <w:rPr>
                <w:rFonts w:ascii="Wingdings" w:hAnsi="Wingdings"/>
                <w:noProof/>
                <w:sz w:val="22"/>
              </w:rPr>
              <w:t></w:t>
            </w:r>
            <w:r w:rsidRPr="001E3A2D">
              <w:rPr>
                <w:noProof/>
              </w:rPr>
              <w:t xml:space="preserve"> Sonstige Verwaltungsausgaben</w:t>
            </w:r>
            <w:r w:rsidRPr="001E3A2D">
              <w:rPr>
                <w:noProof/>
                <w:sz w:val="22"/>
              </w:rPr>
              <w:t xml:space="preserve"> </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20"/>
                <w:szCs w:val="20"/>
              </w:rPr>
            </w:pPr>
            <w:r w:rsidRPr="001E3A2D">
              <w:rPr>
                <w:noProof/>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2"/>
              </w:rPr>
            </w:pPr>
            <w:r w:rsidRPr="001E3A2D">
              <w:rPr>
                <w:b/>
                <w:noProof/>
                <w:sz w:val="22"/>
              </w:rPr>
              <w:t>GD</w:t>
            </w:r>
            <w:r w:rsidRPr="001E3A2D">
              <w:rPr>
                <w:noProof/>
                <w:sz w:val="22"/>
              </w:rPr>
              <w:t xml:space="preserve"> &lt;….&gt;</w:t>
            </w:r>
            <w:r w:rsidRPr="001E3A2D">
              <w:rPr>
                <w:b/>
                <w:noProof/>
                <w:sz w:val="22"/>
              </w:rPr>
              <w:t xml:space="preserve"> INSGESAMT</w:t>
            </w:r>
          </w:p>
        </w:tc>
        <w:tc>
          <w:tcPr>
            <w:tcW w:w="1378" w:type="pct"/>
            <w:gridSpan w:val="3"/>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left"/>
              <w:rPr>
                <w:noProof/>
                <w:sz w:val="18"/>
                <w:szCs w:val="18"/>
              </w:rPr>
            </w:pPr>
            <w:r w:rsidRPr="001E3A2D">
              <w:rPr>
                <w:noProof/>
                <w:sz w:val="18"/>
              </w:rPr>
              <w:t xml:space="preserve">Mittel </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r w:rsidR="00127A9D" w:rsidRPr="001E3A2D">
        <w:trPr>
          <w:trHeight w:val="300"/>
        </w:trPr>
        <w:tc>
          <w:tcPr>
            <w:tcW w:w="1653"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right"/>
              <w:rPr>
                <w:b/>
                <w:bCs/>
                <w:noProof/>
                <w:sz w:val="20"/>
                <w:szCs w:val="20"/>
                <w:lang w:eastAsia="en-IE"/>
              </w:rPr>
            </w:pPr>
          </w:p>
        </w:tc>
        <w:tc>
          <w:tcPr>
            <w:tcW w:w="929"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224"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225"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c>
          <w:tcPr>
            <w:tcW w:w="465" w:type="pct"/>
            <w:tcBorders>
              <w:top w:val="nil"/>
              <w:left w:val="nil"/>
              <w:bottom w:val="nil"/>
              <w:right w:val="nil"/>
            </w:tcBorders>
            <w:shd w:val="clear" w:color="auto" w:fill="auto"/>
            <w:noWrap/>
            <w:vAlign w:val="bottom"/>
            <w:hideMark/>
          </w:tcPr>
          <w:p w:rsidR="00127A9D" w:rsidRPr="001E3A2D" w:rsidRDefault="00127A9D" w:rsidP="00127A9D">
            <w:pPr>
              <w:spacing w:before="0" w:after="0"/>
              <w:jc w:val="left"/>
              <w:rPr>
                <w:noProof/>
                <w:sz w:val="20"/>
                <w:szCs w:val="20"/>
                <w:lang w:eastAsia="en-IE"/>
              </w:rPr>
            </w:pPr>
          </w:p>
        </w:tc>
      </w:tr>
      <w:tr w:rsidR="00127A9D" w:rsidRPr="001E3A2D">
        <w:trPr>
          <w:trHeight w:val="900"/>
        </w:trPr>
        <w:tc>
          <w:tcPr>
            <w:tcW w:w="2583" w:type="pct"/>
            <w:gridSpan w:val="2"/>
            <w:tcBorders>
              <w:top w:val="single" w:sz="8" w:space="0" w:color="auto"/>
              <w:left w:val="single" w:sz="8" w:space="0" w:color="auto"/>
              <w:bottom w:val="single" w:sz="8" w:space="0" w:color="auto"/>
              <w:right w:val="single" w:sz="8" w:space="0" w:color="auto"/>
            </w:tcBorders>
            <w:shd w:val="thinDiagStripe" w:color="C0C0C0" w:fill="F1F1F1"/>
            <w:vAlign w:val="center"/>
            <w:hideMark/>
          </w:tcPr>
          <w:p w:rsidR="00127A9D" w:rsidRPr="001E3A2D" w:rsidRDefault="00127A9D" w:rsidP="00127A9D">
            <w:pPr>
              <w:spacing w:before="0" w:after="0"/>
              <w:jc w:val="center"/>
              <w:rPr>
                <w:b/>
                <w:bCs/>
                <w:noProof/>
                <w:sz w:val="22"/>
              </w:rPr>
            </w:pPr>
            <w:r w:rsidRPr="001E3A2D">
              <w:rPr>
                <w:b/>
                <w:noProof/>
                <w:sz w:val="22"/>
              </w:rPr>
              <w:t xml:space="preserve">Mittel INSGESAMT unter der RUBRIK 7 des Mehrjährigen Finanzrahmens </w:t>
            </w:r>
          </w:p>
        </w:tc>
        <w:tc>
          <w:tcPr>
            <w:tcW w:w="449" w:type="pct"/>
            <w:gridSpan w:val="2"/>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8"/>
                <w:szCs w:val="18"/>
              </w:rPr>
            </w:pPr>
            <w:r w:rsidRPr="001E3A2D">
              <w:rPr>
                <w:noProof/>
                <w:sz w:val="18"/>
              </w:rPr>
              <w:t>(Verpflichtungen insges. = Zahlungen insges.)</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20"/>
                <w:szCs w:val="20"/>
              </w:rPr>
            </w:pPr>
            <w:r w:rsidRPr="001E3A2D">
              <w:rPr>
                <w:b/>
                <w:noProof/>
                <w:sz w:val="20"/>
              </w:rPr>
              <w:t>0,000</w:t>
            </w:r>
          </w:p>
        </w:tc>
      </w:tr>
    </w:tbl>
    <w:p w:rsidR="00127A9D" w:rsidRPr="001E3A2D" w:rsidRDefault="00127A9D" w:rsidP="00127A9D">
      <w:pPr>
        <w:jc w:val="right"/>
        <w:rPr>
          <w:noProof/>
          <w:sz w:val="20"/>
        </w:rPr>
      </w:pPr>
      <w:r w:rsidRPr="001E3A2D">
        <w:rPr>
          <w:noProof/>
          <w:sz w:val="20"/>
        </w:rPr>
        <w:t>in Mio. EUR (3 Dezimalstellen)</w:t>
      </w:r>
    </w:p>
    <w:tbl>
      <w:tblPr>
        <w:tblW w:w="5000" w:type="pct"/>
        <w:tblLook w:val="04A0" w:firstRow="1" w:lastRow="0" w:firstColumn="1" w:lastColumn="0" w:noHBand="0" w:noVBand="1"/>
      </w:tblPr>
      <w:tblGrid>
        <w:gridCol w:w="5607"/>
        <w:gridCol w:w="2080"/>
        <w:gridCol w:w="1255"/>
        <w:gridCol w:w="1254"/>
        <w:gridCol w:w="1254"/>
        <w:gridCol w:w="1254"/>
        <w:gridCol w:w="1516"/>
      </w:tblGrid>
      <w:tr w:rsidR="00127A9D" w:rsidRPr="001E3A2D">
        <w:trPr>
          <w:trHeight w:val="288"/>
        </w:trPr>
        <w:tc>
          <w:tcPr>
            <w:tcW w:w="270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Cs w:val="24"/>
              </w:rPr>
            </w:pPr>
            <w:r w:rsidRPr="001E3A2D">
              <w:rPr>
                <w:noProof/>
              </w:rPr>
              <w:t xml:space="preserve"> </w:t>
            </w:r>
          </w:p>
        </w:tc>
        <w:tc>
          <w:tcPr>
            <w:tcW w:w="441"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441"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441"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441"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5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MFR 2021-2027 INSGESAMT</w:t>
            </w:r>
          </w:p>
        </w:tc>
      </w:tr>
      <w:tr w:rsidR="00127A9D" w:rsidRPr="001E3A2D">
        <w:trPr>
          <w:trHeight w:val="300"/>
        </w:trPr>
        <w:tc>
          <w:tcPr>
            <w:tcW w:w="2702" w:type="pct"/>
            <w:gridSpan w:val="2"/>
            <w:vMerge/>
            <w:tcBorders>
              <w:top w:val="single" w:sz="8" w:space="0" w:color="auto"/>
              <w:left w:val="single" w:sz="8" w:space="0" w:color="auto"/>
              <w:bottom w:val="single" w:sz="8" w:space="0" w:color="auto"/>
              <w:right w:val="single" w:sz="8" w:space="0" w:color="auto"/>
            </w:tcBorders>
            <w:vAlign w:val="center"/>
            <w:hideMark/>
          </w:tcPr>
          <w:p w:rsidR="00127A9D" w:rsidRPr="001E3A2D" w:rsidRDefault="00127A9D" w:rsidP="00127A9D">
            <w:pPr>
              <w:spacing w:before="0" w:after="0"/>
              <w:jc w:val="left"/>
              <w:rPr>
                <w:noProof/>
                <w:szCs w:val="24"/>
                <w:lang w:eastAsia="en-IE"/>
              </w:rPr>
            </w:pPr>
          </w:p>
        </w:tc>
        <w:tc>
          <w:tcPr>
            <w:tcW w:w="441"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2024</w:t>
            </w:r>
          </w:p>
        </w:tc>
        <w:tc>
          <w:tcPr>
            <w:tcW w:w="441"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2025</w:t>
            </w:r>
          </w:p>
        </w:tc>
        <w:tc>
          <w:tcPr>
            <w:tcW w:w="441"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2026</w:t>
            </w:r>
          </w:p>
        </w:tc>
        <w:tc>
          <w:tcPr>
            <w:tcW w:w="441"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2027</w:t>
            </w:r>
          </w:p>
        </w:tc>
        <w:tc>
          <w:tcPr>
            <w:tcW w:w="533" w:type="pct"/>
            <w:vMerge/>
            <w:tcBorders>
              <w:top w:val="single" w:sz="8" w:space="0" w:color="auto"/>
              <w:left w:val="single" w:sz="8" w:space="0" w:color="auto"/>
              <w:bottom w:val="single" w:sz="8" w:space="0" w:color="000000"/>
              <w:right w:val="single" w:sz="8" w:space="0" w:color="auto"/>
            </w:tcBorders>
            <w:vAlign w:val="center"/>
            <w:hideMark/>
          </w:tcPr>
          <w:p w:rsidR="00127A9D" w:rsidRPr="001E3A2D" w:rsidRDefault="00127A9D" w:rsidP="00127A9D">
            <w:pPr>
              <w:spacing w:before="0" w:after="0"/>
              <w:jc w:val="left"/>
              <w:rPr>
                <w:b/>
                <w:bCs/>
                <w:noProof/>
                <w:sz w:val="20"/>
                <w:szCs w:val="20"/>
                <w:lang w:eastAsia="en-IE"/>
              </w:rPr>
            </w:pPr>
          </w:p>
        </w:tc>
      </w:tr>
      <w:tr w:rsidR="00127A9D" w:rsidRPr="001E3A2D">
        <w:trPr>
          <w:trHeight w:val="564"/>
        </w:trPr>
        <w:tc>
          <w:tcPr>
            <w:tcW w:w="1971" w:type="pct"/>
            <w:tcBorders>
              <w:top w:val="single" w:sz="8" w:space="0" w:color="auto"/>
              <w:left w:val="single" w:sz="8" w:space="0" w:color="auto"/>
              <w:bottom w:val="single" w:sz="8" w:space="0" w:color="auto"/>
              <w:right w:val="single" w:sz="8" w:space="0" w:color="000000"/>
            </w:tcBorders>
            <w:shd w:val="clear" w:color="000000" w:fill="C0C0C0"/>
            <w:vAlign w:val="center"/>
            <w:hideMark/>
          </w:tcPr>
          <w:p w:rsidR="00127A9D" w:rsidRPr="001E3A2D" w:rsidRDefault="00127A9D" w:rsidP="00127A9D">
            <w:pPr>
              <w:spacing w:before="0" w:after="0"/>
              <w:jc w:val="center"/>
              <w:rPr>
                <w:b/>
                <w:bCs/>
                <w:noProof/>
                <w:sz w:val="22"/>
              </w:rPr>
            </w:pPr>
            <w:r w:rsidRPr="001E3A2D">
              <w:rPr>
                <w:b/>
                <w:noProof/>
                <w:sz w:val="22"/>
              </w:rPr>
              <w:t>Mittel INSGESAMT unter den RUBRIKEN 1 bis 7</w:t>
            </w:r>
          </w:p>
        </w:tc>
        <w:tc>
          <w:tcPr>
            <w:tcW w:w="731"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18"/>
                <w:szCs w:val="18"/>
              </w:rPr>
            </w:pPr>
            <w:r w:rsidRPr="001E3A2D">
              <w:rPr>
                <w:noProof/>
                <w:sz w:val="18"/>
              </w:rPr>
              <w:t>Verpflichtungen</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Cs w:val="24"/>
              </w:rPr>
            </w:pPr>
            <w:r w:rsidRPr="001E3A2D">
              <w:rPr>
                <w:b/>
                <w:noProof/>
              </w:rPr>
              <w:t>0,000</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Cs w:val="24"/>
              </w:rPr>
            </w:pPr>
            <w:r w:rsidRPr="001E3A2D">
              <w:rPr>
                <w:b/>
                <w:noProof/>
              </w:rPr>
              <w:t>0,000</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Cs w:val="24"/>
              </w:rPr>
            </w:pPr>
            <w:r w:rsidRPr="001E3A2D">
              <w:rPr>
                <w:b/>
                <w:noProof/>
              </w:rPr>
              <w:t>0,000</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Cs w:val="24"/>
              </w:rPr>
            </w:pPr>
            <w:r w:rsidRPr="001E3A2D">
              <w:rPr>
                <w:b/>
                <w:noProof/>
              </w:rPr>
              <w:t>0,000</w:t>
            </w:r>
          </w:p>
        </w:tc>
        <w:tc>
          <w:tcPr>
            <w:tcW w:w="53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Cs w:val="24"/>
              </w:rPr>
            </w:pPr>
            <w:r w:rsidRPr="001E3A2D">
              <w:rPr>
                <w:b/>
                <w:noProof/>
              </w:rPr>
              <w:t>0,000</w:t>
            </w:r>
          </w:p>
        </w:tc>
      </w:tr>
      <w:tr w:rsidR="00127A9D" w:rsidRPr="001E3A2D">
        <w:trPr>
          <w:trHeight w:val="540"/>
        </w:trPr>
        <w:tc>
          <w:tcPr>
            <w:tcW w:w="1971" w:type="pct"/>
            <w:tcBorders>
              <w:top w:val="single" w:sz="8" w:space="0" w:color="auto"/>
              <w:left w:val="single" w:sz="8" w:space="0" w:color="auto"/>
              <w:bottom w:val="single" w:sz="8" w:space="0" w:color="auto"/>
              <w:right w:val="single" w:sz="8" w:space="0" w:color="000000"/>
            </w:tcBorders>
            <w:shd w:val="clear" w:color="000000" w:fill="C0C0C0"/>
            <w:vAlign w:val="center"/>
            <w:hideMark/>
          </w:tcPr>
          <w:p w:rsidR="00127A9D" w:rsidRPr="001E3A2D" w:rsidRDefault="00127A9D" w:rsidP="00127A9D">
            <w:pPr>
              <w:spacing w:before="0" w:after="0"/>
              <w:jc w:val="center"/>
              <w:rPr>
                <w:noProof/>
                <w:sz w:val="22"/>
              </w:rPr>
            </w:pPr>
            <w:r w:rsidRPr="001E3A2D">
              <w:rPr>
                <w:noProof/>
                <w:sz w:val="22"/>
              </w:rPr>
              <w:t>des Mehrjährigen Finanzrahmens</w:t>
            </w:r>
            <w:r w:rsidRPr="001E3A2D">
              <w:rPr>
                <w:b/>
                <w:noProof/>
                <w:sz w:val="22"/>
              </w:rPr>
              <w:t xml:space="preserve"> </w:t>
            </w:r>
          </w:p>
        </w:tc>
        <w:tc>
          <w:tcPr>
            <w:tcW w:w="731"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rPr>
                <w:noProof/>
                <w:sz w:val="18"/>
                <w:szCs w:val="18"/>
              </w:rPr>
            </w:pPr>
            <w:r w:rsidRPr="001E3A2D">
              <w:rPr>
                <w:noProof/>
                <w:sz w:val="18"/>
              </w:rPr>
              <w:t>Zahlungen</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Cs w:val="24"/>
              </w:rPr>
            </w:pPr>
            <w:r w:rsidRPr="001E3A2D">
              <w:rPr>
                <w:b/>
                <w:noProof/>
              </w:rPr>
              <w:t>0,000</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Cs w:val="24"/>
              </w:rPr>
            </w:pPr>
            <w:r w:rsidRPr="001E3A2D">
              <w:rPr>
                <w:b/>
                <w:noProof/>
              </w:rPr>
              <w:t>0,000</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Cs w:val="24"/>
              </w:rPr>
            </w:pPr>
            <w:r w:rsidRPr="001E3A2D">
              <w:rPr>
                <w:b/>
                <w:noProof/>
              </w:rPr>
              <w:t>0,000</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Cs w:val="24"/>
              </w:rPr>
            </w:pPr>
            <w:r w:rsidRPr="001E3A2D">
              <w:rPr>
                <w:b/>
                <w:noProof/>
              </w:rPr>
              <w:t>0,000</w:t>
            </w:r>
          </w:p>
        </w:tc>
        <w:tc>
          <w:tcPr>
            <w:tcW w:w="53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Cs w:val="24"/>
              </w:rPr>
            </w:pPr>
            <w:r w:rsidRPr="001E3A2D">
              <w:rPr>
                <w:b/>
                <w:noProof/>
              </w:rPr>
              <w:t>0,000</w:t>
            </w:r>
          </w:p>
        </w:tc>
      </w:tr>
    </w:tbl>
    <w:p w:rsidR="00127A9D" w:rsidRPr="001E3A2D" w:rsidRDefault="00127A9D" w:rsidP="00127A9D">
      <w:pPr>
        <w:keepNext/>
        <w:tabs>
          <w:tab w:val="left" w:pos="850"/>
        </w:tabs>
        <w:ind w:left="850" w:hanging="850"/>
        <w:outlineLvl w:val="2"/>
        <w:rPr>
          <w:bCs/>
          <w:i/>
          <w:noProof/>
          <w:szCs w:val="24"/>
        </w:rPr>
      </w:pPr>
      <w:bookmarkStart w:id="150" w:name="_Toc514938054"/>
      <w:bookmarkStart w:id="151" w:name="_Toc520485053"/>
      <w:bookmarkStart w:id="152" w:name="_Toc160804597"/>
      <w:bookmarkStart w:id="153" w:name="_Toc167220289"/>
      <w:bookmarkStart w:id="154" w:name="_Toc177549022"/>
      <w:r w:rsidRPr="001E3A2D">
        <w:rPr>
          <w:i/>
          <w:noProof/>
        </w:rPr>
        <w:t>3.2.2</w:t>
      </w:r>
      <w:r w:rsidRPr="001E3A2D">
        <w:rPr>
          <w:noProof/>
        </w:rPr>
        <w:tab/>
      </w:r>
      <w:r w:rsidRPr="001E3A2D">
        <w:rPr>
          <w:i/>
          <w:noProof/>
        </w:rPr>
        <w:t>Geschätzter Output, der mit operativen Mitteln finanziert wird</w:t>
      </w:r>
      <w:bookmarkEnd w:id="150"/>
      <w:bookmarkEnd w:id="151"/>
      <w:r w:rsidRPr="001E3A2D">
        <w:rPr>
          <w:noProof/>
        </w:rPr>
        <w:t xml:space="preserve"> (nicht auszufüllen im Fall dezentraler Agenturen)</w:t>
      </w:r>
      <w:bookmarkEnd w:id="152"/>
      <w:bookmarkEnd w:id="153"/>
      <w:bookmarkEnd w:id="154"/>
    </w:p>
    <w:p w:rsidR="00127A9D" w:rsidRPr="001E3A2D" w:rsidRDefault="00127A9D" w:rsidP="00127A9D">
      <w:pPr>
        <w:jc w:val="right"/>
        <w:rPr>
          <w:noProof/>
          <w:sz w:val="20"/>
        </w:rPr>
      </w:pPr>
      <w:r w:rsidRPr="001E3A2D">
        <w:rPr>
          <w:noProof/>
          <w:sz w:val="20"/>
        </w:rPr>
        <w:t>Mittel für Verpflichtungen, in Mio. EUR (3 Dezimalstellen)</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127A9D" w:rsidRPr="001E3A2D">
        <w:trPr>
          <w:jc w:val="center"/>
        </w:trPr>
        <w:tc>
          <w:tcPr>
            <w:tcW w:w="1423" w:type="dxa"/>
            <w:vMerge w:val="restart"/>
            <w:vAlign w:val="center"/>
          </w:tcPr>
          <w:p w:rsidR="00127A9D" w:rsidRPr="001E3A2D" w:rsidRDefault="00127A9D" w:rsidP="00127A9D">
            <w:pPr>
              <w:ind w:right="-29"/>
              <w:jc w:val="center"/>
              <w:rPr>
                <w:b/>
                <w:noProof/>
                <w:sz w:val="18"/>
                <w:szCs w:val="18"/>
              </w:rPr>
            </w:pPr>
            <w:r w:rsidRPr="001E3A2D">
              <w:rPr>
                <w:b/>
                <w:noProof/>
                <w:sz w:val="18"/>
              </w:rPr>
              <w:t xml:space="preserve">Ziele und Ergebnisse angeben </w:t>
            </w:r>
          </w:p>
          <w:p w:rsidR="00127A9D" w:rsidRPr="001E3A2D" w:rsidRDefault="00127A9D" w:rsidP="00127A9D">
            <w:pPr>
              <w:ind w:right="-29"/>
              <w:jc w:val="center"/>
              <w:rPr>
                <w:b/>
                <w:noProof/>
                <w:sz w:val="18"/>
                <w:szCs w:val="18"/>
              </w:rPr>
            </w:pPr>
          </w:p>
          <w:p w:rsidR="00127A9D" w:rsidRPr="001E3A2D" w:rsidRDefault="00127A9D" w:rsidP="00127A9D">
            <w:pPr>
              <w:ind w:right="-29"/>
              <w:jc w:val="center"/>
              <w:rPr>
                <w:noProof/>
                <w:sz w:val="18"/>
                <w:szCs w:val="18"/>
              </w:rPr>
            </w:pPr>
            <w:r w:rsidRPr="001E3A2D">
              <w:rPr>
                <w:rFonts w:ascii="Wingdings" w:hAnsi="Wingdings"/>
                <w:noProof/>
                <w:sz w:val="18"/>
              </w:rPr>
              <w:t></w:t>
            </w:r>
          </w:p>
        </w:tc>
        <w:tc>
          <w:tcPr>
            <w:tcW w:w="720" w:type="dxa"/>
            <w:vAlign w:val="center"/>
          </w:tcPr>
          <w:p w:rsidR="00127A9D" w:rsidRPr="001E3A2D" w:rsidRDefault="00127A9D" w:rsidP="00127A9D">
            <w:pPr>
              <w:ind w:right="-29"/>
              <w:jc w:val="center"/>
              <w:rPr>
                <w:noProof/>
                <w:sz w:val="18"/>
                <w:szCs w:val="18"/>
              </w:rPr>
            </w:pPr>
          </w:p>
        </w:tc>
        <w:tc>
          <w:tcPr>
            <w:tcW w:w="701" w:type="dxa"/>
            <w:vAlign w:val="center"/>
          </w:tcPr>
          <w:p w:rsidR="00127A9D" w:rsidRPr="001E3A2D" w:rsidRDefault="00127A9D" w:rsidP="00127A9D">
            <w:pPr>
              <w:ind w:right="-29"/>
              <w:jc w:val="center"/>
              <w:rPr>
                <w:noProof/>
                <w:sz w:val="18"/>
                <w:szCs w:val="18"/>
              </w:rPr>
            </w:pPr>
          </w:p>
        </w:tc>
        <w:tc>
          <w:tcPr>
            <w:tcW w:w="1224" w:type="dxa"/>
            <w:gridSpan w:val="2"/>
            <w:tcBorders>
              <w:left w:val="nil"/>
            </w:tcBorders>
            <w:vAlign w:val="center"/>
          </w:tcPr>
          <w:p w:rsidR="00127A9D" w:rsidRPr="001E3A2D" w:rsidRDefault="00127A9D" w:rsidP="00127A9D">
            <w:pPr>
              <w:ind w:right="-29"/>
              <w:jc w:val="center"/>
              <w:rPr>
                <w:noProof/>
                <w:sz w:val="18"/>
                <w:szCs w:val="18"/>
              </w:rPr>
            </w:pPr>
            <w:r w:rsidRPr="001E3A2D">
              <w:rPr>
                <w:noProof/>
                <w:sz w:val="18"/>
              </w:rPr>
              <w:t>Jahr</w:t>
            </w:r>
            <w:r w:rsidRPr="001E3A2D">
              <w:rPr>
                <w:noProof/>
              </w:rPr>
              <w:t xml:space="preserve"> </w:t>
            </w:r>
            <w:r w:rsidRPr="001E3A2D">
              <w:rPr>
                <w:noProof/>
              </w:rPr>
              <w:br/>
            </w:r>
            <w:r w:rsidRPr="001E3A2D">
              <w:rPr>
                <w:b/>
                <w:noProof/>
                <w:sz w:val="18"/>
              </w:rPr>
              <w:t>2024</w:t>
            </w:r>
          </w:p>
        </w:tc>
        <w:tc>
          <w:tcPr>
            <w:tcW w:w="1260" w:type="dxa"/>
            <w:gridSpan w:val="2"/>
            <w:vAlign w:val="center"/>
          </w:tcPr>
          <w:p w:rsidR="00127A9D" w:rsidRPr="001E3A2D" w:rsidRDefault="00127A9D" w:rsidP="00127A9D">
            <w:pPr>
              <w:ind w:right="-29"/>
              <w:jc w:val="center"/>
              <w:rPr>
                <w:noProof/>
                <w:sz w:val="18"/>
                <w:szCs w:val="18"/>
              </w:rPr>
            </w:pPr>
            <w:r w:rsidRPr="001E3A2D">
              <w:rPr>
                <w:noProof/>
                <w:sz w:val="18"/>
              </w:rPr>
              <w:t>Jahr</w:t>
            </w:r>
            <w:r w:rsidRPr="001E3A2D">
              <w:rPr>
                <w:noProof/>
              </w:rPr>
              <w:t xml:space="preserve"> </w:t>
            </w:r>
            <w:r w:rsidRPr="001E3A2D">
              <w:rPr>
                <w:noProof/>
              </w:rPr>
              <w:br/>
            </w:r>
            <w:r w:rsidRPr="001E3A2D">
              <w:rPr>
                <w:b/>
                <w:noProof/>
                <w:sz w:val="18"/>
              </w:rPr>
              <w:t>2025</w:t>
            </w:r>
          </w:p>
        </w:tc>
        <w:tc>
          <w:tcPr>
            <w:tcW w:w="1440" w:type="dxa"/>
            <w:gridSpan w:val="2"/>
            <w:vAlign w:val="center"/>
          </w:tcPr>
          <w:p w:rsidR="00127A9D" w:rsidRPr="001E3A2D" w:rsidRDefault="00127A9D" w:rsidP="00127A9D">
            <w:pPr>
              <w:ind w:right="-29"/>
              <w:jc w:val="center"/>
              <w:rPr>
                <w:noProof/>
                <w:sz w:val="18"/>
                <w:szCs w:val="18"/>
              </w:rPr>
            </w:pPr>
            <w:r w:rsidRPr="001E3A2D">
              <w:rPr>
                <w:noProof/>
                <w:sz w:val="18"/>
              </w:rPr>
              <w:t>Jahr</w:t>
            </w:r>
            <w:r w:rsidRPr="001E3A2D">
              <w:rPr>
                <w:noProof/>
              </w:rPr>
              <w:t xml:space="preserve"> </w:t>
            </w:r>
            <w:r w:rsidRPr="001E3A2D">
              <w:rPr>
                <w:noProof/>
              </w:rPr>
              <w:br/>
            </w:r>
            <w:r w:rsidRPr="001E3A2D">
              <w:rPr>
                <w:b/>
                <w:noProof/>
                <w:sz w:val="18"/>
              </w:rPr>
              <w:t>2026</w:t>
            </w:r>
          </w:p>
        </w:tc>
        <w:tc>
          <w:tcPr>
            <w:tcW w:w="1620" w:type="dxa"/>
            <w:gridSpan w:val="3"/>
            <w:vAlign w:val="center"/>
          </w:tcPr>
          <w:p w:rsidR="00127A9D" w:rsidRPr="001E3A2D" w:rsidRDefault="00127A9D" w:rsidP="00127A9D">
            <w:pPr>
              <w:ind w:right="-29"/>
              <w:jc w:val="center"/>
              <w:rPr>
                <w:noProof/>
                <w:sz w:val="18"/>
                <w:szCs w:val="18"/>
              </w:rPr>
            </w:pPr>
            <w:r w:rsidRPr="001E3A2D">
              <w:rPr>
                <w:noProof/>
                <w:sz w:val="18"/>
              </w:rPr>
              <w:t>Jahr</w:t>
            </w:r>
            <w:r w:rsidRPr="001E3A2D">
              <w:rPr>
                <w:noProof/>
              </w:rPr>
              <w:t xml:space="preserve"> </w:t>
            </w:r>
            <w:r w:rsidRPr="001E3A2D">
              <w:rPr>
                <w:noProof/>
              </w:rPr>
              <w:br/>
            </w:r>
            <w:r w:rsidRPr="001E3A2D">
              <w:rPr>
                <w:b/>
                <w:noProof/>
                <w:sz w:val="18"/>
              </w:rPr>
              <w:t>2027</w:t>
            </w:r>
          </w:p>
        </w:tc>
        <w:tc>
          <w:tcPr>
            <w:tcW w:w="3600" w:type="dxa"/>
            <w:gridSpan w:val="6"/>
            <w:vAlign w:val="center"/>
          </w:tcPr>
          <w:p w:rsidR="00127A9D" w:rsidRPr="001E3A2D" w:rsidRDefault="00127A9D" w:rsidP="00127A9D">
            <w:pPr>
              <w:jc w:val="center"/>
              <w:rPr>
                <w:noProof/>
                <w:sz w:val="18"/>
                <w:szCs w:val="18"/>
              </w:rPr>
            </w:pPr>
          </w:p>
        </w:tc>
        <w:tc>
          <w:tcPr>
            <w:tcW w:w="1620" w:type="dxa"/>
            <w:gridSpan w:val="2"/>
            <w:tcBorders>
              <w:left w:val="nil"/>
              <w:bottom w:val="nil"/>
            </w:tcBorders>
            <w:vAlign w:val="center"/>
          </w:tcPr>
          <w:p w:rsidR="00127A9D" w:rsidRPr="001E3A2D" w:rsidRDefault="00127A9D" w:rsidP="00127A9D">
            <w:pPr>
              <w:ind w:right="-29"/>
              <w:jc w:val="center"/>
              <w:rPr>
                <w:noProof/>
                <w:sz w:val="18"/>
                <w:szCs w:val="18"/>
              </w:rPr>
            </w:pPr>
            <w:r w:rsidRPr="001E3A2D">
              <w:rPr>
                <w:b/>
                <w:noProof/>
                <w:sz w:val="18"/>
              </w:rPr>
              <w:t>INSGESAMT</w:t>
            </w:r>
          </w:p>
        </w:tc>
      </w:tr>
      <w:tr w:rsidR="00127A9D" w:rsidRPr="001E3A2D">
        <w:trPr>
          <w:jc w:val="center"/>
        </w:trPr>
        <w:tc>
          <w:tcPr>
            <w:tcW w:w="1423" w:type="dxa"/>
            <w:vMerge/>
            <w:vAlign w:val="center"/>
          </w:tcPr>
          <w:p w:rsidR="00127A9D" w:rsidRPr="001E3A2D" w:rsidRDefault="00127A9D" w:rsidP="00127A9D">
            <w:pPr>
              <w:ind w:right="-29"/>
              <w:jc w:val="center"/>
              <w:rPr>
                <w:noProof/>
                <w:sz w:val="18"/>
                <w:szCs w:val="18"/>
              </w:rPr>
            </w:pPr>
          </w:p>
        </w:tc>
        <w:tc>
          <w:tcPr>
            <w:tcW w:w="12185" w:type="dxa"/>
            <w:gridSpan w:val="19"/>
            <w:vAlign w:val="center"/>
          </w:tcPr>
          <w:p w:rsidR="00127A9D" w:rsidRPr="001E3A2D" w:rsidRDefault="00127A9D" w:rsidP="00127A9D">
            <w:pPr>
              <w:spacing w:before="60" w:after="60"/>
              <w:ind w:right="-29"/>
              <w:jc w:val="center"/>
              <w:rPr>
                <w:noProof/>
                <w:sz w:val="18"/>
                <w:szCs w:val="18"/>
              </w:rPr>
            </w:pPr>
            <w:r w:rsidRPr="001E3A2D">
              <w:rPr>
                <w:b/>
                <w:noProof/>
                <w:sz w:val="18"/>
              </w:rPr>
              <w:t>ERGEBNISSE</w:t>
            </w:r>
          </w:p>
        </w:tc>
      </w:tr>
      <w:tr w:rsidR="00127A9D" w:rsidRPr="001E3A2D">
        <w:trPr>
          <w:cantSplit/>
          <w:trHeight w:val="1134"/>
          <w:jc w:val="center"/>
        </w:trPr>
        <w:tc>
          <w:tcPr>
            <w:tcW w:w="1423" w:type="dxa"/>
            <w:vMerge/>
            <w:vAlign w:val="center"/>
          </w:tcPr>
          <w:p w:rsidR="00127A9D" w:rsidRPr="001E3A2D" w:rsidRDefault="00127A9D" w:rsidP="00127A9D">
            <w:pPr>
              <w:rPr>
                <w:noProof/>
                <w:sz w:val="18"/>
                <w:szCs w:val="18"/>
              </w:rPr>
            </w:pPr>
          </w:p>
        </w:tc>
        <w:tc>
          <w:tcPr>
            <w:tcW w:w="720" w:type="dxa"/>
            <w:vAlign w:val="center"/>
          </w:tcPr>
          <w:p w:rsidR="00127A9D" w:rsidRPr="001E3A2D" w:rsidRDefault="00127A9D" w:rsidP="00127A9D">
            <w:pPr>
              <w:jc w:val="center"/>
              <w:rPr>
                <w:noProof/>
                <w:sz w:val="18"/>
                <w:szCs w:val="18"/>
              </w:rPr>
            </w:pPr>
            <w:r w:rsidRPr="001E3A2D">
              <w:rPr>
                <w:noProof/>
                <w:sz w:val="18"/>
              </w:rPr>
              <w:t>Art</w:t>
            </w:r>
            <w:r w:rsidRPr="001E3A2D">
              <w:rPr>
                <w:rStyle w:val="FootnoteReference"/>
                <w:noProof/>
              </w:rPr>
              <w:footnoteReference w:id="18"/>
            </w:r>
          </w:p>
          <w:p w:rsidR="00127A9D" w:rsidRPr="001E3A2D" w:rsidRDefault="00127A9D" w:rsidP="00127A9D">
            <w:pPr>
              <w:spacing w:before="0" w:after="0"/>
              <w:jc w:val="center"/>
              <w:rPr>
                <w:noProof/>
                <w:sz w:val="18"/>
                <w:szCs w:val="18"/>
              </w:rPr>
            </w:pPr>
          </w:p>
        </w:tc>
        <w:tc>
          <w:tcPr>
            <w:tcW w:w="701" w:type="dxa"/>
            <w:vAlign w:val="center"/>
          </w:tcPr>
          <w:p w:rsidR="00127A9D" w:rsidRPr="001E3A2D" w:rsidRDefault="00127A9D" w:rsidP="00127A9D">
            <w:pPr>
              <w:jc w:val="center"/>
              <w:rPr>
                <w:noProof/>
                <w:sz w:val="18"/>
                <w:szCs w:val="18"/>
              </w:rPr>
            </w:pPr>
            <w:r w:rsidRPr="001E3A2D">
              <w:rPr>
                <w:noProof/>
                <w:sz w:val="18"/>
              </w:rPr>
              <w:t>Durchschnittskosten</w:t>
            </w:r>
          </w:p>
        </w:tc>
        <w:tc>
          <w:tcPr>
            <w:tcW w:w="504" w:type="dxa"/>
            <w:tcBorders>
              <w:left w:val="nil"/>
              <w:right w:val="dashSmallGap" w:sz="4" w:space="0" w:color="auto"/>
            </w:tcBorders>
            <w:shd w:val="clear" w:color="auto" w:fill="auto"/>
            <w:textDirection w:val="btLr"/>
            <w:vAlign w:val="center"/>
          </w:tcPr>
          <w:p w:rsidR="00127A9D" w:rsidRPr="001E3A2D" w:rsidRDefault="00127A9D" w:rsidP="00127A9D">
            <w:pPr>
              <w:ind w:left="113" w:right="113"/>
              <w:jc w:val="center"/>
              <w:rPr>
                <w:noProof/>
                <w:sz w:val="18"/>
                <w:szCs w:val="18"/>
              </w:rPr>
            </w:pPr>
            <w:r w:rsidRPr="001E3A2D">
              <w:rPr>
                <w:noProof/>
                <w:sz w:val="18"/>
              </w:rPr>
              <w:t>Anzahl</w:t>
            </w:r>
          </w:p>
        </w:tc>
        <w:tc>
          <w:tcPr>
            <w:tcW w:w="720" w:type="dxa"/>
            <w:tcBorders>
              <w:left w:val="dashSmallGap" w:sz="4" w:space="0" w:color="auto"/>
            </w:tcBorders>
            <w:shd w:val="clear" w:color="auto" w:fill="auto"/>
            <w:vAlign w:val="center"/>
          </w:tcPr>
          <w:p w:rsidR="00127A9D" w:rsidRPr="001E3A2D" w:rsidRDefault="00127A9D" w:rsidP="00127A9D">
            <w:pPr>
              <w:jc w:val="center"/>
              <w:rPr>
                <w:noProof/>
                <w:sz w:val="18"/>
                <w:szCs w:val="18"/>
              </w:rPr>
            </w:pPr>
            <w:r w:rsidRPr="001E3A2D">
              <w:rPr>
                <w:noProof/>
                <w:sz w:val="18"/>
              </w:rPr>
              <w:t>Kosten</w:t>
            </w:r>
          </w:p>
        </w:tc>
        <w:tc>
          <w:tcPr>
            <w:tcW w:w="540" w:type="dxa"/>
            <w:tcBorders>
              <w:right w:val="dashSmallGap" w:sz="4" w:space="0" w:color="auto"/>
            </w:tcBorders>
            <w:shd w:val="clear" w:color="auto" w:fill="auto"/>
            <w:textDirection w:val="btLr"/>
            <w:vAlign w:val="center"/>
          </w:tcPr>
          <w:p w:rsidR="00127A9D" w:rsidRPr="001E3A2D" w:rsidRDefault="00127A9D" w:rsidP="00127A9D">
            <w:pPr>
              <w:ind w:left="113" w:right="113"/>
              <w:jc w:val="center"/>
              <w:rPr>
                <w:noProof/>
                <w:sz w:val="18"/>
                <w:szCs w:val="18"/>
              </w:rPr>
            </w:pPr>
            <w:r w:rsidRPr="001E3A2D">
              <w:rPr>
                <w:noProof/>
                <w:sz w:val="18"/>
              </w:rPr>
              <w:t>Anzahl</w:t>
            </w:r>
          </w:p>
        </w:tc>
        <w:tc>
          <w:tcPr>
            <w:tcW w:w="720" w:type="dxa"/>
            <w:tcBorders>
              <w:left w:val="dashSmallGap" w:sz="4" w:space="0" w:color="auto"/>
            </w:tcBorders>
            <w:shd w:val="clear" w:color="auto" w:fill="auto"/>
            <w:vAlign w:val="center"/>
          </w:tcPr>
          <w:p w:rsidR="00127A9D" w:rsidRPr="001E3A2D" w:rsidRDefault="00127A9D" w:rsidP="00127A9D">
            <w:pPr>
              <w:jc w:val="center"/>
              <w:rPr>
                <w:noProof/>
                <w:sz w:val="18"/>
                <w:szCs w:val="18"/>
              </w:rPr>
            </w:pPr>
            <w:r w:rsidRPr="001E3A2D">
              <w:rPr>
                <w:noProof/>
                <w:sz w:val="18"/>
              </w:rPr>
              <w:t>Kosten</w:t>
            </w:r>
          </w:p>
        </w:tc>
        <w:tc>
          <w:tcPr>
            <w:tcW w:w="720" w:type="dxa"/>
            <w:tcBorders>
              <w:right w:val="dashSmallGap" w:sz="4" w:space="0" w:color="auto"/>
            </w:tcBorders>
            <w:shd w:val="clear" w:color="auto" w:fill="auto"/>
            <w:textDirection w:val="btLr"/>
            <w:vAlign w:val="center"/>
          </w:tcPr>
          <w:p w:rsidR="00127A9D" w:rsidRPr="001E3A2D" w:rsidRDefault="00127A9D" w:rsidP="00127A9D">
            <w:pPr>
              <w:ind w:left="113" w:right="113"/>
              <w:jc w:val="center"/>
              <w:rPr>
                <w:noProof/>
                <w:sz w:val="18"/>
                <w:szCs w:val="18"/>
              </w:rPr>
            </w:pPr>
            <w:r w:rsidRPr="001E3A2D">
              <w:rPr>
                <w:noProof/>
                <w:sz w:val="18"/>
              </w:rPr>
              <w:t>Anzahl</w:t>
            </w:r>
          </w:p>
        </w:tc>
        <w:tc>
          <w:tcPr>
            <w:tcW w:w="720" w:type="dxa"/>
            <w:tcBorders>
              <w:left w:val="dashSmallGap" w:sz="4" w:space="0" w:color="auto"/>
            </w:tcBorders>
            <w:shd w:val="clear" w:color="auto" w:fill="auto"/>
            <w:vAlign w:val="center"/>
          </w:tcPr>
          <w:p w:rsidR="00127A9D" w:rsidRPr="001E3A2D" w:rsidRDefault="00127A9D" w:rsidP="00127A9D">
            <w:pPr>
              <w:jc w:val="center"/>
              <w:rPr>
                <w:noProof/>
                <w:sz w:val="18"/>
                <w:szCs w:val="18"/>
              </w:rPr>
            </w:pPr>
            <w:r w:rsidRPr="001E3A2D">
              <w:rPr>
                <w:noProof/>
                <w:sz w:val="18"/>
              </w:rPr>
              <w:t>Kosten</w:t>
            </w:r>
          </w:p>
        </w:tc>
        <w:tc>
          <w:tcPr>
            <w:tcW w:w="900" w:type="dxa"/>
            <w:tcBorders>
              <w:right w:val="dashSmallGap" w:sz="4" w:space="0" w:color="auto"/>
            </w:tcBorders>
            <w:shd w:val="clear" w:color="auto" w:fill="auto"/>
            <w:textDirection w:val="btLr"/>
            <w:vAlign w:val="center"/>
          </w:tcPr>
          <w:p w:rsidR="00127A9D" w:rsidRPr="001E3A2D" w:rsidRDefault="00127A9D" w:rsidP="00127A9D">
            <w:pPr>
              <w:ind w:left="113" w:right="113"/>
              <w:jc w:val="center"/>
              <w:rPr>
                <w:noProof/>
                <w:sz w:val="18"/>
                <w:szCs w:val="18"/>
              </w:rPr>
            </w:pPr>
            <w:r w:rsidRPr="001E3A2D">
              <w:rPr>
                <w:noProof/>
                <w:sz w:val="18"/>
              </w:rPr>
              <w:t>Anzahl</w:t>
            </w:r>
          </w:p>
        </w:tc>
        <w:tc>
          <w:tcPr>
            <w:tcW w:w="720" w:type="dxa"/>
            <w:gridSpan w:val="2"/>
            <w:tcBorders>
              <w:left w:val="dashSmallGap" w:sz="4" w:space="0" w:color="auto"/>
            </w:tcBorders>
            <w:shd w:val="clear" w:color="auto" w:fill="auto"/>
            <w:vAlign w:val="center"/>
          </w:tcPr>
          <w:p w:rsidR="00127A9D" w:rsidRPr="001E3A2D" w:rsidRDefault="00127A9D" w:rsidP="00127A9D">
            <w:pPr>
              <w:jc w:val="center"/>
              <w:rPr>
                <w:noProof/>
                <w:sz w:val="18"/>
                <w:szCs w:val="18"/>
              </w:rPr>
            </w:pPr>
            <w:r w:rsidRPr="001E3A2D">
              <w:rPr>
                <w:noProof/>
                <w:sz w:val="18"/>
              </w:rPr>
              <w:t>Kosten</w:t>
            </w:r>
          </w:p>
        </w:tc>
        <w:tc>
          <w:tcPr>
            <w:tcW w:w="540" w:type="dxa"/>
            <w:tcBorders>
              <w:right w:val="dashSmallGap" w:sz="4" w:space="0" w:color="auto"/>
            </w:tcBorders>
            <w:shd w:val="clear" w:color="auto" w:fill="auto"/>
            <w:textDirection w:val="btLr"/>
            <w:vAlign w:val="center"/>
          </w:tcPr>
          <w:p w:rsidR="00127A9D" w:rsidRPr="001E3A2D" w:rsidRDefault="00127A9D" w:rsidP="00127A9D">
            <w:pPr>
              <w:ind w:left="113" w:right="113"/>
              <w:jc w:val="center"/>
              <w:rPr>
                <w:noProof/>
                <w:sz w:val="18"/>
                <w:szCs w:val="18"/>
              </w:rPr>
            </w:pPr>
            <w:r w:rsidRPr="001E3A2D">
              <w:rPr>
                <w:noProof/>
                <w:sz w:val="18"/>
              </w:rPr>
              <w:t>Anzahl</w:t>
            </w:r>
          </w:p>
        </w:tc>
        <w:tc>
          <w:tcPr>
            <w:tcW w:w="648" w:type="dxa"/>
            <w:tcBorders>
              <w:left w:val="dashSmallGap" w:sz="4" w:space="0" w:color="auto"/>
            </w:tcBorders>
            <w:shd w:val="clear" w:color="auto" w:fill="auto"/>
            <w:vAlign w:val="center"/>
          </w:tcPr>
          <w:p w:rsidR="00127A9D" w:rsidRPr="001E3A2D" w:rsidRDefault="00127A9D" w:rsidP="00127A9D">
            <w:pPr>
              <w:jc w:val="center"/>
              <w:rPr>
                <w:noProof/>
                <w:sz w:val="18"/>
                <w:szCs w:val="18"/>
              </w:rPr>
            </w:pPr>
            <w:r w:rsidRPr="001E3A2D">
              <w:rPr>
                <w:noProof/>
                <w:sz w:val="18"/>
              </w:rPr>
              <w:t>Kosten</w:t>
            </w:r>
          </w:p>
        </w:tc>
        <w:tc>
          <w:tcPr>
            <w:tcW w:w="432" w:type="dxa"/>
            <w:tcBorders>
              <w:right w:val="dashSmallGap" w:sz="4" w:space="0" w:color="auto"/>
            </w:tcBorders>
            <w:shd w:val="clear" w:color="auto" w:fill="auto"/>
            <w:textDirection w:val="btLr"/>
            <w:vAlign w:val="center"/>
          </w:tcPr>
          <w:p w:rsidR="00127A9D" w:rsidRPr="001E3A2D" w:rsidRDefault="00127A9D" w:rsidP="00127A9D">
            <w:pPr>
              <w:ind w:left="113" w:right="113"/>
              <w:jc w:val="center"/>
              <w:rPr>
                <w:noProof/>
                <w:sz w:val="18"/>
                <w:szCs w:val="18"/>
              </w:rPr>
            </w:pPr>
            <w:r w:rsidRPr="001E3A2D">
              <w:rPr>
                <w:noProof/>
                <w:sz w:val="18"/>
              </w:rPr>
              <w:t>Anzahl</w:t>
            </w:r>
          </w:p>
        </w:tc>
        <w:tc>
          <w:tcPr>
            <w:tcW w:w="720" w:type="dxa"/>
            <w:tcBorders>
              <w:left w:val="dashSmallGap" w:sz="4" w:space="0" w:color="auto"/>
            </w:tcBorders>
            <w:shd w:val="clear" w:color="auto" w:fill="auto"/>
            <w:vAlign w:val="center"/>
          </w:tcPr>
          <w:p w:rsidR="00127A9D" w:rsidRPr="001E3A2D" w:rsidRDefault="00127A9D" w:rsidP="00127A9D">
            <w:pPr>
              <w:jc w:val="center"/>
              <w:rPr>
                <w:noProof/>
                <w:sz w:val="18"/>
                <w:szCs w:val="18"/>
              </w:rPr>
            </w:pPr>
            <w:r w:rsidRPr="001E3A2D">
              <w:rPr>
                <w:noProof/>
                <w:sz w:val="18"/>
              </w:rPr>
              <w:t>Kosten</w:t>
            </w:r>
          </w:p>
        </w:tc>
        <w:tc>
          <w:tcPr>
            <w:tcW w:w="540" w:type="dxa"/>
            <w:tcBorders>
              <w:right w:val="dashSmallGap" w:sz="4" w:space="0" w:color="auto"/>
            </w:tcBorders>
            <w:shd w:val="clear" w:color="auto" w:fill="auto"/>
            <w:textDirection w:val="btLr"/>
            <w:vAlign w:val="center"/>
          </w:tcPr>
          <w:p w:rsidR="00127A9D" w:rsidRPr="001E3A2D" w:rsidRDefault="00127A9D" w:rsidP="00127A9D">
            <w:pPr>
              <w:ind w:left="113" w:right="113"/>
              <w:jc w:val="center"/>
              <w:rPr>
                <w:noProof/>
                <w:sz w:val="18"/>
                <w:szCs w:val="18"/>
              </w:rPr>
            </w:pPr>
            <w:r w:rsidRPr="001E3A2D">
              <w:rPr>
                <w:noProof/>
                <w:sz w:val="18"/>
              </w:rPr>
              <w:t>Anzahl</w:t>
            </w:r>
          </w:p>
        </w:tc>
        <w:tc>
          <w:tcPr>
            <w:tcW w:w="720" w:type="dxa"/>
            <w:tcBorders>
              <w:left w:val="dashSmallGap" w:sz="4" w:space="0" w:color="auto"/>
            </w:tcBorders>
            <w:shd w:val="clear" w:color="auto" w:fill="auto"/>
            <w:vAlign w:val="center"/>
          </w:tcPr>
          <w:p w:rsidR="00127A9D" w:rsidRPr="001E3A2D" w:rsidRDefault="00127A9D" w:rsidP="00127A9D">
            <w:pPr>
              <w:jc w:val="center"/>
              <w:rPr>
                <w:noProof/>
                <w:sz w:val="18"/>
                <w:szCs w:val="18"/>
              </w:rPr>
            </w:pPr>
            <w:r w:rsidRPr="001E3A2D">
              <w:rPr>
                <w:noProof/>
                <w:sz w:val="18"/>
              </w:rPr>
              <w:t>Kosten</w:t>
            </w:r>
          </w:p>
        </w:tc>
        <w:tc>
          <w:tcPr>
            <w:tcW w:w="720" w:type="dxa"/>
            <w:tcBorders>
              <w:right w:val="dashSmallGap" w:sz="4" w:space="0" w:color="auto"/>
            </w:tcBorders>
            <w:shd w:val="clear" w:color="auto" w:fill="auto"/>
            <w:vAlign w:val="center"/>
          </w:tcPr>
          <w:p w:rsidR="00127A9D" w:rsidRPr="001E3A2D" w:rsidRDefault="00127A9D" w:rsidP="00127A9D">
            <w:pPr>
              <w:jc w:val="center"/>
              <w:rPr>
                <w:noProof/>
                <w:sz w:val="18"/>
                <w:szCs w:val="18"/>
              </w:rPr>
            </w:pPr>
            <w:r w:rsidRPr="001E3A2D">
              <w:rPr>
                <w:noProof/>
                <w:sz w:val="18"/>
              </w:rPr>
              <w:t>Gesamtzahl</w:t>
            </w:r>
          </w:p>
        </w:tc>
        <w:tc>
          <w:tcPr>
            <w:tcW w:w="900" w:type="dxa"/>
            <w:tcBorders>
              <w:left w:val="dashSmallGap" w:sz="4" w:space="0" w:color="auto"/>
            </w:tcBorders>
            <w:shd w:val="clear" w:color="auto" w:fill="auto"/>
            <w:vAlign w:val="center"/>
          </w:tcPr>
          <w:p w:rsidR="00127A9D" w:rsidRPr="001E3A2D" w:rsidRDefault="00127A9D" w:rsidP="00127A9D">
            <w:pPr>
              <w:jc w:val="center"/>
              <w:rPr>
                <w:noProof/>
                <w:sz w:val="18"/>
                <w:szCs w:val="18"/>
              </w:rPr>
            </w:pPr>
            <w:r w:rsidRPr="001E3A2D">
              <w:rPr>
                <w:noProof/>
                <w:sz w:val="18"/>
              </w:rPr>
              <w:t>Gesamtkosten</w:t>
            </w:r>
          </w:p>
        </w:tc>
      </w:tr>
      <w:tr w:rsidR="00127A9D" w:rsidRPr="001E3A2D">
        <w:trPr>
          <w:jc w:val="center"/>
        </w:trPr>
        <w:tc>
          <w:tcPr>
            <w:tcW w:w="2844" w:type="dxa"/>
            <w:gridSpan w:val="3"/>
            <w:vAlign w:val="center"/>
          </w:tcPr>
          <w:p w:rsidR="00127A9D" w:rsidRPr="001E3A2D" w:rsidRDefault="00127A9D" w:rsidP="00127A9D">
            <w:pPr>
              <w:spacing w:before="60" w:after="60"/>
              <w:ind w:right="-29"/>
              <w:jc w:val="center"/>
              <w:rPr>
                <w:noProof/>
                <w:sz w:val="18"/>
                <w:szCs w:val="18"/>
              </w:rPr>
            </w:pPr>
            <w:r w:rsidRPr="001E3A2D">
              <w:rPr>
                <w:noProof/>
                <w:sz w:val="18"/>
              </w:rPr>
              <w:t>EINZELZIEL Nr. 1</w:t>
            </w:r>
            <w:r w:rsidRPr="001E3A2D">
              <w:rPr>
                <w:rStyle w:val="FootnoteReference"/>
                <w:noProof/>
              </w:rPr>
              <w:footnoteReference w:id="19"/>
            </w:r>
            <w:r w:rsidRPr="001E3A2D">
              <w:rPr>
                <w:noProof/>
                <w:sz w:val="18"/>
              </w:rPr>
              <w:t>…</w:t>
            </w:r>
          </w:p>
        </w:tc>
        <w:tc>
          <w:tcPr>
            <w:tcW w:w="504"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54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90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gridSpan w:val="2"/>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54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648"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432"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54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90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r>
      <w:tr w:rsidR="00127A9D" w:rsidRPr="001E3A2D">
        <w:trPr>
          <w:trHeight w:hRule="exact" w:val="369"/>
          <w:jc w:val="center"/>
        </w:trPr>
        <w:tc>
          <w:tcPr>
            <w:tcW w:w="1423" w:type="dxa"/>
          </w:tcPr>
          <w:p w:rsidR="00127A9D" w:rsidRPr="001E3A2D" w:rsidRDefault="00127A9D" w:rsidP="00127A9D">
            <w:pPr>
              <w:ind w:right="-29"/>
              <w:jc w:val="center"/>
              <w:rPr>
                <w:noProof/>
                <w:sz w:val="18"/>
                <w:szCs w:val="18"/>
              </w:rPr>
            </w:pPr>
            <w:r w:rsidRPr="001E3A2D">
              <w:rPr>
                <w:noProof/>
                <w:sz w:val="18"/>
              </w:rPr>
              <w:t>- Output</w:t>
            </w:r>
          </w:p>
        </w:tc>
        <w:tc>
          <w:tcPr>
            <w:tcW w:w="720" w:type="dxa"/>
          </w:tcPr>
          <w:p w:rsidR="00127A9D" w:rsidRPr="001E3A2D" w:rsidRDefault="00127A9D" w:rsidP="00127A9D">
            <w:pPr>
              <w:ind w:right="-29"/>
              <w:jc w:val="center"/>
              <w:rPr>
                <w:noProof/>
                <w:sz w:val="18"/>
                <w:szCs w:val="18"/>
              </w:rPr>
            </w:pPr>
          </w:p>
        </w:tc>
        <w:tc>
          <w:tcPr>
            <w:tcW w:w="701" w:type="dxa"/>
          </w:tcPr>
          <w:p w:rsidR="00127A9D" w:rsidRPr="001E3A2D" w:rsidRDefault="00127A9D" w:rsidP="00127A9D">
            <w:pPr>
              <w:ind w:right="-29"/>
              <w:jc w:val="center"/>
              <w:rPr>
                <w:noProof/>
                <w:sz w:val="18"/>
                <w:szCs w:val="18"/>
              </w:rPr>
            </w:pPr>
          </w:p>
        </w:tc>
        <w:tc>
          <w:tcPr>
            <w:tcW w:w="504" w:type="dxa"/>
            <w:tcBorders>
              <w:right w:val="dashSmallGap" w:sz="4" w:space="0" w:color="auto"/>
            </w:tcBorders>
          </w:tcPr>
          <w:p w:rsidR="00127A9D" w:rsidRPr="001E3A2D" w:rsidRDefault="00127A9D" w:rsidP="00127A9D">
            <w:pPr>
              <w:ind w:right="-29"/>
              <w:jc w:val="center"/>
              <w:rPr>
                <w:noProof/>
                <w:sz w:val="18"/>
                <w:szCs w:val="18"/>
              </w:rPr>
            </w:pPr>
          </w:p>
        </w:tc>
        <w:tc>
          <w:tcPr>
            <w:tcW w:w="720" w:type="dxa"/>
            <w:tcBorders>
              <w:left w:val="dashSmallGap" w:sz="4" w:space="0" w:color="auto"/>
            </w:tcBorders>
          </w:tcPr>
          <w:p w:rsidR="00127A9D" w:rsidRPr="001E3A2D" w:rsidRDefault="00127A9D" w:rsidP="00127A9D">
            <w:pPr>
              <w:ind w:right="-29"/>
              <w:jc w:val="center"/>
              <w:rPr>
                <w:noProof/>
                <w:sz w:val="18"/>
                <w:szCs w:val="18"/>
              </w:rPr>
            </w:pPr>
          </w:p>
        </w:tc>
        <w:tc>
          <w:tcPr>
            <w:tcW w:w="540" w:type="dxa"/>
            <w:tcBorders>
              <w:right w:val="dashSmallGap" w:sz="4" w:space="0" w:color="auto"/>
            </w:tcBorders>
          </w:tcPr>
          <w:p w:rsidR="00127A9D" w:rsidRPr="001E3A2D" w:rsidRDefault="00127A9D" w:rsidP="00127A9D">
            <w:pPr>
              <w:ind w:right="-29"/>
              <w:jc w:val="center"/>
              <w:rPr>
                <w:noProof/>
                <w:sz w:val="18"/>
                <w:szCs w:val="18"/>
              </w:rPr>
            </w:pPr>
          </w:p>
        </w:tc>
        <w:tc>
          <w:tcPr>
            <w:tcW w:w="720" w:type="dxa"/>
            <w:tcBorders>
              <w:left w:val="dashSmallGap" w:sz="4" w:space="0" w:color="auto"/>
            </w:tcBorders>
          </w:tcPr>
          <w:p w:rsidR="00127A9D" w:rsidRPr="001E3A2D" w:rsidRDefault="00127A9D" w:rsidP="00127A9D">
            <w:pPr>
              <w:ind w:right="-29"/>
              <w:jc w:val="center"/>
              <w:rPr>
                <w:noProof/>
                <w:sz w:val="18"/>
                <w:szCs w:val="18"/>
              </w:rPr>
            </w:pPr>
          </w:p>
        </w:tc>
        <w:tc>
          <w:tcPr>
            <w:tcW w:w="720" w:type="dxa"/>
            <w:tcBorders>
              <w:right w:val="dashSmallGap" w:sz="4" w:space="0" w:color="auto"/>
            </w:tcBorders>
          </w:tcPr>
          <w:p w:rsidR="00127A9D" w:rsidRPr="001E3A2D" w:rsidRDefault="00127A9D" w:rsidP="00127A9D">
            <w:pPr>
              <w:ind w:right="-29"/>
              <w:jc w:val="center"/>
              <w:rPr>
                <w:noProof/>
                <w:sz w:val="18"/>
                <w:szCs w:val="18"/>
              </w:rPr>
            </w:pPr>
          </w:p>
        </w:tc>
        <w:tc>
          <w:tcPr>
            <w:tcW w:w="720" w:type="dxa"/>
            <w:tcBorders>
              <w:left w:val="dashSmallGap" w:sz="4" w:space="0" w:color="auto"/>
            </w:tcBorders>
          </w:tcPr>
          <w:p w:rsidR="00127A9D" w:rsidRPr="001E3A2D" w:rsidRDefault="00127A9D" w:rsidP="00127A9D">
            <w:pPr>
              <w:ind w:right="-29"/>
              <w:jc w:val="center"/>
              <w:rPr>
                <w:noProof/>
                <w:sz w:val="18"/>
                <w:szCs w:val="18"/>
              </w:rPr>
            </w:pPr>
          </w:p>
        </w:tc>
        <w:tc>
          <w:tcPr>
            <w:tcW w:w="900" w:type="dxa"/>
            <w:tcBorders>
              <w:right w:val="dashSmallGap" w:sz="4" w:space="0" w:color="auto"/>
            </w:tcBorders>
          </w:tcPr>
          <w:p w:rsidR="00127A9D" w:rsidRPr="001E3A2D" w:rsidRDefault="00127A9D" w:rsidP="00127A9D">
            <w:pPr>
              <w:ind w:right="-29"/>
              <w:jc w:val="center"/>
              <w:rPr>
                <w:noProof/>
                <w:sz w:val="18"/>
                <w:szCs w:val="18"/>
              </w:rPr>
            </w:pPr>
          </w:p>
        </w:tc>
        <w:tc>
          <w:tcPr>
            <w:tcW w:w="720" w:type="dxa"/>
            <w:gridSpan w:val="2"/>
            <w:tcBorders>
              <w:left w:val="dashSmallGap" w:sz="4" w:space="0" w:color="auto"/>
            </w:tcBorders>
          </w:tcPr>
          <w:p w:rsidR="00127A9D" w:rsidRPr="001E3A2D" w:rsidRDefault="00127A9D" w:rsidP="00127A9D">
            <w:pPr>
              <w:ind w:right="-29"/>
              <w:jc w:val="center"/>
              <w:rPr>
                <w:noProof/>
                <w:sz w:val="18"/>
                <w:szCs w:val="18"/>
              </w:rPr>
            </w:pPr>
          </w:p>
        </w:tc>
        <w:tc>
          <w:tcPr>
            <w:tcW w:w="540" w:type="dxa"/>
            <w:tcBorders>
              <w:right w:val="dashSmallGap" w:sz="4" w:space="0" w:color="auto"/>
            </w:tcBorders>
          </w:tcPr>
          <w:p w:rsidR="00127A9D" w:rsidRPr="001E3A2D" w:rsidRDefault="00127A9D" w:rsidP="00127A9D">
            <w:pPr>
              <w:ind w:right="-29"/>
              <w:jc w:val="center"/>
              <w:rPr>
                <w:noProof/>
                <w:sz w:val="18"/>
                <w:szCs w:val="18"/>
              </w:rPr>
            </w:pPr>
          </w:p>
        </w:tc>
        <w:tc>
          <w:tcPr>
            <w:tcW w:w="648" w:type="dxa"/>
            <w:tcBorders>
              <w:left w:val="dashSmallGap" w:sz="4" w:space="0" w:color="auto"/>
            </w:tcBorders>
          </w:tcPr>
          <w:p w:rsidR="00127A9D" w:rsidRPr="001E3A2D" w:rsidRDefault="00127A9D" w:rsidP="00127A9D">
            <w:pPr>
              <w:ind w:right="-29"/>
              <w:jc w:val="center"/>
              <w:rPr>
                <w:noProof/>
                <w:sz w:val="18"/>
                <w:szCs w:val="18"/>
              </w:rPr>
            </w:pPr>
          </w:p>
        </w:tc>
        <w:tc>
          <w:tcPr>
            <w:tcW w:w="432" w:type="dxa"/>
            <w:tcBorders>
              <w:right w:val="dashSmallGap" w:sz="4" w:space="0" w:color="auto"/>
            </w:tcBorders>
          </w:tcPr>
          <w:p w:rsidR="00127A9D" w:rsidRPr="001E3A2D" w:rsidRDefault="00127A9D" w:rsidP="00127A9D">
            <w:pPr>
              <w:ind w:right="-29"/>
              <w:jc w:val="center"/>
              <w:rPr>
                <w:noProof/>
                <w:sz w:val="18"/>
                <w:szCs w:val="18"/>
              </w:rPr>
            </w:pPr>
          </w:p>
        </w:tc>
        <w:tc>
          <w:tcPr>
            <w:tcW w:w="720" w:type="dxa"/>
            <w:tcBorders>
              <w:left w:val="dashSmallGap" w:sz="4" w:space="0" w:color="auto"/>
            </w:tcBorders>
          </w:tcPr>
          <w:p w:rsidR="00127A9D" w:rsidRPr="001E3A2D" w:rsidRDefault="00127A9D" w:rsidP="00127A9D">
            <w:pPr>
              <w:ind w:right="-29"/>
              <w:jc w:val="center"/>
              <w:rPr>
                <w:noProof/>
                <w:sz w:val="18"/>
                <w:szCs w:val="18"/>
              </w:rPr>
            </w:pPr>
          </w:p>
        </w:tc>
        <w:tc>
          <w:tcPr>
            <w:tcW w:w="540" w:type="dxa"/>
            <w:tcBorders>
              <w:right w:val="dashSmallGap" w:sz="4" w:space="0" w:color="auto"/>
            </w:tcBorders>
          </w:tcPr>
          <w:p w:rsidR="00127A9D" w:rsidRPr="001E3A2D" w:rsidRDefault="00127A9D" w:rsidP="00127A9D">
            <w:pPr>
              <w:ind w:right="-29"/>
              <w:jc w:val="center"/>
              <w:rPr>
                <w:noProof/>
                <w:sz w:val="18"/>
                <w:szCs w:val="18"/>
              </w:rPr>
            </w:pPr>
          </w:p>
        </w:tc>
        <w:tc>
          <w:tcPr>
            <w:tcW w:w="720" w:type="dxa"/>
            <w:tcBorders>
              <w:left w:val="dashSmallGap" w:sz="4" w:space="0" w:color="auto"/>
            </w:tcBorders>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900" w:type="dxa"/>
          </w:tcPr>
          <w:p w:rsidR="00127A9D" w:rsidRPr="001E3A2D" w:rsidRDefault="00127A9D" w:rsidP="00127A9D">
            <w:pPr>
              <w:ind w:right="-29"/>
              <w:jc w:val="center"/>
              <w:rPr>
                <w:noProof/>
                <w:sz w:val="18"/>
                <w:szCs w:val="18"/>
              </w:rPr>
            </w:pPr>
          </w:p>
        </w:tc>
      </w:tr>
      <w:tr w:rsidR="00127A9D" w:rsidRPr="001E3A2D">
        <w:trPr>
          <w:trHeight w:hRule="exact" w:val="369"/>
          <w:jc w:val="center"/>
        </w:trPr>
        <w:tc>
          <w:tcPr>
            <w:tcW w:w="1423" w:type="dxa"/>
          </w:tcPr>
          <w:p w:rsidR="00127A9D" w:rsidRPr="001E3A2D" w:rsidRDefault="00127A9D" w:rsidP="00127A9D">
            <w:pPr>
              <w:ind w:right="-29"/>
              <w:jc w:val="center"/>
              <w:rPr>
                <w:noProof/>
                <w:sz w:val="18"/>
                <w:szCs w:val="18"/>
              </w:rPr>
            </w:pPr>
            <w:r w:rsidRPr="001E3A2D">
              <w:rPr>
                <w:noProof/>
                <w:sz w:val="18"/>
              </w:rPr>
              <w:t>- Output</w:t>
            </w:r>
          </w:p>
        </w:tc>
        <w:tc>
          <w:tcPr>
            <w:tcW w:w="720" w:type="dxa"/>
          </w:tcPr>
          <w:p w:rsidR="00127A9D" w:rsidRPr="001E3A2D" w:rsidRDefault="00127A9D" w:rsidP="00127A9D">
            <w:pPr>
              <w:ind w:right="-29"/>
              <w:jc w:val="center"/>
              <w:rPr>
                <w:noProof/>
                <w:sz w:val="18"/>
                <w:szCs w:val="18"/>
              </w:rPr>
            </w:pPr>
          </w:p>
        </w:tc>
        <w:tc>
          <w:tcPr>
            <w:tcW w:w="701" w:type="dxa"/>
          </w:tcPr>
          <w:p w:rsidR="00127A9D" w:rsidRPr="001E3A2D" w:rsidRDefault="00127A9D" w:rsidP="00127A9D">
            <w:pPr>
              <w:ind w:right="-29"/>
              <w:jc w:val="center"/>
              <w:rPr>
                <w:noProof/>
                <w:sz w:val="18"/>
                <w:szCs w:val="18"/>
              </w:rPr>
            </w:pPr>
          </w:p>
        </w:tc>
        <w:tc>
          <w:tcPr>
            <w:tcW w:w="504" w:type="dxa"/>
            <w:tcBorders>
              <w:right w:val="dashSmallGap" w:sz="4" w:space="0" w:color="auto"/>
            </w:tcBorders>
          </w:tcPr>
          <w:p w:rsidR="00127A9D" w:rsidRPr="001E3A2D" w:rsidRDefault="00127A9D" w:rsidP="00127A9D">
            <w:pPr>
              <w:ind w:right="-29"/>
              <w:jc w:val="center"/>
              <w:rPr>
                <w:noProof/>
                <w:sz w:val="18"/>
                <w:szCs w:val="18"/>
              </w:rPr>
            </w:pPr>
          </w:p>
        </w:tc>
        <w:tc>
          <w:tcPr>
            <w:tcW w:w="720" w:type="dxa"/>
            <w:tcBorders>
              <w:left w:val="dashSmallGap" w:sz="4" w:space="0" w:color="auto"/>
            </w:tcBorders>
          </w:tcPr>
          <w:p w:rsidR="00127A9D" w:rsidRPr="001E3A2D" w:rsidRDefault="00127A9D" w:rsidP="00127A9D">
            <w:pPr>
              <w:ind w:right="-29"/>
              <w:jc w:val="center"/>
              <w:rPr>
                <w:noProof/>
                <w:sz w:val="18"/>
                <w:szCs w:val="18"/>
              </w:rPr>
            </w:pPr>
          </w:p>
        </w:tc>
        <w:tc>
          <w:tcPr>
            <w:tcW w:w="540" w:type="dxa"/>
            <w:tcBorders>
              <w:right w:val="dashSmallGap" w:sz="4" w:space="0" w:color="auto"/>
            </w:tcBorders>
          </w:tcPr>
          <w:p w:rsidR="00127A9D" w:rsidRPr="001E3A2D" w:rsidRDefault="00127A9D" w:rsidP="00127A9D">
            <w:pPr>
              <w:ind w:right="-29"/>
              <w:jc w:val="center"/>
              <w:rPr>
                <w:noProof/>
                <w:sz w:val="18"/>
                <w:szCs w:val="18"/>
              </w:rPr>
            </w:pPr>
          </w:p>
        </w:tc>
        <w:tc>
          <w:tcPr>
            <w:tcW w:w="720" w:type="dxa"/>
            <w:tcBorders>
              <w:left w:val="dashSmallGap" w:sz="4" w:space="0" w:color="auto"/>
            </w:tcBorders>
          </w:tcPr>
          <w:p w:rsidR="00127A9D" w:rsidRPr="001E3A2D" w:rsidRDefault="00127A9D" w:rsidP="00127A9D">
            <w:pPr>
              <w:ind w:right="-29"/>
              <w:jc w:val="center"/>
              <w:rPr>
                <w:noProof/>
                <w:sz w:val="18"/>
                <w:szCs w:val="18"/>
              </w:rPr>
            </w:pPr>
          </w:p>
        </w:tc>
        <w:tc>
          <w:tcPr>
            <w:tcW w:w="720" w:type="dxa"/>
            <w:tcBorders>
              <w:right w:val="dashSmallGap" w:sz="4" w:space="0" w:color="auto"/>
            </w:tcBorders>
          </w:tcPr>
          <w:p w:rsidR="00127A9D" w:rsidRPr="001E3A2D" w:rsidRDefault="00127A9D" w:rsidP="00127A9D">
            <w:pPr>
              <w:ind w:right="-29"/>
              <w:jc w:val="center"/>
              <w:rPr>
                <w:noProof/>
                <w:sz w:val="18"/>
                <w:szCs w:val="18"/>
              </w:rPr>
            </w:pPr>
          </w:p>
        </w:tc>
        <w:tc>
          <w:tcPr>
            <w:tcW w:w="720" w:type="dxa"/>
            <w:tcBorders>
              <w:left w:val="dashSmallGap" w:sz="4" w:space="0" w:color="auto"/>
            </w:tcBorders>
          </w:tcPr>
          <w:p w:rsidR="00127A9D" w:rsidRPr="001E3A2D" w:rsidRDefault="00127A9D" w:rsidP="00127A9D">
            <w:pPr>
              <w:ind w:right="-29"/>
              <w:jc w:val="center"/>
              <w:rPr>
                <w:noProof/>
                <w:sz w:val="18"/>
                <w:szCs w:val="18"/>
              </w:rPr>
            </w:pPr>
          </w:p>
        </w:tc>
        <w:tc>
          <w:tcPr>
            <w:tcW w:w="900" w:type="dxa"/>
            <w:tcBorders>
              <w:right w:val="dashSmallGap" w:sz="4" w:space="0" w:color="auto"/>
            </w:tcBorders>
          </w:tcPr>
          <w:p w:rsidR="00127A9D" w:rsidRPr="001E3A2D" w:rsidRDefault="00127A9D" w:rsidP="00127A9D">
            <w:pPr>
              <w:ind w:right="-29"/>
              <w:jc w:val="center"/>
              <w:rPr>
                <w:noProof/>
                <w:sz w:val="18"/>
                <w:szCs w:val="18"/>
              </w:rPr>
            </w:pPr>
          </w:p>
        </w:tc>
        <w:tc>
          <w:tcPr>
            <w:tcW w:w="720" w:type="dxa"/>
            <w:gridSpan w:val="2"/>
            <w:tcBorders>
              <w:left w:val="dashSmallGap" w:sz="4" w:space="0" w:color="auto"/>
            </w:tcBorders>
          </w:tcPr>
          <w:p w:rsidR="00127A9D" w:rsidRPr="001E3A2D" w:rsidRDefault="00127A9D" w:rsidP="00127A9D">
            <w:pPr>
              <w:ind w:right="-29"/>
              <w:jc w:val="center"/>
              <w:rPr>
                <w:noProof/>
                <w:sz w:val="18"/>
                <w:szCs w:val="18"/>
              </w:rPr>
            </w:pPr>
          </w:p>
        </w:tc>
        <w:tc>
          <w:tcPr>
            <w:tcW w:w="540" w:type="dxa"/>
            <w:tcBorders>
              <w:right w:val="dashSmallGap" w:sz="4" w:space="0" w:color="auto"/>
            </w:tcBorders>
          </w:tcPr>
          <w:p w:rsidR="00127A9D" w:rsidRPr="001E3A2D" w:rsidRDefault="00127A9D" w:rsidP="00127A9D">
            <w:pPr>
              <w:ind w:right="-29"/>
              <w:jc w:val="center"/>
              <w:rPr>
                <w:noProof/>
                <w:sz w:val="18"/>
                <w:szCs w:val="18"/>
              </w:rPr>
            </w:pPr>
          </w:p>
        </w:tc>
        <w:tc>
          <w:tcPr>
            <w:tcW w:w="648" w:type="dxa"/>
            <w:tcBorders>
              <w:left w:val="dashSmallGap" w:sz="4" w:space="0" w:color="auto"/>
            </w:tcBorders>
          </w:tcPr>
          <w:p w:rsidR="00127A9D" w:rsidRPr="001E3A2D" w:rsidRDefault="00127A9D" w:rsidP="00127A9D">
            <w:pPr>
              <w:ind w:right="-29"/>
              <w:jc w:val="center"/>
              <w:rPr>
                <w:noProof/>
                <w:sz w:val="18"/>
                <w:szCs w:val="18"/>
              </w:rPr>
            </w:pPr>
          </w:p>
        </w:tc>
        <w:tc>
          <w:tcPr>
            <w:tcW w:w="432" w:type="dxa"/>
            <w:tcBorders>
              <w:right w:val="dashSmallGap" w:sz="4" w:space="0" w:color="auto"/>
            </w:tcBorders>
          </w:tcPr>
          <w:p w:rsidR="00127A9D" w:rsidRPr="001E3A2D" w:rsidRDefault="00127A9D" w:rsidP="00127A9D">
            <w:pPr>
              <w:ind w:right="-29"/>
              <w:jc w:val="center"/>
              <w:rPr>
                <w:noProof/>
                <w:sz w:val="18"/>
                <w:szCs w:val="18"/>
              </w:rPr>
            </w:pPr>
          </w:p>
        </w:tc>
        <w:tc>
          <w:tcPr>
            <w:tcW w:w="720" w:type="dxa"/>
            <w:tcBorders>
              <w:left w:val="dashSmallGap" w:sz="4" w:space="0" w:color="auto"/>
            </w:tcBorders>
          </w:tcPr>
          <w:p w:rsidR="00127A9D" w:rsidRPr="001E3A2D" w:rsidRDefault="00127A9D" w:rsidP="00127A9D">
            <w:pPr>
              <w:ind w:right="-29"/>
              <w:jc w:val="center"/>
              <w:rPr>
                <w:noProof/>
                <w:sz w:val="18"/>
                <w:szCs w:val="18"/>
              </w:rPr>
            </w:pPr>
          </w:p>
        </w:tc>
        <w:tc>
          <w:tcPr>
            <w:tcW w:w="540" w:type="dxa"/>
            <w:tcBorders>
              <w:right w:val="dashSmallGap" w:sz="4" w:space="0" w:color="auto"/>
            </w:tcBorders>
          </w:tcPr>
          <w:p w:rsidR="00127A9D" w:rsidRPr="001E3A2D" w:rsidRDefault="00127A9D" w:rsidP="00127A9D">
            <w:pPr>
              <w:ind w:right="-29"/>
              <w:jc w:val="center"/>
              <w:rPr>
                <w:noProof/>
                <w:sz w:val="18"/>
                <w:szCs w:val="18"/>
              </w:rPr>
            </w:pPr>
          </w:p>
        </w:tc>
        <w:tc>
          <w:tcPr>
            <w:tcW w:w="720" w:type="dxa"/>
            <w:tcBorders>
              <w:left w:val="dashSmallGap" w:sz="4" w:space="0" w:color="auto"/>
            </w:tcBorders>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900" w:type="dxa"/>
          </w:tcPr>
          <w:p w:rsidR="00127A9D" w:rsidRPr="001E3A2D" w:rsidRDefault="00127A9D" w:rsidP="00127A9D">
            <w:pPr>
              <w:ind w:right="-29"/>
              <w:jc w:val="center"/>
              <w:rPr>
                <w:noProof/>
                <w:sz w:val="18"/>
                <w:szCs w:val="18"/>
              </w:rPr>
            </w:pPr>
          </w:p>
        </w:tc>
      </w:tr>
      <w:tr w:rsidR="00127A9D" w:rsidRPr="001E3A2D">
        <w:trPr>
          <w:trHeight w:hRule="exact" w:val="369"/>
          <w:jc w:val="center"/>
        </w:trPr>
        <w:tc>
          <w:tcPr>
            <w:tcW w:w="1423" w:type="dxa"/>
          </w:tcPr>
          <w:p w:rsidR="00127A9D" w:rsidRPr="001E3A2D" w:rsidRDefault="00127A9D" w:rsidP="00127A9D">
            <w:pPr>
              <w:ind w:right="-29"/>
              <w:jc w:val="center"/>
              <w:rPr>
                <w:noProof/>
                <w:sz w:val="18"/>
                <w:szCs w:val="18"/>
              </w:rPr>
            </w:pPr>
            <w:r w:rsidRPr="001E3A2D">
              <w:rPr>
                <w:noProof/>
                <w:sz w:val="18"/>
              </w:rPr>
              <w:t>- Output</w:t>
            </w:r>
          </w:p>
        </w:tc>
        <w:tc>
          <w:tcPr>
            <w:tcW w:w="720" w:type="dxa"/>
          </w:tcPr>
          <w:p w:rsidR="00127A9D" w:rsidRPr="001E3A2D" w:rsidRDefault="00127A9D" w:rsidP="00127A9D">
            <w:pPr>
              <w:ind w:right="-29"/>
              <w:jc w:val="center"/>
              <w:rPr>
                <w:noProof/>
                <w:sz w:val="18"/>
                <w:szCs w:val="18"/>
              </w:rPr>
            </w:pPr>
          </w:p>
        </w:tc>
        <w:tc>
          <w:tcPr>
            <w:tcW w:w="701" w:type="dxa"/>
          </w:tcPr>
          <w:p w:rsidR="00127A9D" w:rsidRPr="001E3A2D" w:rsidRDefault="00127A9D" w:rsidP="00127A9D">
            <w:pPr>
              <w:ind w:right="-29"/>
              <w:jc w:val="center"/>
              <w:rPr>
                <w:noProof/>
                <w:sz w:val="18"/>
                <w:szCs w:val="18"/>
              </w:rPr>
            </w:pPr>
          </w:p>
        </w:tc>
        <w:tc>
          <w:tcPr>
            <w:tcW w:w="504"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540"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900" w:type="dxa"/>
          </w:tcPr>
          <w:p w:rsidR="00127A9D" w:rsidRPr="001E3A2D" w:rsidRDefault="00127A9D" w:rsidP="00127A9D">
            <w:pPr>
              <w:ind w:right="-29"/>
              <w:jc w:val="center"/>
              <w:rPr>
                <w:noProof/>
                <w:sz w:val="18"/>
                <w:szCs w:val="18"/>
              </w:rPr>
            </w:pPr>
          </w:p>
        </w:tc>
        <w:tc>
          <w:tcPr>
            <w:tcW w:w="720" w:type="dxa"/>
            <w:gridSpan w:val="2"/>
          </w:tcPr>
          <w:p w:rsidR="00127A9D" w:rsidRPr="001E3A2D" w:rsidRDefault="00127A9D" w:rsidP="00127A9D">
            <w:pPr>
              <w:ind w:right="-29"/>
              <w:jc w:val="center"/>
              <w:rPr>
                <w:noProof/>
                <w:sz w:val="18"/>
                <w:szCs w:val="18"/>
              </w:rPr>
            </w:pPr>
          </w:p>
        </w:tc>
        <w:tc>
          <w:tcPr>
            <w:tcW w:w="540" w:type="dxa"/>
          </w:tcPr>
          <w:p w:rsidR="00127A9D" w:rsidRPr="001E3A2D" w:rsidRDefault="00127A9D" w:rsidP="00127A9D">
            <w:pPr>
              <w:ind w:right="-29"/>
              <w:jc w:val="center"/>
              <w:rPr>
                <w:noProof/>
                <w:sz w:val="18"/>
                <w:szCs w:val="18"/>
              </w:rPr>
            </w:pPr>
          </w:p>
        </w:tc>
        <w:tc>
          <w:tcPr>
            <w:tcW w:w="648" w:type="dxa"/>
          </w:tcPr>
          <w:p w:rsidR="00127A9D" w:rsidRPr="001E3A2D" w:rsidRDefault="00127A9D" w:rsidP="00127A9D">
            <w:pPr>
              <w:ind w:right="-29"/>
              <w:jc w:val="center"/>
              <w:rPr>
                <w:noProof/>
                <w:sz w:val="18"/>
                <w:szCs w:val="18"/>
              </w:rPr>
            </w:pPr>
          </w:p>
        </w:tc>
        <w:tc>
          <w:tcPr>
            <w:tcW w:w="432"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540"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900" w:type="dxa"/>
          </w:tcPr>
          <w:p w:rsidR="00127A9D" w:rsidRPr="001E3A2D" w:rsidRDefault="00127A9D" w:rsidP="00127A9D">
            <w:pPr>
              <w:ind w:right="-29"/>
              <w:jc w:val="center"/>
              <w:rPr>
                <w:noProof/>
                <w:sz w:val="18"/>
                <w:szCs w:val="18"/>
              </w:rPr>
            </w:pPr>
          </w:p>
        </w:tc>
      </w:tr>
      <w:tr w:rsidR="00127A9D" w:rsidRPr="001E3A2D">
        <w:trPr>
          <w:trHeight w:val="77"/>
          <w:jc w:val="center"/>
        </w:trPr>
        <w:tc>
          <w:tcPr>
            <w:tcW w:w="2844" w:type="dxa"/>
            <w:gridSpan w:val="3"/>
            <w:tcBorders>
              <w:bottom w:val="single" w:sz="12" w:space="0" w:color="auto"/>
            </w:tcBorders>
            <w:vAlign w:val="center"/>
          </w:tcPr>
          <w:p w:rsidR="00127A9D" w:rsidRPr="001E3A2D" w:rsidRDefault="00127A9D" w:rsidP="00127A9D">
            <w:pPr>
              <w:ind w:right="-29"/>
              <w:jc w:val="center"/>
              <w:rPr>
                <w:noProof/>
                <w:sz w:val="18"/>
                <w:szCs w:val="18"/>
              </w:rPr>
            </w:pPr>
            <w:r w:rsidRPr="001E3A2D">
              <w:rPr>
                <w:noProof/>
                <w:sz w:val="18"/>
              </w:rPr>
              <w:t>Zwischensumme für Einzelziel Nr. 1</w:t>
            </w:r>
          </w:p>
        </w:tc>
        <w:tc>
          <w:tcPr>
            <w:tcW w:w="504"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540"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900" w:type="dxa"/>
            <w:tcBorders>
              <w:bottom w:val="single" w:sz="12" w:space="0" w:color="auto"/>
            </w:tcBorders>
          </w:tcPr>
          <w:p w:rsidR="00127A9D" w:rsidRPr="001E3A2D" w:rsidRDefault="00127A9D" w:rsidP="00127A9D">
            <w:pPr>
              <w:ind w:right="-29"/>
              <w:jc w:val="center"/>
              <w:rPr>
                <w:noProof/>
                <w:sz w:val="18"/>
                <w:szCs w:val="18"/>
              </w:rPr>
            </w:pPr>
          </w:p>
        </w:tc>
        <w:tc>
          <w:tcPr>
            <w:tcW w:w="720" w:type="dxa"/>
            <w:gridSpan w:val="2"/>
            <w:tcBorders>
              <w:bottom w:val="single" w:sz="12" w:space="0" w:color="auto"/>
            </w:tcBorders>
          </w:tcPr>
          <w:p w:rsidR="00127A9D" w:rsidRPr="001E3A2D" w:rsidRDefault="00127A9D" w:rsidP="00127A9D">
            <w:pPr>
              <w:ind w:right="-29"/>
              <w:jc w:val="center"/>
              <w:rPr>
                <w:noProof/>
                <w:sz w:val="18"/>
                <w:szCs w:val="18"/>
              </w:rPr>
            </w:pPr>
          </w:p>
        </w:tc>
        <w:tc>
          <w:tcPr>
            <w:tcW w:w="540" w:type="dxa"/>
            <w:tcBorders>
              <w:bottom w:val="single" w:sz="12" w:space="0" w:color="auto"/>
            </w:tcBorders>
          </w:tcPr>
          <w:p w:rsidR="00127A9D" w:rsidRPr="001E3A2D" w:rsidRDefault="00127A9D" w:rsidP="00127A9D">
            <w:pPr>
              <w:ind w:right="-29"/>
              <w:jc w:val="center"/>
              <w:rPr>
                <w:noProof/>
                <w:sz w:val="18"/>
                <w:szCs w:val="18"/>
              </w:rPr>
            </w:pPr>
          </w:p>
        </w:tc>
        <w:tc>
          <w:tcPr>
            <w:tcW w:w="648" w:type="dxa"/>
            <w:tcBorders>
              <w:bottom w:val="single" w:sz="12" w:space="0" w:color="auto"/>
            </w:tcBorders>
          </w:tcPr>
          <w:p w:rsidR="00127A9D" w:rsidRPr="001E3A2D" w:rsidRDefault="00127A9D" w:rsidP="00127A9D">
            <w:pPr>
              <w:ind w:right="-29"/>
              <w:jc w:val="center"/>
              <w:rPr>
                <w:noProof/>
                <w:sz w:val="18"/>
                <w:szCs w:val="18"/>
              </w:rPr>
            </w:pPr>
          </w:p>
        </w:tc>
        <w:tc>
          <w:tcPr>
            <w:tcW w:w="432"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540"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900" w:type="dxa"/>
            <w:tcBorders>
              <w:bottom w:val="single" w:sz="12" w:space="0" w:color="auto"/>
            </w:tcBorders>
          </w:tcPr>
          <w:p w:rsidR="00127A9D" w:rsidRPr="001E3A2D" w:rsidRDefault="00127A9D" w:rsidP="00127A9D">
            <w:pPr>
              <w:ind w:right="-29"/>
              <w:jc w:val="center"/>
              <w:rPr>
                <w:noProof/>
                <w:sz w:val="18"/>
                <w:szCs w:val="18"/>
              </w:rPr>
            </w:pPr>
          </w:p>
        </w:tc>
      </w:tr>
      <w:tr w:rsidR="00127A9D" w:rsidRPr="001E3A2D">
        <w:trPr>
          <w:jc w:val="center"/>
        </w:trPr>
        <w:tc>
          <w:tcPr>
            <w:tcW w:w="2844" w:type="dxa"/>
            <w:gridSpan w:val="3"/>
            <w:vAlign w:val="center"/>
          </w:tcPr>
          <w:p w:rsidR="00127A9D" w:rsidRPr="001E3A2D" w:rsidRDefault="00127A9D" w:rsidP="00127A9D">
            <w:pPr>
              <w:spacing w:before="60" w:after="60"/>
              <w:ind w:right="-29"/>
              <w:jc w:val="center"/>
              <w:rPr>
                <w:noProof/>
                <w:sz w:val="18"/>
                <w:szCs w:val="18"/>
              </w:rPr>
            </w:pPr>
            <w:r w:rsidRPr="001E3A2D">
              <w:rPr>
                <w:noProof/>
                <w:sz w:val="18"/>
              </w:rPr>
              <w:t>EINZELZIEL Nr. 2 ...</w:t>
            </w:r>
          </w:p>
        </w:tc>
        <w:tc>
          <w:tcPr>
            <w:tcW w:w="504"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54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90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gridSpan w:val="2"/>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54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648"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432"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54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c>
          <w:tcPr>
            <w:tcW w:w="900" w:type="dxa"/>
            <w:tcBorders>
              <w:top w:val="nil"/>
              <w:left w:val="nil"/>
              <w:bottom w:val="nil"/>
              <w:right w:val="nil"/>
            </w:tcBorders>
          </w:tcPr>
          <w:p w:rsidR="00127A9D" w:rsidRPr="001E3A2D" w:rsidRDefault="00127A9D" w:rsidP="00127A9D">
            <w:pPr>
              <w:spacing w:before="60" w:after="60"/>
              <w:ind w:right="-29"/>
              <w:jc w:val="center"/>
              <w:rPr>
                <w:noProof/>
                <w:sz w:val="18"/>
                <w:szCs w:val="18"/>
              </w:rPr>
            </w:pPr>
          </w:p>
        </w:tc>
      </w:tr>
      <w:tr w:rsidR="00127A9D" w:rsidRPr="001E3A2D">
        <w:trPr>
          <w:trHeight w:hRule="exact" w:val="369"/>
          <w:jc w:val="center"/>
        </w:trPr>
        <w:tc>
          <w:tcPr>
            <w:tcW w:w="1423" w:type="dxa"/>
          </w:tcPr>
          <w:p w:rsidR="00127A9D" w:rsidRPr="001E3A2D" w:rsidRDefault="00127A9D" w:rsidP="00127A9D">
            <w:pPr>
              <w:ind w:right="-29"/>
              <w:jc w:val="center"/>
              <w:rPr>
                <w:noProof/>
                <w:sz w:val="18"/>
                <w:szCs w:val="18"/>
              </w:rPr>
            </w:pPr>
            <w:r w:rsidRPr="001E3A2D">
              <w:rPr>
                <w:noProof/>
                <w:sz w:val="18"/>
              </w:rPr>
              <w:t>- Output</w:t>
            </w:r>
          </w:p>
        </w:tc>
        <w:tc>
          <w:tcPr>
            <w:tcW w:w="720" w:type="dxa"/>
          </w:tcPr>
          <w:p w:rsidR="00127A9D" w:rsidRPr="001E3A2D" w:rsidRDefault="00127A9D" w:rsidP="00127A9D">
            <w:pPr>
              <w:ind w:right="-29"/>
              <w:jc w:val="center"/>
              <w:rPr>
                <w:noProof/>
                <w:sz w:val="18"/>
                <w:szCs w:val="18"/>
              </w:rPr>
            </w:pPr>
          </w:p>
        </w:tc>
        <w:tc>
          <w:tcPr>
            <w:tcW w:w="701" w:type="dxa"/>
          </w:tcPr>
          <w:p w:rsidR="00127A9D" w:rsidRPr="001E3A2D" w:rsidRDefault="00127A9D" w:rsidP="00127A9D">
            <w:pPr>
              <w:ind w:right="-29"/>
              <w:jc w:val="center"/>
              <w:rPr>
                <w:noProof/>
                <w:sz w:val="18"/>
                <w:szCs w:val="18"/>
              </w:rPr>
            </w:pPr>
          </w:p>
        </w:tc>
        <w:tc>
          <w:tcPr>
            <w:tcW w:w="504"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540"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900" w:type="dxa"/>
          </w:tcPr>
          <w:p w:rsidR="00127A9D" w:rsidRPr="001E3A2D" w:rsidRDefault="00127A9D" w:rsidP="00127A9D">
            <w:pPr>
              <w:ind w:right="-29"/>
              <w:jc w:val="center"/>
              <w:rPr>
                <w:noProof/>
                <w:sz w:val="18"/>
                <w:szCs w:val="18"/>
              </w:rPr>
            </w:pPr>
          </w:p>
        </w:tc>
        <w:tc>
          <w:tcPr>
            <w:tcW w:w="720" w:type="dxa"/>
            <w:gridSpan w:val="2"/>
          </w:tcPr>
          <w:p w:rsidR="00127A9D" w:rsidRPr="001E3A2D" w:rsidRDefault="00127A9D" w:rsidP="00127A9D">
            <w:pPr>
              <w:ind w:right="-29"/>
              <w:jc w:val="center"/>
              <w:rPr>
                <w:noProof/>
                <w:sz w:val="18"/>
                <w:szCs w:val="18"/>
              </w:rPr>
            </w:pPr>
          </w:p>
        </w:tc>
        <w:tc>
          <w:tcPr>
            <w:tcW w:w="540" w:type="dxa"/>
          </w:tcPr>
          <w:p w:rsidR="00127A9D" w:rsidRPr="001E3A2D" w:rsidRDefault="00127A9D" w:rsidP="00127A9D">
            <w:pPr>
              <w:ind w:right="-29"/>
              <w:jc w:val="center"/>
              <w:rPr>
                <w:noProof/>
                <w:sz w:val="18"/>
                <w:szCs w:val="18"/>
              </w:rPr>
            </w:pPr>
          </w:p>
        </w:tc>
        <w:tc>
          <w:tcPr>
            <w:tcW w:w="648" w:type="dxa"/>
          </w:tcPr>
          <w:p w:rsidR="00127A9D" w:rsidRPr="001E3A2D" w:rsidRDefault="00127A9D" w:rsidP="00127A9D">
            <w:pPr>
              <w:ind w:right="-29"/>
              <w:jc w:val="center"/>
              <w:rPr>
                <w:noProof/>
                <w:sz w:val="18"/>
                <w:szCs w:val="18"/>
              </w:rPr>
            </w:pPr>
          </w:p>
        </w:tc>
        <w:tc>
          <w:tcPr>
            <w:tcW w:w="432"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540"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720" w:type="dxa"/>
          </w:tcPr>
          <w:p w:rsidR="00127A9D" w:rsidRPr="001E3A2D" w:rsidRDefault="00127A9D" w:rsidP="00127A9D">
            <w:pPr>
              <w:ind w:right="-29"/>
              <w:jc w:val="center"/>
              <w:rPr>
                <w:noProof/>
                <w:sz w:val="18"/>
                <w:szCs w:val="18"/>
              </w:rPr>
            </w:pPr>
          </w:p>
        </w:tc>
        <w:tc>
          <w:tcPr>
            <w:tcW w:w="900" w:type="dxa"/>
          </w:tcPr>
          <w:p w:rsidR="00127A9D" w:rsidRPr="001E3A2D" w:rsidRDefault="00127A9D" w:rsidP="00127A9D">
            <w:pPr>
              <w:ind w:right="-29"/>
              <w:jc w:val="center"/>
              <w:rPr>
                <w:noProof/>
                <w:sz w:val="18"/>
                <w:szCs w:val="18"/>
              </w:rPr>
            </w:pPr>
          </w:p>
        </w:tc>
      </w:tr>
      <w:tr w:rsidR="00127A9D" w:rsidRPr="001E3A2D">
        <w:trPr>
          <w:jc w:val="center"/>
        </w:trPr>
        <w:tc>
          <w:tcPr>
            <w:tcW w:w="2844" w:type="dxa"/>
            <w:gridSpan w:val="3"/>
            <w:tcBorders>
              <w:bottom w:val="single" w:sz="12" w:space="0" w:color="auto"/>
            </w:tcBorders>
            <w:vAlign w:val="center"/>
          </w:tcPr>
          <w:p w:rsidR="00127A9D" w:rsidRPr="001E3A2D" w:rsidRDefault="00127A9D" w:rsidP="00127A9D">
            <w:pPr>
              <w:jc w:val="center"/>
              <w:rPr>
                <w:noProof/>
                <w:sz w:val="18"/>
                <w:szCs w:val="18"/>
              </w:rPr>
            </w:pPr>
            <w:r w:rsidRPr="001E3A2D">
              <w:rPr>
                <w:noProof/>
                <w:sz w:val="18"/>
              </w:rPr>
              <w:t>Zwischensumme für Einzelziel Nr. 2</w:t>
            </w:r>
          </w:p>
        </w:tc>
        <w:tc>
          <w:tcPr>
            <w:tcW w:w="504"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540"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951" w:type="dxa"/>
            <w:gridSpan w:val="2"/>
            <w:tcBorders>
              <w:bottom w:val="single" w:sz="12" w:space="0" w:color="auto"/>
            </w:tcBorders>
          </w:tcPr>
          <w:p w:rsidR="00127A9D" w:rsidRPr="001E3A2D" w:rsidRDefault="00127A9D" w:rsidP="00127A9D">
            <w:pPr>
              <w:ind w:right="-29"/>
              <w:jc w:val="center"/>
              <w:rPr>
                <w:noProof/>
                <w:sz w:val="18"/>
                <w:szCs w:val="18"/>
              </w:rPr>
            </w:pPr>
          </w:p>
        </w:tc>
        <w:tc>
          <w:tcPr>
            <w:tcW w:w="669" w:type="dxa"/>
            <w:tcBorders>
              <w:bottom w:val="single" w:sz="12" w:space="0" w:color="auto"/>
            </w:tcBorders>
          </w:tcPr>
          <w:p w:rsidR="00127A9D" w:rsidRPr="001E3A2D" w:rsidRDefault="00127A9D" w:rsidP="00127A9D">
            <w:pPr>
              <w:ind w:right="-29"/>
              <w:jc w:val="center"/>
              <w:rPr>
                <w:noProof/>
                <w:sz w:val="18"/>
                <w:szCs w:val="18"/>
              </w:rPr>
            </w:pPr>
          </w:p>
        </w:tc>
        <w:tc>
          <w:tcPr>
            <w:tcW w:w="540" w:type="dxa"/>
            <w:tcBorders>
              <w:bottom w:val="single" w:sz="12" w:space="0" w:color="auto"/>
            </w:tcBorders>
          </w:tcPr>
          <w:p w:rsidR="00127A9D" w:rsidRPr="001E3A2D" w:rsidRDefault="00127A9D" w:rsidP="00127A9D">
            <w:pPr>
              <w:ind w:right="-29"/>
              <w:jc w:val="center"/>
              <w:rPr>
                <w:noProof/>
                <w:sz w:val="18"/>
                <w:szCs w:val="18"/>
              </w:rPr>
            </w:pPr>
          </w:p>
        </w:tc>
        <w:tc>
          <w:tcPr>
            <w:tcW w:w="648" w:type="dxa"/>
            <w:tcBorders>
              <w:bottom w:val="single" w:sz="12" w:space="0" w:color="auto"/>
            </w:tcBorders>
          </w:tcPr>
          <w:p w:rsidR="00127A9D" w:rsidRPr="001E3A2D" w:rsidRDefault="00127A9D" w:rsidP="00127A9D">
            <w:pPr>
              <w:ind w:right="-29"/>
              <w:jc w:val="center"/>
              <w:rPr>
                <w:noProof/>
                <w:sz w:val="18"/>
                <w:szCs w:val="18"/>
              </w:rPr>
            </w:pPr>
          </w:p>
        </w:tc>
        <w:tc>
          <w:tcPr>
            <w:tcW w:w="432"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540"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720" w:type="dxa"/>
            <w:tcBorders>
              <w:bottom w:val="single" w:sz="12" w:space="0" w:color="auto"/>
            </w:tcBorders>
          </w:tcPr>
          <w:p w:rsidR="00127A9D" w:rsidRPr="001E3A2D" w:rsidRDefault="00127A9D" w:rsidP="00127A9D">
            <w:pPr>
              <w:ind w:right="-29"/>
              <w:jc w:val="center"/>
              <w:rPr>
                <w:noProof/>
                <w:sz w:val="18"/>
                <w:szCs w:val="18"/>
              </w:rPr>
            </w:pPr>
          </w:p>
        </w:tc>
        <w:tc>
          <w:tcPr>
            <w:tcW w:w="900" w:type="dxa"/>
            <w:tcBorders>
              <w:bottom w:val="single" w:sz="12" w:space="0" w:color="auto"/>
            </w:tcBorders>
          </w:tcPr>
          <w:p w:rsidR="00127A9D" w:rsidRPr="001E3A2D" w:rsidRDefault="00127A9D" w:rsidP="00127A9D">
            <w:pPr>
              <w:ind w:right="-29"/>
              <w:jc w:val="center"/>
              <w:rPr>
                <w:noProof/>
                <w:sz w:val="18"/>
                <w:szCs w:val="18"/>
              </w:rPr>
            </w:pPr>
          </w:p>
        </w:tc>
      </w:tr>
      <w:tr w:rsidR="00127A9D" w:rsidRPr="001E3A2D">
        <w:trPr>
          <w:jc w:val="center"/>
        </w:trPr>
        <w:tc>
          <w:tcPr>
            <w:tcW w:w="2844" w:type="dxa"/>
            <w:gridSpan w:val="3"/>
            <w:tcBorders>
              <w:top w:val="single" w:sz="12" w:space="0" w:color="auto"/>
              <w:left w:val="single" w:sz="12" w:space="0" w:color="auto"/>
              <w:bottom w:val="single" w:sz="12" w:space="0" w:color="auto"/>
            </w:tcBorders>
            <w:vAlign w:val="center"/>
          </w:tcPr>
          <w:p w:rsidR="00127A9D" w:rsidRPr="001E3A2D" w:rsidRDefault="00127A9D" w:rsidP="00127A9D">
            <w:pPr>
              <w:ind w:right="-29"/>
              <w:jc w:val="center"/>
              <w:rPr>
                <w:noProof/>
                <w:sz w:val="18"/>
                <w:szCs w:val="18"/>
              </w:rPr>
            </w:pPr>
            <w:r w:rsidRPr="001E3A2D">
              <w:rPr>
                <w:b/>
                <w:noProof/>
                <w:sz w:val="18"/>
              </w:rPr>
              <w:t>INSGESAMT</w:t>
            </w:r>
          </w:p>
        </w:tc>
        <w:tc>
          <w:tcPr>
            <w:tcW w:w="504"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540"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900"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540"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648"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432"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540"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1E3A2D" w:rsidRDefault="00127A9D" w:rsidP="00127A9D">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127A9D" w:rsidRPr="001E3A2D" w:rsidRDefault="00127A9D" w:rsidP="00127A9D">
            <w:pPr>
              <w:spacing w:before="180" w:after="180"/>
              <w:ind w:right="-29"/>
              <w:jc w:val="center"/>
              <w:rPr>
                <w:noProof/>
                <w:sz w:val="18"/>
                <w:szCs w:val="18"/>
              </w:rPr>
            </w:pPr>
          </w:p>
        </w:tc>
      </w:tr>
    </w:tbl>
    <w:p w:rsidR="00127A9D" w:rsidRPr="001E3A2D" w:rsidRDefault="00127A9D" w:rsidP="00127A9D">
      <w:pPr>
        <w:rPr>
          <w:noProof/>
        </w:rPr>
        <w:sectPr w:rsidR="00127A9D" w:rsidRPr="001E3A2D" w:rsidSect="00D363CA">
          <w:headerReference w:type="default" r:id="rId22"/>
          <w:footerReference w:type="default" r:id="rId23"/>
          <w:pgSz w:w="16840" w:h="11907" w:orient="landscape" w:code="9"/>
          <w:pgMar w:top="1134" w:right="1418" w:bottom="567" w:left="1418" w:header="709" w:footer="709" w:gutter="0"/>
          <w:cols w:space="708"/>
          <w:docGrid w:linePitch="360"/>
        </w:sectPr>
      </w:pPr>
    </w:p>
    <w:p w:rsidR="00127A9D" w:rsidRPr="001E3A2D" w:rsidRDefault="00127A9D" w:rsidP="00127A9D">
      <w:pPr>
        <w:keepNext/>
        <w:tabs>
          <w:tab w:val="left" w:pos="850"/>
        </w:tabs>
        <w:ind w:left="850" w:hanging="850"/>
        <w:outlineLvl w:val="2"/>
        <w:rPr>
          <w:bCs/>
          <w:i/>
          <w:noProof/>
          <w:szCs w:val="24"/>
        </w:rPr>
      </w:pPr>
      <w:bookmarkStart w:id="155" w:name="_Toc514938055"/>
      <w:bookmarkStart w:id="156" w:name="_Toc520485054"/>
      <w:bookmarkStart w:id="157" w:name="_Toc160804598"/>
      <w:bookmarkStart w:id="158" w:name="_Toc167220290"/>
      <w:bookmarkStart w:id="159" w:name="_Toc177549023"/>
      <w:r w:rsidRPr="001E3A2D">
        <w:rPr>
          <w:i/>
          <w:noProof/>
        </w:rPr>
        <w:t>3.2.3</w:t>
      </w:r>
      <w:r w:rsidRPr="001E3A2D">
        <w:rPr>
          <w:noProof/>
        </w:rPr>
        <w:tab/>
      </w:r>
      <w:r w:rsidRPr="001E3A2D">
        <w:rPr>
          <w:i/>
          <w:noProof/>
        </w:rPr>
        <w:t>Übersicht über die geschätzten Auswirkungen auf die Verwaltungsmittel</w:t>
      </w:r>
      <w:bookmarkEnd w:id="155"/>
      <w:bookmarkEnd w:id="156"/>
      <w:bookmarkEnd w:id="157"/>
      <w:bookmarkEnd w:id="158"/>
      <w:bookmarkEnd w:id="159"/>
      <w:r w:rsidRPr="001E3A2D">
        <w:rPr>
          <w:i/>
          <w:noProof/>
        </w:rPr>
        <w:t xml:space="preserve"> </w:t>
      </w:r>
    </w:p>
    <w:p w:rsidR="00127A9D" w:rsidRPr="001E3A2D" w:rsidRDefault="00127A9D" w:rsidP="00F337A7">
      <w:pPr>
        <w:pStyle w:val="Bullet0"/>
        <w:rPr>
          <w:noProof/>
        </w:rPr>
      </w:pPr>
      <w:bookmarkStart w:id="160" w:name="_Hlk191560123"/>
      <w:r w:rsidRPr="001E3A2D">
        <w:rPr>
          <w:rFonts w:ascii="Wingdings" w:hAnsi="Wingdings"/>
          <w:noProof/>
        </w:rPr>
        <w:t></w:t>
      </w:r>
      <w:bookmarkEnd w:id="160"/>
      <w:r w:rsidRPr="001E3A2D">
        <w:rPr>
          <w:noProof/>
        </w:rPr>
        <w:tab/>
        <w:t xml:space="preserve">Für den Vorschlag/die Initiative werden keine Verwaltungsmittel benötigt. </w:t>
      </w:r>
    </w:p>
    <w:p w:rsidR="00127A9D" w:rsidRPr="001E3A2D" w:rsidRDefault="00127A9D" w:rsidP="00F337A7">
      <w:pPr>
        <w:pStyle w:val="Bullet0"/>
        <w:rPr>
          <w:noProof/>
        </w:rPr>
      </w:pPr>
      <w:r w:rsidRPr="001E3A2D">
        <w:rPr>
          <w:rFonts w:ascii="Wingdings" w:hAnsi="Wingdings"/>
          <w:noProof/>
        </w:rPr>
        <w:t></w:t>
      </w:r>
      <w:r w:rsidRPr="001E3A2D">
        <w:rPr>
          <w:noProof/>
        </w:rPr>
        <w:tab/>
        <w:t>Für den Vorschlag/die Initiative werden die folgenden Verwaltungsmittel benötigt:</w:t>
      </w:r>
    </w:p>
    <w:p w:rsidR="00127A9D" w:rsidRPr="001E3A2D" w:rsidRDefault="00127A9D" w:rsidP="00127A9D">
      <w:pPr>
        <w:keepNext/>
        <w:tabs>
          <w:tab w:val="left" w:pos="850"/>
        </w:tabs>
        <w:ind w:left="850" w:hanging="850"/>
        <w:outlineLvl w:val="2"/>
        <w:rPr>
          <w:i/>
          <w:noProof/>
        </w:rPr>
      </w:pPr>
      <w:bookmarkStart w:id="161" w:name="_Toc167220291"/>
      <w:bookmarkStart w:id="162" w:name="_Toc177549024"/>
      <w:r w:rsidRPr="001E3A2D">
        <w:rPr>
          <w:i/>
          <w:noProof/>
        </w:rPr>
        <w:t>3.2.3.1 Mittel aus dem verabschiedeten Haushaltsplan</w:t>
      </w:r>
      <w:bookmarkEnd w:id="161"/>
      <w:bookmarkEnd w:id="162"/>
    </w:p>
    <w:tbl>
      <w:tblPr>
        <w:tblW w:w="5000" w:type="pct"/>
        <w:tblLook w:val="04A0" w:firstRow="1" w:lastRow="0" w:firstColumn="1" w:lastColumn="0" w:noHBand="0" w:noVBand="1"/>
      </w:tblPr>
      <w:tblGrid>
        <w:gridCol w:w="3996"/>
        <w:gridCol w:w="998"/>
        <w:gridCol w:w="998"/>
        <w:gridCol w:w="999"/>
        <w:gridCol w:w="999"/>
        <w:gridCol w:w="1297"/>
      </w:tblGrid>
      <w:tr w:rsidR="00127A9D" w:rsidRPr="001E3A2D">
        <w:trPr>
          <w:trHeight w:val="300"/>
        </w:trPr>
        <w:tc>
          <w:tcPr>
            <w:tcW w:w="216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18"/>
                <w:szCs w:val="18"/>
              </w:rPr>
            </w:pPr>
            <w:r w:rsidRPr="001E3A2D">
              <w:rPr>
                <w:b/>
                <w:noProof/>
                <w:sz w:val="18"/>
              </w:rPr>
              <w:t>BEWILLIGTE MITTEL</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8"/>
                <w:szCs w:val="18"/>
              </w:rPr>
            </w:pPr>
            <w:r w:rsidRPr="001E3A2D">
              <w:rPr>
                <w:noProof/>
                <w:sz w:val="18"/>
              </w:rPr>
              <w:t>Jahr</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8"/>
                <w:szCs w:val="18"/>
              </w:rPr>
            </w:pPr>
            <w:r w:rsidRPr="001E3A2D">
              <w:rPr>
                <w:noProof/>
                <w:sz w:val="18"/>
              </w:rPr>
              <w:t>Jahr</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8"/>
                <w:szCs w:val="18"/>
              </w:rPr>
            </w:pPr>
            <w:r w:rsidRPr="001E3A2D">
              <w:rPr>
                <w:noProof/>
                <w:sz w:val="18"/>
              </w:rPr>
              <w:t>Jahr</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8"/>
                <w:szCs w:val="18"/>
              </w:rPr>
            </w:pPr>
            <w:r w:rsidRPr="001E3A2D">
              <w:rPr>
                <w:noProof/>
                <w:sz w:val="18"/>
              </w:rPr>
              <w:t>Jahr</w:t>
            </w:r>
          </w:p>
        </w:tc>
        <w:tc>
          <w:tcPr>
            <w:tcW w:w="6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18"/>
                <w:szCs w:val="18"/>
              </w:rPr>
            </w:pPr>
            <w:r w:rsidRPr="001E3A2D">
              <w:rPr>
                <w:b/>
                <w:noProof/>
                <w:sz w:val="18"/>
              </w:rPr>
              <w:t>2021-2027 INSGESAMT</w:t>
            </w:r>
          </w:p>
        </w:tc>
      </w:tr>
      <w:tr w:rsidR="00127A9D" w:rsidRPr="001E3A2D">
        <w:trPr>
          <w:trHeight w:val="300"/>
        </w:trPr>
        <w:tc>
          <w:tcPr>
            <w:tcW w:w="2167" w:type="pct"/>
            <w:vMerge/>
            <w:tcBorders>
              <w:top w:val="single" w:sz="8" w:space="0" w:color="auto"/>
              <w:left w:val="single" w:sz="8" w:space="0" w:color="auto"/>
              <w:bottom w:val="single" w:sz="8" w:space="0" w:color="auto"/>
              <w:right w:val="single" w:sz="8" w:space="0" w:color="auto"/>
            </w:tcBorders>
            <w:vAlign w:val="center"/>
            <w:hideMark/>
          </w:tcPr>
          <w:p w:rsidR="00127A9D" w:rsidRPr="001E3A2D" w:rsidRDefault="00127A9D" w:rsidP="00127A9D">
            <w:pPr>
              <w:spacing w:before="0" w:after="0"/>
              <w:jc w:val="left"/>
              <w:rPr>
                <w:b/>
                <w:bCs/>
                <w:noProof/>
                <w:sz w:val="18"/>
                <w:szCs w:val="18"/>
                <w:lang w:eastAsia="en-IE"/>
              </w:rPr>
            </w:pPr>
          </w:p>
        </w:tc>
        <w:tc>
          <w:tcPr>
            <w:tcW w:w="553"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18"/>
                <w:szCs w:val="18"/>
              </w:rPr>
            </w:pPr>
            <w:r w:rsidRPr="001E3A2D">
              <w:rPr>
                <w:b/>
                <w:noProof/>
                <w:sz w:val="18"/>
              </w:rPr>
              <w:t>2024</w:t>
            </w:r>
          </w:p>
        </w:tc>
        <w:tc>
          <w:tcPr>
            <w:tcW w:w="553"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18"/>
                <w:szCs w:val="18"/>
              </w:rPr>
            </w:pPr>
            <w:r w:rsidRPr="001E3A2D">
              <w:rPr>
                <w:b/>
                <w:noProof/>
                <w:sz w:val="18"/>
              </w:rPr>
              <w:t>2025</w:t>
            </w:r>
          </w:p>
        </w:tc>
        <w:tc>
          <w:tcPr>
            <w:tcW w:w="553"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18"/>
                <w:szCs w:val="18"/>
              </w:rPr>
            </w:pPr>
            <w:r w:rsidRPr="001E3A2D">
              <w:rPr>
                <w:b/>
                <w:noProof/>
                <w:sz w:val="18"/>
              </w:rPr>
              <w:t>2026</w:t>
            </w:r>
          </w:p>
        </w:tc>
        <w:tc>
          <w:tcPr>
            <w:tcW w:w="553"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18"/>
                <w:szCs w:val="18"/>
              </w:rPr>
            </w:pPr>
            <w:r w:rsidRPr="001E3A2D">
              <w:rPr>
                <w:b/>
                <w:noProof/>
                <w:sz w:val="18"/>
              </w:rPr>
              <w:t>2027</w:t>
            </w:r>
          </w:p>
        </w:tc>
        <w:tc>
          <w:tcPr>
            <w:tcW w:w="622" w:type="pct"/>
            <w:vMerge/>
            <w:tcBorders>
              <w:top w:val="single" w:sz="8" w:space="0" w:color="auto"/>
              <w:left w:val="single" w:sz="8" w:space="0" w:color="auto"/>
              <w:bottom w:val="single" w:sz="8" w:space="0" w:color="auto"/>
              <w:right w:val="single" w:sz="8" w:space="0" w:color="auto"/>
            </w:tcBorders>
            <w:vAlign w:val="center"/>
            <w:hideMark/>
          </w:tcPr>
          <w:p w:rsidR="00127A9D" w:rsidRPr="001E3A2D" w:rsidRDefault="00127A9D" w:rsidP="00127A9D">
            <w:pPr>
              <w:spacing w:before="0" w:after="0"/>
              <w:jc w:val="left"/>
              <w:rPr>
                <w:b/>
                <w:bCs/>
                <w:noProof/>
                <w:sz w:val="18"/>
                <w:szCs w:val="18"/>
                <w:lang w:eastAsia="en-IE"/>
              </w:rPr>
            </w:pPr>
          </w:p>
        </w:tc>
      </w:tr>
      <w:tr w:rsidR="00127A9D" w:rsidRPr="001E3A2D">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127A9D" w:rsidRPr="001E3A2D" w:rsidRDefault="00127A9D" w:rsidP="00127A9D">
            <w:pPr>
              <w:spacing w:before="0" w:after="0"/>
              <w:jc w:val="left"/>
              <w:rPr>
                <w:b/>
                <w:bCs/>
                <w:noProof/>
                <w:sz w:val="16"/>
                <w:szCs w:val="16"/>
              </w:rPr>
            </w:pPr>
            <w:r w:rsidRPr="001E3A2D">
              <w:rPr>
                <w:b/>
                <w:noProof/>
                <w:sz w:val="16"/>
              </w:rPr>
              <w:t>RUBRIK 7</w:t>
            </w:r>
          </w:p>
        </w:tc>
      </w:tr>
      <w:tr w:rsidR="00127A9D" w:rsidRPr="001E3A2D">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left"/>
              <w:rPr>
                <w:noProof/>
                <w:sz w:val="16"/>
                <w:szCs w:val="16"/>
              </w:rPr>
            </w:pPr>
            <w:r w:rsidRPr="001E3A2D">
              <w:rPr>
                <w:noProof/>
                <w:sz w:val="16"/>
              </w:rPr>
              <w:t xml:space="preserve">Personalausgaben </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r>
      <w:tr w:rsidR="00127A9D" w:rsidRPr="001E3A2D">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left"/>
              <w:rPr>
                <w:noProof/>
                <w:sz w:val="16"/>
                <w:szCs w:val="16"/>
              </w:rPr>
            </w:pPr>
            <w:r w:rsidRPr="001E3A2D">
              <w:rPr>
                <w:noProof/>
                <w:sz w:val="16"/>
              </w:rPr>
              <w:t xml:space="preserve">Sonstige Verwaltungsausgaben </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r>
      <w:tr w:rsidR="00127A9D" w:rsidRPr="001E3A2D">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rsidR="00127A9D" w:rsidRPr="001E3A2D" w:rsidRDefault="00127A9D" w:rsidP="00127A9D">
            <w:pPr>
              <w:spacing w:before="0" w:after="0"/>
              <w:jc w:val="center"/>
              <w:rPr>
                <w:b/>
                <w:bCs/>
                <w:noProof/>
                <w:sz w:val="16"/>
                <w:szCs w:val="16"/>
              </w:rPr>
            </w:pPr>
            <w:r w:rsidRPr="001E3A2D">
              <w:rPr>
                <w:b/>
                <w:noProof/>
                <w:sz w:val="16"/>
              </w:rPr>
              <w:t>Zwischensumme RUBRIK 7</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r>
      <w:tr w:rsidR="00127A9D" w:rsidRPr="001E3A2D">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127A9D" w:rsidRPr="001E3A2D" w:rsidRDefault="00127A9D" w:rsidP="00127A9D">
            <w:pPr>
              <w:spacing w:before="0" w:after="0"/>
              <w:jc w:val="left"/>
              <w:rPr>
                <w:b/>
                <w:bCs/>
                <w:noProof/>
                <w:sz w:val="16"/>
                <w:szCs w:val="16"/>
              </w:rPr>
            </w:pPr>
            <w:r w:rsidRPr="001E3A2D">
              <w:rPr>
                <w:b/>
                <w:noProof/>
                <w:sz w:val="16"/>
              </w:rPr>
              <w:t>Außerhalb der RUBRIK 7</w:t>
            </w:r>
          </w:p>
        </w:tc>
      </w:tr>
      <w:tr w:rsidR="00127A9D" w:rsidRPr="001E3A2D">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left"/>
              <w:rPr>
                <w:noProof/>
                <w:sz w:val="16"/>
                <w:szCs w:val="16"/>
              </w:rPr>
            </w:pPr>
            <w:r w:rsidRPr="001E3A2D">
              <w:rPr>
                <w:noProof/>
                <w:sz w:val="16"/>
              </w:rPr>
              <w:t xml:space="preserve">Personalausgaben </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r>
      <w:tr w:rsidR="00127A9D" w:rsidRPr="001E3A2D">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left"/>
              <w:rPr>
                <w:noProof/>
                <w:sz w:val="16"/>
                <w:szCs w:val="16"/>
              </w:rPr>
            </w:pPr>
            <w:r w:rsidRPr="001E3A2D">
              <w:rPr>
                <w:noProof/>
                <w:sz w:val="16"/>
              </w:rPr>
              <w:t>Sonstige Verwaltungsausgaben</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noProof/>
                <w:sz w:val="16"/>
                <w:szCs w:val="16"/>
              </w:rPr>
            </w:pPr>
            <w:r w:rsidRPr="001E3A2D">
              <w:rPr>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r>
      <w:tr w:rsidR="00127A9D" w:rsidRPr="001E3A2D">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rsidR="00127A9D" w:rsidRPr="001E3A2D" w:rsidRDefault="00127A9D" w:rsidP="00127A9D">
            <w:pPr>
              <w:spacing w:before="0" w:after="0"/>
              <w:jc w:val="center"/>
              <w:rPr>
                <w:b/>
                <w:bCs/>
                <w:noProof/>
                <w:sz w:val="16"/>
                <w:szCs w:val="16"/>
              </w:rPr>
            </w:pPr>
            <w:r w:rsidRPr="001E3A2D">
              <w:rPr>
                <w:b/>
                <w:noProof/>
                <w:sz w:val="16"/>
              </w:rPr>
              <w:t>Zwischensumme außerhalb der RUBRIK 7</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r>
      <w:tr w:rsidR="00127A9D" w:rsidRPr="001E3A2D">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27A9D" w:rsidRPr="001E3A2D" w:rsidRDefault="00127A9D" w:rsidP="00127A9D">
            <w:pPr>
              <w:spacing w:before="0" w:after="0"/>
              <w:jc w:val="center"/>
              <w:rPr>
                <w:noProof/>
                <w:sz w:val="16"/>
                <w:szCs w:val="16"/>
              </w:rPr>
            </w:pPr>
            <w:r w:rsidRPr="001E3A2D">
              <w:rPr>
                <w:noProof/>
                <w:sz w:val="16"/>
              </w:rPr>
              <w:t xml:space="preserve"> </w:t>
            </w:r>
          </w:p>
        </w:tc>
      </w:tr>
      <w:tr w:rsidR="00127A9D" w:rsidRPr="001E3A2D">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16"/>
                <w:szCs w:val="16"/>
              </w:rPr>
            </w:pPr>
            <w:r w:rsidRPr="001E3A2D">
              <w:rPr>
                <w:b/>
                <w:noProof/>
                <w:sz w:val="16"/>
              </w:rPr>
              <w:t>INSGESAMT</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right"/>
              <w:rPr>
                <w:b/>
                <w:bCs/>
                <w:noProof/>
                <w:sz w:val="16"/>
                <w:szCs w:val="16"/>
              </w:rPr>
            </w:pPr>
            <w:r w:rsidRPr="001E3A2D">
              <w:rPr>
                <w:b/>
                <w:noProof/>
                <w:sz w:val="16"/>
              </w:rPr>
              <w:t>0,000</w:t>
            </w:r>
          </w:p>
        </w:tc>
      </w:tr>
    </w:tbl>
    <w:p w:rsidR="00127A9D" w:rsidRPr="001E3A2D" w:rsidRDefault="00127A9D" w:rsidP="00127A9D">
      <w:pPr>
        <w:keepNext/>
        <w:tabs>
          <w:tab w:val="left" w:pos="850"/>
        </w:tabs>
        <w:ind w:left="850" w:hanging="850"/>
        <w:outlineLvl w:val="2"/>
        <w:rPr>
          <w:bCs/>
          <w:i/>
          <w:noProof/>
          <w:szCs w:val="24"/>
        </w:rPr>
      </w:pPr>
      <w:bookmarkStart w:id="163" w:name="_Toc167220294"/>
      <w:bookmarkStart w:id="164" w:name="_Toc177549027"/>
      <w:r w:rsidRPr="001E3A2D">
        <w:rPr>
          <w:i/>
          <w:noProof/>
        </w:rPr>
        <w:t>3.2.4</w:t>
      </w:r>
      <w:r w:rsidRPr="001E3A2D">
        <w:rPr>
          <w:noProof/>
        </w:rPr>
        <w:tab/>
      </w:r>
      <w:r w:rsidRPr="001E3A2D">
        <w:rPr>
          <w:i/>
          <w:noProof/>
        </w:rPr>
        <w:t>Geschätzter Personalbedarf</w:t>
      </w:r>
      <w:bookmarkEnd w:id="163"/>
      <w:bookmarkEnd w:id="164"/>
      <w:r w:rsidRPr="001E3A2D">
        <w:rPr>
          <w:i/>
          <w:noProof/>
        </w:rPr>
        <w:t xml:space="preserve"> </w:t>
      </w:r>
    </w:p>
    <w:p w:rsidR="00127A9D" w:rsidRPr="001E3A2D" w:rsidRDefault="00127A9D" w:rsidP="00F337A7">
      <w:pPr>
        <w:pStyle w:val="Bullet0"/>
        <w:rPr>
          <w:noProof/>
        </w:rPr>
      </w:pPr>
      <w:r w:rsidRPr="001E3A2D">
        <w:rPr>
          <w:rFonts w:ascii="Wingdings" w:hAnsi="Wingdings"/>
          <w:noProof/>
        </w:rPr>
        <w:t></w:t>
      </w:r>
      <w:r w:rsidRPr="001E3A2D">
        <w:rPr>
          <w:noProof/>
        </w:rPr>
        <w:tab/>
        <w:t xml:space="preserve">Für den Vorschlag/die Initiative wird kein Personal benötigt. </w:t>
      </w:r>
    </w:p>
    <w:p w:rsidR="00127A9D" w:rsidRPr="001E3A2D" w:rsidRDefault="00127A9D" w:rsidP="00F337A7">
      <w:pPr>
        <w:pStyle w:val="Bullet0"/>
        <w:rPr>
          <w:noProof/>
        </w:rPr>
      </w:pPr>
      <w:r w:rsidRPr="001E3A2D">
        <w:rPr>
          <w:rFonts w:ascii="Wingdings" w:hAnsi="Wingdings"/>
          <w:noProof/>
        </w:rPr>
        <w:t></w:t>
      </w:r>
      <w:r w:rsidRPr="001E3A2D">
        <w:rPr>
          <w:noProof/>
        </w:rPr>
        <w:tab/>
        <w:t>Für den Vorschlag/die Initiative wird das folgende Personal benötigt:</w:t>
      </w:r>
    </w:p>
    <w:p w:rsidR="00127A9D" w:rsidRPr="001E3A2D" w:rsidRDefault="00127A9D" w:rsidP="00127A9D">
      <w:pPr>
        <w:keepNext/>
        <w:tabs>
          <w:tab w:val="left" w:pos="850"/>
        </w:tabs>
        <w:ind w:left="850" w:hanging="850"/>
        <w:outlineLvl w:val="2"/>
        <w:rPr>
          <w:i/>
          <w:noProof/>
        </w:rPr>
      </w:pPr>
      <w:bookmarkStart w:id="165" w:name="_Toc167220295"/>
      <w:bookmarkStart w:id="166" w:name="_Toc177549028"/>
      <w:r w:rsidRPr="001E3A2D">
        <w:rPr>
          <w:i/>
          <w:noProof/>
        </w:rPr>
        <w:t>3.2.4.1</w:t>
      </w:r>
      <w:r w:rsidRPr="001E3A2D">
        <w:rPr>
          <w:noProof/>
        </w:rPr>
        <w:tab/>
      </w:r>
      <w:r w:rsidRPr="001E3A2D">
        <w:rPr>
          <w:i/>
          <w:noProof/>
        </w:rPr>
        <w:t>Finanziert aus dem verabschiedeten Haushalt</w:t>
      </w:r>
      <w:bookmarkEnd w:id="165"/>
      <w:bookmarkEnd w:id="166"/>
    </w:p>
    <w:p w:rsidR="00127A9D" w:rsidRPr="001E3A2D" w:rsidRDefault="00127A9D" w:rsidP="00127A9D">
      <w:pPr>
        <w:spacing w:after="60"/>
        <w:jc w:val="right"/>
        <w:rPr>
          <w:i/>
          <w:noProof/>
          <w:sz w:val="20"/>
        </w:rPr>
      </w:pPr>
      <w:r w:rsidRPr="001E3A2D">
        <w:rPr>
          <w:i/>
          <w:noProof/>
          <w:sz w:val="20"/>
        </w:rPr>
        <w:t>Schätzung in Vollzeitäquivalenten (VZÄ)</w:t>
      </w:r>
    </w:p>
    <w:p w:rsidR="00127A9D" w:rsidRPr="001E3A2D" w:rsidRDefault="00127A9D" w:rsidP="00127A9D">
      <w:pPr>
        <w:spacing w:before="60" w:after="60"/>
        <w:ind w:left="-426" w:right="-427"/>
        <w:rPr>
          <w:b/>
          <w:noProof/>
          <w:sz w:val="18"/>
          <w:szCs w:val="18"/>
        </w:rPr>
      </w:pPr>
      <w:bookmarkStart w:id="167" w:name="_Hlk156979231"/>
    </w:p>
    <w:tbl>
      <w:tblPr>
        <w:tblW w:w="5000" w:type="pct"/>
        <w:tblLook w:val="04A0" w:firstRow="1" w:lastRow="0" w:firstColumn="1" w:lastColumn="0" w:noHBand="0" w:noVBand="1"/>
      </w:tblPr>
      <w:tblGrid>
        <w:gridCol w:w="1513"/>
        <w:gridCol w:w="3896"/>
        <w:gridCol w:w="970"/>
        <w:gridCol w:w="970"/>
        <w:gridCol w:w="970"/>
        <w:gridCol w:w="968"/>
      </w:tblGrid>
      <w:tr w:rsidR="00127A9D" w:rsidRPr="001E3A2D">
        <w:trPr>
          <w:trHeight w:val="300"/>
        </w:trPr>
        <w:tc>
          <w:tcPr>
            <w:tcW w:w="29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27A9D" w:rsidRPr="001E3A2D" w:rsidRDefault="00127A9D" w:rsidP="00127A9D">
            <w:pPr>
              <w:spacing w:before="0" w:after="0"/>
              <w:jc w:val="center"/>
              <w:rPr>
                <w:b/>
                <w:bCs/>
                <w:noProof/>
                <w:sz w:val="18"/>
                <w:szCs w:val="18"/>
              </w:rPr>
            </w:pPr>
            <w:r w:rsidRPr="001E3A2D">
              <w:rPr>
                <w:b/>
                <w:noProof/>
                <w:sz w:val="18"/>
              </w:rPr>
              <w:t>BEWILLIGTE MITTEL</w:t>
            </w:r>
          </w:p>
        </w:tc>
        <w:tc>
          <w:tcPr>
            <w:tcW w:w="522"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522"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522"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c>
          <w:tcPr>
            <w:tcW w:w="522" w:type="pct"/>
            <w:tcBorders>
              <w:top w:val="single" w:sz="8" w:space="0" w:color="auto"/>
              <w:left w:val="nil"/>
              <w:bottom w:val="nil"/>
              <w:right w:val="single" w:sz="8" w:space="0" w:color="auto"/>
            </w:tcBorders>
            <w:shd w:val="clear" w:color="auto" w:fill="auto"/>
            <w:vAlign w:val="center"/>
            <w:hideMark/>
          </w:tcPr>
          <w:p w:rsidR="00127A9D" w:rsidRPr="001E3A2D" w:rsidRDefault="00127A9D" w:rsidP="00127A9D">
            <w:pPr>
              <w:spacing w:before="0" w:after="0"/>
              <w:jc w:val="center"/>
              <w:rPr>
                <w:noProof/>
                <w:sz w:val="20"/>
                <w:szCs w:val="20"/>
              </w:rPr>
            </w:pPr>
            <w:r w:rsidRPr="001E3A2D">
              <w:rPr>
                <w:noProof/>
                <w:sz w:val="20"/>
              </w:rPr>
              <w:t>Jahr</w:t>
            </w:r>
          </w:p>
        </w:tc>
      </w:tr>
      <w:tr w:rsidR="00127A9D" w:rsidRPr="001E3A2D">
        <w:trPr>
          <w:trHeight w:val="300"/>
        </w:trPr>
        <w:tc>
          <w:tcPr>
            <w:tcW w:w="2913" w:type="pct"/>
            <w:gridSpan w:val="2"/>
            <w:vMerge/>
            <w:tcBorders>
              <w:top w:val="single" w:sz="8" w:space="0" w:color="auto"/>
              <w:left w:val="single" w:sz="8" w:space="0" w:color="auto"/>
              <w:bottom w:val="single" w:sz="8" w:space="0" w:color="auto"/>
              <w:right w:val="single" w:sz="8" w:space="0" w:color="000000"/>
            </w:tcBorders>
            <w:vAlign w:val="center"/>
            <w:hideMark/>
          </w:tcPr>
          <w:p w:rsidR="00127A9D" w:rsidRPr="001E3A2D" w:rsidRDefault="00127A9D" w:rsidP="00127A9D">
            <w:pPr>
              <w:spacing w:before="0" w:after="0"/>
              <w:jc w:val="left"/>
              <w:rPr>
                <w:b/>
                <w:bCs/>
                <w:noProof/>
                <w:sz w:val="18"/>
                <w:szCs w:val="18"/>
                <w:lang w:eastAsia="en-IE"/>
              </w:rPr>
            </w:pPr>
          </w:p>
        </w:tc>
        <w:tc>
          <w:tcPr>
            <w:tcW w:w="522"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2024</w:t>
            </w:r>
          </w:p>
        </w:tc>
        <w:tc>
          <w:tcPr>
            <w:tcW w:w="522"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2025</w:t>
            </w:r>
          </w:p>
        </w:tc>
        <w:tc>
          <w:tcPr>
            <w:tcW w:w="522"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2026</w:t>
            </w:r>
          </w:p>
        </w:tc>
        <w:tc>
          <w:tcPr>
            <w:tcW w:w="522"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b/>
                <w:bCs/>
                <w:noProof/>
                <w:sz w:val="20"/>
                <w:szCs w:val="20"/>
              </w:rPr>
            </w:pPr>
            <w:r w:rsidRPr="001E3A2D">
              <w:rPr>
                <w:b/>
                <w:noProof/>
                <w:sz w:val="20"/>
              </w:rPr>
              <w:t>2027</w:t>
            </w:r>
          </w:p>
        </w:tc>
      </w:tr>
      <w:tr w:rsidR="00127A9D" w:rsidRPr="001E3A2D">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127A9D" w:rsidRPr="001E3A2D" w:rsidRDefault="00127A9D" w:rsidP="00127A9D">
            <w:pPr>
              <w:spacing w:before="0" w:after="0"/>
              <w:jc w:val="left"/>
              <w:rPr>
                <w:rFonts w:ascii="Wingdings" w:hAnsi="Wingdings" w:cs="Calibri"/>
                <w:b/>
                <w:bCs/>
                <w:noProof/>
                <w:sz w:val="16"/>
                <w:szCs w:val="16"/>
              </w:rPr>
            </w:pPr>
            <w:r w:rsidRPr="001E3A2D">
              <w:rPr>
                <w:rFonts w:ascii="Wingdings" w:hAnsi="Wingdings"/>
                <w:b/>
                <w:noProof/>
                <w:sz w:val="16"/>
              </w:rPr>
              <w:t></w:t>
            </w:r>
            <w:r w:rsidRPr="001E3A2D">
              <w:rPr>
                <w:b/>
                <w:noProof/>
                <w:sz w:val="16"/>
              </w:rPr>
              <w:t xml:space="preserve"> Planstellen (Beamte und Bedienstete auf Zeit)</w:t>
            </w:r>
          </w:p>
        </w:tc>
      </w:tr>
      <w:tr w:rsidR="00127A9D" w:rsidRPr="001E3A2D">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20 01 02 01</w:t>
            </w:r>
            <w:r w:rsidRPr="001E3A2D">
              <w:rPr>
                <w:rFonts w:ascii="Arial Narrow" w:hAnsi="Arial Narrow"/>
                <w:noProof/>
                <w:sz w:val="20"/>
              </w:rPr>
              <w:t xml:space="preserve"> </w:t>
            </w:r>
            <w:r w:rsidRPr="001E3A2D">
              <w:rPr>
                <w:noProof/>
                <w:sz w:val="16"/>
              </w:rPr>
              <w:t>(in den zentralen Dienststellen und Vertretungen der Kommission)</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20 01 02 03 (EU-Delegationen)</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01 01 01 01</w:t>
            </w:r>
            <w:r w:rsidRPr="001E3A2D">
              <w:rPr>
                <w:rFonts w:ascii="Arial Narrow" w:hAnsi="Arial Narrow"/>
                <w:noProof/>
                <w:sz w:val="20"/>
              </w:rPr>
              <w:t xml:space="preserve"> </w:t>
            </w:r>
            <w:r w:rsidRPr="001E3A2D">
              <w:rPr>
                <w:noProof/>
                <w:sz w:val="16"/>
              </w:rPr>
              <w:t>(Indirekte Forschung)</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01 01 01 11 (Direkte Forschung)</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Sonstige Haushaltslinien (bitte angeben)</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127A9D" w:rsidRPr="001E3A2D" w:rsidRDefault="00127A9D" w:rsidP="00127A9D">
            <w:pPr>
              <w:spacing w:before="0" w:after="0"/>
              <w:jc w:val="left"/>
              <w:rPr>
                <w:rFonts w:ascii="Wingdings" w:hAnsi="Wingdings" w:cs="Calibri"/>
                <w:b/>
                <w:bCs/>
                <w:noProof/>
                <w:sz w:val="16"/>
                <w:szCs w:val="16"/>
              </w:rPr>
            </w:pPr>
            <w:r w:rsidRPr="001E3A2D">
              <w:rPr>
                <w:rFonts w:ascii="Calibri" w:hAnsi="Calibri"/>
                <w:b/>
                <w:noProof/>
                <w:sz w:val="16"/>
              </w:rPr>
              <w:t>•</w:t>
            </w:r>
            <w:r w:rsidRPr="001E3A2D">
              <w:rPr>
                <w:b/>
                <w:noProof/>
                <w:sz w:val="16"/>
              </w:rPr>
              <w:t xml:space="preserve"> Externes Personal (in VZÄ)</w:t>
            </w:r>
          </w:p>
        </w:tc>
      </w:tr>
      <w:tr w:rsidR="00127A9D" w:rsidRPr="001E3A2D">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20 02 01 (VB und ANS der Globaldotation)</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20 02 03 (VB, ÖB, ANS und JPD in den EU-Delegationen)</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jc w:val="center"/>
              <w:rPr>
                <w:noProof/>
                <w:sz w:val="16"/>
                <w:szCs w:val="16"/>
              </w:rPr>
            </w:pPr>
            <w:r w:rsidRPr="001E3A2D">
              <w:rPr>
                <w:noProof/>
                <w:sz w:val="16"/>
              </w:rPr>
              <w:t>Haushaltslinie administr. Unterstützung</w:t>
            </w:r>
            <w:r w:rsidRPr="001E3A2D">
              <w:rPr>
                <w:noProof/>
              </w:rPr>
              <w:t xml:space="preserve"> </w:t>
            </w:r>
            <w:r w:rsidRPr="001E3A2D">
              <w:rPr>
                <w:noProof/>
              </w:rPr>
              <w:br/>
            </w:r>
            <w:r w:rsidRPr="001E3A2D">
              <w:rPr>
                <w:noProof/>
                <w:sz w:val="16"/>
              </w:rPr>
              <w:t>[XX 01 YY YY]</w:t>
            </w:r>
          </w:p>
        </w:tc>
        <w:tc>
          <w:tcPr>
            <w:tcW w:w="2098"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 in den zentralen Dienststellen</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815" w:type="pct"/>
            <w:vMerge/>
            <w:tcBorders>
              <w:top w:val="nil"/>
              <w:left w:val="single" w:sz="8" w:space="0" w:color="auto"/>
              <w:bottom w:val="single" w:sz="8" w:space="0" w:color="auto"/>
              <w:right w:val="single" w:sz="8" w:space="0" w:color="auto"/>
            </w:tcBorders>
            <w:vAlign w:val="center"/>
            <w:hideMark/>
          </w:tcPr>
          <w:p w:rsidR="00127A9D" w:rsidRPr="001E3A2D" w:rsidRDefault="00127A9D" w:rsidP="00127A9D">
            <w:pPr>
              <w:spacing w:before="0" w:after="0"/>
              <w:jc w:val="left"/>
              <w:rPr>
                <w:noProof/>
                <w:sz w:val="16"/>
                <w:szCs w:val="16"/>
                <w:lang w:eastAsia="en-IE"/>
              </w:rPr>
            </w:pPr>
          </w:p>
        </w:tc>
        <w:tc>
          <w:tcPr>
            <w:tcW w:w="2098" w:type="pct"/>
            <w:tcBorders>
              <w:top w:val="nil"/>
              <w:left w:val="nil"/>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 xml:space="preserve">- in den EU-Delegationen </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01 01 01 02 (VB und ANS – indirekte Forschung)</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 xml:space="preserve"> 01 01 01 12 (VB und ANS – direkte Forschung)</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Sonstige Haushaltslinien – Rubrik 7</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noProof/>
                <w:sz w:val="16"/>
                <w:szCs w:val="16"/>
              </w:rPr>
            </w:pPr>
            <w:r w:rsidRPr="001E3A2D">
              <w:rPr>
                <w:noProof/>
                <w:sz w:val="16"/>
              </w:rPr>
              <w:t>Sonstige Haushaltslinien – außerhalb der Rubrik 7</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noProof/>
                <w:sz w:val="16"/>
                <w:szCs w:val="16"/>
              </w:rPr>
            </w:pPr>
            <w:r w:rsidRPr="001E3A2D">
              <w:rPr>
                <w:noProof/>
                <w:sz w:val="16"/>
              </w:rPr>
              <w:t>0</w:t>
            </w:r>
          </w:p>
        </w:tc>
      </w:tr>
      <w:tr w:rsidR="00127A9D" w:rsidRPr="001E3A2D">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1E3A2D" w:rsidRDefault="00127A9D" w:rsidP="00127A9D">
            <w:pPr>
              <w:spacing w:before="0" w:after="0"/>
              <w:ind w:firstLineChars="100" w:firstLine="160"/>
              <w:jc w:val="left"/>
              <w:rPr>
                <w:b/>
                <w:bCs/>
                <w:noProof/>
                <w:sz w:val="16"/>
                <w:szCs w:val="16"/>
              </w:rPr>
            </w:pPr>
            <w:r w:rsidRPr="001E3A2D">
              <w:rPr>
                <w:b/>
                <w:noProof/>
                <w:sz w:val="16"/>
              </w:rPr>
              <w:t>INSGESAMT</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b/>
                <w:bCs/>
                <w:noProof/>
                <w:sz w:val="16"/>
                <w:szCs w:val="16"/>
              </w:rPr>
            </w:pPr>
            <w:r w:rsidRPr="001E3A2D">
              <w:rPr>
                <w:b/>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b/>
                <w:bCs/>
                <w:noProof/>
                <w:sz w:val="16"/>
                <w:szCs w:val="16"/>
              </w:rPr>
            </w:pPr>
            <w:r w:rsidRPr="001E3A2D">
              <w:rPr>
                <w:b/>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b/>
                <w:bCs/>
                <w:noProof/>
                <w:sz w:val="16"/>
                <w:szCs w:val="16"/>
              </w:rPr>
            </w:pPr>
            <w:r w:rsidRPr="001E3A2D">
              <w:rPr>
                <w:b/>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1E3A2D" w:rsidRDefault="00127A9D" w:rsidP="00127A9D">
            <w:pPr>
              <w:spacing w:before="0" w:after="0"/>
              <w:jc w:val="center"/>
              <w:rPr>
                <w:b/>
                <w:bCs/>
                <w:noProof/>
                <w:sz w:val="16"/>
                <w:szCs w:val="16"/>
              </w:rPr>
            </w:pPr>
            <w:r w:rsidRPr="001E3A2D">
              <w:rPr>
                <w:b/>
                <w:noProof/>
                <w:sz w:val="16"/>
              </w:rPr>
              <w:t>0</w:t>
            </w:r>
          </w:p>
        </w:tc>
      </w:tr>
    </w:tbl>
    <w:p w:rsidR="00127A9D" w:rsidRPr="001E3A2D" w:rsidRDefault="00127A9D" w:rsidP="00127A9D">
      <w:pPr>
        <w:rPr>
          <w:noProof/>
        </w:rPr>
      </w:pPr>
    </w:p>
    <w:p w:rsidR="00127A9D" w:rsidRPr="001E3A2D" w:rsidRDefault="00127A9D" w:rsidP="00127A9D">
      <w:pPr>
        <w:keepNext/>
        <w:tabs>
          <w:tab w:val="left" w:pos="850"/>
        </w:tabs>
        <w:ind w:left="850" w:hanging="850"/>
        <w:outlineLvl w:val="2"/>
        <w:rPr>
          <w:i/>
          <w:noProof/>
        </w:rPr>
      </w:pPr>
      <w:bookmarkStart w:id="168" w:name="_Toc177549031"/>
      <w:bookmarkStart w:id="169" w:name="_Hlk167692843"/>
      <w:bookmarkEnd w:id="167"/>
      <w:r w:rsidRPr="001E3A2D">
        <w:rPr>
          <w:i/>
          <w:noProof/>
        </w:rPr>
        <w:t>3.2.5</w:t>
      </w:r>
      <w:r w:rsidRPr="001E3A2D">
        <w:rPr>
          <w:noProof/>
        </w:rPr>
        <w:tab/>
      </w:r>
      <w:r w:rsidRPr="001E3A2D">
        <w:rPr>
          <w:i/>
          <w:noProof/>
        </w:rPr>
        <w:t>Einschätzung der Auswirkungen auf die Investitionen im Zusammenhang mit digitalen Technologien</w:t>
      </w:r>
      <w:bookmarkEnd w:id="168"/>
    </w:p>
    <w:p w:rsidR="00127A9D" w:rsidRPr="001E3A2D" w:rsidRDefault="00127A9D" w:rsidP="00127A9D">
      <w:pPr>
        <w:spacing w:line="259" w:lineRule="auto"/>
        <w:ind w:left="850"/>
        <w:rPr>
          <w:noProof/>
        </w:rPr>
      </w:pPr>
      <w:r w:rsidRPr="001E3A2D">
        <w:rPr>
          <w:noProof/>
        </w:rPr>
        <w:t xml:space="preserve">Obligatorisch: In die Tabelle unten ist die bestmögliche Schätzung der für den Vorschlag/die Initiative erforderlichen Investitionen in digitale Technologien einzutragen. </w:t>
      </w:r>
    </w:p>
    <w:p w:rsidR="00127A9D" w:rsidRPr="001E3A2D" w:rsidRDefault="00127A9D" w:rsidP="00127A9D">
      <w:pPr>
        <w:spacing w:line="259" w:lineRule="auto"/>
        <w:ind w:left="850"/>
        <w:rPr>
          <w:noProof/>
        </w:rPr>
      </w:pPr>
      <w:r w:rsidRPr="001E3A2D">
        <w:rPr>
          <w:noProof/>
        </w:rPr>
        <w:t xml:space="preserve">Wenn für die Durchführung des Vorschlags/der Initiative erforderlich, sollten etwaige Mittel unter der Rubrik 7 in der dafür vorgesehenen Zeile angegeben werden. </w:t>
      </w:r>
    </w:p>
    <w:p w:rsidR="00127A9D" w:rsidRPr="001E3A2D" w:rsidRDefault="00127A9D" w:rsidP="00127A9D">
      <w:pPr>
        <w:spacing w:line="259" w:lineRule="auto"/>
        <w:ind w:left="850"/>
        <w:rPr>
          <w:noProof/>
        </w:rPr>
      </w:pPr>
      <w:r w:rsidRPr="001E3A2D">
        <w:rPr>
          <w:noProof/>
        </w:rPr>
        <w:t>Die unter die Rubriken 1-6 fallenden Mittel sollten als „IT-Ausgaben zur Politikunterstützung für operationelle Programme“ aufgeführt werden. Diese entsprechen den operativen Mitteln, die für Wiederverwendung/Erwerb/IT-Plattformentwicklung/Tools im Zusammenhang mit der Durchführung der Initiative und für die damit verbundenen Investitionen (z. B. Lizenzen, Studien, Datenspeicher) verwendet werden sollen. Die Angaben in dieser Tabelle sollten mit denen in Abschnitt 4 „Digitale Aspekte“ in Einklang stehen.</w:t>
      </w:r>
    </w:p>
    <w:tbl>
      <w:tblPr>
        <w:tblW w:w="0" w:type="auto"/>
        <w:tblLayout w:type="fixed"/>
        <w:tblLook w:val="04A0" w:firstRow="1" w:lastRow="0" w:firstColumn="1" w:lastColumn="0" w:noHBand="0" w:noVBand="1"/>
      </w:tblPr>
      <w:tblGrid>
        <w:gridCol w:w="3214"/>
        <w:gridCol w:w="835"/>
        <w:gridCol w:w="835"/>
        <w:gridCol w:w="835"/>
        <w:gridCol w:w="835"/>
        <w:gridCol w:w="981"/>
      </w:tblGrid>
      <w:tr w:rsidR="00127A9D" w:rsidRPr="001E3A2D">
        <w:trPr>
          <w:trHeight w:val="525"/>
        </w:trPr>
        <w:tc>
          <w:tcPr>
            <w:tcW w:w="3214" w:type="dxa"/>
            <w:vMerge w:val="restart"/>
            <w:tcBorders>
              <w:top w:val="single" w:sz="8" w:space="0" w:color="auto"/>
              <w:left w:val="single" w:sz="4" w:space="0" w:color="auto"/>
              <w:right w:val="single" w:sz="4" w:space="0" w:color="auto"/>
            </w:tcBorders>
            <w:tcMar>
              <w:left w:w="108" w:type="dxa"/>
              <w:right w:w="108" w:type="dxa"/>
            </w:tcMar>
            <w:vAlign w:val="center"/>
          </w:tcPr>
          <w:p w:rsidR="00127A9D" w:rsidRPr="001E3A2D" w:rsidRDefault="00127A9D" w:rsidP="00127A9D">
            <w:pPr>
              <w:spacing w:before="0" w:after="0"/>
              <w:jc w:val="center"/>
              <w:rPr>
                <w:b/>
                <w:bCs/>
                <w:noProof/>
                <w:sz w:val="18"/>
                <w:szCs w:val="18"/>
              </w:rPr>
            </w:pPr>
            <w:r w:rsidRPr="001E3A2D">
              <w:rPr>
                <w:b/>
                <w:noProof/>
                <w:sz w:val="18"/>
              </w:rPr>
              <w:t>Mittel INSGESAMT für Digitales und IT</w:t>
            </w:r>
          </w:p>
        </w:tc>
        <w:tc>
          <w:tcPr>
            <w:tcW w:w="835" w:type="dxa"/>
            <w:tcBorders>
              <w:top w:val="single" w:sz="8" w:space="0" w:color="auto"/>
              <w:left w:val="single" w:sz="4" w:space="0" w:color="auto"/>
              <w:bottom w:val="nil"/>
              <w:right w:val="single" w:sz="8" w:space="0" w:color="auto"/>
            </w:tcBorders>
            <w:tcMar>
              <w:left w:w="108" w:type="dxa"/>
              <w:right w:w="108" w:type="dxa"/>
            </w:tcMar>
            <w:vAlign w:val="center"/>
          </w:tcPr>
          <w:p w:rsidR="00127A9D" w:rsidRPr="001E3A2D" w:rsidRDefault="00127A9D" w:rsidP="00127A9D">
            <w:pPr>
              <w:spacing w:before="0" w:after="0"/>
              <w:jc w:val="center"/>
              <w:rPr>
                <w:noProof/>
                <w:sz w:val="18"/>
                <w:szCs w:val="18"/>
              </w:rPr>
            </w:pPr>
            <w:r w:rsidRPr="001E3A2D">
              <w:rPr>
                <w:noProof/>
                <w:sz w:val="18"/>
              </w:rPr>
              <w:t>Jahr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127A9D" w:rsidRPr="001E3A2D" w:rsidRDefault="00127A9D" w:rsidP="00127A9D">
            <w:pPr>
              <w:spacing w:before="0" w:after="0"/>
              <w:jc w:val="center"/>
              <w:rPr>
                <w:noProof/>
                <w:sz w:val="18"/>
                <w:szCs w:val="18"/>
              </w:rPr>
            </w:pPr>
            <w:r w:rsidRPr="001E3A2D">
              <w:rPr>
                <w:noProof/>
                <w:sz w:val="18"/>
              </w:rPr>
              <w:t>Jahr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127A9D" w:rsidRPr="001E3A2D" w:rsidRDefault="00127A9D" w:rsidP="00127A9D">
            <w:pPr>
              <w:spacing w:before="0" w:after="0"/>
              <w:jc w:val="center"/>
              <w:rPr>
                <w:noProof/>
                <w:sz w:val="18"/>
                <w:szCs w:val="18"/>
              </w:rPr>
            </w:pPr>
            <w:r w:rsidRPr="001E3A2D">
              <w:rPr>
                <w:noProof/>
                <w:sz w:val="18"/>
              </w:rPr>
              <w:t>Jahr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127A9D" w:rsidRPr="001E3A2D" w:rsidRDefault="00127A9D" w:rsidP="00127A9D">
            <w:pPr>
              <w:spacing w:before="0" w:after="0"/>
              <w:jc w:val="center"/>
              <w:rPr>
                <w:noProof/>
                <w:sz w:val="18"/>
                <w:szCs w:val="18"/>
              </w:rPr>
            </w:pPr>
            <w:r w:rsidRPr="001E3A2D">
              <w:rPr>
                <w:noProof/>
                <w:sz w:val="18"/>
              </w:rPr>
              <w:t>Jahr</w:t>
            </w:r>
          </w:p>
        </w:tc>
        <w:tc>
          <w:tcPr>
            <w:tcW w:w="981" w:type="dxa"/>
            <w:vMerge w:val="restart"/>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127A9D" w:rsidRPr="001E3A2D" w:rsidRDefault="00127A9D" w:rsidP="00127A9D">
            <w:pPr>
              <w:spacing w:before="0" w:after="0"/>
              <w:jc w:val="center"/>
              <w:rPr>
                <w:b/>
                <w:bCs/>
                <w:noProof/>
                <w:sz w:val="18"/>
                <w:szCs w:val="18"/>
              </w:rPr>
            </w:pPr>
            <w:r w:rsidRPr="001E3A2D">
              <w:rPr>
                <w:b/>
                <w:noProof/>
                <w:sz w:val="18"/>
              </w:rPr>
              <w:t>MFR 2021-2027 INSGESAMT</w:t>
            </w:r>
          </w:p>
        </w:tc>
      </w:tr>
      <w:tr w:rsidR="00127A9D" w:rsidRPr="001E3A2D">
        <w:trPr>
          <w:trHeight w:val="525"/>
        </w:trPr>
        <w:tc>
          <w:tcPr>
            <w:tcW w:w="3214" w:type="dxa"/>
            <w:vMerge/>
            <w:tcBorders>
              <w:top w:val="single" w:sz="8" w:space="0" w:color="auto"/>
              <w:left w:val="single" w:sz="4" w:space="0" w:color="auto"/>
              <w:right w:val="single" w:sz="4" w:space="0" w:color="auto"/>
            </w:tcBorders>
            <w:vAlign w:val="center"/>
          </w:tcPr>
          <w:p w:rsidR="00127A9D" w:rsidRPr="001E3A2D" w:rsidRDefault="00127A9D" w:rsidP="00127A9D">
            <w:pPr>
              <w:rPr>
                <w:noProof/>
              </w:rPr>
            </w:pPr>
          </w:p>
        </w:tc>
        <w:tc>
          <w:tcPr>
            <w:tcW w:w="835" w:type="dxa"/>
            <w:tcBorders>
              <w:top w:val="nil"/>
              <w:left w:val="single" w:sz="4" w:space="0" w:color="auto"/>
              <w:bottom w:val="single" w:sz="8" w:space="0" w:color="auto"/>
              <w:right w:val="single" w:sz="8" w:space="0" w:color="auto"/>
            </w:tcBorders>
            <w:tcMar>
              <w:left w:w="108" w:type="dxa"/>
              <w:right w:w="108" w:type="dxa"/>
            </w:tcMar>
            <w:vAlign w:val="center"/>
          </w:tcPr>
          <w:p w:rsidR="00127A9D" w:rsidRPr="001E3A2D" w:rsidRDefault="00127A9D" w:rsidP="00127A9D">
            <w:pPr>
              <w:spacing w:before="0" w:after="0"/>
              <w:jc w:val="center"/>
              <w:rPr>
                <w:b/>
                <w:bCs/>
                <w:noProof/>
                <w:sz w:val="18"/>
                <w:szCs w:val="18"/>
              </w:rPr>
            </w:pPr>
            <w:r w:rsidRPr="001E3A2D">
              <w:rPr>
                <w:b/>
                <w:noProof/>
                <w:sz w:val="18"/>
              </w:rPr>
              <w:t>2024</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127A9D" w:rsidRPr="001E3A2D" w:rsidRDefault="00127A9D" w:rsidP="00127A9D">
            <w:pPr>
              <w:spacing w:before="0" w:after="0"/>
              <w:jc w:val="center"/>
              <w:rPr>
                <w:b/>
                <w:bCs/>
                <w:noProof/>
                <w:sz w:val="18"/>
                <w:szCs w:val="18"/>
              </w:rPr>
            </w:pPr>
            <w:r w:rsidRPr="001E3A2D">
              <w:rPr>
                <w:b/>
                <w:noProof/>
                <w:sz w:val="18"/>
              </w:rPr>
              <w:t>2025</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127A9D" w:rsidRPr="001E3A2D" w:rsidRDefault="00127A9D" w:rsidP="00127A9D">
            <w:pPr>
              <w:spacing w:before="0" w:after="0"/>
              <w:jc w:val="center"/>
              <w:rPr>
                <w:b/>
                <w:bCs/>
                <w:noProof/>
                <w:sz w:val="18"/>
                <w:szCs w:val="18"/>
              </w:rPr>
            </w:pPr>
            <w:r w:rsidRPr="001E3A2D">
              <w:rPr>
                <w:b/>
                <w:noProof/>
                <w:sz w:val="18"/>
              </w:rPr>
              <w:t>2026</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127A9D" w:rsidRPr="001E3A2D" w:rsidRDefault="00127A9D" w:rsidP="00127A9D">
            <w:pPr>
              <w:spacing w:before="0" w:after="0"/>
              <w:jc w:val="center"/>
              <w:rPr>
                <w:b/>
                <w:bCs/>
                <w:noProof/>
                <w:sz w:val="18"/>
                <w:szCs w:val="18"/>
              </w:rPr>
            </w:pPr>
            <w:r w:rsidRPr="001E3A2D">
              <w:rPr>
                <w:b/>
                <w:noProof/>
                <w:sz w:val="18"/>
              </w:rPr>
              <w:t>2027</w:t>
            </w:r>
          </w:p>
        </w:tc>
        <w:tc>
          <w:tcPr>
            <w:tcW w:w="981" w:type="dxa"/>
            <w:vMerge/>
            <w:tcBorders>
              <w:bottom w:val="single" w:sz="4" w:space="0" w:color="auto"/>
              <w:right w:val="single" w:sz="4" w:space="0" w:color="auto"/>
            </w:tcBorders>
            <w:vAlign w:val="center"/>
          </w:tcPr>
          <w:p w:rsidR="00127A9D" w:rsidRPr="001E3A2D" w:rsidRDefault="00127A9D" w:rsidP="00127A9D">
            <w:pPr>
              <w:rPr>
                <w:noProof/>
              </w:rPr>
            </w:pPr>
          </w:p>
        </w:tc>
      </w:tr>
      <w:tr w:rsidR="00127A9D" w:rsidRPr="001E3A2D">
        <w:trPr>
          <w:trHeight w:val="300"/>
        </w:trPr>
        <w:tc>
          <w:tcPr>
            <w:tcW w:w="7535" w:type="dxa"/>
            <w:gridSpan w:val="6"/>
            <w:tcBorders>
              <w:top w:val="nil"/>
              <w:left w:val="single" w:sz="8" w:space="0" w:color="auto"/>
              <w:bottom w:val="single" w:sz="8" w:space="0" w:color="auto"/>
              <w:right w:val="single" w:sz="8" w:space="0" w:color="auto"/>
            </w:tcBorders>
            <w:tcMar>
              <w:left w:w="108" w:type="dxa"/>
              <w:right w:w="108" w:type="dxa"/>
            </w:tcMar>
            <w:vAlign w:val="center"/>
          </w:tcPr>
          <w:p w:rsidR="00127A9D" w:rsidRPr="001E3A2D" w:rsidRDefault="00127A9D" w:rsidP="00127A9D">
            <w:pPr>
              <w:spacing w:before="0" w:after="0"/>
              <w:jc w:val="left"/>
              <w:rPr>
                <w:b/>
                <w:bCs/>
                <w:noProof/>
                <w:sz w:val="16"/>
                <w:szCs w:val="16"/>
              </w:rPr>
            </w:pPr>
            <w:r w:rsidRPr="001E3A2D">
              <w:rPr>
                <w:b/>
                <w:noProof/>
                <w:sz w:val="16"/>
              </w:rPr>
              <w:t>RUBRIK 7</w:t>
            </w:r>
          </w:p>
        </w:tc>
      </w:tr>
      <w:tr w:rsidR="00127A9D" w:rsidRPr="001E3A2D">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27A9D" w:rsidRPr="001E3A2D" w:rsidRDefault="00127A9D" w:rsidP="00127A9D">
            <w:pPr>
              <w:spacing w:before="0" w:after="0"/>
              <w:jc w:val="left"/>
              <w:rPr>
                <w:noProof/>
                <w:sz w:val="16"/>
                <w:szCs w:val="16"/>
              </w:rPr>
            </w:pPr>
            <w:r w:rsidRPr="001E3A2D">
              <w:rPr>
                <w:rFonts w:ascii="Arial Narrow" w:hAnsi="Arial Narrow"/>
                <w:noProof/>
                <w:sz w:val="20"/>
              </w:rPr>
              <w:t>IT-Ausgaben (intern)</w:t>
            </w:r>
            <w:r w:rsidRPr="001E3A2D">
              <w:rPr>
                <w:noProof/>
                <w:sz w:val="16"/>
              </w:rPr>
              <w:t xml:space="preserve"> </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noProof/>
                <w:sz w:val="16"/>
                <w:szCs w:val="16"/>
              </w:rPr>
            </w:pPr>
            <w:r w:rsidRPr="001E3A2D">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noProof/>
                <w:sz w:val="16"/>
                <w:szCs w:val="16"/>
              </w:rPr>
            </w:pPr>
            <w:r w:rsidRPr="001E3A2D">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noProof/>
                <w:sz w:val="16"/>
                <w:szCs w:val="16"/>
              </w:rPr>
            </w:pPr>
            <w:r w:rsidRPr="001E3A2D">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noProof/>
                <w:sz w:val="16"/>
                <w:szCs w:val="16"/>
              </w:rPr>
            </w:pPr>
            <w:r w:rsidRPr="001E3A2D">
              <w:rPr>
                <w:noProof/>
                <w:sz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r>
      <w:tr w:rsidR="00127A9D" w:rsidRPr="001E3A2D">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rsidR="00127A9D" w:rsidRPr="001E3A2D" w:rsidRDefault="00127A9D" w:rsidP="00127A9D">
            <w:pPr>
              <w:spacing w:before="0" w:after="0"/>
              <w:jc w:val="center"/>
              <w:rPr>
                <w:b/>
                <w:bCs/>
                <w:noProof/>
                <w:sz w:val="16"/>
                <w:szCs w:val="16"/>
              </w:rPr>
            </w:pPr>
            <w:r w:rsidRPr="001E3A2D">
              <w:rPr>
                <w:b/>
                <w:noProof/>
                <w:sz w:val="16"/>
              </w:rPr>
              <w:t>Zwischensumme RUBRIK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r>
      <w:tr w:rsidR="00127A9D" w:rsidRPr="001E3A2D">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27A9D" w:rsidRPr="001E3A2D" w:rsidRDefault="00127A9D" w:rsidP="00127A9D">
            <w:pPr>
              <w:spacing w:before="0" w:after="0"/>
              <w:jc w:val="left"/>
              <w:rPr>
                <w:b/>
                <w:bCs/>
                <w:noProof/>
                <w:sz w:val="16"/>
                <w:szCs w:val="16"/>
              </w:rPr>
            </w:pPr>
            <w:r w:rsidRPr="001E3A2D">
              <w:rPr>
                <w:b/>
                <w:noProof/>
                <w:sz w:val="16"/>
              </w:rPr>
              <w:t>Außerhalb der RUBRIK 7</w:t>
            </w:r>
          </w:p>
        </w:tc>
      </w:tr>
      <w:tr w:rsidR="00127A9D" w:rsidRPr="001E3A2D">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27A9D" w:rsidRPr="001E3A2D" w:rsidRDefault="00127A9D" w:rsidP="00127A9D">
            <w:pPr>
              <w:spacing w:before="0" w:after="0"/>
              <w:jc w:val="left"/>
              <w:rPr>
                <w:rFonts w:ascii="Arial Narrow" w:eastAsia="Arial Narrow" w:hAnsi="Arial Narrow" w:cs="Arial Narrow"/>
                <w:noProof/>
                <w:sz w:val="20"/>
                <w:szCs w:val="20"/>
              </w:rPr>
            </w:pPr>
            <w:r w:rsidRPr="001E3A2D">
              <w:rPr>
                <w:rFonts w:ascii="Arial Narrow" w:hAnsi="Arial Narrow"/>
                <w:noProof/>
                <w:sz w:val="20"/>
              </w:rPr>
              <w:t>IT-Ausgaben zur Politikunterstützung für operationelle Programme</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noProof/>
                <w:sz w:val="16"/>
                <w:szCs w:val="16"/>
              </w:rPr>
            </w:pPr>
            <w:r w:rsidRPr="001E3A2D">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noProof/>
                <w:sz w:val="16"/>
                <w:szCs w:val="16"/>
              </w:rPr>
            </w:pPr>
            <w:r w:rsidRPr="001E3A2D">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noProof/>
                <w:sz w:val="16"/>
                <w:szCs w:val="16"/>
              </w:rPr>
            </w:pPr>
            <w:r w:rsidRPr="001E3A2D">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noProof/>
                <w:sz w:val="16"/>
                <w:szCs w:val="16"/>
              </w:rPr>
            </w:pPr>
            <w:r w:rsidRPr="001E3A2D">
              <w:rPr>
                <w:noProof/>
                <w:sz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r>
      <w:tr w:rsidR="00127A9D" w:rsidRPr="001E3A2D">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rsidR="00127A9D" w:rsidRPr="001E3A2D" w:rsidRDefault="00127A9D" w:rsidP="00127A9D">
            <w:pPr>
              <w:spacing w:before="0" w:after="0"/>
              <w:jc w:val="center"/>
              <w:rPr>
                <w:b/>
                <w:bCs/>
                <w:noProof/>
                <w:sz w:val="16"/>
                <w:szCs w:val="16"/>
              </w:rPr>
            </w:pPr>
            <w:r w:rsidRPr="001E3A2D">
              <w:rPr>
                <w:b/>
                <w:noProof/>
                <w:sz w:val="16"/>
              </w:rPr>
              <w:t>Zwischensumme außerhalb der RUBRIK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r>
      <w:tr w:rsidR="00127A9D" w:rsidRPr="001E3A2D">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27A9D" w:rsidRPr="001E3A2D" w:rsidRDefault="00127A9D" w:rsidP="00127A9D">
            <w:pPr>
              <w:spacing w:before="0" w:after="0"/>
              <w:jc w:val="center"/>
              <w:rPr>
                <w:noProof/>
                <w:sz w:val="16"/>
                <w:szCs w:val="16"/>
              </w:rPr>
            </w:pPr>
            <w:r w:rsidRPr="001E3A2D">
              <w:rPr>
                <w:noProof/>
                <w:sz w:val="16"/>
              </w:rPr>
              <w:t xml:space="preserve"> </w:t>
            </w:r>
          </w:p>
        </w:tc>
      </w:tr>
      <w:tr w:rsidR="00127A9D" w:rsidRPr="001E3A2D">
        <w:trPr>
          <w:trHeight w:val="315"/>
        </w:trPr>
        <w:tc>
          <w:tcPr>
            <w:tcW w:w="3214"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rsidR="00127A9D" w:rsidRPr="001E3A2D" w:rsidRDefault="00127A9D" w:rsidP="00127A9D">
            <w:pPr>
              <w:spacing w:before="0" w:after="0"/>
              <w:jc w:val="center"/>
              <w:rPr>
                <w:b/>
                <w:bCs/>
                <w:noProof/>
                <w:sz w:val="16"/>
                <w:szCs w:val="16"/>
              </w:rPr>
            </w:pPr>
            <w:r w:rsidRPr="001E3A2D">
              <w:rPr>
                <w:b/>
                <w:noProof/>
                <w:sz w:val="16"/>
              </w:rPr>
              <w:t>INSGESAMT</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c>
          <w:tcPr>
            <w:tcW w:w="981"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7A9D" w:rsidRPr="001E3A2D" w:rsidRDefault="00127A9D" w:rsidP="00127A9D">
            <w:pPr>
              <w:spacing w:before="0" w:after="0"/>
              <w:jc w:val="right"/>
              <w:rPr>
                <w:b/>
                <w:bCs/>
                <w:noProof/>
                <w:sz w:val="16"/>
                <w:szCs w:val="16"/>
              </w:rPr>
            </w:pPr>
            <w:r w:rsidRPr="001E3A2D">
              <w:rPr>
                <w:b/>
                <w:noProof/>
                <w:sz w:val="16"/>
              </w:rPr>
              <w:t>0,000</w:t>
            </w:r>
          </w:p>
        </w:tc>
      </w:tr>
    </w:tbl>
    <w:p w:rsidR="00127A9D" w:rsidRPr="001E3A2D" w:rsidRDefault="00127A9D" w:rsidP="00127A9D">
      <w:pPr>
        <w:keepNext/>
        <w:tabs>
          <w:tab w:val="left" w:pos="850"/>
        </w:tabs>
        <w:ind w:left="850" w:hanging="850"/>
        <w:outlineLvl w:val="2"/>
        <w:rPr>
          <w:i/>
          <w:noProof/>
        </w:rPr>
      </w:pPr>
      <w:bookmarkStart w:id="170" w:name="_Toc514938056"/>
      <w:bookmarkStart w:id="171" w:name="_Toc520485055"/>
      <w:bookmarkStart w:id="172" w:name="_Toc160804599"/>
      <w:bookmarkStart w:id="173" w:name="_Toc167220298"/>
      <w:bookmarkStart w:id="174" w:name="_Toc177549032"/>
      <w:bookmarkEnd w:id="169"/>
      <w:r w:rsidRPr="001E3A2D">
        <w:rPr>
          <w:i/>
          <w:noProof/>
        </w:rPr>
        <w:t>3.2.6</w:t>
      </w:r>
      <w:r w:rsidRPr="001E3A2D">
        <w:rPr>
          <w:noProof/>
        </w:rPr>
        <w:tab/>
      </w:r>
      <w:r w:rsidRPr="001E3A2D">
        <w:rPr>
          <w:i/>
          <w:noProof/>
        </w:rPr>
        <w:t>Vereinbarkeit mit dem derzeitigen Mehrjährigen Finanzrahmen</w:t>
      </w:r>
      <w:bookmarkEnd w:id="170"/>
      <w:bookmarkEnd w:id="171"/>
      <w:bookmarkEnd w:id="172"/>
      <w:bookmarkEnd w:id="173"/>
      <w:bookmarkEnd w:id="174"/>
      <w:r w:rsidRPr="001E3A2D">
        <w:rPr>
          <w:i/>
          <w:noProof/>
        </w:rPr>
        <w:t xml:space="preserve"> </w:t>
      </w:r>
    </w:p>
    <w:p w:rsidR="00127A9D" w:rsidRPr="001E3A2D" w:rsidRDefault="00127A9D" w:rsidP="00127A9D">
      <w:pPr>
        <w:ind w:left="850"/>
        <w:rPr>
          <w:noProof/>
        </w:rPr>
      </w:pPr>
      <w:r w:rsidRPr="001E3A2D">
        <w:rPr>
          <w:noProof/>
        </w:rPr>
        <w:t>Der Vorschlag/die Initiative:</w:t>
      </w:r>
    </w:p>
    <w:p w:rsidR="00127A9D" w:rsidRPr="001E3A2D" w:rsidRDefault="00127A9D" w:rsidP="00F337A7">
      <w:pPr>
        <w:pStyle w:val="Bullet0"/>
        <w:rPr>
          <w:noProof/>
        </w:rPr>
      </w:pPr>
      <w:r w:rsidRPr="001E3A2D">
        <w:rPr>
          <w:rFonts w:ascii="Wingdings" w:hAnsi="Wingdings"/>
          <w:noProof/>
        </w:rPr>
        <w:t></w:t>
      </w:r>
      <w:r w:rsidRPr="001E3A2D">
        <w:rPr>
          <w:noProof/>
        </w:rPr>
        <w:tab/>
        <w:t>kann durch Umschichtungen innerhalb der entsprechenden Rubrik des Mehrjährigen Finanzrahmens (MFR) in voller Höhe finanziert werden</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Entfällt – keine quantifizierbaren finanziellen Auswirkungen.</w:t>
      </w:r>
    </w:p>
    <w:p w:rsidR="00127A9D" w:rsidRPr="001E3A2D" w:rsidRDefault="00127A9D" w:rsidP="00F337A7">
      <w:pPr>
        <w:pStyle w:val="Bullet0"/>
        <w:rPr>
          <w:noProof/>
        </w:rPr>
      </w:pPr>
      <w:r w:rsidRPr="001E3A2D">
        <w:rPr>
          <w:rFonts w:ascii="Wingdings" w:hAnsi="Wingdings"/>
          <w:noProof/>
        </w:rPr>
        <w:t></w:t>
      </w:r>
      <w:r w:rsidRPr="001E3A2D">
        <w:rPr>
          <w:noProof/>
        </w:rPr>
        <w:tab/>
        <w:t>erfordert die Inanspruchnahme des verbleibenden Spielraums unter der einschlägigen Rubrik des MFR und/oder den Einsatz der besonderen Instrumente im Sinne der MFR-Verordnung</w:t>
      </w:r>
    </w:p>
    <w:p w:rsidR="00597710" w:rsidRPr="001E3A2D" w:rsidRDefault="00597710" w:rsidP="00127A9D">
      <w:pPr>
        <w:pBdr>
          <w:top w:val="single" w:sz="4" w:space="0" w:color="auto"/>
          <w:left w:val="single" w:sz="4" w:space="4" w:color="auto"/>
          <w:bottom w:val="single" w:sz="4" w:space="1" w:color="auto"/>
          <w:right w:val="single" w:sz="4" w:space="4" w:color="auto"/>
        </w:pBdr>
        <w:ind w:left="850"/>
        <w:rPr>
          <w:noProof/>
        </w:rPr>
      </w:pPr>
    </w:p>
    <w:p w:rsidR="00127A9D" w:rsidRPr="001E3A2D" w:rsidRDefault="00127A9D" w:rsidP="00F337A7">
      <w:pPr>
        <w:pStyle w:val="Bullet0"/>
        <w:rPr>
          <w:noProof/>
        </w:rPr>
      </w:pPr>
      <w:r w:rsidRPr="001E3A2D">
        <w:rPr>
          <w:rFonts w:ascii="Wingdings" w:hAnsi="Wingdings"/>
          <w:noProof/>
        </w:rPr>
        <w:t></w:t>
      </w:r>
      <w:r w:rsidRPr="001E3A2D">
        <w:rPr>
          <w:noProof/>
        </w:rPr>
        <w:tab/>
        <w:t>erfordert eine Änderung des MFR</w:t>
      </w:r>
    </w:p>
    <w:p w:rsidR="00597710" w:rsidRPr="001E3A2D" w:rsidRDefault="00597710" w:rsidP="00127A9D">
      <w:pPr>
        <w:pBdr>
          <w:top w:val="single" w:sz="4" w:space="1" w:color="auto"/>
          <w:left w:val="single" w:sz="4" w:space="4" w:color="auto"/>
          <w:bottom w:val="single" w:sz="4" w:space="1" w:color="auto"/>
          <w:right w:val="single" w:sz="4" w:space="4" w:color="auto"/>
        </w:pBdr>
        <w:ind w:left="850"/>
        <w:rPr>
          <w:noProof/>
        </w:rPr>
      </w:pPr>
    </w:p>
    <w:p w:rsidR="00127A9D" w:rsidRPr="001E3A2D" w:rsidRDefault="00127A9D" w:rsidP="00127A9D">
      <w:pPr>
        <w:keepNext/>
        <w:tabs>
          <w:tab w:val="left" w:pos="850"/>
        </w:tabs>
        <w:ind w:left="850" w:hanging="850"/>
        <w:outlineLvl w:val="2"/>
        <w:rPr>
          <w:i/>
          <w:noProof/>
        </w:rPr>
      </w:pPr>
      <w:bookmarkStart w:id="175" w:name="_Toc514938058"/>
      <w:bookmarkStart w:id="176" w:name="_Toc520485056"/>
      <w:bookmarkStart w:id="177" w:name="_Toc160804600"/>
      <w:bookmarkStart w:id="178" w:name="_Toc167220299"/>
      <w:bookmarkStart w:id="179" w:name="_Toc177549033"/>
      <w:r w:rsidRPr="001E3A2D">
        <w:rPr>
          <w:i/>
          <w:noProof/>
        </w:rPr>
        <w:t>3.2.7</w:t>
      </w:r>
      <w:r w:rsidRPr="001E3A2D">
        <w:rPr>
          <w:noProof/>
        </w:rPr>
        <w:tab/>
      </w:r>
      <w:r w:rsidRPr="001E3A2D">
        <w:rPr>
          <w:i/>
          <w:noProof/>
        </w:rPr>
        <w:t>Finanzierungsbeteiligung Dritter</w:t>
      </w:r>
      <w:bookmarkEnd w:id="175"/>
      <w:bookmarkEnd w:id="176"/>
      <w:bookmarkEnd w:id="177"/>
      <w:bookmarkEnd w:id="178"/>
      <w:bookmarkEnd w:id="179"/>
      <w:r w:rsidRPr="001E3A2D">
        <w:rPr>
          <w:i/>
          <w:noProof/>
        </w:rPr>
        <w:t xml:space="preserve"> </w:t>
      </w:r>
    </w:p>
    <w:p w:rsidR="00127A9D" w:rsidRPr="001E3A2D" w:rsidRDefault="00127A9D" w:rsidP="00127A9D">
      <w:pPr>
        <w:ind w:left="850"/>
        <w:rPr>
          <w:noProof/>
        </w:rPr>
      </w:pPr>
      <w:r w:rsidRPr="001E3A2D">
        <w:rPr>
          <w:noProof/>
        </w:rPr>
        <w:t>Der Vorschlag/die Initiative:</w:t>
      </w:r>
    </w:p>
    <w:p w:rsidR="00127A9D" w:rsidRPr="001E3A2D" w:rsidRDefault="00127A9D" w:rsidP="00F337A7">
      <w:pPr>
        <w:pStyle w:val="Bullet0"/>
        <w:rPr>
          <w:noProof/>
        </w:rPr>
      </w:pPr>
      <w:bookmarkStart w:id="180" w:name="_Hlk191568381"/>
      <w:r w:rsidRPr="001E3A2D">
        <w:rPr>
          <w:rFonts w:ascii="Wingdings" w:hAnsi="Wingdings"/>
          <w:noProof/>
        </w:rPr>
        <w:t></w:t>
      </w:r>
      <w:bookmarkEnd w:id="180"/>
      <w:r w:rsidRPr="001E3A2D">
        <w:rPr>
          <w:noProof/>
        </w:rPr>
        <w:tab/>
        <w:t>sieht keine Kofinanzierung durch Dritte vor.</w:t>
      </w:r>
    </w:p>
    <w:p w:rsidR="00127A9D" w:rsidRPr="001E3A2D" w:rsidRDefault="00127A9D" w:rsidP="00F337A7">
      <w:pPr>
        <w:pStyle w:val="Bullet0"/>
        <w:rPr>
          <w:noProof/>
        </w:rPr>
      </w:pPr>
      <w:r w:rsidRPr="001E3A2D">
        <w:rPr>
          <w:rFonts w:ascii="Wingdings" w:hAnsi="Wingdings"/>
          <w:noProof/>
        </w:rPr>
        <w:t></w:t>
      </w:r>
      <w:r w:rsidRPr="001E3A2D">
        <w:rPr>
          <w:noProof/>
        </w:rPr>
        <w:tab/>
        <w:t>sieht schätzungsweise folgende Kofinanzierung durch Dritte vor:</w:t>
      </w:r>
    </w:p>
    <w:p w:rsidR="00127A9D" w:rsidRPr="001E3A2D" w:rsidRDefault="00127A9D" w:rsidP="00127A9D">
      <w:pPr>
        <w:jc w:val="right"/>
        <w:rPr>
          <w:noProof/>
          <w:sz w:val="20"/>
        </w:rPr>
      </w:pPr>
      <w:r w:rsidRPr="001E3A2D">
        <w:rPr>
          <w:noProof/>
          <w:sz w:val="20"/>
        </w:rPr>
        <w:t>Mittel in Mio. EUR (3 Dezimalstellen)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7"/>
        <w:gridCol w:w="1217"/>
        <w:gridCol w:w="1217"/>
        <w:gridCol w:w="1217"/>
        <w:gridCol w:w="1217"/>
        <w:gridCol w:w="1462"/>
      </w:tblGrid>
      <w:tr w:rsidR="00127A9D" w:rsidRPr="001E3A2D">
        <w:trPr>
          <w:cantSplit/>
        </w:trPr>
        <w:tc>
          <w:tcPr>
            <w:tcW w:w="1591" w:type="pct"/>
          </w:tcPr>
          <w:p w:rsidR="00127A9D" w:rsidRPr="001E3A2D" w:rsidRDefault="00127A9D" w:rsidP="00127A9D">
            <w:pPr>
              <w:spacing w:before="60" w:after="60"/>
              <w:rPr>
                <w:noProof/>
                <w:sz w:val="20"/>
              </w:rPr>
            </w:pPr>
          </w:p>
        </w:tc>
        <w:tc>
          <w:tcPr>
            <w:tcW w:w="655" w:type="pct"/>
            <w:vAlign w:val="center"/>
          </w:tcPr>
          <w:p w:rsidR="00127A9D" w:rsidRPr="001E3A2D" w:rsidRDefault="00127A9D" w:rsidP="00127A9D">
            <w:pPr>
              <w:jc w:val="center"/>
              <w:rPr>
                <w:noProof/>
                <w:sz w:val="20"/>
              </w:rPr>
            </w:pPr>
            <w:r w:rsidRPr="001E3A2D">
              <w:rPr>
                <w:noProof/>
                <w:sz w:val="20"/>
              </w:rPr>
              <w:t>Jahr</w:t>
            </w:r>
            <w:r w:rsidRPr="001E3A2D">
              <w:rPr>
                <w:noProof/>
              </w:rPr>
              <w:t xml:space="preserve"> </w:t>
            </w:r>
            <w:r w:rsidRPr="001E3A2D">
              <w:rPr>
                <w:noProof/>
              </w:rPr>
              <w:br/>
            </w:r>
            <w:r w:rsidRPr="001E3A2D">
              <w:rPr>
                <w:b/>
                <w:noProof/>
                <w:sz w:val="20"/>
              </w:rPr>
              <w:t>2024</w:t>
            </w:r>
          </w:p>
        </w:tc>
        <w:tc>
          <w:tcPr>
            <w:tcW w:w="655" w:type="pct"/>
            <w:vAlign w:val="center"/>
          </w:tcPr>
          <w:p w:rsidR="00127A9D" w:rsidRPr="001E3A2D" w:rsidRDefault="00127A9D" w:rsidP="00127A9D">
            <w:pPr>
              <w:jc w:val="center"/>
              <w:rPr>
                <w:noProof/>
                <w:sz w:val="20"/>
              </w:rPr>
            </w:pPr>
            <w:r w:rsidRPr="001E3A2D">
              <w:rPr>
                <w:noProof/>
                <w:sz w:val="20"/>
              </w:rPr>
              <w:t>Jahr</w:t>
            </w:r>
            <w:r w:rsidRPr="001E3A2D">
              <w:rPr>
                <w:noProof/>
              </w:rPr>
              <w:t xml:space="preserve"> </w:t>
            </w:r>
            <w:r w:rsidRPr="001E3A2D">
              <w:rPr>
                <w:noProof/>
              </w:rPr>
              <w:br/>
            </w:r>
            <w:r w:rsidRPr="001E3A2D">
              <w:rPr>
                <w:b/>
                <w:noProof/>
                <w:sz w:val="20"/>
              </w:rPr>
              <w:t>2025</w:t>
            </w:r>
          </w:p>
        </w:tc>
        <w:tc>
          <w:tcPr>
            <w:tcW w:w="655" w:type="pct"/>
            <w:vAlign w:val="center"/>
          </w:tcPr>
          <w:p w:rsidR="00127A9D" w:rsidRPr="001E3A2D" w:rsidRDefault="00127A9D" w:rsidP="00127A9D">
            <w:pPr>
              <w:jc w:val="center"/>
              <w:rPr>
                <w:noProof/>
                <w:sz w:val="20"/>
              </w:rPr>
            </w:pPr>
            <w:r w:rsidRPr="001E3A2D">
              <w:rPr>
                <w:noProof/>
                <w:sz w:val="20"/>
              </w:rPr>
              <w:t>Jahr</w:t>
            </w:r>
            <w:r w:rsidRPr="001E3A2D">
              <w:rPr>
                <w:noProof/>
              </w:rPr>
              <w:t xml:space="preserve"> </w:t>
            </w:r>
            <w:r w:rsidRPr="001E3A2D">
              <w:rPr>
                <w:noProof/>
              </w:rPr>
              <w:br/>
            </w:r>
            <w:r w:rsidRPr="001E3A2D">
              <w:rPr>
                <w:b/>
                <w:noProof/>
                <w:sz w:val="20"/>
              </w:rPr>
              <w:t>2026</w:t>
            </w:r>
          </w:p>
        </w:tc>
        <w:tc>
          <w:tcPr>
            <w:tcW w:w="655" w:type="pct"/>
            <w:vAlign w:val="center"/>
          </w:tcPr>
          <w:p w:rsidR="00127A9D" w:rsidRPr="001E3A2D" w:rsidRDefault="00127A9D" w:rsidP="00127A9D">
            <w:pPr>
              <w:jc w:val="center"/>
              <w:rPr>
                <w:noProof/>
                <w:sz w:val="20"/>
              </w:rPr>
            </w:pPr>
            <w:r w:rsidRPr="001E3A2D">
              <w:rPr>
                <w:noProof/>
                <w:sz w:val="20"/>
              </w:rPr>
              <w:t>Jahr</w:t>
            </w:r>
            <w:r w:rsidRPr="001E3A2D">
              <w:rPr>
                <w:noProof/>
              </w:rPr>
              <w:t xml:space="preserve"> </w:t>
            </w:r>
            <w:r w:rsidRPr="001E3A2D">
              <w:rPr>
                <w:noProof/>
              </w:rPr>
              <w:br/>
            </w:r>
            <w:r w:rsidRPr="001E3A2D">
              <w:rPr>
                <w:b/>
                <w:noProof/>
                <w:sz w:val="20"/>
              </w:rPr>
              <w:t>2027</w:t>
            </w:r>
          </w:p>
        </w:tc>
        <w:tc>
          <w:tcPr>
            <w:tcW w:w="787" w:type="pct"/>
            <w:vAlign w:val="center"/>
          </w:tcPr>
          <w:p w:rsidR="00127A9D" w:rsidRPr="001E3A2D" w:rsidRDefault="00127A9D" w:rsidP="00127A9D">
            <w:pPr>
              <w:spacing w:before="60" w:after="60"/>
              <w:jc w:val="center"/>
              <w:rPr>
                <w:noProof/>
                <w:sz w:val="20"/>
              </w:rPr>
            </w:pPr>
            <w:r w:rsidRPr="001E3A2D">
              <w:rPr>
                <w:noProof/>
                <w:sz w:val="20"/>
              </w:rPr>
              <w:t>Insgesamt</w:t>
            </w:r>
          </w:p>
        </w:tc>
      </w:tr>
      <w:tr w:rsidR="00127A9D" w:rsidRPr="001E3A2D">
        <w:trPr>
          <w:cantSplit/>
        </w:trPr>
        <w:tc>
          <w:tcPr>
            <w:tcW w:w="1591" w:type="pct"/>
          </w:tcPr>
          <w:p w:rsidR="00127A9D" w:rsidRPr="001E3A2D" w:rsidRDefault="00127A9D" w:rsidP="00127A9D">
            <w:pPr>
              <w:rPr>
                <w:noProof/>
              </w:rPr>
            </w:pPr>
            <w:r w:rsidRPr="001E3A2D">
              <w:rPr>
                <w:noProof/>
                <w:sz w:val="20"/>
              </w:rPr>
              <w:t>Kofinanzierende Einrichtung</w:t>
            </w:r>
            <w:r w:rsidRPr="001E3A2D">
              <w:rPr>
                <w:i/>
                <w:noProof/>
                <w:sz w:val="20"/>
              </w:rPr>
              <w:t xml:space="preserve"> </w:t>
            </w:r>
          </w:p>
        </w:tc>
        <w:tc>
          <w:tcPr>
            <w:tcW w:w="655" w:type="pct"/>
            <w:vAlign w:val="center"/>
          </w:tcPr>
          <w:p w:rsidR="00127A9D" w:rsidRPr="001E3A2D" w:rsidRDefault="00127A9D" w:rsidP="00127A9D">
            <w:pPr>
              <w:spacing w:before="60" w:after="60"/>
              <w:jc w:val="center"/>
              <w:rPr>
                <w:noProof/>
                <w:sz w:val="20"/>
              </w:rPr>
            </w:pPr>
          </w:p>
        </w:tc>
        <w:tc>
          <w:tcPr>
            <w:tcW w:w="655" w:type="pct"/>
            <w:vAlign w:val="center"/>
          </w:tcPr>
          <w:p w:rsidR="00127A9D" w:rsidRPr="001E3A2D" w:rsidRDefault="00127A9D" w:rsidP="00127A9D">
            <w:pPr>
              <w:spacing w:before="60" w:after="60"/>
              <w:jc w:val="center"/>
              <w:rPr>
                <w:noProof/>
                <w:sz w:val="20"/>
              </w:rPr>
            </w:pPr>
          </w:p>
        </w:tc>
        <w:tc>
          <w:tcPr>
            <w:tcW w:w="655" w:type="pct"/>
            <w:vAlign w:val="center"/>
          </w:tcPr>
          <w:p w:rsidR="00127A9D" w:rsidRPr="001E3A2D" w:rsidRDefault="00127A9D" w:rsidP="00127A9D">
            <w:pPr>
              <w:spacing w:before="60" w:after="60"/>
              <w:jc w:val="center"/>
              <w:rPr>
                <w:noProof/>
                <w:sz w:val="20"/>
              </w:rPr>
            </w:pPr>
          </w:p>
        </w:tc>
        <w:tc>
          <w:tcPr>
            <w:tcW w:w="655" w:type="pct"/>
            <w:vAlign w:val="center"/>
          </w:tcPr>
          <w:p w:rsidR="00127A9D" w:rsidRPr="001E3A2D" w:rsidRDefault="00127A9D" w:rsidP="00127A9D">
            <w:pPr>
              <w:spacing w:before="60" w:after="60"/>
              <w:jc w:val="center"/>
              <w:rPr>
                <w:noProof/>
                <w:sz w:val="20"/>
              </w:rPr>
            </w:pPr>
          </w:p>
        </w:tc>
        <w:tc>
          <w:tcPr>
            <w:tcW w:w="787" w:type="pct"/>
            <w:vAlign w:val="center"/>
          </w:tcPr>
          <w:p w:rsidR="00127A9D" w:rsidRPr="001E3A2D" w:rsidRDefault="00127A9D" w:rsidP="00127A9D">
            <w:pPr>
              <w:spacing w:before="60" w:after="60"/>
              <w:jc w:val="center"/>
              <w:rPr>
                <w:noProof/>
                <w:sz w:val="20"/>
              </w:rPr>
            </w:pPr>
          </w:p>
        </w:tc>
      </w:tr>
      <w:tr w:rsidR="00127A9D" w:rsidRPr="001E3A2D">
        <w:trPr>
          <w:cantSplit/>
        </w:trPr>
        <w:tc>
          <w:tcPr>
            <w:tcW w:w="1591" w:type="pct"/>
          </w:tcPr>
          <w:p w:rsidR="00127A9D" w:rsidRPr="001E3A2D" w:rsidRDefault="00127A9D" w:rsidP="00127A9D">
            <w:pPr>
              <w:spacing w:before="60" w:after="60"/>
              <w:jc w:val="left"/>
              <w:rPr>
                <w:noProof/>
                <w:sz w:val="20"/>
              </w:rPr>
            </w:pPr>
            <w:r w:rsidRPr="001E3A2D">
              <w:rPr>
                <w:noProof/>
                <w:sz w:val="20"/>
              </w:rPr>
              <w:t xml:space="preserve">Kofinanzierung INSGESAMT </w:t>
            </w:r>
          </w:p>
        </w:tc>
        <w:tc>
          <w:tcPr>
            <w:tcW w:w="655" w:type="pct"/>
            <w:vAlign w:val="center"/>
          </w:tcPr>
          <w:p w:rsidR="00127A9D" w:rsidRPr="001E3A2D" w:rsidRDefault="00127A9D" w:rsidP="00127A9D">
            <w:pPr>
              <w:spacing w:before="60" w:after="60"/>
              <w:jc w:val="center"/>
              <w:rPr>
                <w:noProof/>
                <w:sz w:val="20"/>
              </w:rPr>
            </w:pPr>
          </w:p>
        </w:tc>
        <w:tc>
          <w:tcPr>
            <w:tcW w:w="655" w:type="pct"/>
            <w:vAlign w:val="center"/>
          </w:tcPr>
          <w:p w:rsidR="00127A9D" w:rsidRPr="001E3A2D" w:rsidRDefault="00127A9D" w:rsidP="00127A9D">
            <w:pPr>
              <w:spacing w:before="60" w:after="60"/>
              <w:jc w:val="center"/>
              <w:rPr>
                <w:noProof/>
                <w:sz w:val="20"/>
              </w:rPr>
            </w:pPr>
          </w:p>
        </w:tc>
        <w:tc>
          <w:tcPr>
            <w:tcW w:w="655" w:type="pct"/>
            <w:vAlign w:val="center"/>
          </w:tcPr>
          <w:p w:rsidR="00127A9D" w:rsidRPr="001E3A2D" w:rsidRDefault="00127A9D" w:rsidP="00127A9D">
            <w:pPr>
              <w:spacing w:before="60" w:after="60"/>
              <w:jc w:val="center"/>
              <w:rPr>
                <w:noProof/>
                <w:sz w:val="20"/>
              </w:rPr>
            </w:pPr>
          </w:p>
        </w:tc>
        <w:tc>
          <w:tcPr>
            <w:tcW w:w="655" w:type="pct"/>
            <w:vAlign w:val="center"/>
          </w:tcPr>
          <w:p w:rsidR="00127A9D" w:rsidRPr="001E3A2D" w:rsidRDefault="00127A9D" w:rsidP="00127A9D">
            <w:pPr>
              <w:spacing w:before="60" w:after="60"/>
              <w:jc w:val="center"/>
              <w:rPr>
                <w:noProof/>
                <w:sz w:val="20"/>
              </w:rPr>
            </w:pPr>
          </w:p>
        </w:tc>
        <w:tc>
          <w:tcPr>
            <w:tcW w:w="787" w:type="pct"/>
            <w:vAlign w:val="center"/>
          </w:tcPr>
          <w:p w:rsidR="00127A9D" w:rsidRPr="001E3A2D" w:rsidRDefault="00127A9D" w:rsidP="00127A9D">
            <w:pPr>
              <w:spacing w:before="60" w:after="60"/>
              <w:jc w:val="center"/>
              <w:rPr>
                <w:noProof/>
                <w:sz w:val="20"/>
              </w:rPr>
            </w:pPr>
          </w:p>
        </w:tc>
      </w:tr>
    </w:tbl>
    <w:p w:rsidR="00127A9D" w:rsidRPr="001E3A2D" w:rsidRDefault="00127A9D" w:rsidP="00127A9D">
      <w:pPr>
        <w:outlineLvl w:val="1"/>
        <w:rPr>
          <w:noProof/>
          <w:szCs w:val="24"/>
        </w:rPr>
      </w:pPr>
      <w:r w:rsidRPr="001E3A2D">
        <w:rPr>
          <w:noProof/>
        </w:rPr>
        <w:t xml:space="preserve"> </w:t>
      </w:r>
      <w:r w:rsidRPr="001E3A2D">
        <w:rPr>
          <w:noProof/>
        </w:rPr>
        <w:br/>
      </w:r>
      <w:bookmarkStart w:id="181" w:name="_Toc514938059"/>
      <w:bookmarkStart w:id="182" w:name="_Toc520485057"/>
      <w:bookmarkStart w:id="183" w:name="_Toc160804602"/>
      <w:bookmarkStart w:id="184" w:name="_Toc167220300"/>
      <w:bookmarkStart w:id="185" w:name="_Toc177549034"/>
      <w:bookmarkStart w:id="186" w:name="_Hlk166860179"/>
      <w:r w:rsidRPr="001E3A2D">
        <w:rPr>
          <w:noProof/>
        </w:rPr>
        <w:t>3.3</w:t>
      </w:r>
      <w:r w:rsidRPr="001E3A2D">
        <w:rPr>
          <w:noProof/>
        </w:rPr>
        <w:tab/>
        <w:t>Geschätzte Auswirkungen auf die Einnahmen</w:t>
      </w:r>
      <w:bookmarkEnd w:id="181"/>
      <w:bookmarkEnd w:id="182"/>
      <w:bookmarkEnd w:id="183"/>
      <w:bookmarkEnd w:id="184"/>
      <w:bookmarkEnd w:id="185"/>
      <w:r w:rsidRPr="001E3A2D">
        <w:rPr>
          <w:noProof/>
        </w:rPr>
        <w:t xml:space="preserve"> </w:t>
      </w:r>
    </w:p>
    <w:bookmarkEnd w:id="186"/>
    <w:p w:rsidR="00127A9D" w:rsidRPr="001E3A2D" w:rsidRDefault="00127A9D" w:rsidP="00F337A7">
      <w:pPr>
        <w:pStyle w:val="Bullet0"/>
        <w:rPr>
          <w:noProof/>
        </w:rPr>
      </w:pPr>
      <w:r w:rsidRPr="001E3A2D">
        <w:rPr>
          <w:rFonts w:ascii="Wingdings" w:hAnsi="Wingdings"/>
          <w:noProof/>
        </w:rPr>
        <w:t></w:t>
      </w:r>
      <w:r w:rsidRPr="001E3A2D">
        <w:rPr>
          <w:noProof/>
        </w:rPr>
        <w:tab/>
        <w:t>Der Vorschlag/Die Initiative wirkt sich nicht auf die Einnahmen aus.</w:t>
      </w:r>
    </w:p>
    <w:p w:rsidR="00127A9D" w:rsidRPr="001E3A2D" w:rsidRDefault="00127A9D" w:rsidP="00F337A7">
      <w:pPr>
        <w:pStyle w:val="Bullet0"/>
        <w:rPr>
          <w:noProof/>
        </w:rPr>
      </w:pPr>
      <w:r w:rsidRPr="001E3A2D">
        <w:rPr>
          <w:rFonts w:ascii="Wingdings" w:hAnsi="Wingdings"/>
          <w:noProof/>
        </w:rPr>
        <w:t></w:t>
      </w:r>
      <w:r w:rsidRPr="001E3A2D">
        <w:rPr>
          <w:noProof/>
        </w:rPr>
        <w:tab/>
        <w:t>Der Vorschlag/Die Initiative wirkt sich auf die Einnahmen aus, und zwar</w:t>
      </w:r>
    </w:p>
    <w:p w:rsidR="00127A9D" w:rsidRPr="001E3A2D" w:rsidRDefault="00EA6F78" w:rsidP="00EA6F78">
      <w:pPr>
        <w:pStyle w:val="Point0"/>
        <w:rPr>
          <w:noProof/>
        </w:rPr>
      </w:pPr>
      <w:r>
        <w:rPr>
          <w:rFonts w:ascii="Wingdings" w:hAnsi="Wingdings"/>
          <w:noProof/>
        </w:rPr>
        <w:t></w:t>
      </w:r>
      <w:r>
        <w:rPr>
          <w:rFonts w:ascii="Wingdings" w:hAnsi="Wingdings"/>
          <w:noProof/>
        </w:rPr>
        <w:t></w:t>
      </w:r>
      <w:r>
        <w:rPr>
          <w:rFonts w:ascii="Wingdings" w:hAnsi="Wingdings"/>
          <w:noProof/>
        </w:rPr>
        <w:t></w:t>
      </w:r>
      <w:r>
        <w:rPr>
          <w:rFonts w:ascii="Wingdings" w:hAnsi="Wingdings"/>
          <w:noProof/>
        </w:rPr>
        <w:tab/>
      </w:r>
      <w:r w:rsidR="00127A9D" w:rsidRPr="001E3A2D">
        <w:rPr>
          <w:rFonts w:ascii="Wingdings" w:hAnsi="Wingdings"/>
          <w:noProof/>
        </w:rPr>
        <w:t></w:t>
      </w:r>
      <w:r w:rsidR="00127A9D" w:rsidRPr="001E3A2D">
        <w:rPr>
          <w:noProof/>
        </w:rPr>
        <w:tab/>
        <w:t xml:space="preserve">auf die Eigenmittel </w:t>
      </w:r>
    </w:p>
    <w:p w:rsidR="00127A9D" w:rsidRPr="001E3A2D" w:rsidRDefault="00127A9D" w:rsidP="00F337A7">
      <w:pPr>
        <w:rPr>
          <w:rFonts w:eastAsia="Times New Roman"/>
          <w:noProof/>
        </w:rPr>
      </w:pPr>
      <w:r w:rsidRPr="001E3A2D">
        <w:rPr>
          <w:rFonts w:ascii="Wingdings" w:hAnsi="Wingdings"/>
          <w:noProof/>
        </w:rPr>
        <w:t></w:t>
      </w:r>
      <w:r w:rsidRPr="001E3A2D">
        <w:rPr>
          <w:noProof/>
        </w:rPr>
        <w:tab/>
        <w:t>auf die übrigen Einnahmen</w:t>
      </w:r>
    </w:p>
    <w:p w:rsidR="00127A9D" w:rsidRPr="001E3A2D" w:rsidRDefault="00127A9D" w:rsidP="00F337A7">
      <w:pPr>
        <w:rPr>
          <w:rFonts w:eastAsia="Times New Roman"/>
          <w:noProof/>
        </w:rPr>
      </w:pPr>
      <w:r w:rsidRPr="001E3A2D">
        <w:rPr>
          <w:rFonts w:ascii="Wingdings" w:hAnsi="Wingdings"/>
          <w:noProof/>
        </w:rPr>
        <w:t></w:t>
      </w:r>
      <w:r w:rsidRPr="001E3A2D">
        <w:rPr>
          <w:noProof/>
        </w:rPr>
        <w:tab/>
        <w:t>Einnahmen, die bestimmten Ausgabenlinien zugewiesen sind</w:t>
      </w:r>
    </w:p>
    <w:p w:rsidR="00127A9D" w:rsidRPr="001E3A2D" w:rsidRDefault="00127A9D" w:rsidP="00127A9D">
      <w:pPr>
        <w:jc w:val="right"/>
        <w:rPr>
          <w:noProof/>
          <w:sz w:val="20"/>
        </w:rPr>
      </w:pPr>
      <w:r w:rsidRPr="001E3A2D">
        <w:rPr>
          <w:noProof/>
          <w:sz w:val="20"/>
        </w:rPr>
        <w:t xml:space="preserve">     in Mio. EUR (3 Dezimalstellen)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3"/>
        <w:gridCol w:w="1614"/>
        <w:gridCol w:w="1692"/>
        <w:gridCol w:w="1044"/>
        <w:gridCol w:w="1035"/>
        <w:gridCol w:w="1259"/>
      </w:tblGrid>
      <w:tr w:rsidR="00127A9D" w:rsidRPr="001E3A2D">
        <w:trPr>
          <w:trHeight w:val="388"/>
        </w:trPr>
        <w:tc>
          <w:tcPr>
            <w:tcW w:w="1423" w:type="pct"/>
            <w:vMerge w:val="restart"/>
            <w:vAlign w:val="center"/>
          </w:tcPr>
          <w:p w:rsidR="00127A9D" w:rsidRPr="001E3A2D" w:rsidRDefault="00127A9D" w:rsidP="00127A9D">
            <w:pPr>
              <w:spacing w:before="40" w:after="40"/>
              <w:rPr>
                <w:noProof/>
                <w:sz w:val="18"/>
              </w:rPr>
            </w:pPr>
            <w:r w:rsidRPr="001E3A2D">
              <w:rPr>
                <w:noProof/>
                <w:sz w:val="18"/>
              </w:rPr>
              <w:t>Einnahmenlinie:</w:t>
            </w:r>
          </w:p>
        </w:tc>
        <w:tc>
          <w:tcPr>
            <w:tcW w:w="869" w:type="pct"/>
            <w:vMerge w:val="restart"/>
            <w:vAlign w:val="center"/>
          </w:tcPr>
          <w:p w:rsidR="00127A9D" w:rsidRPr="001E3A2D" w:rsidRDefault="00127A9D" w:rsidP="00127A9D">
            <w:pPr>
              <w:jc w:val="center"/>
              <w:rPr>
                <w:noProof/>
                <w:sz w:val="18"/>
              </w:rPr>
            </w:pPr>
            <w:r w:rsidRPr="001E3A2D">
              <w:rPr>
                <w:noProof/>
                <w:sz w:val="18"/>
              </w:rPr>
              <w:t>Für das laufende Haushaltsjahr zur Verfügung stehende Mittel</w:t>
            </w:r>
          </w:p>
        </w:tc>
        <w:tc>
          <w:tcPr>
            <w:tcW w:w="2709" w:type="pct"/>
            <w:gridSpan w:val="4"/>
            <w:vAlign w:val="center"/>
          </w:tcPr>
          <w:p w:rsidR="00127A9D" w:rsidRPr="001E3A2D" w:rsidRDefault="00127A9D" w:rsidP="00127A9D">
            <w:pPr>
              <w:jc w:val="center"/>
              <w:rPr>
                <w:noProof/>
                <w:sz w:val="18"/>
              </w:rPr>
            </w:pPr>
            <w:r w:rsidRPr="001E3A2D">
              <w:rPr>
                <w:noProof/>
                <w:sz w:val="18"/>
              </w:rPr>
              <w:t>Auswirkungen des Vorschlags/der Initiative</w:t>
            </w:r>
            <w:r w:rsidRPr="001E3A2D">
              <w:rPr>
                <w:rStyle w:val="FootnoteReference"/>
                <w:noProof/>
              </w:rPr>
              <w:footnoteReference w:id="20"/>
            </w:r>
          </w:p>
        </w:tc>
      </w:tr>
      <w:tr w:rsidR="00127A9D" w:rsidRPr="001E3A2D">
        <w:trPr>
          <w:trHeight w:val="388"/>
        </w:trPr>
        <w:tc>
          <w:tcPr>
            <w:tcW w:w="1423" w:type="pct"/>
            <w:vMerge/>
          </w:tcPr>
          <w:p w:rsidR="00127A9D" w:rsidRPr="001E3A2D" w:rsidRDefault="00127A9D" w:rsidP="00127A9D">
            <w:pPr>
              <w:spacing w:before="40" w:after="40"/>
              <w:rPr>
                <w:noProof/>
                <w:sz w:val="18"/>
              </w:rPr>
            </w:pPr>
          </w:p>
        </w:tc>
        <w:tc>
          <w:tcPr>
            <w:tcW w:w="869" w:type="pct"/>
            <w:vMerge/>
          </w:tcPr>
          <w:p w:rsidR="00127A9D" w:rsidRPr="001E3A2D" w:rsidRDefault="00127A9D" w:rsidP="00127A9D">
            <w:pPr>
              <w:spacing w:beforeLines="40" w:before="96" w:afterLines="40" w:after="96"/>
              <w:rPr>
                <w:i/>
                <w:noProof/>
                <w:sz w:val="18"/>
              </w:rPr>
            </w:pPr>
          </w:p>
        </w:tc>
        <w:tc>
          <w:tcPr>
            <w:tcW w:w="911" w:type="pct"/>
            <w:vAlign w:val="center"/>
          </w:tcPr>
          <w:p w:rsidR="00127A9D" w:rsidRPr="001E3A2D" w:rsidRDefault="00127A9D" w:rsidP="00127A9D">
            <w:pPr>
              <w:jc w:val="center"/>
              <w:rPr>
                <w:noProof/>
                <w:sz w:val="18"/>
              </w:rPr>
            </w:pPr>
            <w:r w:rsidRPr="001E3A2D">
              <w:rPr>
                <w:noProof/>
                <w:sz w:val="18"/>
              </w:rPr>
              <w:t xml:space="preserve">Jahr </w:t>
            </w:r>
            <w:r w:rsidRPr="001E3A2D">
              <w:rPr>
                <w:b/>
                <w:noProof/>
                <w:sz w:val="18"/>
              </w:rPr>
              <w:t>2024</w:t>
            </w:r>
          </w:p>
        </w:tc>
        <w:tc>
          <w:tcPr>
            <w:tcW w:w="562" w:type="pct"/>
            <w:vAlign w:val="center"/>
          </w:tcPr>
          <w:p w:rsidR="00127A9D" w:rsidRPr="001E3A2D" w:rsidRDefault="00127A9D" w:rsidP="00127A9D">
            <w:pPr>
              <w:jc w:val="center"/>
              <w:rPr>
                <w:noProof/>
                <w:sz w:val="18"/>
              </w:rPr>
            </w:pPr>
            <w:r w:rsidRPr="001E3A2D">
              <w:rPr>
                <w:noProof/>
                <w:sz w:val="18"/>
              </w:rPr>
              <w:t xml:space="preserve">Jahr </w:t>
            </w:r>
            <w:r w:rsidRPr="001E3A2D">
              <w:rPr>
                <w:b/>
                <w:noProof/>
                <w:sz w:val="18"/>
              </w:rPr>
              <w:t>2025</w:t>
            </w:r>
          </w:p>
        </w:tc>
        <w:tc>
          <w:tcPr>
            <w:tcW w:w="557" w:type="pct"/>
            <w:vAlign w:val="center"/>
          </w:tcPr>
          <w:p w:rsidR="00127A9D" w:rsidRPr="001E3A2D" w:rsidRDefault="00127A9D" w:rsidP="00127A9D">
            <w:pPr>
              <w:jc w:val="center"/>
              <w:rPr>
                <w:noProof/>
                <w:sz w:val="18"/>
              </w:rPr>
            </w:pPr>
            <w:r w:rsidRPr="001E3A2D">
              <w:rPr>
                <w:noProof/>
                <w:sz w:val="18"/>
              </w:rPr>
              <w:t xml:space="preserve">Jahr </w:t>
            </w:r>
            <w:r w:rsidRPr="001E3A2D">
              <w:rPr>
                <w:b/>
                <w:noProof/>
                <w:sz w:val="18"/>
              </w:rPr>
              <w:t>2026</w:t>
            </w:r>
          </w:p>
        </w:tc>
        <w:tc>
          <w:tcPr>
            <w:tcW w:w="679" w:type="pct"/>
            <w:vAlign w:val="center"/>
          </w:tcPr>
          <w:p w:rsidR="00127A9D" w:rsidRPr="001E3A2D" w:rsidRDefault="00127A9D" w:rsidP="00127A9D">
            <w:pPr>
              <w:jc w:val="center"/>
              <w:rPr>
                <w:noProof/>
                <w:sz w:val="18"/>
              </w:rPr>
            </w:pPr>
            <w:r w:rsidRPr="001E3A2D">
              <w:rPr>
                <w:noProof/>
                <w:sz w:val="18"/>
              </w:rPr>
              <w:t xml:space="preserve">Jahr </w:t>
            </w:r>
            <w:r w:rsidRPr="001E3A2D">
              <w:rPr>
                <w:b/>
                <w:noProof/>
                <w:sz w:val="18"/>
              </w:rPr>
              <w:t>2027</w:t>
            </w:r>
          </w:p>
        </w:tc>
      </w:tr>
      <w:tr w:rsidR="00127A9D" w:rsidRPr="001E3A2D">
        <w:trPr>
          <w:trHeight w:val="388"/>
        </w:trPr>
        <w:tc>
          <w:tcPr>
            <w:tcW w:w="1423" w:type="pct"/>
            <w:vAlign w:val="center"/>
          </w:tcPr>
          <w:p w:rsidR="00127A9D" w:rsidRPr="001E3A2D" w:rsidRDefault="00127A9D" w:rsidP="00127A9D">
            <w:pPr>
              <w:spacing w:before="40" w:after="40"/>
              <w:rPr>
                <w:noProof/>
                <w:sz w:val="18"/>
              </w:rPr>
            </w:pPr>
            <w:r w:rsidRPr="001E3A2D">
              <w:rPr>
                <w:noProof/>
                <w:sz w:val="18"/>
              </w:rPr>
              <w:t>Artikel ………….</w:t>
            </w:r>
          </w:p>
        </w:tc>
        <w:tc>
          <w:tcPr>
            <w:tcW w:w="869" w:type="pct"/>
          </w:tcPr>
          <w:p w:rsidR="00127A9D" w:rsidRPr="001E3A2D" w:rsidRDefault="00127A9D" w:rsidP="00127A9D">
            <w:pPr>
              <w:spacing w:beforeLines="40" w:before="96" w:afterLines="40" w:after="96"/>
              <w:jc w:val="center"/>
              <w:rPr>
                <w:i/>
                <w:noProof/>
                <w:sz w:val="18"/>
              </w:rPr>
            </w:pPr>
          </w:p>
        </w:tc>
        <w:tc>
          <w:tcPr>
            <w:tcW w:w="911" w:type="pct"/>
          </w:tcPr>
          <w:p w:rsidR="00127A9D" w:rsidRPr="001E3A2D" w:rsidRDefault="00127A9D" w:rsidP="00127A9D">
            <w:pPr>
              <w:spacing w:beforeLines="40" w:before="96" w:afterLines="40" w:after="96"/>
              <w:jc w:val="center"/>
              <w:rPr>
                <w:noProof/>
                <w:sz w:val="18"/>
              </w:rPr>
            </w:pPr>
          </w:p>
        </w:tc>
        <w:tc>
          <w:tcPr>
            <w:tcW w:w="562" w:type="pct"/>
          </w:tcPr>
          <w:p w:rsidR="00127A9D" w:rsidRPr="001E3A2D" w:rsidRDefault="00127A9D" w:rsidP="00127A9D">
            <w:pPr>
              <w:spacing w:beforeLines="40" w:before="96" w:afterLines="40" w:after="96"/>
              <w:jc w:val="center"/>
              <w:rPr>
                <w:noProof/>
                <w:sz w:val="18"/>
              </w:rPr>
            </w:pPr>
          </w:p>
        </w:tc>
        <w:tc>
          <w:tcPr>
            <w:tcW w:w="557" w:type="pct"/>
          </w:tcPr>
          <w:p w:rsidR="00127A9D" w:rsidRPr="001E3A2D" w:rsidRDefault="00127A9D" w:rsidP="00127A9D">
            <w:pPr>
              <w:spacing w:beforeLines="40" w:before="96" w:afterLines="40" w:after="96"/>
              <w:jc w:val="center"/>
              <w:rPr>
                <w:noProof/>
                <w:sz w:val="18"/>
              </w:rPr>
            </w:pPr>
          </w:p>
        </w:tc>
        <w:tc>
          <w:tcPr>
            <w:tcW w:w="679" w:type="pct"/>
          </w:tcPr>
          <w:p w:rsidR="00127A9D" w:rsidRPr="001E3A2D" w:rsidRDefault="00127A9D" w:rsidP="00127A9D">
            <w:pPr>
              <w:spacing w:beforeLines="40" w:before="96" w:afterLines="40" w:after="96"/>
              <w:jc w:val="center"/>
              <w:rPr>
                <w:noProof/>
                <w:sz w:val="18"/>
              </w:rPr>
            </w:pPr>
          </w:p>
        </w:tc>
      </w:tr>
    </w:tbl>
    <w:p w:rsidR="00127A9D" w:rsidRPr="001E3A2D" w:rsidRDefault="00127A9D" w:rsidP="00127A9D">
      <w:pPr>
        <w:ind w:left="850"/>
        <w:rPr>
          <w:noProof/>
          <w:szCs w:val="24"/>
        </w:rPr>
      </w:pPr>
      <w:r w:rsidRPr="001E3A2D">
        <w:rPr>
          <w:noProof/>
        </w:rPr>
        <w:t>Bitte geben Sie für die sonstigen zweckgebundenen Einnahmen die betreffende(n) Ausgabenlinie(n) im Haushaltsplan an.</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w:t>
      </w:r>
    </w:p>
    <w:p w:rsidR="00127A9D" w:rsidRPr="001E3A2D" w:rsidRDefault="00127A9D" w:rsidP="00127A9D">
      <w:pPr>
        <w:ind w:left="850"/>
        <w:rPr>
          <w:noProof/>
          <w:szCs w:val="24"/>
        </w:rPr>
      </w:pPr>
      <w:r w:rsidRPr="001E3A2D">
        <w:rPr>
          <w:noProof/>
        </w:rPr>
        <w:t>Sonstige Anmerkungen (bei der Ermittlung der Auswirkungen auf die Einnahmen verwendete Methode/Formel oder weitere Informationen).</w:t>
      </w:r>
    </w:p>
    <w:p w:rsidR="00127A9D" w:rsidRPr="001E3A2D" w:rsidRDefault="00127A9D" w:rsidP="00127A9D">
      <w:pPr>
        <w:pBdr>
          <w:top w:val="single" w:sz="4" w:space="1" w:color="auto"/>
          <w:left w:val="single" w:sz="4" w:space="4" w:color="auto"/>
          <w:bottom w:val="single" w:sz="4" w:space="1" w:color="auto"/>
          <w:right w:val="single" w:sz="4" w:space="4" w:color="auto"/>
        </w:pBdr>
        <w:ind w:left="850"/>
        <w:rPr>
          <w:noProof/>
        </w:rPr>
      </w:pPr>
      <w:r w:rsidRPr="001E3A2D">
        <w:rPr>
          <w:noProof/>
        </w:rPr>
        <w:t>[…]</w:t>
      </w:r>
    </w:p>
    <w:p w:rsidR="00127A9D" w:rsidRPr="001E3A2D" w:rsidRDefault="00127A9D" w:rsidP="00127A9D">
      <w:pPr>
        <w:keepNext/>
        <w:tabs>
          <w:tab w:val="left" w:pos="850"/>
        </w:tabs>
        <w:spacing w:before="360"/>
        <w:ind w:left="850" w:hanging="850"/>
        <w:outlineLvl w:val="0"/>
        <w:rPr>
          <w:b/>
          <w:caps/>
          <w:smallCaps/>
          <w:noProof/>
        </w:rPr>
      </w:pPr>
      <w:bookmarkStart w:id="187" w:name="_Toc167220301"/>
      <w:bookmarkStart w:id="188" w:name="_Toc177549035"/>
      <w:r w:rsidRPr="001E3A2D">
        <w:rPr>
          <w:b/>
          <w:smallCaps/>
          <w:noProof/>
        </w:rPr>
        <w:t>4</w:t>
      </w:r>
      <w:r w:rsidRPr="001E3A2D">
        <w:rPr>
          <w:noProof/>
        </w:rPr>
        <w:tab/>
      </w:r>
      <w:bookmarkStart w:id="189" w:name="_Hlk167692977"/>
      <w:r w:rsidRPr="001E3A2D">
        <w:rPr>
          <w:b/>
          <w:caps/>
          <w:smallCaps/>
          <w:noProof/>
        </w:rPr>
        <w:t>Digitale Aspekte</w:t>
      </w:r>
      <w:bookmarkEnd w:id="187"/>
      <w:bookmarkEnd w:id="188"/>
    </w:p>
    <w:p w:rsidR="00127A9D" w:rsidRPr="001E3A2D" w:rsidRDefault="00127A9D" w:rsidP="00127A9D">
      <w:pPr>
        <w:keepNext/>
        <w:tabs>
          <w:tab w:val="left" w:pos="0"/>
        </w:tabs>
        <w:outlineLvl w:val="1"/>
        <w:rPr>
          <w:bCs/>
          <w:noProof/>
        </w:rPr>
      </w:pPr>
    </w:p>
    <w:p w:rsidR="00127A9D" w:rsidRPr="001E3A2D" w:rsidRDefault="00127A9D" w:rsidP="00127A9D">
      <w:pPr>
        <w:keepNext/>
        <w:tabs>
          <w:tab w:val="left" w:pos="850"/>
        </w:tabs>
        <w:ind w:left="850" w:hanging="850"/>
        <w:outlineLvl w:val="1"/>
        <w:rPr>
          <w:b/>
          <w:noProof/>
        </w:rPr>
      </w:pPr>
      <w:bookmarkStart w:id="190" w:name="_Toc167220302"/>
      <w:bookmarkStart w:id="191" w:name="_Toc177549037"/>
      <w:r w:rsidRPr="001E3A2D">
        <w:rPr>
          <w:b/>
          <w:noProof/>
        </w:rPr>
        <w:t>4.1</w:t>
      </w:r>
      <w:r w:rsidRPr="001E3A2D">
        <w:rPr>
          <w:noProof/>
        </w:rPr>
        <w:tab/>
      </w:r>
      <w:r w:rsidRPr="001E3A2D">
        <w:rPr>
          <w:b/>
          <w:noProof/>
        </w:rPr>
        <w:t>Anforderungen von digitaler Relevanz</w:t>
      </w:r>
      <w:bookmarkEnd w:id="190"/>
      <w:bookmarkEnd w:id="191"/>
    </w:p>
    <w:tbl>
      <w:tblPr>
        <w:tblStyle w:val="TableGrid"/>
        <w:tblW w:w="9072" w:type="dxa"/>
        <w:tblInd w:w="-5" w:type="dxa"/>
        <w:tblLayout w:type="fixed"/>
        <w:tblLook w:val="06A0" w:firstRow="1" w:lastRow="0" w:firstColumn="1" w:lastColumn="0" w:noHBand="1" w:noVBand="1"/>
      </w:tblPr>
      <w:tblGrid>
        <w:gridCol w:w="9072"/>
      </w:tblGrid>
      <w:tr w:rsidR="00127A9D" w:rsidRPr="001E3A2D">
        <w:trPr>
          <w:trHeight w:val="300"/>
        </w:trPr>
        <w:tc>
          <w:tcPr>
            <w:tcW w:w="9072" w:type="dxa"/>
          </w:tcPr>
          <w:tbl>
            <w:tblPr>
              <w:tblStyle w:val="TableGrid"/>
              <w:tblW w:w="0" w:type="auto"/>
              <w:tblLayout w:type="fixed"/>
              <w:tblLook w:val="04A0" w:firstRow="1" w:lastRow="0" w:firstColumn="1" w:lastColumn="0" w:noHBand="0" w:noVBand="1"/>
            </w:tblPr>
            <w:tblGrid>
              <w:gridCol w:w="1563"/>
              <w:gridCol w:w="2260"/>
              <w:gridCol w:w="1850"/>
              <w:gridCol w:w="1399"/>
              <w:gridCol w:w="1769"/>
            </w:tblGrid>
            <w:tr w:rsidR="00127A9D" w:rsidRPr="001E3A2D">
              <w:trPr>
                <w:trHeight w:val="1109"/>
              </w:trPr>
              <w:tc>
                <w:tcPr>
                  <w:tcW w:w="1563" w:type="dxa"/>
                </w:tcPr>
                <w:p w:rsidR="00127A9D" w:rsidRPr="001E3A2D" w:rsidRDefault="00127A9D" w:rsidP="00127A9D">
                  <w:pPr>
                    <w:rPr>
                      <w:b/>
                      <w:bCs/>
                      <w:noProof/>
                    </w:rPr>
                  </w:pPr>
                  <w:r w:rsidRPr="001E3A2D">
                    <w:rPr>
                      <w:b/>
                      <w:noProof/>
                    </w:rPr>
                    <w:t>Verweis auf die Anforderung</w:t>
                  </w:r>
                </w:p>
              </w:tc>
              <w:tc>
                <w:tcPr>
                  <w:tcW w:w="2260" w:type="dxa"/>
                </w:tcPr>
                <w:p w:rsidR="00127A9D" w:rsidRPr="001E3A2D" w:rsidRDefault="00127A9D" w:rsidP="00127A9D">
                  <w:pPr>
                    <w:rPr>
                      <w:b/>
                      <w:bCs/>
                      <w:noProof/>
                    </w:rPr>
                  </w:pPr>
                  <w:r w:rsidRPr="001E3A2D">
                    <w:rPr>
                      <w:b/>
                      <w:noProof/>
                    </w:rPr>
                    <w:t>Beschreibung der Anforderung</w:t>
                  </w:r>
                </w:p>
              </w:tc>
              <w:tc>
                <w:tcPr>
                  <w:tcW w:w="1850" w:type="dxa"/>
                </w:tcPr>
                <w:p w:rsidR="00127A9D" w:rsidRPr="001E3A2D" w:rsidRDefault="00127A9D" w:rsidP="00127A9D">
                  <w:pPr>
                    <w:jc w:val="center"/>
                    <w:rPr>
                      <w:b/>
                      <w:bCs/>
                      <w:noProof/>
                    </w:rPr>
                  </w:pPr>
                  <w:r w:rsidRPr="001E3A2D">
                    <w:rPr>
                      <w:b/>
                      <w:noProof/>
                    </w:rPr>
                    <w:t>Von der Anforderung betroffener oder betreffender Akteur</w:t>
                  </w:r>
                </w:p>
              </w:tc>
              <w:tc>
                <w:tcPr>
                  <w:tcW w:w="1399" w:type="dxa"/>
                </w:tcPr>
                <w:p w:rsidR="00127A9D" w:rsidRPr="001E3A2D" w:rsidRDefault="00127A9D" w:rsidP="00127A9D">
                  <w:pPr>
                    <w:rPr>
                      <w:b/>
                      <w:bCs/>
                      <w:noProof/>
                    </w:rPr>
                  </w:pPr>
                  <w:r w:rsidRPr="001E3A2D">
                    <w:rPr>
                      <w:b/>
                      <w:noProof/>
                    </w:rPr>
                    <w:t>Verfahren auf übergeordneter Ebene</w:t>
                  </w:r>
                </w:p>
              </w:tc>
              <w:tc>
                <w:tcPr>
                  <w:tcW w:w="1769" w:type="dxa"/>
                </w:tcPr>
                <w:p w:rsidR="00127A9D" w:rsidRPr="001E3A2D" w:rsidRDefault="00127A9D" w:rsidP="00127A9D">
                  <w:pPr>
                    <w:rPr>
                      <w:b/>
                      <w:bCs/>
                      <w:noProof/>
                    </w:rPr>
                  </w:pPr>
                  <w:r w:rsidRPr="001E3A2D">
                    <w:rPr>
                      <w:b/>
                      <w:noProof/>
                    </w:rPr>
                    <w:t>Kategorie</w:t>
                  </w:r>
                </w:p>
              </w:tc>
            </w:tr>
            <w:tr w:rsidR="00127A9D" w:rsidRPr="001E3A2D">
              <w:tc>
                <w:tcPr>
                  <w:tcW w:w="1563" w:type="dxa"/>
                </w:tcPr>
                <w:p w:rsidR="00127A9D" w:rsidRPr="001E3A2D" w:rsidRDefault="00127A9D" w:rsidP="00127A9D">
                  <w:pPr>
                    <w:rPr>
                      <w:noProof/>
                    </w:rPr>
                  </w:pPr>
                  <w:r w:rsidRPr="001E3A2D">
                    <w:rPr>
                      <w:noProof/>
                    </w:rPr>
                    <w:t>Artikel 1 Nummer 6</w:t>
                  </w:r>
                </w:p>
                <w:p w:rsidR="00127A9D" w:rsidRPr="001E3A2D" w:rsidRDefault="00127A9D" w:rsidP="00127A9D">
                  <w:pPr>
                    <w:rPr>
                      <w:noProof/>
                    </w:rPr>
                  </w:pPr>
                </w:p>
              </w:tc>
              <w:tc>
                <w:tcPr>
                  <w:tcW w:w="2260" w:type="dxa"/>
                </w:tcPr>
                <w:p w:rsidR="00127A9D" w:rsidRPr="001E3A2D" w:rsidRDefault="00127A9D" w:rsidP="00127A9D">
                  <w:pPr>
                    <w:jc w:val="left"/>
                    <w:rPr>
                      <w:noProof/>
                    </w:rPr>
                  </w:pPr>
                  <w:r w:rsidRPr="001E3A2D">
                    <w:rPr>
                      <w:noProof/>
                    </w:rPr>
                    <w:t>Der Kommission wird die Befugnis übertragen, Vorschriften und Bestimmungen für die elektronische Bereitstellung obligatorischer Angaben gemäß Artikel 119 der Verordnung festzulegen.</w:t>
                  </w:r>
                </w:p>
              </w:tc>
              <w:tc>
                <w:tcPr>
                  <w:tcW w:w="1850" w:type="dxa"/>
                </w:tcPr>
                <w:p w:rsidR="00127A9D" w:rsidRPr="001E3A2D" w:rsidRDefault="00127A9D" w:rsidP="00127A9D">
                  <w:pPr>
                    <w:rPr>
                      <w:noProof/>
                    </w:rPr>
                  </w:pPr>
                  <w:r w:rsidRPr="001E3A2D">
                    <w:rPr>
                      <w:noProof/>
                    </w:rPr>
                    <w:t>- Kommission</w:t>
                  </w:r>
                </w:p>
                <w:p w:rsidR="00127A9D" w:rsidRPr="001E3A2D" w:rsidRDefault="00127A9D" w:rsidP="00127A9D">
                  <w:pPr>
                    <w:rPr>
                      <w:noProof/>
                    </w:rPr>
                  </w:pPr>
                  <w:r w:rsidRPr="001E3A2D">
                    <w:rPr>
                      <w:noProof/>
                    </w:rPr>
                    <w:t>- Interessenträger</w:t>
                  </w:r>
                </w:p>
                <w:p w:rsidR="00127A9D" w:rsidRPr="001E3A2D" w:rsidRDefault="00127A9D" w:rsidP="00127A9D">
                  <w:pPr>
                    <w:jc w:val="left"/>
                    <w:rPr>
                      <w:rFonts w:eastAsiaTheme="minorHAnsi"/>
                      <w:noProof/>
                      <w:szCs w:val="22"/>
                    </w:rPr>
                  </w:pPr>
                  <w:r w:rsidRPr="001E3A2D">
                    <w:rPr>
                      <w:noProof/>
                    </w:rPr>
                    <w:t>- Breite Öffentlichkeit</w:t>
                  </w:r>
                </w:p>
                <w:p w:rsidR="00127A9D" w:rsidRPr="001E3A2D" w:rsidRDefault="00127A9D" w:rsidP="00127A9D">
                  <w:pPr>
                    <w:rPr>
                      <w:noProof/>
                    </w:rPr>
                  </w:pPr>
                </w:p>
              </w:tc>
              <w:tc>
                <w:tcPr>
                  <w:tcW w:w="1399" w:type="dxa"/>
                </w:tcPr>
                <w:p w:rsidR="00127A9D" w:rsidRPr="001E3A2D" w:rsidRDefault="00127A9D" w:rsidP="00127A9D">
                  <w:pPr>
                    <w:rPr>
                      <w:noProof/>
                    </w:rPr>
                  </w:pPr>
                  <w:r w:rsidRPr="001E3A2D">
                    <w:rPr>
                      <w:noProof/>
                    </w:rPr>
                    <w:t>Etikettierung von Weinbauerzeugnissen</w:t>
                  </w:r>
                </w:p>
              </w:tc>
              <w:tc>
                <w:tcPr>
                  <w:tcW w:w="1769" w:type="dxa"/>
                </w:tcPr>
                <w:p w:rsidR="00127A9D" w:rsidRPr="001E3A2D" w:rsidRDefault="00127A9D" w:rsidP="00127A9D">
                  <w:pPr>
                    <w:rPr>
                      <w:noProof/>
                    </w:rPr>
                  </w:pPr>
                  <w:r w:rsidRPr="001E3A2D">
                    <w:rPr>
                      <w:noProof/>
                    </w:rPr>
                    <w:t>Digitale Lösung</w:t>
                  </w:r>
                </w:p>
              </w:tc>
            </w:tr>
            <w:tr w:rsidR="00127A9D" w:rsidRPr="001E3A2D">
              <w:tc>
                <w:tcPr>
                  <w:tcW w:w="1563" w:type="dxa"/>
                </w:tcPr>
                <w:p w:rsidR="00127A9D" w:rsidRPr="001E3A2D" w:rsidRDefault="00127A9D" w:rsidP="00127A9D">
                  <w:pPr>
                    <w:rPr>
                      <w:noProof/>
                    </w:rPr>
                  </w:pPr>
                  <w:r w:rsidRPr="001E3A2D">
                    <w:rPr>
                      <w:noProof/>
                    </w:rPr>
                    <w:t>Artikel 2 Absatz 3</w:t>
                  </w:r>
                </w:p>
              </w:tc>
              <w:tc>
                <w:tcPr>
                  <w:tcW w:w="2260" w:type="dxa"/>
                </w:tcPr>
                <w:p w:rsidR="00127A9D" w:rsidRPr="001E3A2D" w:rsidRDefault="000F0541" w:rsidP="00127A9D">
                  <w:pPr>
                    <w:jc w:val="left"/>
                    <w:rPr>
                      <w:rFonts w:eastAsiaTheme="minorHAnsi"/>
                      <w:noProof/>
                      <w:szCs w:val="22"/>
                    </w:rPr>
                  </w:pPr>
                  <w:r w:rsidRPr="001E3A2D">
                    <w:rPr>
                      <w:noProof/>
                    </w:rPr>
                    <w:t>Wie oben bei aromatisierten Weinerzeugnissen.</w:t>
                  </w:r>
                </w:p>
              </w:tc>
              <w:tc>
                <w:tcPr>
                  <w:tcW w:w="1850" w:type="dxa"/>
                </w:tcPr>
                <w:p w:rsidR="00127A9D" w:rsidRPr="001E3A2D" w:rsidRDefault="00127A9D" w:rsidP="00127A9D">
                  <w:pPr>
                    <w:rPr>
                      <w:noProof/>
                    </w:rPr>
                  </w:pPr>
                  <w:r w:rsidRPr="001E3A2D">
                    <w:rPr>
                      <w:noProof/>
                    </w:rPr>
                    <w:t>- Interessenträger</w:t>
                  </w:r>
                </w:p>
                <w:p w:rsidR="00127A9D" w:rsidRPr="001E3A2D" w:rsidRDefault="00127A9D" w:rsidP="00127A9D">
                  <w:pPr>
                    <w:rPr>
                      <w:noProof/>
                    </w:rPr>
                  </w:pPr>
                  <w:r w:rsidRPr="001E3A2D">
                    <w:rPr>
                      <w:noProof/>
                    </w:rPr>
                    <w:t>- Breite Öffentlichkeit</w:t>
                  </w:r>
                </w:p>
                <w:p w:rsidR="00127A9D" w:rsidRPr="001E3A2D" w:rsidRDefault="00127A9D" w:rsidP="00127A9D">
                  <w:pPr>
                    <w:rPr>
                      <w:noProof/>
                    </w:rPr>
                  </w:pPr>
                </w:p>
              </w:tc>
              <w:tc>
                <w:tcPr>
                  <w:tcW w:w="1399" w:type="dxa"/>
                </w:tcPr>
                <w:p w:rsidR="00127A9D" w:rsidRPr="001E3A2D" w:rsidRDefault="00127A9D" w:rsidP="00127A9D">
                  <w:pPr>
                    <w:rPr>
                      <w:noProof/>
                    </w:rPr>
                  </w:pPr>
                  <w:r w:rsidRPr="001E3A2D">
                    <w:rPr>
                      <w:noProof/>
                    </w:rPr>
                    <w:t>Etikettierung von aromatisierten Weinerzeugnissen</w:t>
                  </w:r>
                </w:p>
              </w:tc>
              <w:tc>
                <w:tcPr>
                  <w:tcW w:w="1769" w:type="dxa"/>
                </w:tcPr>
                <w:p w:rsidR="00127A9D" w:rsidRPr="001E3A2D" w:rsidRDefault="00127A9D" w:rsidP="00127A9D">
                  <w:pPr>
                    <w:rPr>
                      <w:noProof/>
                    </w:rPr>
                  </w:pPr>
                  <w:r w:rsidRPr="001E3A2D">
                    <w:rPr>
                      <w:noProof/>
                    </w:rPr>
                    <w:t>Digitale Lösung</w:t>
                  </w:r>
                </w:p>
              </w:tc>
            </w:tr>
          </w:tbl>
          <w:p w:rsidR="00127A9D" w:rsidRPr="001E3A2D" w:rsidRDefault="00127A9D" w:rsidP="00127A9D">
            <w:pPr>
              <w:rPr>
                <w:noProof/>
              </w:rPr>
            </w:pPr>
          </w:p>
        </w:tc>
      </w:tr>
    </w:tbl>
    <w:p w:rsidR="00127A9D" w:rsidRPr="001E3A2D" w:rsidRDefault="00127A9D" w:rsidP="00127A9D">
      <w:pPr>
        <w:keepNext/>
        <w:tabs>
          <w:tab w:val="left" w:pos="850"/>
        </w:tabs>
        <w:ind w:left="850" w:hanging="850"/>
        <w:outlineLvl w:val="1"/>
        <w:rPr>
          <w:b/>
          <w:noProof/>
        </w:rPr>
      </w:pPr>
      <w:bookmarkStart w:id="192" w:name="_Toc167220303"/>
      <w:bookmarkStart w:id="193" w:name="_Toc177549038"/>
      <w:r w:rsidRPr="001E3A2D">
        <w:rPr>
          <w:b/>
          <w:noProof/>
        </w:rPr>
        <w:t>4.2</w:t>
      </w:r>
      <w:r w:rsidRPr="001E3A2D">
        <w:rPr>
          <w:noProof/>
        </w:rPr>
        <w:tab/>
      </w:r>
      <w:r w:rsidRPr="001E3A2D">
        <w:rPr>
          <w:b/>
          <w:noProof/>
        </w:rPr>
        <w:t>Daten</w:t>
      </w:r>
      <w:bookmarkEnd w:id="192"/>
      <w:bookmarkEnd w:id="193"/>
    </w:p>
    <w:tbl>
      <w:tblPr>
        <w:tblStyle w:val="TableGrid"/>
        <w:tblW w:w="0" w:type="auto"/>
        <w:tblLook w:val="04A0" w:firstRow="1" w:lastRow="0" w:firstColumn="1" w:lastColumn="0" w:noHBand="0" w:noVBand="1"/>
      </w:tblPr>
      <w:tblGrid>
        <w:gridCol w:w="9063"/>
      </w:tblGrid>
      <w:tr w:rsidR="00127A9D" w:rsidRPr="001E3A2D">
        <w:tc>
          <w:tcPr>
            <w:tcW w:w="9063" w:type="dxa"/>
          </w:tcPr>
          <w:p w:rsidR="00127A9D" w:rsidRPr="001E3A2D" w:rsidRDefault="00127A9D" w:rsidP="00127A9D">
            <w:pPr>
              <w:rPr>
                <w:noProof/>
              </w:rPr>
            </w:pPr>
            <w:r w:rsidRPr="001E3A2D">
              <w:rPr>
                <w:noProof/>
              </w:rPr>
              <w:t xml:space="preserve">Die vorgeschlagenen Bestimmungen sehen Folgendes vor: a) Befugnis der Kommission, Vorschriften zur Ergänzung der bestehenden Vorschriften über die elektronische Bereitstellung bestimmter obligatorischer Angaben zu erlassen, die Marktteilnehmer den Verbrauchern im Weinsektor zur Verfügung stellen müssen (Artikel 1 Nummer 6). Der Schutz personenbezogener Daten wird bereits in der geltenden Verordnung berücksichtigt und fällt nicht in den Anwendungsbereich dieser Verordnung; b) die Angleichung der Bestimmungen über die elektronische Bereitstellung der Nährwertdeklaration und des Zutatenverzeichnisses aromatisierter Weinerzeugnisse an die Bestimmungen für Weinbauerzeugnisse (Artikel 2 Nummer 3). </w:t>
            </w:r>
          </w:p>
          <w:p w:rsidR="00127A9D" w:rsidRPr="001E3A2D" w:rsidRDefault="00127A9D" w:rsidP="00127A9D">
            <w:pPr>
              <w:rPr>
                <w:i/>
                <w:iCs/>
                <w:noProof/>
              </w:rPr>
            </w:pPr>
            <w:r w:rsidRPr="001E3A2D">
              <w:rPr>
                <w:i/>
                <w:noProof/>
              </w:rPr>
              <w:t>Angleichung an die europäische Datenstrategie</w:t>
            </w:r>
          </w:p>
          <w:p w:rsidR="00127A9D" w:rsidRPr="001E3A2D" w:rsidRDefault="00127A9D" w:rsidP="00127A9D">
            <w:pPr>
              <w:rPr>
                <w:noProof/>
              </w:rPr>
            </w:pPr>
            <w:r w:rsidRPr="001E3A2D">
              <w:rPr>
                <w:noProof/>
              </w:rPr>
              <w:t>Im Einklang mit der EU-Datenstrategie werden mit der delegierten Befugnis zur elektronischen Etikettierung von Weinbau- und Weinerzeugnissen die Begriffe und Vorschriften für den Verweis auf das elektronische Etikett harmonisiert, über das Verbraucherinformationen bereitgestellt werden, wodurch ein gemeinsames Vorgehen auf dem gesamten Unionsmarkt sichergestellt wird. Letztlich wird ein solcher Ansatz den unionsweiten Einsatz von Etiketten zum Nutzen der Bürger und Verbraucher ermöglichen. Die spezifischen Elemente im Zusammenhang mit der Angleichung an die europäische Datenstrategie sollten von Fall zu Fall geprüft werden, wenn von der Befugnis Gebrauch gemacht wird.</w:t>
            </w:r>
          </w:p>
          <w:p w:rsidR="00127A9D" w:rsidRPr="001E3A2D" w:rsidRDefault="00127A9D" w:rsidP="00127A9D">
            <w:pPr>
              <w:rPr>
                <w:i/>
                <w:iCs/>
                <w:noProof/>
              </w:rPr>
            </w:pPr>
            <w:r w:rsidRPr="001E3A2D">
              <w:rPr>
                <w:i/>
                <w:noProof/>
              </w:rPr>
              <w:t>Anpassung an den Grundsatz der einmaligen Erfassung</w:t>
            </w:r>
          </w:p>
          <w:p w:rsidR="00127A9D" w:rsidRPr="001E3A2D" w:rsidRDefault="00127A9D" w:rsidP="00127A9D">
            <w:pPr>
              <w:rPr>
                <w:i/>
                <w:iCs/>
                <w:noProof/>
              </w:rPr>
            </w:pPr>
            <w:r w:rsidRPr="001E3A2D">
              <w:rPr>
                <w:noProof/>
              </w:rPr>
              <w:t>Entfällt. Öffentliche Verwaltungen sind nicht betroffen.</w:t>
            </w:r>
          </w:p>
          <w:p w:rsidR="00127A9D" w:rsidRPr="001E3A2D" w:rsidRDefault="00127A9D" w:rsidP="00127A9D">
            <w:pPr>
              <w:rPr>
                <w:i/>
                <w:iCs/>
                <w:noProof/>
              </w:rPr>
            </w:pPr>
            <w:r w:rsidRPr="001E3A2D">
              <w:rPr>
                <w:i/>
                <w:noProof/>
              </w:rPr>
              <w:t>Datenströme</w:t>
            </w:r>
          </w:p>
          <w:p w:rsidR="00127A9D" w:rsidRPr="001E3A2D" w:rsidRDefault="00127A9D" w:rsidP="00127A9D">
            <w:pPr>
              <w:spacing w:before="0"/>
              <w:rPr>
                <w:noProof/>
              </w:rPr>
            </w:pPr>
            <w:r w:rsidRPr="001E3A2D">
              <w:rPr>
                <w:noProof/>
              </w:rPr>
              <w:t>Entfällt.</w:t>
            </w:r>
          </w:p>
        </w:tc>
      </w:tr>
    </w:tbl>
    <w:p w:rsidR="00127A9D" w:rsidRPr="001E3A2D" w:rsidRDefault="00127A9D" w:rsidP="00127A9D">
      <w:pPr>
        <w:keepNext/>
        <w:tabs>
          <w:tab w:val="left" w:pos="850"/>
        </w:tabs>
        <w:ind w:left="850" w:hanging="850"/>
        <w:outlineLvl w:val="1"/>
        <w:rPr>
          <w:b/>
          <w:noProof/>
        </w:rPr>
      </w:pPr>
      <w:bookmarkStart w:id="194" w:name="_Toc167220305"/>
      <w:bookmarkStart w:id="195" w:name="_Toc177549039"/>
      <w:r w:rsidRPr="001E3A2D">
        <w:rPr>
          <w:b/>
          <w:noProof/>
        </w:rPr>
        <w:t>4.3</w:t>
      </w:r>
      <w:r w:rsidRPr="001E3A2D">
        <w:rPr>
          <w:noProof/>
        </w:rPr>
        <w:tab/>
      </w:r>
      <w:r w:rsidRPr="001E3A2D">
        <w:rPr>
          <w:b/>
          <w:noProof/>
        </w:rPr>
        <w:t>Digitale Lösungen</w:t>
      </w:r>
      <w:bookmarkEnd w:id="194"/>
      <w:bookmarkEnd w:id="195"/>
    </w:p>
    <w:tbl>
      <w:tblPr>
        <w:tblStyle w:val="TableGrid"/>
        <w:tblpPr w:leftFromText="141" w:rightFromText="141" w:vertAnchor="text" w:horzAnchor="margin" w:tblpY="2"/>
        <w:tblW w:w="9067" w:type="dxa"/>
        <w:tblLook w:val="04A0" w:firstRow="1" w:lastRow="0" w:firstColumn="1" w:lastColumn="0" w:noHBand="0" w:noVBand="1"/>
      </w:tblPr>
      <w:tblGrid>
        <w:gridCol w:w="9067"/>
      </w:tblGrid>
      <w:tr w:rsidR="00127A9D" w:rsidRPr="001E3A2D">
        <w:tc>
          <w:tcPr>
            <w:tcW w:w="9067" w:type="dxa"/>
          </w:tcPr>
          <w:p w:rsidR="00127A9D" w:rsidRPr="001E3A2D" w:rsidRDefault="00127A9D" w:rsidP="00127A9D">
            <w:pPr>
              <w:rPr>
                <w:noProof/>
              </w:rPr>
            </w:pPr>
            <w:r w:rsidRPr="001E3A2D">
              <w:rPr>
                <w:i/>
                <w:noProof/>
                <w:u w:val="single"/>
              </w:rPr>
              <w:t>Digitale Lösung</w:t>
            </w:r>
            <w:r w:rsidRPr="001E3A2D">
              <w:rPr>
                <w:i/>
                <w:noProof/>
              </w:rPr>
              <w:t>:</w:t>
            </w:r>
            <w:r w:rsidRPr="001E3A2D">
              <w:rPr>
                <w:noProof/>
              </w:rPr>
              <w:t xml:space="preserve"> Befugnisübertragung in Bezug auf die elektronische Bereitstellung obligatorischer Etikettierungsangaben.</w:t>
            </w:r>
          </w:p>
          <w:p w:rsidR="00127A9D" w:rsidRPr="001E3A2D" w:rsidRDefault="00127A9D" w:rsidP="00127A9D">
            <w:pPr>
              <w:rPr>
                <w:noProof/>
              </w:rPr>
            </w:pPr>
            <w:r w:rsidRPr="001E3A2D">
              <w:rPr>
                <w:noProof/>
              </w:rPr>
              <w:t>Einschlägige Bestimmungen: Artikel 1 Nummer 6</w:t>
            </w:r>
          </w:p>
          <w:p w:rsidR="00127A9D" w:rsidRPr="001E3A2D" w:rsidRDefault="00127A9D" w:rsidP="00127A9D">
            <w:pPr>
              <w:rPr>
                <w:noProof/>
              </w:rPr>
            </w:pPr>
            <w:r w:rsidRPr="001E3A2D">
              <w:rPr>
                <w:noProof/>
              </w:rPr>
              <w:t>Die Kommission kann delegierte Rechtsakte ausarbeiten, um einen einheitlichen Verweis auf das elektronische Etikett auf der Verpackung oder dem physischen Etikett von Weinbauerzeugnissen festzulegen, das den Verbrauchern obligatorische Informationen liefert, und um die Vorschriften über die elektronische Etikettierung erforderlichenfalls an den künftigen technologischen Fortschritt anzupassen (z. B. höhere Anforderungen an die Bereitstellung elektronischer Informationen zwischen Marktteilnehmern oder von Marktteilnehmern an die Verbraucher). Neue Vorschriften würden somit die Zugänglichkeit und Verständlichkeit digitaler Etiketten in der gesamten EU verbessern, die Kosten für die Marktteilnehmer senken und die Transparenz für die Verbraucher erhöhen.</w:t>
            </w:r>
          </w:p>
          <w:p w:rsidR="00127A9D" w:rsidRPr="001E3A2D" w:rsidRDefault="00127A9D" w:rsidP="00127A9D">
            <w:pPr>
              <w:rPr>
                <w:noProof/>
              </w:rPr>
            </w:pPr>
            <w:r w:rsidRPr="001E3A2D">
              <w:rPr>
                <w:noProof/>
              </w:rPr>
              <w:t>Zuständige Stelle: Europäische Kommission (für die Befugnisübertragung); die Marktteilnehmer (für die Umsetzung).</w:t>
            </w:r>
          </w:p>
          <w:p w:rsidR="00127A9D" w:rsidRPr="001E3A2D" w:rsidRDefault="00127A9D" w:rsidP="00127A9D">
            <w:pPr>
              <w:rPr>
                <w:noProof/>
              </w:rPr>
            </w:pPr>
          </w:p>
          <w:p w:rsidR="00127A9D" w:rsidRPr="001E3A2D" w:rsidRDefault="00127A9D" w:rsidP="00127A9D">
            <w:pPr>
              <w:rPr>
                <w:noProof/>
              </w:rPr>
            </w:pPr>
            <w:r w:rsidRPr="001E3A2D">
              <w:rPr>
                <w:i/>
                <w:noProof/>
                <w:u w:val="single"/>
              </w:rPr>
              <w:t>Digitale Lösung</w:t>
            </w:r>
            <w:r w:rsidRPr="001E3A2D">
              <w:rPr>
                <w:i/>
                <w:noProof/>
              </w:rPr>
              <w:t>:</w:t>
            </w:r>
            <w:r w:rsidRPr="001E3A2D">
              <w:rPr>
                <w:noProof/>
              </w:rPr>
              <w:t xml:space="preserve"> Bestimmung, die die elektronische Bereitstellung obligatorischer Informationen ermöglicht.</w:t>
            </w:r>
          </w:p>
          <w:p w:rsidR="00127A9D" w:rsidRPr="001E3A2D" w:rsidRDefault="00127A9D" w:rsidP="00127A9D">
            <w:pPr>
              <w:rPr>
                <w:noProof/>
              </w:rPr>
            </w:pPr>
            <w:r w:rsidRPr="001E3A2D">
              <w:rPr>
                <w:noProof/>
              </w:rPr>
              <w:t>Einschlägige Bestimmungen: Artikel 2 Nummer 3</w:t>
            </w:r>
          </w:p>
          <w:p w:rsidR="00127A9D" w:rsidRPr="001E3A2D" w:rsidRDefault="00127A9D" w:rsidP="00127A9D">
            <w:pPr>
              <w:rPr>
                <w:noProof/>
              </w:rPr>
            </w:pPr>
            <w:r w:rsidRPr="001E3A2D">
              <w:rPr>
                <w:noProof/>
              </w:rPr>
              <w:t xml:space="preserve">Die Vorschriften für den Verweis auf das elektronische Etikett für aromatisierte Weinerzeugnisse würden an die Vorschriften des Weinsektors angeglichen, sodass für alle Sektoren ein einheitliches System gilt. Wichtigste verbindlich geltende Vorschriften für Wein, die übernommen würden: die Marktteilnehmer können bestimmte obligatorische Informationen (Zutatenverzeichnis, Nährwertdeklaration) auf dem physischen Etikett oder auf einem elektronischem Etikett bereitstellen, auf das auf der Verpackung oder auf einem daran befestigten Etikett verwiesen wird. Im Rahmen dieses Systems dürfen keine Nutzerdaten erhoben und nachverfolgt und keine Informationen zu Marketingzwecken bereitgestellt werden. </w:t>
            </w:r>
          </w:p>
          <w:p w:rsidR="00127A9D" w:rsidRPr="001E3A2D" w:rsidRDefault="00127A9D" w:rsidP="00127A9D">
            <w:pPr>
              <w:rPr>
                <w:noProof/>
              </w:rPr>
            </w:pPr>
            <w:r w:rsidRPr="001E3A2D">
              <w:rPr>
                <w:noProof/>
              </w:rPr>
              <w:t>Zuständige Stelle: der jeweilige Marktteilnehmer.</w:t>
            </w:r>
          </w:p>
          <w:p w:rsidR="00127A9D" w:rsidRPr="001E3A2D" w:rsidRDefault="00127A9D" w:rsidP="00127A9D">
            <w:pPr>
              <w:rPr>
                <w:noProof/>
              </w:rPr>
            </w:pPr>
            <w:r w:rsidRPr="001E3A2D">
              <w:rPr>
                <w:noProof/>
              </w:rPr>
              <w:t>Derzeit ist im Rahmen der politischen Initiative kein Einsatz von KI-Technologien für die ermittelte digitale Lösung vorgesehen.</w:t>
            </w:r>
          </w:p>
        </w:tc>
      </w:tr>
    </w:tbl>
    <w:p w:rsidR="00127A9D" w:rsidRPr="001E3A2D" w:rsidRDefault="00127A9D" w:rsidP="00127A9D">
      <w:pPr>
        <w:keepNext/>
        <w:tabs>
          <w:tab w:val="left" w:pos="850"/>
        </w:tabs>
        <w:ind w:left="850" w:hanging="850"/>
        <w:outlineLvl w:val="1"/>
        <w:rPr>
          <w:bCs/>
          <w:noProof/>
        </w:rPr>
      </w:pPr>
      <w:bookmarkStart w:id="196" w:name="_Toc167220304"/>
      <w:bookmarkStart w:id="197" w:name="_Toc177549040"/>
      <w:r w:rsidRPr="001E3A2D">
        <w:rPr>
          <w:b/>
          <w:noProof/>
        </w:rPr>
        <w:t>4.4</w:t>
      </w:r>
      <w:r w:rsidRPr="001E3A2D">
        <w:rPr>
          <w:noProof/>
        </w:rPr>
        <w:tab/>
      </w:r>
      <w:r w:rsidRPr="001E3A2D">
        <w:rPr>
          <w:b/>
          <w:noProof/>
        </w:rPr>
        <w:t>Interoperabilitätsbewertung</w:t>
      </w:r>
      <w:bookmarkEnd w:id="196"/>
      <w:bookmarkEnd w:id="197"/>
    </w:p>
    <w:tbl>
      <w:tblPr>
        <w:tblStyle w:val="TableGrid"/>
        <w:tblpPr w:leftFromText="141" w:rightFromText="141" w:vertAnchor="text" w:horzAnchor="margin" w:tblpY="36"/>
        <w:tblW w:w="9067" w:type="dxa"/>
        <w:tblLayout w:type="fixed"/>
        <w:tblLook w:val="06A0" w:firstRow="1" w:lastRow="0" w:firstColumn="1" w:lastColumn="0" w:noHBand="1" w:noVBand="1"/>
      </w:tblPr>
      <w:tblGrid>
        <w:gridCol w:w="9067"/>
      </w:tblGrid>
      <w:tr w:rsidR="00127A9D" w:rsidRPr="001E3A2D">
        <w:trPr>
          <w:trHeight w:val="300"/>
        </w:trPr>
        <w:tc>
          <w:tcPr>
            <w:tcW w:w="9067" w:type="dxa"/>
          </w:tcPr>
          <w:p w:rsidR="00127A9D" w:rsidRPr="001E3A2D" w:rsidRDefault="00127A9D" w:rsidP="00127A9D">
            <w:pPr>
              <w:rPr>
                <w:i/>
                <w:iCs/>
                <w:noProof/>
              </w:rPr>
            </w:pPr>
            <w:r w:rsidRPr="001E3A2D">
              <w:rPr>
                <w:noProof/>
              </w:rPr>
              <w:t>Die in der politischen Initiative festgelegten Anforderungen betreffen keine digitalen öffentlichen Dienste.</w:t>
            </w:r>
          </w:p>
        </w:tc>
      </w:tr>
    </w:tbl>
    <w:p w:rsidR="00127A9D" w:rsidRPr="001E3A2D" w:rsidRDefault="00127A9D" w:rsidP="00127A9D">
      <w:pPr>
        <w:keepNext/>
        <w:tabs>
          <w:tab w:val="left" w:pos="850"/>
        </w:tabs>
        <w:ind w:left="850" w:hanging="850"/>
        <w:outlineLvl w:val="1"/>
        <w:rPr>
          <w:b/>
          <w:noProof/>
        </w:rPr>
      </w:pPr>
      <w:bookmarkStart w:id="198" w:name="_Toc167220306"/>
      <w:bookmarkStart w:id="199" w:name="_Toc177549041"/>
      <w:r w:rsidRPr="001E3A2D">
        <w:rPr>
          <w:b/>
          <w:noProof/>
        </w:rPr>
        <w:t>4.5</w:t>
      </w:r>
      <w:r w:rsidRPr="001E3A2D">
        <w:rPr>
          <w:noProof/>
        </w:rPr>
        <w:tab/>
      </w:r>
      <w:r w:rsidRPr="001E3A2D">
        <w:rPr>
          <w:b/>
          <w:noProof/>
        </w:rPr>
        <w:t>Unterstützungsmaßnahmen für die digitale Umsetzung</w:t>
      </w:r>
      <w:bookmarkEnd w:id="198"/>
      <w:bookmarkEnd w:id="199"/>
    </w:p>
    <w:tbl>
      <w:tblPr>
        <w:tblStyle w:val="TableGrid"/>
        <w:tblpPr w:leftFromText="141" w:rightFromText="141" w:vertAnchor="text" w:horzAnchor="margin" w:tblpY="49"/>
        <w:tblW w:w="9067" w:type="dxa"/>
        <w:tblLook w:val="04A0" w:firstRow="1" w:lastRow="0" w:firstColumn="1" w:lastColumn="0" w:noHBand="0" w:noVBand="1"/>
      </w:tblPr>
      <w:tblGrid>
        <w:gridCol w:w="9067"/>
      </w:tblGrid>
      <w:tr w:rsidR="00127A9D" w:rsidRPr="001E3A2D">
        <w:tc>
          <w:tcPr>
            <w:tcW w:w="9067" w:type="dxa"/>
          </w:tcPr>
          <w:p w:rsidR="00127A9D" w:rsidRPr="001E3A2D" w:rsidRDefault="00127A9D" w:rsidP="00127A9D">
            <w:pPr>
              <w:rPr>
                <w:noProof/>
              </w:rPr>
            </w:pPr>
            <w:r w:rsidRPr="001E3A2D">
              <w:rPr>
                <w:noProof/>
              </w:rPr>
              <w:t>Artikel 1 Nummer 6: Die Kommission erlässt delegierte Rechtsakte, wenn dies für notwendig erachtet wird (nicht innerhalb eines bestimmten Zeitrahmens). Die Mitgliedstaaten werden einbezogen.</w:t>
            </w:r>
          </w:p>
          <w:p w:rsidR="00127A9D" w:rsidRPr="001E3A2D" w:rsidRDefault="00127A9D" w:rsidP="00127A9D">
            <w:pPr>
              <w:rPr>
                <w:noProof/>
              </w:rPr>
            </w:pPr>
            <w:r w:rsidRPr="001E3A2D">
              <w:rPr>
                <w:noProof/>
              </w:rPr>
              <w:t>Artikel 2 Nummer 3: Die Bestimmung weitet lediglich die Vorschriften über die elektronische Etikettierung von Weinen auf aromatisierte Weine aus. Die Mitgliedstaaten werden einbezogen. Die Marktteilnehmer setzen die Vorschriften um.</w:t>
            </w:r>
          </w:p>
        </w:tc>
      </w:tr>
      <w:bookmarkEnd w:id="189"/>
    </w:tbl>
    <w:p w:rsidR="00AC5A16" w:rsidRPr="001E3A2D" w:rsidRDefault="00AC5A16" w:rsidP="00376079">
      <w:pPr>
        <w:pStyle w:val="ManualHeading1"/>
        <w:rPr>
          <w:noProof/>
        </w:rPr>
      </w:pPr>
    </w:p>
    <w:p w:rsidR="00376079" w:rsidRPr="001E3A2D" w:rsidRDefault="00376079" w:rsidP="00376079">
      <w:pPr>
        <w:pStyle w:val="Text1"/>
        <w:rPr>
          <w:noProof/>
        </w:rPr>
      </w:pPr>
    </w:p>
    <w:p w:rsidR="00376079" w:rsidRPr="001E3A2D" w:rsidRDefault="00376079" w:rsidP="00376079">
      <w:pPr>
        <w:pStyle w:val="Text1"/>
        <w:rPr>
          <w:noProof/>
        </w:rPr>
      </w:pPr>
    </w:p>
    <w:sectPr w:rsidR="00376079" w:rsidRPr="001E3A2D" w:rsidSect="00D363CA">
      <w:headerReference w:type="default" r:id="rId24"/>
      <w:footerReference w:type="default" r:id="rId2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F9" w:rsidRDefault="00F14BF9" w:rsidP="00AC5A16">
      <w:pPr>
        <w:spacing w:before="0" w:after="0"/>
      </w:pPr>
      <w:r>
        <w:separator/>
      </w:r>
    </w:p>
  </w:endnote>
  <w:endnote w:type="continuationSeparator" w:id="0">
    <w:p w:rsidR="00F14BF9" w:rsidRDefault="00F14BF9" w:rsidP="00AC5A16">
      <w:pPr>
        <w:spacing w:before="0" w:after="0"/>
      </w:pPr>
      <w:r>
        <w:continuationSeparator/>
      </w:r>
    </w:p>
  </w:endnote>
  <w:endnote w:type="continuationNotice" w:id="1">
    <w:p w:rsidR="00F14BF9" w:rsidRDefault="00F14B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tka Subheading">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Calibri"/>
    <w:charset w:val="00"/>
    <w:family w:val="auto"/>
    <w:pitch w:val="variable"/>
    <w:sig w:usb0="800002EF" w:usb1="1000E0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CA" w:rsidRPr="00D363CA" w:rsidRDefault="00D363CA" w:rsidP="00D363CA">
    <w:pPr>
      <w:pStyle w:val="Footer"/>
      <w:rPr>
        <w:rFonts w:ascii="Arial" w:hAnsi="Arial" w:cs="Arial"/>
        <w:b/>
        <w:sz w:val="48"/>
      </w:rPr>
    </w:pPr>
    <w:r w:rsidRPr="00D363CA">
      <w:rPr>
        <w:rFonts w:ascii="Arial" w:hAnsi="Arial" w:cs="Arial"/>
        <w:b/>
        <w:sz w:val="48"/>
      </w:rPr>
      <w:t>DE</w:t>
    </w:r>
    <w:r w:rsidRPr="00D363CA">
      <w:rPr>
        <w:rFonts w:ascii="Arial" w:hAnsi="Arial" w:cs="Arial"/>
        <w:b/>
        <w:sz w:val="48"/>
      </w:rPr>
      <w:tab/>
    </w:r>
    <w:r w:rsidRPr="00D363CA">
      <w:rPr>
        <w:rFonts w:ascii="Arial" w:hAnsi="Arial" w:cs="Arial"/>
        <w:b/>
        <w:sz w:val="48"/>
      </w:rPr>
      <w:tab/>
    </w:r>
    <w:r w:rsidRPr="00D363CA">
      <w:tab/>
    </w:r>
    <w:r w:rsidRPr="00D363CA">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CA" w:rsidRPr="00D363CA" w:rsidRDefault="00D363CA" w:rsidP="00D363CA">
    <w:pPr>
      <w:pStyle w:val="Footer"/>
      <w:rPr>
        <w:rFonts w:ascii="Arial" w:hAnsi="Arial" w:cs="Arial"/>
        <w:b/>
        <w:sz w:val="48"/>
      </w:rPr>
    </w:pPr>
    <w:r w:rsidRPr="00D363CA">
      <w:rPr>
        <w:rFonts w:ascii="Arial" w:hAnsi="Arial" w:cs="Arial"/>
        <w:b/>
        <w:sz w:val="48"/>
      </w:rPr>
      <w:t>DE</w:t>
    </w:r>
    <w:r w:rsidRPr="00D363CA">
      <w:rPr>
        <w:rFonts w:ascii="Arial" w:hAnsi="Arial" w:cs="Arial"/>
        <w:b/>
        <w:sz w:val="48"/>
      </w:rPr>
      <w:tab/>
    </w:r>
    <w:r w:rsidRPr="00D363CA">
      <w:rPr>
        <w:rFonts w:ascii="Arial" w:hAnsi="Arial" w:cs="Arial"/>
        <w:b/>
        <w:sz w:val="48"/>
      </w:rPr>
      <w:tab/>
    </w:r>
    <w:r w:rsidRPr="00D363CA">
      <w:tab/>
    </w:r>
    <w:r w:rsidRPr="00D363CA">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CA" w:rsidRDefault="00D363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CA" w:rsidRPr="00D363CA" w:rsidRDefault="00D363CA" w:rsidP="00D363CA">
    <w:pPr>
      <w:pStyle w:val="Footer"/>
      <w:rPr>
        <w:rFonts w:ascii="Arial" w:hAnsi="Arial" w:cs="Arial"/>
        <w:b/>
        <w:sz w:val="48"/>
      </w:rPr>
    </w:pPr>
    <w:r w:rsidRPr="00D363CA">
      <w:rPr>
        <w:rFonts w:ascii="Arial" w:hAnsi="Arial" w:cs="Arial"/>
        <w:b/>
        <w:sz w:val="48"/>
      </w:rPr>
      <w:t>DE</w:t>
    </w:r>
    <w:r w:rsidRPr="00D363CA">
      <w:rPr>
        <w:rFonts w:ascii="Arial" w:hAnsi="Arial" w:cs="Arial"/>
        <w:b/>
        <w:sz w:val="48"/>
      </w:rPr>
      <w:tab/>
    </w:r>
    <w:r>
      <w:fldChar w:fldCharType="begin"/>
    </w:r>
    <w:r>
      <w:instrText xml:space="preserve"> PAGE  \* MERGEFORMAT </w:instrText>
    </w:r>
    <w:r>
      <w:fldChar w:fldCharType="separate"/>
    </w:r>
    <w:r w:rsidR="00984F44">
      <w:rPr>
        <w:noProof/>
      </w:rPr>
      <w:t>23</w:t>
    </w:r>
    <w:r>
      <w:fldChar w:fldCharType="end"/>
    </w:r>
    <w:r>
      <w:tab/>
    </w:r>
    <w:r w:rsidRPr="00D363CA">
      <w:tab/>
    </w:r>
    <w:r w:rsidRPr="00D363CA">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CA" w:rsidRDefault="00D363CA" w:rsidP="00D363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CA" w:rsidRPr="00D363CA" w:rsidRDefault="00D363CA" w:rsidP="00D363CA">
    <w:pPr>
      <w:pStyle w:val="FooterLandscape"/>
      <w:rPr>
        <w:rFonts w:ascii="Arial" w:hAnsi="Arial" w:cs="Arial"/>
        <w:b/>
        <w:sz w:val="48"/>
      </w:rPr>
    </w:pPr>
    <w:r w:rsidRPr="00D363CA">
      <w:rPr>
        <w:rFonts w:ascii="Arial" w:hAnsi="Arial" w:cs="Arial"/>
        <w:b/>
        <w:sz w:val="48"/>
      </w:rPr>
      <w:t>DE</w:t>
    </w:r>
    <w:r w:rsidRPr="00D363C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363CA">
      <w:tab/>
    </w:r>
    <w:r w:rsidRPr="00D363CA">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CA" w:rsidRPr="00D363CA" w:rsidRDefault="00D363CA" w:rsidP="00D363CA">
    <w:pPr>
      <w:pStyle w:val="Footer"/>
      <w:rPr>
        <w:rFonts w:ascii="Arial" w:hAnsi="Arial" w:cs="Arial"/>
        <w:b/>
        <w:sz w:val="48"/>
      </w:rPr>
    </w:pPr>
    <w:r w:rsidRPr="00D363CA">
      <w:rPr>
        <w:rFonts w:ascii="Arial" w:hAnsi="Arial" w:cs="Arial"/>
        <w:b/>
        <w:sz w:val="48"/>
      </w:rPr>
      <w:t>DE</w:t>
    </w:r>
    <w:r w:rsidRPr="00D363C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D363CA">
      <w:tab/>
    </w:r>
    <w:r w:rsidRPr="00D363CA">
      <w:rPr>
        <w:rFonts w:ascii="Arial" w:hAnsi="Arial" w:cs="Arial"/>
        <w:b/>
        <w:sz w:val="48"/>
      </w:rPr>
      <w: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F9" w:rsidRDefault="00F14BF9" w:rsidP="00AC5A16">
      <w:pPr>
        <w:spacing w:before="0" w:after="0"/>
      </w:pPr>
      <w:r>
        <w:separator/>
      </w:r>
    </w:p>
  </w:footnote>
  <w:footnote w:type="continuationSeparator" w:id="0">
    <w:p w:rsidR="00F14BF9" w:rsidRDefault="00F14BF9" w:rsidP="00AC5A16">
      <w:pPr>
        <w:spacing w:before="0" w:after="0"/>
      </w:pPr>
      <w:r>
        <w:continuationSeparator/>
      </w:r>
    </w:p>
  </w:footnote>
  <w:footnote w:type="continuationNotice" w:id="1">
    <w:p w:rsidR="00F14BF9" w:rsidRDefault="00F14BF9">
      <w:pPr>
        <w:spacing w:before="0" w:after="0"/>
      </w:pPr>
    </w:p>
  </w:footnote>
  <w:footnote w:id="2">
    <w:p w:rsidR="00001A25" w:rsidRDefault="00001A25" w:rsidP="002D32D6">
      <w:pPr>
        <w:pStyle w:val="FootnoteText"/>
        <w:ind w:left="0" w:firstLine="0"/>
      </w:pPr>
      <w:r>
        <w:rPr>
          <w:rStyle w:val="FootnoteReference"/>
        </w:rPr>
        <w:footnoteRef/>
      </w:r>
      <w:r>
        <w:tab/>
      </w:r>
      <w:hyperlink r:id="rId1" w:history="1">
        <w:r>
          <w:rPr>
            <w:rStyle w:val="Hyperlink"/>
          </w:rPr>
          <w:t>https://agriculture.ec.europa.eu/document/download/f9ee9420-2b95-4788-8dc2-faa3cfb8171a_en?filename=policy-recommendations-wine-sector-hlg_en.pdf</w:t>
        </w:r>
      </w:hyperlink>
      <w:r>
        <w:t>.</w:t>
      </w:r>
    </w:p>
    <w:p w:rsidR="00001A25" w:rsidRPr="00001A25" w:rsidRDefault="00001A25" w:rsidP="002D32D6">
      <w:pPr>
        <w:pStyle w:val="FootnoteText"/>
        <w:ind w:left="0" w:firstLine="0"/>
        <w:rPr>
          <w:lang w:val="fr-BE"/>
        </w:rPr>
      </w:pPr>
    </w:p>
  </w:footnote>
  <w:footnote w:id="3">
    <w:p w:rsidR="00001A25" w:rsidRPr="001E3A2D" w:rsidRDefault="00001A25">
      <w:pPr>
        <w:pStyle w:val="FootnoteText"/>
        <w:rPr>
          <w:lang w:val="fr-BE"/>
        </w:rPr>
      </w:pPr>
      <w:r>
        <w:rPr>
          <w:rStyle w:val="FootnoteReference"/>
        </w:rPr>
        <w:footnoteRef/>
      </w:r>
      <w:r w:rsidRPr="001E3A2D">
        <w:rPr>
          <w:lang w:val="fr-BE"/>
        </w:rPr>
        <w:tab/>
      </w:r>
      <w:hyperlink r:id="rId2" w:history="1">
        <w:r w:rsidRPr="001E3A2D">
          <w:rPr>
            <w:rStyle w:val="Hyperlink"/>
            <w:lang w:val="fr-BE"/>
          </w:rPr>
          <w:t>https://agriculture.ec.europa.eu/document/download/83588b14-0c75-43a4-b8ab-c5718bee6b01_en?filename=future-prospects-of-the-eu-wine-sector-june-2024.pdf</w:t>
        </w:r>
      </w:hyperlink>
      <w:r w:rsidRPr="001E3A2D">
        <w:rPr>
          <w:lang w:val="fr-BE"/>
        </w:rPr>
        <w:t>.</w:t>
      </w:r>
    </w:p>
  </w:footnote>
  <w:footnote w:id="4">
    <w:p w:rsidR="00AC5A16" w:rsidRPr="00AB0D79" w:rsidRDefault="00AC5A16">
      <w:pPr>
        <w:pStyle w:val="FootnoteText"/>
      </w:pPr>
      <w:r>
        <w:rPr>
          <w:rStyle w:val="FootnoteReference"/>
        </w:rPr>
        <w:footnoteRef/>
      </w:r>
      <w:r>
        <w:tab/>
        <w:t>ABl. C  vom , S. .</w:t>
      </w:r>
    </w:p>
  </w:footnote>
  <w:footnote w:id="5">
    <w:p w:rsidR="00AC5A16" w:rsidRPr="00AB0D79" w:rsidRDefault="00AC5A16">
      <w:pPr>
        <w:pStyle w:val="FootnoteText"/>
      </w:pPr>
      <w:r>
        <w:rPr>
          <w:rStyle w:val="FootnoteReference"/>
        </w:rPr>
        <w:footnoteRef/>
      </w:r>
      <w:r>
        <w:tab/>
        <w:t>ABl. C  vom , S. .</w:t>
      </w:r>
    </w:p>
  </w:footnote>
  <w:footnote w:id="6">
    <w:p w:rsidR="00ED2084" w:rsidRPr="00AB0D79" w:rsidRDefault="00ED2084">
      <w:pPr>
        <w:pStyle w:val="FootnoteText"/>
      </w:pPr>
      <w:r>
        <w:rPr>
          <w:rStyle w:val="FootnoteReference"/>
        </w:rPr>
        <w:footnoteRef/>
      </w:r>
      <w:r>
        <w:tab/>
      </w:r>
      <w:hyperlink r:id="rId3" w:history="1">
        <w:r>
          <w:rPr>
            <w:rStyle w:val="Hyperlink"/>
          </w:rPr>
          <w:t>https://agriculture.ec.europa.eu/document/download/f9ee9420-2b95-4788-8dc2-faa3cfb8171a_en?filename=policy-recommendations-wine-sector-hlg_en.pdf</w:t>
        </w:r>
      </w:hyperlink>
      <w:r>
        <w:t xml:space="preserve">. </w:t>
      </w:r>
    </w:p>
  </w:footnote>
  <w:footnote w:id="7">
    <w:p w:rsidR="6D7A5159" w:rsidRPr="004A2EF0" w:rsidRDefault="6D7A5159" w:rsidP="694C83E6">
      <w:pPr>
        <w:pStyle w:val="FootnoteText"/>
      </w:pPr>
      <w:r>
        <w:rPr>
          <w:rStyle w:val="FootnoteReference"/>
        </w:rPr>
        <w:footnoteRef/>
      </w:r>
      <w:r>
        <w:tab/>
        <w:t xml:space="preserve">Verordnung (EU) Nr. 251/2014 des Europäischen Parlaments und des Rates vom 26. Februar 2014 über die Begriffsbestimmung, Beschreibung, Aufmachung und Etikettierung von aromatisierten Weinerzeugnissen sowie den Schutz geografischer Angaben für aromatisierte Weinerzeugnisse und zur Aufhebung der Verordnung (EWG) Nr. 1601/91 des Rates (ABl. L 84 vom 20.3.2014, S. 14, ELI: </w:t>
      </w:r>
      <w:hyperlink r:id="rId4" w:history="1">
        <w:r>
          <w:rPr>
            <w:rStyle w:val="Hyperlink"/>
          </w:rPr>
          <w:t>http://data.europa.eu/eli/reg/2014/251/oj</w:t>
        </w:r>
      </w:hyperlink>
      <w:r>
        <w:t>).</w:t>
      </w:r>
    </w:p>
  </w:footnote>
  <w:footnote w:id="8">
    <w:p w:rsidR="5BEB4FA3" w:rsidRPr="005905E9" w:rsidRDefault="5BEB4FA3" w:rsidP="00C76347">
      <w:pPr>
        <w:pStyle w:val="FootnoteText"/>
      </w:pPr>
      <w:r>
        <w:rPr>
          <w:rStyle w:val="FootnoteReference"/>
        </w:rPr>
        <w:footnoteRef/>
      </w:r>
      <w:r>
        <w:tab/>
        <w:t xml:space="preserve">Verordnung (EU) Nr. 1308/2013 des Europäischen Parlaments und des Rates vom 17. Dezember 2013 über eine gemeinsame Marktorganisation für landwirtschaftliche Erzeugnisse und zur Aufhebung der Verordnungen (EWG) Nr. 922/72, (EWG) Nr. 234/79, (EG) Nr. 1037/2001 und (EG) Nr. 1234/2007 des Rates (ABl. L 347 vom 20.12.2013, S. 671, ELI: </w:t>
      </w:r>
      <w:hyperlink r:id="rId5" w:history="1">
        <w:r>
          <w:rPr>
            <w:rStyle w:val="Hyperlink"/>
          </w:rPr>
          <w:t>http://data.europa.eu/eli/reg/2013/1308/oj</w:t>
        </w:r>
      </w:hyperlink>
      <w:r>
        <w:t>).</w:t>
      </w:r>
    </w:p>
  </w:footnote>
  <w:footnote w:id="9">
    <w:p w:rsidR="00AB0D79" w:rsidRPr="005905E9" w:rsidRDefault="00AB0D79" w:rsidP="00AB0D79">
      <w:pPr>
        <w:pStyle w:val="FootnoteText"/>
      </w:pPr>
      <w:r>
        <w:rPr>
          <w:rStyle w:val="FootnoteReference"/>
        </w:rPr>
        <w:footnoteRef/>
      </w:r>
      <w:r>
        <w:tab/>
        <w:t xml:space="preserve">Verordnung (EU) 2024/1143 des Europäischen Parlaments und des Rates vom 11. April 2024 über geografische Angaben für Wein, Spirituosen und landwirtschaftliche Erzeugnisse und über garantiert traditionelle Spezialitäten und fakultative Qualitätsangaben für landwirtschaftliche Erzeugnisse sowie zur Änderung der Verordnungen (EU) Nr. 1308/2013, (EU) 2019/787 und (EU) 2019/1753 und zur Aufhebung der Verordnung (EU) Nr. 1151/2012 (ABl. L, 2024/1143, 23.4.2024, ELI: </w:t>
      </w:r>
      <w:hyperlink r:id="rId6" w:history="1">
        <w:r>
          <w:rPr>
            <w:rStyle w:val="Hyperlink"/>
          </w:rPr>
          <w:t>http://data.europa.eu/eli/reg/2024/1143/oj</w:t>
        </w:r>
      </w:hyperlink>
      <w:r>
        <w:t>).</w:t>
      </w:r>
    </w:p>
  </w:footnote>
  <w:footnote w:id="10">
    <w:p w:rsidR="03C658C3" w:rsidRPr="00F933FE" w:rsidRDefault="03C658C3" w:rsidP="03C658C3">
      <w:pPr>
        <w:pStyle w:val="FootnoteText"/>
      </w:pPr>
      <w:r>
        <w:rPr>
          <w:rStyle w:val="FootnoteReference"/>
        </w:rPr>
        <w:footnoteRef/>
      </w:r>
      <w:r>
        <w:tab/>
        <w:t xml:space="preserve">Verordnung (EU) 2021/2115 des 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L 435 vom 6.12.2021, S. 1, ELI: </w:t>
      </w:r>
      <w:hyperlink r:id="rId7" w:history="1">
        <w:r>
          <w:rPr>
            <w:rStyle w:val="Hyperlink"/>
          </w:rPr>
          <w:t>http://data.europa.eu/eli/reg/2021/2115/oj</w:t>
        </w:r>
      </w:hyperlink>
      <w:r>
        <w:t>).</w:t>
      </w:r>
    </w:p>
  </w:footnote>
  <w:footnote w:id="11">
    <w:p w:rsidR="00442FB4" w:rsidRPr="00DD69F0" w:rsidRDefault="00442FB4">
      <w:pPr>
        <w:pStyle w:val="FootnoteText"/>
      </w:pPr>
      <w:r>
        <w:rPr>
          <w:rStyle w:val="FootnoteReference"/>
        </w:rPr>
        <w:footnoteRef/>
      </w:r>
      <w:r>
        <w:tab/>
        <w:t xml:space="preserve">Empfehlung 2003/361/EG der Kommission vom 6. Mai 2003 betreffend die Definition der Kleinstunternehmen sowie der kleinen und mittleren Unternehmen (ABl. L 124 vom 20.5.2003, S. 36, ELI: </w:t>
      </w:r>
      <w:hyperlink r:id="rId8" w:history="1">
        <w:r>
          <w:rPr>
            <w:rStyle w:val="Hyperlink"/>
          </w:rPr>
          <w:t>http://data.europa.eu/eli/reco/2003/361/oj</w:t>
        </w:r>
      </w:hyperlink>
      <w:r>
        <w:t>).</w:t>
      </w:r>
    </w:p>
  </w:footnote>
  <w:footnote w:id="12">
    <w:p w:rsidR="00127A9D" w:rsidRDefault="00127A9D" w:rsidP="00127A9D">
      <w:pPr>
        <w:pStyle w:val="FootnoteText"/>
      </w:pPr>
      <w:r>
        <w:rPr>
          <w:rStyle w:val="FootnoteReference"/>
        </w:rPr>
        <w:footnoteRef/>
      </w:r>
      <w:r>
        <w:tab/>
        <w:t>Im Sinne des Artikels 58 Absatz 2 Buchstabe a oder b der Haushaltsordnung.</w:t>
      </w:r>
    </w:p>
  </w:footnote>
  <w:footnote w:id="13">
    <w:p w:rsidR="00127A9D" w:rsidRDefault="00127A9D" w:rsidP="00127A9D">
      <w:pPr>
        <w:pStyle w:val="FootnoteText"/>
        <w:jc w:val="left"/>
        <w:rPr>
          <w:szCs w:val="24"/>
        </w:rPr>
      </w:pPr>
      <w:r>
        <w:rPr>
          <w:rStyle w:val="FootnoteReference"/>
        </w:rPr>
        <w:footnoteRef/>
      </w:r>
      <w:r>
        <w:tab/>
        <w:t xml:space="preserve">Erläuterungen zu den Haushaltsvollzugsarten und Verweise auf die Haushaltsordnung finden sich auf der Website BUDGpedia (in englischer Sprache): </w:t>
      </w:r>
      <w:hyperlink r:id="rId9" w:history="1">
        <w:r>
          <w:rPr>
            <w:rStyle w:val="Hyperlink"/>
          </w:rPr>
          <w:t>https://myintracomm.ec.europa.eu/corp/budget/financial-rules/budget-implementation/Pages/implementation-methods.aspx</w:t>
        </w:r>
      </w:hyperlink>
      <w:r>
        <w:rPr>
          <w:rStyle w:val="Hyperlink"/>
        </w:rPr>
        <w:t>.</w:t>
      </w:r>
    </w:p>
  </w:footnote>
  <w:footnote w:id="14">
    <w:p w:rsidR="00127A9D" w:rsidRDefault="00127A9D" w:rsidP="00127A9D">
      <w:pPr>
        <w:pStyle w:val="FootnoteText"/>
        <w:rPr>
          <w:szCs w:val="24"/>
        </w:rPr>
      </w:pPr>
      <w:r>
        <w:rPr>
          <w:rStyle w:val="FootnoteReference"/>
        </w:rPr>
        <w:footnoteRef/>
      </w:r>
      <w:r>
        <w:tab/>
        <w:t>GM = Getrennte Mittel/NGM = Nichtgetrennte Mittel.</w:t>
      </w:r>
    </w:p>
  </w:footnote>
  <w:footnote w:id="15">
    <w:p w:rsidR="00127A9D" w:rsidRDefault="00127A9D" w:rsidP="00127A9D">
      <w:pPr>
        <w:pStyle w:val="FootnoteText"/>
        <w:rPr>
          <w:szCs w:val="24"/>
        </w:rPr>
      </w:pPr>
      <w:r>
        <w:rPr>
          <w:rStyle w:val="FootnoteReference"/>
        </w:rPr>
        <w:footnoteRef/>
      </w:r>
      <w:r>
        <w:tab/>
        <w:t xml:space="preserve">EFTA: Europäische Freihandelsassoziation. </w:t>
      </w:r>
    </w:p>
  </w:footnote>
  <w:footnote w:id="16">
    <w:p w:rsidR="00127A9D" w:rsidRDefault="00127A9D" w:rsidP="00127A9D">
      <w:pPr>
        <w:pStyle w:val="FootnoteText"/>
        <w:rPr>
          <w:szCs w:val="24"/>
        </w:rPr>
      </w:pPr>
      <w:r>
        <w:rPr>
          <w:rStyle w:val="FootnoteReference"/>
        </w:rPr>
        <w:footnoteRef/>
      </w:r>
      <w:r>
        <w:tab/>
        <w:t>Kandidatenländer und gegebenenfalls potenzielle Kandidaten des Westbalkans.</w:t>
      </w:r>
    </w:p>
  </w:footnote>
  <w:footnote w:id="17">
    <w:p w:rsidR="00127A9D" w:rsidRPr="00C2043F" w:rsidRDefault="00127A9D" w:rsidP="00127A9D">
      <w:pPr>
        <w:pStyle w:val="FootnoteText"/>
      </w:pPr>
      <w:r>
        <w:rPr>
          <w:rStyle w:val="FootnoteReference"/>
        </w:rPr>
        <w:footnoteRef/>
      </w:r>
      <w:r>
        <w:rPr>
          <w:sz w:val="18"/>
        </w:rPr>
        <w:tab/>
      </w:r>
      <w:r>
        <w:t>Technische und/oder administrative Hilfe und Ausgaben zur Unterstützung der Durchführung von Programmen bzw. Maßnahmen der EU (vormalige BA-Linien), indirekte Forschung, direkte Forschung.</w:t>
      </w:r>
    </w:p>
  </w:footnote>
  <w:footnote w:id="18">
    <w:p w:rsidR="00127A9D" w:rsidRDefault="00127A9D" w:rsidP="00127A9D">
      <w:pPr>
        <w:pStyle w:val="FootnoteText"/>
        <w:rPr>
          <w:szCs w:val="24"/>
        </w:rPr>
      </w:pPr>
      <w:r>
        <w:rPr>
          <w:rStyle w:val="FootnoteReference"/>
        </w:rPr>
        <w:footnoteRef/>
      </w:r>
      <w:r>
        <w:tab/>
        <w:t>Outputs sind Produkte, die geliefert, und Dienstleistungen, die erbracht werden (z. B. Zahl der Austauschstudenten, gebaute Straßenkilometer).</w:t>
      </w:r>
    </w:p>
  </w:footnote>
  <w:footnote w:id="19">
    <w:p w:rsidR="00127A9D" w:rsidRDefault="00127A9D" w:rsidP="00127A9D">
      <w:pPr>
        <w:pStyle w:val="FootnoteText"/>
        <w:rPr>
          <w:szCs w:val="24"/>
        </w:rPr>
      </w:pPr>
      <w:r>
        <w:rPr>
          <w:rStyle w:val="FootnoteReference"/>
        </w:rPr>
        <w:footnoteRef/>
      </w:r>
      <w:r>
        <w:tab/>
        <w:t xml:space="preserve">Wie in Abschnitt 1.3.2 („Einzelziele…“) beschrieben. </w:t>
      </w:r>
    </w:p>
  </w:footnote>
  <w:footnote w:id="20">
    <w:p w:rsidR="00127A9D" w:rsidRDefault="00127A9D" w:rsidP="00127A9D">
      <w:pPr>
        <w:pStyle w:val="FootnoteText"/>
        <w:rPr>
          <w:szCs w:val="24"/>
        </w:rPr>
      </w:pPr>
      <w:r>
        <w:rPr>
          <w:rStyle w:val="FootnoteReference"/>
        </w:rPr>
        <w:footnoteRef/>
      </w:r>
      <w:r>
        <w:tab/>
        <w:t>Bei den traditionellen Eigenmitteln (Zölle, Zuckerabgaben) sind die Beträge netto, d. h. abzüglich 20 % für Erhebungskosten,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CA" w:rsidRDefault="00D36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CA" w:rsidRDefault="00D363CA" w:rsidP="00D36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CA" w:rsidRPr="00D363CA" w:rsidRDefault="00D363CA" w:rsidP="00D363CA">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CA" w:rsidRPr="00D363CA" w:rsidRDefault="00D363CA" w:rsidP="00D363CA">
    <w:pPr>
      <w:pStyle w:val="Header"/>
    </w:pPr>
  </w:p>
</w:hdr>
</file>

<file path=word/intelligence2.xml><?xml version="1.0" encoding="utf-8"?>
<int2:intelligence xmlns:int2="http://schemas.microsoft.com/office/intelligence/2020/intelligence" xmlns:oel="http://schemas.microsoft.com/office/2019/extlst">
  <int2:observations>
    <int2:textHash int2:hashCode="nLdVBv5QIq/Pz1" int2:id="m27JBNY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C43A90DA"/>
    <w:lvl w:ilvl="0">
      <w:start w:val="2"/>
      <w:numFmt w:val="decimal"/>
      <w:pStyle w:val="ListNumber3"/>
      <w:lvlText w:val="(%1)"/>
      <w:lvlJc w:val="left"/>
      <w:pPr>
        <w:tabs>
          <w:tab w:val="num" w:pos="1560"/>
        </w:tabs>
        <w:ind w:left="1560" w:hanging="709"/>
      </w:pPr>
      <w:rPr>
        <w:rFonts w:hint="default"/>
      </w:rPr>
    </w:lvl>
    <w:lvl w:ilvl="1">
      <w:start w:val="1"/>
      <w:numFmt w:val="lowerLetter"/>
      <w:pStyle w:val="ListNumber3Level2"/>
      <w:lvlText w:val="(%2)"/>
      <w:lvlJc w:val="left"/>
      <w:pPr>
        <w:tabs>
          <w:tab w:val="num" w:pos="2268"/>
        </w:tabs>
        <w:ind w:left="2268" w:hanging="708"/>
      </w:pPr>
      <w:rPr>
        <w:rFonts w:cs="Times New Roman" w:hint="default"/>
      </w:rPr>
    </w:lvl>
    <w:lvl w:ilvl="2">
      <w:start w:val="1"/>
      <w:numFmt w:val="bullet"/>
      <w:pStyle w:val="ListNumber3Level3"/>
      <w:lvlText w:val="–"/>
      <w:lvlJc w:val="left"/>
      <w:pPr>
        <w:tabs>
          <w:tab w:val="num" w:pos="2977"/>
        </w:tabs>
        <w:ind w:left="2977" w:hanging="709"/>
      </w:pPr>
      <w:rPr>
        <w:rFonts w:ascii="Times New Roman" w:hAnsi="Times New Roman" w:hint="default"/>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1"/>
  </w:num>
  <w:num w:numId="11">
    <w:abstractNumId w:val="10"/>
  </w:num>
  <w:num w:numId="12">
    <w:abstractNumId w:val="2"/>
  </w:num>
  <w:num w:numId="13">
    <w:abstractNumId w:val="11"/>
  </w:num>
  <w:num w:numId="14">
    <w:abstractNumId w:val="9"/>
  </w:num>
  <w:num w:numId="15">
    <w:abstractNumId w:val="18"/>
  </w:num>
  <w:num w:numId="16">
    <w:abstractNumId w:val="7"/>
  </w:num>
  <w:num w:numId="17">
    <w:abstractNumId w:val="30"/>
    <w:lvlOverride w:ilvl="0">
      <w:startOverride w:val="1"/>
    </w:lvlOverride>
  </w:num>
  <w:num w:numId="18">
    <w:abstractNumId w:val="23"/>
    <w:lvlOverride w:ilvl="0">
      <w:startOverride w:val="1"/>
    </w:lvlOverride>
  </w:num>
  <w:num w:numId="19">
    <w:abstractNumId w:val="15"/>
    <w:lvlOverride w:ilvl="0">
      <w:startOverride w:val="1"/>
    </w:lvlOverride>
  </w:num>
  <w:num w:numId="20">
    <w:abstractNumId w:val="12"/>
    <w:lvlOverride w:ilvl="0">
      <w:startOverride w:val="1"/>
    </w:lvlOverride>
  </w:num>
  <w:num w:numId="21">
    <w:abstractNumId w:val="23"/>
  </w:num>
  <w:num w:numId="22">
    <w:abstractNumId w:val="12"/>
  </w:num>
  <w:num w:numId="23">
    <w:abstractNumId w:val="26"/>
  </w:num>
  <w:num w:numId="24">
    <w:abstractNumId w:val="6"/>
  </w:num>
  <w:num w:numId="25">
    <w:abstractNumId w:val="13"/>
  </w:num>
  <w:num w:numId="26">
    <w:abstractNumId w:val="14"/>
  </w:num>
  <w:num w:numId="27">
    <w:abstractNumId w:val="4"/>
  </w:num>
  <w:num w:numId="28">
    <w:abstractNumId w:val="25"/>
  </w:num>
  <w:num w:numId="29">
    <w:abstractNumId w:val="3"/>
  </w:num>
  <w:num w:numId="30">
    <w:abstractNumId w:val="15"/>
  </w:num>
  <w:num w:numId="31">
    <w:abstractNumId w:val="21"/>
  </w:num>
  <w:num w:numId="32">
    <w:abstractNumId w:val="22"/>
  </w:num>
  <w:num w:numId="33">
    <w:abstractNumId w:val="5"/>
  </w:num>
  <w:num w:numId="34">
    <w:abstractNumId w:val="19"/>
  </w:num>
  <w:num w:numId="35">
    <w:abstractNumId w:val="30"/>
  </w:num>
  <w:num w:numId="36">
    <w:abstractNumId w:val="23"/>
  </w:num>
  <w:num w:numId="37">
    <w:abstractNumId w:val="12"/>
  </w:num>
  <w:num w:numId="38">
    <w:abstractNumId w:val="26"/>
  </w:num>
  <w:num w:numId="39">
    <w:abstractNumId w:val="6"/>
  </w:num>
  <w:num w:numId="40">
    <w:abstractNumId w:val="13"/>
  </w:num>
  <w:num w:numId="41">
    <w:abstractNumId w:val="14"/>
  </w:num>
  <w:num w:numId="42">
    <w:abstractNumId w:val="4"/>
  </w:num>
  <w:num w:numId="43">
    <w:abstractNumId w:val="25"/>
  </w:num>
  <w:num w:numId="44">
    <w:abstractNumId w:val="3"/>
  </w:num>
  <w:num w:numId="45">
    <w:abstractNumId w:val="15"/>
  </w:num>
  <w:num w:numId="46">
    <w:abstractNumId w:val="21"/>
  </w:num>
  <w:num w:numId="47">
    <w:abstractNumId w:val="22"/>
  </w:num>
  <w:num w:numId="48">
    <w:abstractNumId w:val="5"/>
  </w:num>
  <w:num w:numId="49">
    <w:abstractNumId w:val="19"/>
  </w:num>
  <w:num w:numId="50">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5-04-07 07:40:4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506B09B-BB39-463F-A198-CF17CEA4D929"/>
    <w:docVar w:name="LW_COVERPAGE_TYPE" w:val="1"/>
    <w:docVar w:name="LW_CreatedUtc" w:val="2025-02-12T15:23:41.5493465Z"/>
    <w:docVar w:name="LW_CROSSREFERENCE" w:val="&lt;UNUSED&gt;"/>
    <w:docVar w:name="LW_DocType" w:val="COM"/>
    <w:docVar w:name="LW_EMISSION" w:val="28.3.2025"/>
    <w:docVar w:name="LW_EMISSION_ISODATE" w:val="2025-03-28"/>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71"/>
    <w:docVar w:name="LW_REF.II.NEW.CP_YEAR" w:val="2025"/>
    <w:docVar w:name="LW_REF.INST.NEW" w:val="COM"/>
    <w:docVar w:name="LW_REF.INST.NEW_ADOPTED" w:val="final"/>
    <w:docVar w:name="LW_REF.INST.NEW_TEXT" w:val="(2025) 13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en (EU) Nr. 1308/2013, (EU) 2021/2115 und (EU) Nr. 251/2014 in Bezug auf bestimmte Marktvorschriften und sektorbezogene Unterstützungsmaßnahmen im Weinsektor und für aromatisierte Weinerzeugnisse"/>
    <w:docVar w:name="LW_TYPE.DOC.CP" w:val="VERORDNUNG DES EUROPÄISCHEN PARLAMENTS UND DES RATES"/>
    <w:docVar w:name="LwApiVersions" w:val="LW4CoDe 1.24.5.0; LW 9.0, Build 20240221"/>
  </w:docVars>
  <w:rsids>
    <w:rsidRoot w:val="00AC5A16"/>
    <w:rsid w:val="0000045E"/>
    <w:rsid w:val="000006A9"/>
    <w:rsid w:val="0000077B"/>
    <w:rsid w:val="0000089C"/>
    <w:rsid w:val="00000B75"/>
    <w:rsid w:val="00000E19"/>
    <w:rsid w:val="00000F91"/>
    <w:rsid w:val="0000105F"/>
    <w:rsid w:val="000010DC"/>
    <w:rsid w:val="000013CE"/>
    <w:rsid w:val="00001458"/>
    <w:rsid w:val="0000146D"/>
    <w:rsid w:val="000014B3"/>
    <w:rsid w:val="000017ED"/>
    <w:rsid w:val="0000180B"/>
    <w:rsid w:val="000018AA"/>
    <w:rsid w:val="00001A25"/>
    <w:rsid w:val="0000224B"/>
    <w:rsid w:val="00002334"/>
    <w:rsid w:val="00002A0D"/>
    <w:rsid w:val="00002D29"/>
    <w:rsid w:val="000030EE"/>
    <w:rsid w:val="00003665"/>
    <w:rsid w:val="00003995"/>
    <w:rsid w:val="000039D2"/>
    <w:rsid w:val="00003B37"/>
    <w:rsid w:val="00003B41"/>
    <w:rsid w:val="00003CE7"/>
    <w:rsid w:val="00003D97"/>
    <w:rsid w:val="00004148"/>
    <w:rsid w:val="000044B1"/>
    <w:rsid w:val="0000452A"/>
    <w:rsid w:val="000049C9"/>
    <w:rsid w:val="00004A13"/>
    <w:rsid w:val="00004AED"/>
    <w:rsid w:val="00004B1E"/>
    <w:rsid w:val="000050EC"/>
    <w:rsid w:val="000053E7"/>
    <w:rsid w:val="00005764"/>
    <w:rsid w:val="00005880"/>
    <w:rsid w:val="00005A54"/>
    <w:rsid w:val="00005A94"/>
    <w:rsid w:val="00005A98"/>
    <w:rsid w:val="00006D5E"/>
    <w:rsid w:val="00006E73"/>
    <w:rsid w:val="00006E9D"/>
    <w:rsid w:val="00006F10"/>
    <w:rsid w:val="00006F7E"/>
    <w:rsid w:val="000075C2"/>
    <w:rsid w:val="000075F6"/>
    <w:rsid w:val="000077CE"/>
    <w:rsid w:val="000078B2"/>
    <w:rsid w:val="00007BC3"/>
    <w:rsid w:val="00007CD5"/>
    <w:rsid w:val="00007DBA"/>
    <w:rsid w:val="000102D6"/>
    <w:rsid w:val="000106F5"/>
    <w:rsid w:val="00010B1E"/>
    <w:rsid w:val="00010D0E"/>
    <w:rsid w:val="00010F64"/>
    <w:rsid w:val="00011156"/>
    <w:rsid w:val="00011401"/>
    <w:rsid w:val="00011443"/>
    <w:rsid w:val="000115D9"/>
    <w:rsid w:val="00011811"/>
    <w:rsid w:val="00011ABC"/>
    <w:rsid w:val="00011C86"/>
    <w:rsid w:val="00011C90"/>
    <w:rsid w:val="0001206A"/>
    <w:rsid w:val="0001216D"/>
    <w:rsid w:val="000121BE"/>
    <w:rsid w:val="00012330"/>
    <w:rsid w:val="000123A9"/>
    <w:rsid w:val="000125C7"/>
    <w:rsid w:val="000125F7"/>
    <w:rsid w:val="00012846"/>
    <w:rsid w:val="0001302F"/>
    <w:rsid w:val="00013341"/>
    <w:rsid w:val="0001337A"/>
    <w:rsid w:val="0001365A"/>
    <w:rsid w:val="00013705"/>
    <w:rsid w:val="00013936"/>
    <w:rsid w:val="000142E0"/>
    <w:rsid w:val="00014443"/>
    <w:rsid w:val="000145E5"/>
    <w:rsid w:val="0001497C"/>
    <w:rsid w:val="00014AA4"/>
    <w:rsid w:val="00014BB5"/>
    <w:rsid w:val="00014E9D"/>
    <w:rsid w:val="00014EA2"/>
    <w:rsid w:val="00014F00"/>
    <w:rsid w:val="00014F66"/>
    <w:rsid w:val="00014FDA"/>
    <w:rsid w:val="00015319"/>
    <w:rsid w:val="00015359"/>
    <w:rsid w:val="00015445"/>
    <w:rsid w:val="00015780"/>
    <w:rsid w:val="00015EFB"/>
    <w:rsid w:val="00016838"/>
    <w:rsid w:val="000169B2"/>
    <w:rsid w:val="00017389"/>
    <w:rsid w:val="0001750E"/>
    <w:rsid w:val="0001758A"/>
    <w:rsid w:val="00017626"/>
    <w:rsid w:val="00017680"/>
    <w:rsid w:val="00017716"/>
    <w:rsid w:val="00017753"/>
    <w:rsid w:val="000177CA"/>
    <w:rsid w:val="00017835"/>
    <w:rsid w:val="0001785C"/>
    <w:rsid w:val="000179F7"/>
    <w:rsid w:val="00017B9F"/>
    <w:rsid w:val="0001B0FE"/>
    <w:rsid w:val="00020071"/>
    <w:rsid w:val="0002059D"/>
    <w:rsid w:val="0002066F"/>
    <w:rsid w:val="00020692"/>
    <w:rsid w:val="00020B24"/>
    <w:rsid w:val="00021023"/>
    <w:rsid w:val="0002137F"/>
    <w:rsid w:val="0002138C"/>
    <w:rsid w:val="0002195E"/>
    <w:rsid w:val="00021ABD"/>
    <w:rsid w:val="00021C94"/>
    <w:rsid w:val="00021DCE"/>
    <w:rsid w:val="0002249B"/>
    <w:rsid w:val="00022554"/>
    <w:rsid w:val="0002268C"/>
    <w:rsid w:val="000226CD"/>
    <w:rsid w:val="00022A1F"/>
    <w:rsid w:val="00022B57"/>
    <w:rsid w:val="00022E95"/>
    <w:rsid w:val="00022EB5"/>
    <w:rsid w:val="000232D5"/>
    <w:rsid w:val="000233EA"/>
    <w:rsid w:val="00023556"/>
    <w:rsid w:val="000236A3"/>
    <w:rsid w:val="0002375F"/>
    <w:rsid w:val="00023C1B"/>
    <w:rsid w:val="0002423B"/>
    <w:rsid w:val="00024430"/>
    <w:rsid w:val="0002456D"/>
    <w:rsid w:val="00024934"/>
    <w:rsid w:val="00024BED"/>
    <w:rsid w:val="00024C6F"/>
    <w:rsid w:val="00024FD0"/>
    <w:rsid w:val="0002518D"/>
    <w:rsid w:val="000251D7"/>
    <w:rsid w:val="00025248"/>
    <w:rsid w:val="0002537C"/>
    <w:rsid w:val="000253BE"/>
    <w:rsid w:val="00025A08"/>
    <w:rsid w:val="00025AB6"/>
    <w:rsid w:val="00025B3F"/>
    <w:rsid w:val="00025B45"/>
    <w:rsid w:val="00026045"/>
    <w:rsid w:val="0002626A"/>
    <w:rsid w:val="00026C88"/>
    <w:rsid w:val="00026CC1"/>
    <w:rsid w:val="00026D02"/>
    <w:rsid w:val="00026E00"/>
    <w:rsid w:val="000270B4"/>
    <w:rsid w:val="000270F1"/>
    <w:rsid w:val="0002729A"/>
    <w:rsid w:val="000273F5"/>
    <w:rsid w:val="00027515"/>
    <w:rsid w:val="0002769F"/>
    <w:rsid w:val="000277A1"/>
    <w:rsid w:val="00027878"/>
    <w:rsid w:val="00027A3D"/>
    <w:rsid w:val="00027BE2"/>
    <w:rsid w:val="0003116C"/>
    <w:rsid w:val="00031536"/>
    <w:rsid w:val="000315C9"/>
    <w:rsid w:val="00031715"/>
    <w:rsid w:val="000319B6"/>
    <w:rsid w:val="00031F0A"/>
    <w:rsid w:val="0003204E"/>
    <w:rsid w:val="0003210D"/>
    <w:rsid w:val="0003228F"/>
    <w:rsid w:val="000322B4"/>
    <w:rsid w:val="00032630"/>
    <w:rsid w:val="0003268C"/>
    <w:rsid w:val="00032834"/>
    <w:rsid w:val="000328B4"/>
    <w:rsid w:val="000328F2"/>
    <w:rsid w:val="00032CA6"/>
    <w:rsid w:val="00032F0C"/>
    <w:rsid w:val="00032F85"/>
    <w:rsid w:val="0003340D"/>
    <w:rsid w:val="00033964"/>
    <w:rsid w:val="00033CDD"/>
    <w:rsid w:val="00033E0E"/>
    <w:rsid w:val="00033E5A"/>
    <w:rsid w:val="000340B7"/>
    <w:rsid w:val="0003428C"/>
    <w:rsid w:val="0003457A"/>
    <w:rsid w:val="000351F6"/>
    <w:rsid w:val="00035231"/>
    <w:rsid w:val="0003535A"/>
    <w:rsid w:val="0003589D"/>
    <w:rsid w:val="00035BDE"/>
    <w:rsid w:val="00035D80"/>
    <w:rsid w:val="00035E24"/>
    <w:rsid w:val="0003607B"/>
    <w:rsid w:val="00036240"/>
    <w:rsid w:val="0003632C"/>
    <w:rsid w:val="00036780"/>
    <w:rsid w:val="000369EF"/>
    <w:rsid w:val="00036A73"/>
    <w:rsid w:val="00036C41"/>
    <w:rsid w:val="00036C4D"/>
    <w:rsid w:val="00036CE0"/>
    <w:rsid w:val="00036DE3"/>
    <w:rsid w:val="00037712"/>
    <w:rsid w:val="00037C0E"/>
    <w:rsid w:val="00037C63"/>
    <w:rsid w:val="00037F94"/>
    <w:rsid w:val="000400DC"/>
    <w:rsid w:val="00040190"/>
    <w:rsid w:val="0004046C"/>
    <w:rsid w:val="000404F3"/>
    <w:rsid w:val="00040DBB"/>
    <w:rsid w:val="00041524"/>
    <w:rsid w:val="00041552"/>
    <w:rsid w:val="0004197E"/>
    <w:rsid w:val="00041BDB"/>
    <w:rsid w:val="00041C37"/>
    <w:rsid w:val="00041CED"/>
    <w:rsid w:val="00042104"/>
    <w:rsid w:val="000423FC"/>
    <w:rsid w:val="000424BF"/>
    <w:rsid w:val="00042923"/>
    <w:rsid w:val="000429B0"/>
    <w:rsid w:val="000429CF"/>
    <w:rsid w:val="00042F15"/>
    <w:rsid w:val="00043676"/>
    <w:rsid w:val="000439A8"/>
    <w:rsid w:val="00043C43"/>
    <w:rsid w:val="00043F0D"/>
    <w:rsid w:val="000440BB"/>
    <w:rsid w:val="000448D7"/>
    <w:rsid w:val="00044E8D"/>
    <w:rsid w:val="000457D6"/>
    <w:rsid w:val="00045870"/>
    <w:rsid w:val="00045ACB"/>
    <w:rsid w:val="00045F44"/>
    <w:rsid w:val="00046672"/>
    <w:rsid w:val="000467B1"/>
    <w:rsid w:val="000467FC"/>
    <w:rsid w:val="00046F89"/>
    <w:rsid w:val="0004707E"/>
    <w:rsid w:val="00047695"/>
    <w:rsid w:val="00047818"/>
    <w:rsid w:val="00047957"/>
    <w:rsid w:val="000479D9"/>
    <w:rsid w:val="00047A03"/>
    <w:rsid w:val="00047AD3"/>
    <w:rsid w:val="00050190"/>
    <w:rsid w:val="0005030A"/>
    <w:rsid w:val="00050324"/>
    <w:rsid w:val="000504A3"/>
    <w:rsid w:val="0005062D"/>
    <w:rsid w:val="000507DF"/>
    <w:rsid w:val="0005111D"/>
    <w:rsid w:val="00051959"/>
    <w:rsid w:val="000519FE"/>
    <w:rsid w:val="00051D9D"/>
    <w:rsid w:val="00051DD2"/>
    <w:rsid w:val="00051EC5"/>
    <w:rsid w:val="00051F73"/>
    <w:rsid w:val="000520FD"/>
    <w:rsid w:val="00052247"/>
    <w:rsid w:val="000523AF"/>
    <w:rsid w:val="00052655"/>
    <w:rsid w:val="00052859"/>
    <w:rsid w:val="000529D9"/>
    <w:rsid w:val="00052A52"/>
    <w:rsid w:val="00052B66"/>
    <w:rsid w:val="00053774"/>
    <w:rsid w:val="000539CE"/>
    <w:rsid w:val="00053AAC"/>
    <w:rsid w:val="00053AC8"/>
    <w:rsid w:val="00053DB0"/>
    <w:rsid w:val="00053DF7"/>
    <w:rsid w:val="00053F94"/>
    <w:rsid w:val="0005417F"/>
    <w:rsid w:val="0005473B"/>
    <w:rsid w:val="000548A4"/>
    <w:rsid w:val="000549A5"/>
    <w:rsid w:val="00054CA7"/>
    <w:rsid w:val="00054FCD"/>
    <w:rsid w:val="00055096"/>
    <w:rsid w:val="000550C2"/>
    <w:rsid w:val="0005510D"/>
    <w:rsid w:val="00055254"/>
    <w:rsid w:val="00055415"/>
    <w:rsid w:val="0005542D"/>
    <w:rsid w:val="0005548B"/>
    <w:rsid w:val="000555C3"/>
    <w:rsid w:val="000555E4"/>
    <w:rsid w:val="00055713"/>
    <w:rsid w:val="00055769"/>
    <w:rsid w:val="00055790"/>
    <w:rsid w:val="00055B3C"/>
    <w:rsid w:val="00055B90"/>
    <w:rsid w:val="00055D0B"/>
    <w:rsid w:val="00055E55"/>
    <w:rsid w:val="0005600E"/>
    <w:rsid w:val="00056078"/>
    <w:rsid w:val="00056135"/>
    <w:rsid w:val="000567B4"/>
    <w:rsid w:val="00056960"/>
    <w:rsid w:val="000569FF"/>
    <w:rsid w:val="00056A59"/>
    <w:rsid w:val="00056B3F"/>
    <w:rsid w:val="00056BD4"/>
    <w:rsid w:val="00056E54"/>
    <w:rsid w:val="00056F46"/>
    <w:rsid w:val="00057140"/>
    <w:rsid w:val="00057279"/>
    <w:rsid w:val="00057565"/>
    <w:rsid w:val="000576E5"/>
    <w:rsid w:val="000577E8"/>
    <w:rsid w:val="00057E15"/>
    <w:rsid w:val="0005BA20"/>
    <w:rsid w:val="000602FE"/>
    <w:rsid w:val="00060335"/>
    <w:rsid w:val="00060D6D"/>
    <w:rsid w:val="00061290"/>
    <w:rsid w:val="00061412"/>
    <w:rsid w:val="000615D7"/>
    <w:rsid w:val="00061CDB"/>
    <w:rsid w:val="000627B0"/>
    <w:rsid w:val="00062B0F"/>
    <w:rsid w:val="00062DAB"/>
    <w:rsid w:val="00062F97"/>
    <w:rsid w:val="0006313B"/>
    <w:rsid w:val="00063606"/>
    <w:rsid w:val="00063694"/>
    <w:rsid w:val="0006415D"/>
    <w:rsid w:val="000641B8"/>
    <w:rsid w:val="000641D7"/>
    <w:rsid w:val="000643A4"/>
    <w:rsid w:val="0006446B"/>
    <w:rsid w:val="00064566"/>
    <w:rsid w:val="000645EC"/>
    <w:rsid w:val="00064603"/>
    <w:rsid w:val="00064663"/>
    <w:rsid w:val="00064838"/>
    <w:rsid w:val="00064A85"/>
    <w:rsid w:val="00064AB2"/>
    <w:rsid w:val="00064C94"/>
    <w:rsid w:val="00064D5D"/>
    <w:rsid w:val="00065074"/>
    <w:rsid w:val="00065106"/>
    <w:rsid w:val="000651B5"/>
    <w:rsid w:val="0006530C"/>
    <w:rsid w:val="00065918"/>
    <w:rsid w:val="00065A5A"/>
    <w:rsid w:val="00065CD9"/>
    <w:rsid w:val="0006635F"/>
    <w:rsid w:val="000663DE"/>
    <w:rsid w:val="00066571"/>
    <w:rsid w:val="0006670C"/>
    <w:rsid w:val="00066DA8"/>
    <w:rsid w:val="000674AC"/>
    <w:rsid w:val="0006FD43"/>
    <w:rsid w:val="0007007B"/>
    <w:rsid w:val="00070235"/>
    <w:rsid w:val="000704F3"/>
    <w:rsid w:val="00070538"/>
    <w:rsid w:val="000708FE"/>
    <w:rsid w:val="0007113F"/>
    <w:rsid w:val="00071543"/>
    <w:rsid w:val="0007160C"/>
    <w:rsid w:val="0007164E"/>
    <w:rsid w:val="0007173C"/>
    <w:rsid w:val="000719B3"/>
    <w:rsid w:val="00071BF4"/>
    <w:rsid w:val="00071D4A"/>
    <w:rsid w:val="00071EC9"/>
    <w:rsid w:val="000721D7"/>
    <w:rsid w:val="0007253C"/>
    <w:rsid w:val="0007296C"/>
    <w:rsid w:val="00072CAE"/>
    <w:rsid w:val="00072E80"/>
    <w:rsid w:val="00072FC4"/>
    <w:rsid w:val="0007307B"/>
    <w:rsid w:val="000737AA"/>
    <w:rsid w:val="000738D4"/>
    <w:rsid w:val="000739B4"/>
    <w:rsid w:val="00073D90"/>
    <w:rsid w:val="000744B9"/>
    <w:rsid w:val="000745F2"/>
    <w:rsid w:val="0007482A"/>
    <w:rsid w:val="00074ACE"/>
    <w:rsid w:val="00074D1A"/>
    <w:rsid w:val="00074DDB"/>
    <w:rsid w:val="00074F37"/>
    <w:rsid w:val="000754EF"/>
    <w:rsid w:val="00075A1A"/>
    <w:rsid w:val="000765C6"/>
    <w:rsid w:val="00076A11"/>
    <w:rsid w:val="00076CFA"/>
    <w:rsid w:val="00076E3D"/>
    <w:rsid w:val="000776B1"/>
    <w:rsid w:val="00077743"/>
    <w:rsid w:val="000779F4"/>
    <w:rsid w:val="00077CFE"/>
    <w:rsid w:val="0008047D"/>
    <w:rsid w:val="000808B7"/>
    <w:rsid w:val="0008097C"/>
    <w:rsid w:val="000809F7"/>
    <w:rsid w:val="00080AF1"/>
    <w:rsid w:val="00080B33"/>
    <w:rsid w:val="00080E75"/>
    <w:rsid w:val="00081316"/>
    <w:rsid w:val="00081370"/>
    <w:rsid w:val="0008139D"/>
    <w:rsid w:val="000814E3"/>
    <w:rsid w:val="0008178E"/>
    <w:rsid w:val="000818E9"/>
    <w:rsid w:val="00081E5B"/>
    <w:rsid w:val="000823A0"/>
    <w:rsid w:val="000823D5"/>
    <w:rsid w:val="00082758"/>
    <w:rsid w:val="00082806"/>
    <w:rsid w:val="000829CF"/>
    <w:rsid w:val="00082E73"/>
    <w:rsid w:val="00083190"/>
    <w:rsid w:val="000832DF"/>
    <w:rsid w:val="0008348F"/>
    <w:rsid w:val="00083A07"/>
    <w:rsid w:val="00083B95"/>
    <w:rsid w:val="00083CC3"/>
    <w:rsid w:val="000843CC"/>
    <w:rsid w:val="000847E1"/>
    <w:rsid w:val="00084938"/>
    <w:rsid w:val="00084D47"/>
    <w:rsid w:val="00084F11"/>
    <w:rsid w:val="00084F94"/>
    <w:rsid w:val="0008509B"/>
    <w:rsid w:val="00085336"/>
    <w:rsid w:val="00085E71"/>
    <w:rsid w:val="00085F2A"/>
    <w:rsid w:val="0008606A"/>
    <w:rsid w:val="0008609A"/>
    <w:rsid w:val="00086217"/>
    <w:rsid w:val="000866F3"/>
    <w:rsid w:val="00086883"/>
    <w:rsid w:val="00086917"/>
    <w:rsid w:val="00086969"/>
    <w:rsid w:val="00086A2B"/>
    <w:rsid w:val="00086AE3"/>
    <w:rsid w:val="00086ECC"/>
    <w:rsid w:val="00086FBB"/>
    <w:rsid w:val="00087015"/>
    <w:rsid w:val="00087504"/>
    <w:rsid w:val="000876E3"/>
    <w:rsid w:val="0008791C"/>
    <w:rsid w:val="00087F7D"/>
    <w:rsid w:val="00090188"/>
    <w:rsid w:val="0009074D"/>
    <w:rsid w:val="000908BD"/>
    <w:rsid w:val="00090A5D"/>
    <w:rsid w:val="00090A6A"/>
    <w:rsid w:val="00090A94"/>
    <w:rsid w:val="00090AFC"/>
    <w:rsid w:val="00090B21"/>
    <w:rsid w:val="00090BCC"/>
    <w:rsid w:val="00090D35"/>
    <w:rsid w:val="00090D8C"/>
    <w:rsid w:val="00090F4D"/>
    <w:rsid w:val="00090FAA"/>
    <w:rsid w:val="00090FE0"/>
    <w:rsid w:val="0009188C"/>
    <w:rsid w:val="00091DFE"/>
    <w:rsid w:val="00091FC7"/>
    <w:rsid w:val="0009216E"/>
    <w:rsid w:val="00092CE6"/>
    <w:rsid w:val="00092CED"/>
    <w:rsid w:val="00092D4A"/>
    <w:rsid w:val="00093017"/>
    <w:rsid w:val="000931BE"/>
    <w:rsid w:val="000931C2"/>
    <w:rsid w:val="000938A2"/>
    <w:rsid w:val="000938C9"/>
    <w:rsid w:val="00093A4C"/>
    <w:rsid w:val="00093B26"/>
    <w:rsid w:val="00093B33"/>
    <w:rsid w:val="00093C13"/>
    <w:rsid w:val="0009412D"/>
    <w:rsid w:val="00094463"/>
    <w:rsid w:val="00094730"/>
    <w:rsid w:val="0009473D"/>
    <w:rsid w:val="000948EE"/>
    <w:rsid w:val="00094B05"/>
    <w:rsid w:val="00094D3C"/>
    <w:rsid w:val="00095719"/>
    <w:rsid w:val="0009597F"/>
    <w:rsid w:val="00095AD3"/>
    <w:rsid w:val="00095C6E"/>
    <w:rsid w:val="00095E35"/>
    <w:rsid w:val="0009610A"/>
    <w:rsid w:val="00096D94"/>
    <w:rsid w:val="00097374"/>
    <w:rsid w:val="00097535"/>
    <w:rsid w:val="0009760A"/>
    <w:rsid w:val="000977DE"/>
    <w:rsid w:val="000978BF"/>
    <w:rsid w:val="00097B56"/>
    <w:rsid w:val="00097E6E"/>
    <w:rsid w:val="000A00D8"/>
    <w:rsid w:val="000A020F"/>
    <w:rsid w:val="000A03AB"/>
    <w:rsid w:val="000A048D"/>
    <w:rsid w:val="000A05DB"/>
    <w:rsid w:val="000A072B"/>
    <w:rsid w:val="000A0761"/>
    <w:rsid w:val="000A08F7"/>
    <w:rsid w:val="000A09A8"/>
    <w:rsid w:val="000A0C1C"/>
    <w:rsid w:val="000A111C"/>
    <w:rsid w:val="000A1863"/>
    <w:rsid w:val="000A1A2D"/>
    <w:rsid w:val="000A1DB9"/>
    <w:rsid w:val="000A2193"/>
    <w:rsid w:val="000A26C3"/>
    <w:rsid w:val="000A26CC"/>
    <w:rsid w:val="000A2BDB"/>
    <w:rsid w:val="000A30BA"/>
    <w:rsid w:val="000A31E4"/>
    <w:rsid w:val="000A31F1"/>
    <w:rsid w:val="000A3225"/>
    <w:rsid w:val="000A3B69"/>
    <w:rsid w:val="000A3E57"/>
    <w:rsid w:val="000A40E6"/>
    <w:rsid w:val="000A4305"/>
    <w:rsid w:val="000A4AAA"/>
    <w:rsid w:val="000A4C59"/>
    <w:rsid w:val="000A4C6C"/>
    <w:rsid w:val="000A4D43"/>
    <w:rsid w:val="000A51A8"/>
    <w:rsid w:val="000A53CD"/>
    <w:rsid w:val="000A55B8"/>
    <w:rsid w:val="000A56EB"/>
    <w:rsid w:val="000A57E6"/>
    <w:rsid w:val="000A62AF"/>
    <w:rsid w:val="000A63ED"/>
    <w:rsid w:val="000A651C"/>
    <w:rsid w:val="000A663D"/>
    <w:rsid w:val="000A687C"/>
    <w:rsid w:val="000A69CB"/>
    <w:rsid w:val="000A6A1B"/>
    <w:rsid w:val="000A6E22"/>
    <w:rsid w:val="000A6E6B"/>
    <w:rsid w:val="000A70FC"/>
    <w:rsid w:val="000A72AC"/>
    <w:rsid w:val="000A740E"/>
    <w:rsid w:val="000A7AC8"/>
    <w:rsid w:val="000A7B32"/>
    <w:rsid w:val="000A7B59"/>
    <w:rsid w:val="000B01D4"/>
    <w:rsid w:val="000B0227"/>
    <w:rsid w:val="000B042B"/>
    <w:rsid w:val="000B05BE"/>
    <w:rsid w:val="000B0727"/>
    <w:rsid w:val="000B074B"/>
    <w:rsid w:val="000B084D"/>
    <w:rsid w:val="000B092A"/>
    <w:rsid w:val="000B0B96"/>
    <w:rsid w:val="000B0F09"/>
    <w:rsid w:val="000B150A"/>
    <w:rsid w:val="000B187D"/>
    <w:rsid w:val="000B1954"/>
    <w:rsid w:val="000B1D91"/>
    <w:rsid w:val="000B1DED"/>
    <w:rsid w:val="000B1E8C"/>
    <w:rsid w:val="000B213D"/>
    <w:rsid w:val="000B220A"/>
    <w:rsid w:val="000B22C5"/>
    <w:rsid w:val="000B2576"/>
    <w:rsid w:val="000B297E"/>
    <w:rsid w:val="000B2BFC"/>
    <w:rsid w:val="000B3207"/>
    <w:rsid w:val="000B3B48"/>
    <w:rsid w:val="000B4028"/>
    <w:rsid w:val="000B44D8"/>
    <w:rsid w:val="000B4AB3"/>
    <w:rsid w:val="000B4B40"/>
    <w:rsid w:val="000B4E5D"/>
    <w:rsid w:val="000B4F72"/>
    <w:rsid w:val="000B5457"/>
    <w:rsid w:val="000B57DA"/>
    <w:rsid w:val="000B597B"/>
    <w:rsid w:val="000B608C"/>
    <w:rsid w:val="000B62A5"/>
    <w:rsid w:val="000B64B8"/>
    <w:rsid w:val="000B6521"/>
    <w:rsid w:val="000B6552"/>
    <w:rsid w:val="000B68C3"/>
    <w:rsid w:val="000B6907"/>
    <w:rsid w:val="000B6C6D"/>
    <w:rsid w:val="000B6DC7"/>
    <w:rsid w:val="000B7266"/>
    <w:rsid w:val="000B72CC"/>
    <w:rsid w:val="000B7677"/>
    <w:rsid w:val="000B7C6E"/>
    <w:rsid w:val="000BA888"/>
    <w:rsid w:val="000C02F4"/>
    <w:rsid w:val="000C0336"/>
    <w:rsid w:val="000C0528"/>
    <w:rsid w:val="000C05F6"/>
    <w:rsid w:val="000C0700"/>
    <w:rsid w:val="000C0AD8"/>
    <w:rsid w:val="000C0C7B"/>
    <w:rsid w:val="000C0FA6"/>
    <w:rsid w:val="000C11B2"/>
    <w:rsid w:val="000C1222"/>
    <w:rsid w:val="000C1367"/>
    <w:rsid w:val="000C158E"/>
    <w:rsid w:val="000C1915"/>
    <w:rsid w:val="000C1944"/>
    <w:rsid w:val="000C19B0"/>
    <w:rsid w:val="000C1A8D"/>
    <w:rsid w:val="000C1B2C"/>
    <w:rsid w:val="000C1DD1"/>
    <w:rsid w:val="000C21DD"/>
    <w:rsid w:val="000C248A"/>
    <w:rsid w:val="000C27F8"/>
    <w:rsid w:val="000C2939"/>
    <w:rsid w:val="000C2AFA"/>
    <w:rsid w:val="000C2BE5"/>
    <w:rsid w:val="000C2D27"/>
    <w:rsid w:val="000C2E51"/>
    <w:rsid w:val="000C2F85"/>
    <w:rsid w:val="000C3377"/>
    <w:rsid w:val="000C33D8"/>
    <w:rsid w:val="000C4008"/>
    <w:rsid w:val="000C45FD"/>
    <w:rsid w:val="000C465B"/>
    <w:rsid w:val="000C4734"/>
    <w:rsid w:val="000C47EA"/>
    <w:rsid w:val="000C4D2F"/>
    <w:rsid w:val="000C4FFA"/>
    <w:rsid w:val="000C503D"/>
    <w:rsid w:val="000C524F"/>
    <w:rsid w:val="000C52B9"/>
    <w:rsid w:val="000C5361"/>
    <w:rsid w:val="000C5573"/>
    <w:rsid w:val="000C55BC"/>
    <w:rsid w:val="000C56C0"/>
    <w:rsid w:val="000C5B5E"/>
    <w:rsid w:val="000C5E60"/>
    <w:rsid w:val="000C5F35"/>
    <w:rsid w:val="000C6003"/>
    <w:rsid w:val="000C60A9"/>
    <w:rsid w:val="000C60CB"/>
    <w:rsid w:val="000C625F"/>
    <w:rsid w:val="000C6871"/>
    <w:rsid w:val="000C6AD2"/>
    <w:rsid w:val="000C6B18"/>
    <w:rsid w:val="000C6D00"/>
    <w:rsid w:val="000C6D8D"/>
    <w:rsid w:val="000C6EAD"/>
    <w:rsid w:val="000C70E8"/>
    <w:rsid w:val="000C72D1"/>
    <w:rsid w:val="000D032F"/>
    <w:rsid w:val="000D0416"/>
    <w:rsid w:val="000D0BEF"/>
    <w:rsid w:val="000D0F57"/>
    <w:rsid w:val="000D1187"/>
    <w:rsid w:val="000D14A1"/>
    <w:rsid w:val="000D14DC"/>
    <w:rsid w:val="000D164E"/>
    <w:rsid w:val="000D1762"/>
    <w:rsid w:val="000D1846"/>
    <w:rsid w:val="000D195C"/>
    <w:rsid w:val="000D1E7E"/>
    <w:rsid w:val="000D20F7"/>
    <w:rsid w:val="000D21D1"/>
    <w:rsid w:val="000D2411"/>
    <w:rsid w:val="000D24C7"/>
    <w:rsid w:val="000D25DD"/>
    <w:rsid w:val="000D2721"/>
    <w:rsid w:val="000D2941"/>
    <w:rsid w:val="000D2F06"/>
    <w:rsid w:val="000D3183"/>
    <w:rsid w:val="000D32D3"/>
    <w:rsid w:val="000D3544"/>
    <w:rsid w:val="000D3613"/>
    <w:rsid w:val="000D38CF"/>
    <w:rsid w:val="000D39AE"/>
    <w:rsid w:val="000D3A33"/>
    <w:rsid w:val="000D3ABB"/>
    <w:rsid w:val="000D3DFC"/>
    <w:rsid w:val="000D3E14"/>
    <w:rsid w:val="000D3E18"/>
    <w:rsid w:val="000D43FD"/>
    <w:rsid w:val="000D4A32"/>
    <w:rsid w:val="000D4BC0"/>
    <w:rsid w:val="000D51EB"/>
    <w:rsid w:val="000D51FB"/>
    <w:rsid w:val="000D5390"/>
    <w:rsid w:val="000D53F1"/>
    <w:rsid w:val="000D58E4"/>
    <w:rsid w:val="000D5914"/>
    <w:rsid w:val="000D5AC5"/>
    <w:rsid w:val="000D5B27"/>
    <w:rsid w:val="000D60D7"/>
    <w:rsid w:val="000D61FB"/>
    <w:rsid w:val="000D6289"/>
    <w:rsid w:val="000D65CD"/>
    <w:rsid w:val="000D6648"/>
    <w:rsid w:val="000D68F2"/>
    <w:rsid w:val="000D6BB9"/>
    <w:rsid w:val="000D6CDF"/>
    <w:rsid w:val="000D6E26"/>
    <w:rsid w:val="000D6E77"/>
    <w:rsid w:val="000D7115"/>
    <w:rsid w:val="000D7164"/>
    <w:rsid w:val="000D751F"/>
    <w:rsid w:val="000D7560"/>
    <w:rsid w:val="000D75A1"/>
    <w:rsid w:val="000E027D"/>
    <w:rsid w:val="000E02A1"/>
    <w:rsid w:val="000E04A9"/>
    <w:rsid w:val="000E04BB"/>
    <w:rsid w:val="000E04E3"/>
    <w:rsid w:val="000E0662"/>
    <w:rsid w:val="000E08F8"/>
    <w:rsid w:val="000E1208"/>
    <w:rsid w:val="000E1218"/>
    <w:rsid w:val="000E1A57"/>
    <w:rsid w:val="000E2530"/>
    <w:rsid w:val="000E262A"/>
    <w:rsid w:val="000E28E3"/>
    <w:rsid w:val="000E2B1A"/>
    <w:rsid w:val="000E3042"/>
    <w:rsid w:val="000E3508"/>
    <w:rsid w:val="000E351F"/>
    <w:rsid w:val="000E375A"/>
    <w:rsid w:val="000E37EB"/>
    <w:rsid w:val="000E3AF7"/>
    <w:rsid w:val="000E3B76"/>
    <w:rsid w:val="000E3CCB"/>
    <w:rsid w:val="000E3E97"/>
    <w:rsid w:val="000E3F91"/>
    <w:rsid w:val="000E43B8"/>
    <w:rsid w:val="000E4A69"/>
    <w:rsid w:val="000E4A94"/>
    <w:rsid w:val="000E4F1D"/>
    <w:rsid w:val="000E5056"/>
    <w:rsid w:val="000E514E"/>
    <w:rsid w:val="000E51E0"/>
    <w:rsid w:val="000E530D"/>
    <w:rsid w:val="000E5573"/>
    <w:rsid w:val="000E5834"/>
    <w:rsid w:val="000E585B"/>
    <w:rsid w:val="000E58D6"/>
    <w:rsid w:val="000E5DC4"/>
    <w:rsid w:val="000E637A"/>
    <w:rsid w:val="000E66C8"/>
    <w:rsid w:val="000E6710"/>
    <w:rsid w:val="000E6A4D"/>
    <w:rsid w:val="000E730C"/>
    <w:rsid w:val="000E74C9"/>
    <w:rsid w:val="000E7532"/>
    <w:rsid w:val="000E776A"/>
    <w:rsid w:val="000E7935"/>
    <w:rsid w:val="000E79D6"/>
    <w:rsid w:val="000EA656"/>
    <w:rsid w:val="000F0254"/>
    <w:rsid w:val="000F0422"/>
    <w:rsid w:val="000F04A7"/>
    <w:rsid w:val="000F04DC"/>
    <w:rsid w:val="000F0541"/>
    <w:rsid w:val="000F06E6"/>
    <w:rsid w:val="000F0880"/>
    <w:rsid w:val="000F0885"/>
    <w:rsid w:val="000F09D2"/>
    <w:rsid w:val="000F09EE"/>
    <w:rsid w:val="000F0D2A"/>
    <w:rsid w:val="000F11AE"/>
    <w:rsid w:val="000F136E"/>
    <w:rsid w:val="000F1568"/>
    <w:rsid w:val="000F1865"/>
    <w:rsid w:val="000F19E5"/>
    <w:rsid w:val="000F1D2A"/>
    <w:rsid w:val="000F22C8"/>
    <w:rsid w:val="000F2688"/>
    <w:rsid w:val="000F26C7"/>
    <w:rsid w:val="000F2707"/>
    <w:rsid w:val="000F2981"/>
    <w:rsid w:val="000F2E21"/>
    <w:rsid w:val="000F2EBD"/>
    <w:rsid w:val="000F2F1B"/>
    <w:rsid w:val="000F2FF0"/>
    <w:rsid w:val="000F3093"/>
    <w:rsid w:val="000F34E8"/>
    <w:rsid w:val="000F3922"/>
    <w:rsid w:val="000F398A"/>
    <w:rsid w:val="000F3C06"/>
    <w:rsid w:val="000F3E3D"/>
    <w:rsid w:val="000F3F27"/>
    <w:rsid w:val="000F45E3"/>
    <w:rsid w:val="000F470E"/>
    <w:rsid w:val="000F4DB4"/>
    <w:rsid w:val="000F52BC"/>
    <w:rsid w:val="000F52D5"/>
    <w:rsid w:val="000F5526"/>
    <w:rsid w:val="000F56E6"/>
    <w:rsid w:val="000F58E1"/>
    <w:rsid w:val="000F6220"/>
    <w:rsid w:val="000F641E"/>
    <w:rsid w:val="000F65FA"/>
    <w:rsid w:val="000F661D"/>
    <w:rsid w:val="000F6B55"/>
    <w:rsid w:val="000F6F8A"/>
    <w:rsid w:val="000F70E6"/>
    <w:rsid w:val="000F7696"/>
    <w:rsid w:val="000F78B7"/>
    <w:rsid w:val="000F7C05"/>
    <w:rsid w:val="0010000F"/>
    <w:rsid w:val="001000A4"/>
    <w:rsid w:val="0010025E"/>
    <w:rsid w:val="001007DE"/>
    <w:rsid w:val="001008B1"/>
    <w:rsid w:val="00100BB6"/>
    <w:rsid w:val="00100F6C"/>
    <w:rsid w:val="0010102C"/>
    <w:rsid w:val="00101194"/>
    <w:rsid w:val="0010143F"/>
    <w:rsid w:val="0010161B"/>
    <w:rsid w:val="00101691"/>
    <w:rsid w:val="00101736"/>
    <w:rsid w:val="001017E6"/>
    <w:rsid w:val="001018FA"/>
    <w:rsid w:val="00101977"/>
    <w:rsid w:val="001019C7"/>
    <w:rsid w:val="00101D21"/>
    <w:rsid w:val="00101F40"/>
    <w:rsid w:val="00102249"/>
    <w:rsid w:val="001025CA"/>
    <w:rsid w:val="00102636"/>
    <w:rsid w:val="0010280C"/>
    <w:rsid w:val="00102B49"/>
    <w:rsid w:val="00102B70"/>
    <w:rsid w:val="00103013"/>
    <w:rsid w:val="00103057"/>
    <w:rsid w:val="001031F8"/>
    <w:rsid w:val="001032B1"/>
    <w:rsid w:val="001032B9"/>
    <w:rsid w:val="001035E4"/>
    <w:rsid w:val="001036F6"/>
    <w:rsid w:val="001039A4"/>
    <w:rsid w:val="001039FC"/>
    <w:rsid w:val="00103C11"/>
    <w:rsid w:val="00103D12"/>
    <w:rsid w:val="001040B8"/>
    <w:rsid w:val="00104443"/>
    <w:rsid w:val="001044AD"/>
    <w:rsid w:val="00104510"/>
    <w:rsid w:val="001045B0"/>
    <w:rsid w:val="00104667"/>
    <w:rsid w:val="001048D1"/>
    <w:rsid w:val="00104BE4"/>
    <w:rsid w:val="00104EAD"/>
    <w:rsid w:val="00105339"/>
    <w:rsid w:val="00105405"/>
    <w:rsid w:val="00105B8D"/>
    <w:rsid w:val="00105B96"/>
    <w:rsid w:val="00105D68"/>
    <w:rsid w:val="00105FE0"/>
    <w:rsid w:val="00106105"/>
    <w:rsid w:val="001064DA"/>
    <w:rsid w:val="001065D4"/>
    <w:rsid w:val="001065F5"/>
    <w:rsid w:val="001066AD"/>
    <w:rsid w:val="001066D4"/>
    <w:rsid w:val="00106A38"/>
    <w:rsid w:val="00107DBF"/>
    <w:rsid w:val="00107FBB"/>
    <w:rsid w:val="0010CE29"/>
    <w:rsid w:val="00110162"/>
    <w:rsid w:val="001104B6"/>
    <w:rsid w:val="0011086A"/>
    <w:rsid w:val="001108E0"/>
    <w:rsid w:val="0011096A"/>
    <w:rsid w:val="001110E0"/>
    <w:rsid w:val="0011110A"/>
    <w:rsid w:val="00111761"/>
    <w:rsid w:val="001118AB"/>
    <w:rsid w:val="00111C73"/>
    <w:rsid w:val="00111CF0"/>
    <w:rsid w:val="00111D3D"/>
    <w:rsid w:val="00111FFF"/>
    <w:rsid w:val="001123E6"/>
    <w:rsid w:val="00112C7D"/>
    <w:rsid w:val="00112E6E"/>
    <w:rsid w:val="00113051"/>
    <w:rsid w:val="001131CD"/>
    <w:rsid w:val="00113377"/>
    <w:rsid w:val="001133A3"/>
    <w:rsid w:val="0011346D"/>
    <w:rsid w:val="0011376D"/>
    <w:rsid w:val="00113A17"/>
    <w:rsid w:val="00113C16"/>
    <w:rsid w:val="00113C72"/>
    <w:rsid w:val="00113C98"/>
    <w:rsid w:val="00113DB4"/>
    <w:rsid w:val="00113E12"/>
    <w:rsid w:val="00113F32"/>
    <w:rsid w:val="001142DF"/>
    <w:rsid w:val="0011462B"/>
    <w:rsid w:val="00114690"/>
    <w:rsid w:val="00114A4D"/>
    <w:rsid w:val="00114BAB"/>
    <w:rsid w:val="00114D01"/>
    <w:rsid w:val="001152A6"/>
    <w:rsid w:val="00115563"/>
    <w:rsid w:val="0011560D"/>
    <w:rsid w:val="00115657"/>
    <w:rsid w:val="00115DB9"/>
    <w:rsid w:val="001165FB"/>
    <w:rsid w:val="00116C85"/>
    <w:rsid w:val="00116D91"/>
    <w:rsid w:val="00117193"/>
    <w:rsid w:val="00117337"/>
    <w:rsid w:val="001176A6"/>
    <w:rsid w:val="00117757"/>
    <w:rsid w:val="00117896"/>
    <w:rsid w:val="00117A0C"/>
    <w:rsid w:val="00117E1F"/>
    <w:rsid w:val="00117EA6"/>
    <w:rsid w:val="00117ECF"/>
    <w:rsid w:val="0012004D"/>
    <w:rsid w:val="001202A1"/>
    <w:rsid w:val="0012082C"/>
    <w:rsid w:val="00120F30"/>
    <w:rsid w:val="00120F9D"/>
    <w:rsid w:val="00121105"/>
    <w:rsid w:val="00121229"/>
    <w:rsid w:val="00121622"/>
    <w:rsid w:val="00121821"/>
    <w:rsid w:val="0012198A"/>
    <w:rsid w:val="00121AAA"/>
    <w:rsid w:val="00121C91"/>
    <w:rsid w:val="00121DF2"/>
    <w:rsid w:val="00121E2B"/>
    <w:rsid w:val="00122118"/>
    <w:rsid w:val="001222A1"/>
    <w:rsid w:val="0012231B"/>
    <w:rsid w:val="001224E7"/>
    <w:rsid w:val="00122512"/>
    <w:rsid w:val="001225AA"/>
    <w:rsid w:val="00122833"/>
    <w:rsid w:val="001228FA"/>
    <w:rsid w:val="00122929"/>
    <w:rsid w:val="00122D73"/>
    <w:rsid w:val="00122E9F"/>
    <w:rsid w:val="00122FDB"/>
    <w:rsid w:val="001233B1"/>
    <w:rsid w:val="001238EF"/>
    <w:rsid w:val="00123C21"/>
    <w:rsid w:val="00123CAD"/>
    <w:rsid w:val="0012401D"/>
    <w:rsid w:val="001241BF"/>
    <w:rsid w:val="00124535"/>
    <w:rsid w:val="001249C1"/>
    <w:rsid w:val="00124A10"/>
    <w:rsid w:val="00124A4F"/>
    <w:rsid w:val="00124C5E"/>
    <w:rsid w:val="00124D29"/>
    <w:rsid w:val="00124D89"/>
    <w:rsid w:val="00124F78"/>
    <w:rsid w:val="00124FAF"/>
    <w:rsid w:val="00125402"/>
    <w:rsid w:val="001254BA"/>
    <w:rsid w:val="0012622A"/>
    <w:rsid w:val="001263B8"/>
    <w:rsid w:val="00126421"/>
    <w:rsid w:val="00126A7A"/>
    <w:rsid w:val="00126F9D"/>
    <w:rsid w:val="00127100"/>
    <w:rsid w:val="00127381"/>
    <w:rsid w:val="001273C8"/>
    <w:rsid w:val="00127A9D"/>
    <w:rsid w:val="001306D8"/>
    <w:rsid w:val="00130F90"/>
    <w:rsid w:val="0013107B"/>
    <w:rsid w:val="0013139F"/>
    <w:rsid w:val="00131427"/>
    <w:rsid w:val="00131500"/>
    <w:rsid w:val="00131CF2"/>
    <w:rsid w:val="00131F84"/>
    <w:rsid w:val="00132351"/>
    <w:rsid w:val="001325F7"/>
    <w:rsid w:val="001329E4"/>
    <w:rsid w:val="00132BB4"/>
    <w:rsid w:val="00132DA7"/>
    <w:rsid w:val="00132F78"/>
    <w:rsid w:val="001332C8"/>
    <w:rsid w:val="00133987"/>
    <w:rsid w:val="00133A68"/>
    <w:rsid w:val="00133DF2"/>
    <w:rsid w:val="00133E44"/>
    <w:rsid w:val="00133EFE"/>
    <w:rsid w:val="00133FC6"/>
    <w:rsid w:val="0013413F"/>
    <w:rsid w:val="001341F7"/>
    <w:rsid w:val="0013421C"/>
    <w:rsid w:val="00134945"/>
    <w:rsid w:val="001349C5"/>
    <w:rsid w:val="001352A9"/>
    <w:rsid w:val="001355FC"/>
    <w:rsid w:val="00135644"/>
    <w:rsid w:val="0013565E"/>
    <w:rsid w:val="00135793"/>
    <w:rsid w:val="001358CF"/>
    <w:rsid w:val="00135DEB"/>
    <w:rsid w:val="00135E46"/>
    <w:rsid w:val="00136352"/>
    <w:rsid w:val="001363CC"/>
    <w:rsid w:val="00136442"/>
    <w:rsid w:val="0013693F"/>
    <w:rsid w:val="00137017"/>
    <w:rsid w:val="001371C9"/>
    <w:rsid w:val="001375F5"/>
    <w:rsid w:val="001376CD"/>
    <w:rsid w:val="00137B93"/>
    <w:rsid w:val="0014008C"/>
    <w:rsid w:val="001402E1"/>
    <w:rsid w:val="00140388"/>
    <w:rsid w:val="001403EA"/>
    <w:rsid w:val="0014063A"/>
    <w:rsid w:val="001406F4"/>
    <w:rsid w:val="0014106F"/>
    <w:rsid w:val="00141390"/>
    <w:rsid w:val="001415FE"/>
    <w:rsid w:val="00141B94"/>
    <w:rsid w:val="00141BB8"/>
    <w:rsid w:val="00141E6D"/>
    <w:rsid w:val="00141EEF"/>
    <w:rsid w:val="00141F31"/>
    <w:rsid w:val="00141FDB"/>
    <w:rsid w:val="001420C4"/>
    <w:rsid w:val="0014229B"/>
    <w:rsid w:val="001422FA"/>
    <w:rsid w:val="001426F2"/>
    <w:rsid w:val="00142F30"/>
    <w:rsid w:val="001431EE"/>
    <w:rsid w:val="0014324C"/>
    <w:rsid w:val="0014351B"/>
    <w:rsid w:val="0014386A"/>
    <w:rsid w:val="001439F1"/>
    <w:rsid w:val="00143E34"/>
    <w:rsid w:val="00144166"/>
    <w:rsid w:val="0014446C"/>
    <w:rsid w:val="00144495"/>
    <w:rsid w:val="0014459F"/>
    <w:rsid w:val="00144800"/>
    <w:rsid w:val="00145122"/>
    <w:rsid w:val="001458BF"/>
    <w:rsid w:val="001458F9"/>
    <w:rsid w:val="00145908"/>
    <w:rsid w:val="00145B61"/>
    <w:rsid w:val="00145D10"/>
    <w:rsid w:val="00145F2D"/>
    <w:rsid w:val="00145F4F"/>
    <w:rsid w:val="0014603A"/>
    <w:rsid w:val="001461C8"/>
    <w:rsid w:val="00146288"/>
    <w:rsid w:val="001464C9"/>
    <w:rsid w:val="001465C2"/>
    <w:rsid w:val="00146632"/>
    <w:rsid w:val="00146ABB"/>
    <w:rsid w:val="00146BF6"/>
    <w:rsid w:val="00146F96"/>
    <w:rsid w:val="00147140"/>
    <w:rsid w:val="00147266"/>
    <w:rsid w:val="0014740F"/>
    <w:rsid w:val="00147B11"/>
    <w:rsid w:val="00147BF4"/>
    <w:rsid w:val="00149505"/>
    <w:rsid w:val="00150347"/>
    <w:rsid w:val="00150432"/>
    <w:rsid w:val="001505F5"/>
    <w:rsid w:val="001506D6"/>
    <w:rsid w:val="00150A2F"/>
    <w:rsid w:val="00150C95"/>
    <w:rsid w:val="00150CAE"/>
    <w:rsid w:val="00150CF5"/>
    <w:rsid w:val="00150DAF"/>
    <w:rsid w:val="00151151"/>
    <w:rsid w:val="00151163"/>
    <w:rsid w:val="00151324"/>
    <w:rsid w:val="0015145A"/>
    <w:rsid w:val="001518F5"/>
    <w:rsid w:val="00151F4E"/>
    <w:rsid w:val="0015210E"/>
    <w:rsid w:val="0015271A"/>
    <w:rsid w:val="00152BC8"/>
    <w:rsid w:val="00152E2B"/>
    <w:rsid w:val="0015325B"/>
    <w:rsid w:val="0015340D"/>
    <w:rsid w:val="00153BD2"/>
    <w:rsid w:val="00154035"/>
    <w:rsid w:val="0015416A"/>
    <w:rsid w:val="0015423C"/>
    <w:rsid w:val="001545E1"/>
    <w:rsid w:val="0015464E"/>
    <w:rsid w:val="00154BB0"/>
    <w:rsid w:val="00154F91"/>
    <w:rsid w:val="001551B1"/>
    <w:rsid w:val="0015531E"/>
    <w:rsid w:val="00155357"/>
    <w:rsid w:val="001554EE"/>
    <w:rsid w:val="00155729"/>
    <w:rsid w:val="001557B0"/>
    <w:rsid w:val="00155869"/>
    <w:rsid w:val="00155AAB"/>
    <w:rsid w:val="00155EC1"/>
    <w:rsid w:val="0015601D"/>
    <w:rsid w:val="0015638C"/>
    <w:rsid w:val="001564A9"/>
    <w:rsid w:val="001564D3"/>
    <w:rsid w:val="001567F7"/>
    <w:rsid w:val="00156E12"/>
    <w:rsid w:val="001570C3"/>
    <w:rsid w:val="0015787F"/>
    <w:rsid w:val="00160018"/>
    <w:rsid w:val="00160115"/>
    <w:rsid w:val="00160379"/>
    <w:rsid w:val="00160458"/>
    <w:rsid w:val="00160562"/>
    <w:rsid w:val="001605B5"/>
    <w:rsid w:val="00160A23"/>
    <w:rsid w:val="00160A7F"/>
    <w:rsid w:val="00160D92"/>
    <w:rsid w:val="001610BE"/>
    <w:rsid w:val="00161466"/>
    <w:rsid w:val="001615D7"/>
    <w:rsid w:val="00161653"/>
    <w:rsid w:val="001617D7"/>
    <w:rsid w:val="00161CC5"/>
    <w:rsid w:val="00161EFA"/>
    <w:rsid w:val="001622E1"/>
    <w:rsid w:val="00162561"/>
    <w:rsid w:val="00162722"/>
    <w:rsid w:val="00162EBA"/>
    <w:rsid w:val="001631F2"/>
    <w:rsid w:val="001637B7"/>
    <w:rsid w:val="00163865"/>
    <w:rsid w:val="001638E8"/>
    <w:rsid w:val="0016412D"/>
    <w:rsid w:val="001641E7"/>
    <w:rsid w:val="001641EC"/>
    <w:rsid w:val="00164448"/>
    <w:rsid w:val="00164522"/>
    <w:rsid w:val="00164534"/>
    <w:rsid w:val="00164744"/>
    <w:rsid w:val="00164A78"/>
    <w:rsid w:val="00164C4F"/>
    <w:rsid w:val="00164F07"/>
    <w:rsid w:val="001654A0"/>
    <w:rsid w:val="00165541"/>
    <w:rsid w:val="001656BE"/>
    <w:rsid w:val="00165DAA"/>
    <w:rsid w:val="00165E60"/>
    <w:rsid w:val="00165EA1"/>
    <w:rsid w:val="00165F40"/>
    <w:rsid w:val="001663BC"/>
    <w:rsid w:val="0016644F"/>
    <w:rsid w:val="001664BD"/>
    <w:rsid w:val="00166A1A"/>
    <w:rsid w:val="00166AE2"/>
    <w:rsid w:val="00167246"/>
    <w:rsid w:val="0016789B"/>
    <w:rsid w:val="00167B91"/>
    <w:rsid w:val="00167CD6"/>
    <w:rsid w:val="00167D8A"/>
    <w:rsid w:val="00168EDE"/>
    <w:rsid w:val="0017028A"/>
    <w:rsid w:val="001703C9"/>
    <w:rsid w:val="0017060A"/>
    <w:rsid w:val="001708A9"/>
    <w:rsid w:val="00170A44"/>
    <w:rsid w:val="00170B33"/>
    <w:rsid w:val="00170C24"/>
    <w:rsid w:val="00170D6C"/>
    <w:rsid w:val="00170D98"/>
    <w:rsid w:val="0017100B"/>
    <w:rsid w:val="00171134"/>
    <w:rsid w:val="001711BC"/>
    <w:rsid w:val="0017147B"/>
    <w:rsid w:val="001714D2"/>
    <w:rsid w:val="00171673"/>
    <w:rsid w:val="001719E3"/>
    <w:rsid w:val="00171CA7"/>
    <w:rsid w:val="00171D5E"/>
    <w:rsid w:val="00172D2D"/>
    <w:rsid w:val="00172F6A"/>
    <w:rsid w:val="0017305F"/>
    <w:rsid w:val="0017312C"/>
    <w:rsid w:val="0017344B"/>
    <w:rsid w:val="00173C73"/>
    <w:rsid w:val="00173FD4"/>
    <w:rsid w:val="00173FE7"/>
    <w:rsid w:val="00174052"/>
    <w:rsid w:val="001740B3"/>
    <w:rsid w:val="00174121"/>
    <w:rsid w:val="00174243"/>
    <w:rsid w:val="00174D10"/>
    <w:rsid w:val="00175B82"/>
    <w:rsid w:val="00176699"/>
    <w:rsid w:val="00176706"/>
    <w:rsid w:val="00176940"/>
    <w:rsid w:val="00176983"/>
    <w:rsid w:val="001770C2"/>
    <w:rsid w:val="00177218"/>
    <w:rsid w:val="001776C7"/>
    <w:rsid w:val="00177755"/>
    <w:rsid w:val="00177A6C"/>
    <w:rsid w:val="00177D32"/>
    <w:rsid w:val="00177DEA"/>
    <w:rsid w:val="001800E8"/>
    <w:rsid w:val="0018031A"/>
    <w:rsid w:val="0018067D"/>
    <w:rsid w:val="001806C8"/>
    <w:rsid w:val="00180969"/>
    <w:rsid w:val="00181483"/>
    <w:rsid w:val="00181673"/>
    <w:rsid w:val="0018179D"/>
    <w:rsid w:val="001818BB"/>
    <w:rsid w:val="00181A50"/>
    <w:rsid w:val="00181C4B"/>
    <w:rsid w:val="00181D61"/>
    <w:rsid w:val="00182438"/>
    <w:rsid w:val="001828EA"/>
    <w:rsid w:val="00182A8C"/>
    <w:rsid w:val="00183442"/>
    <w:rsid w:val="001836C1"/>
    <w:rsid w:val="00183CB9"/>
    <w:rsid w:val="001843EB"/>
    <w:rsid w:val="0018453D"/>
    <w:rsid w:val="001845F7"/>
    <w:rsid w:val="001846FC"/>
    <w:rsid w:val="00184BFD"/>
    <w:rsid w:val="00184E9B"/>
    <w:rsid w:val="0018505D"/>
    <w:rsid w:val="00185266"/>
    <w:rsid w:val="001854E6"/>
    <w:rsid w:val="0018573D"/>
    <w:rsid w:val="00185CA9"/>
    <w:rsid w:val="00186040"/>
    <w:rsid w:val="001862BB"/>
    <w:rsid w:val="0018639E"/>
    <w:rsid w:val="00186539"/>
    <w:rsid w:val="0018666B"/>
    <w:rsid w:val="001866BF"/>
    <w:rsid w:val="0018670F"/>
    <w:rsid w:val="001867A5"/>
    <w:rsid w:val="00186CBE"/>
    <w:rsid w:val="00186FC1"/>
    <w:rsid w:val="00187055"/>
    <w:rsid w:val="001871B7"/>
    <w:rsid w:val="00187335"/>
    <w:rsid w:val="001875CE"/>
    <w:rsid w:val="00187812"/>
    <w:rsid w:val="00187A8E"/>
    <w:rsid w:val="00187C52"/>
    <w:rsid w:val="00187D5A"/>
    <w:rsid w:val="0019020D"/>
    <w:rsid w:val="00190233"/>
    <w:rsid w:val="001903D4"/>
    <w:rsid w:val="001905E1"/>
    <w:rsid w:val="00190745"/>
    <w:rsid w:val="00190959"/>
    <w:rsid w:val="00190AA7"/>
    <w:rsid w:val="00190B6E"/>
    <w:rsid w:val="00190BAF"/>
    <w:rsid w:val="00190BBE"/>
    <w:rsid w:val="00190BF4"/>
    <w:rsid w:val="00190DE3"/>
    <w:rsid w:val="00190EDE"/>
    <w:rsid w:val="00191279"/>
    <w:rsid w:val="0019160A"/>
    <w:rsid w:val="00191C15"/>
    <w:rsid w:val="00191C75"/>
    <w:rsid w:val="00191E68"/>
    <w:rsid w:val="00191ECE"/>
    <w:rsid w:val="00192123"/>
    <w:rsid w:val="001921AA"/>
    <w:rsid w:val="0019236F"/>
    <w:rsid w:val="0019258A"/>
    <w:rsid w:val="0019264C"/>
    <w:rsid w:val="001927BF"/>
    <w:rsid w:val="00192868"/>
    <w:rsid w:val="00192EB7"/>
    <w:rsid w:val="00192F2B"/>
    <w:rsid w:val="00193453"/>
    <w:rsid w:val="00193775"/>
    <w:rsid w:val="00193959"/>
    <w:rsid w:val="00193AC3"/>
    <w:rsid w:val="00194203"/>
    <w:rsid w:val="00194236"/>
    <w:rsid w:val="00194334"/>
    <w:rsid w:val="00194745"/>
    <w:rsid w:val="00194C1C"/>
    <w:rsid w:val="00194E77"/>
    <w:rsid w:val="00194F96"/>
    <w:rsid w:val="0019556B"/>
    <w:rsid w:val="001955C1"/>
    <w:rsid w:val="00195736"/>
    <w:rsid w:val="00195834"/>
    <w:rsid w:val="0019593D"/>
    <w:rsid w:val="00195B20"/>
    <w:rsid w:val="00195C6F"/>
    <w:rsid w:val="00195EFA"/>
    <w:rsid w:val="00196034"/>
    <w:rsid w:val="00196234"/>
    <w:rsid w:val="00196910"/>
    <w:rsid w:val="001969AA"/>
    <w:rsid w:val="00196D04"/>
    <w:rsid w:val="00196FA1"/>
    <w:rsid w:val="001972CC"/>
    <w:rsid w:val="0019742F"/>
    <w:rsid w:val="00197613"/>
    <w:rsid w:val="00197B93"/>
    <w:rsid w:val="00197C1F"/>
    <w:rsid w:val="00197C29"/>
    <w:rsid w:val="00197C4D"/>
    <w:rsid w:val="00197D8D"/>
    <w:rsid w:val="001A00CB"/>
    <w:rsid w:val="001A036B"/>
    <w:rsid w:val="001A047E"/>
    <w:rsid w:val="001A054E"/>
    <w:rsid w:val="001A05AA"/>
    <w:rsid w:val="001A082E"/>
    <w:rsid w:val="001A0CFD"/>
    <w:rsid w:val="001A0EEF"/>
    <w:rsid w:val="001A0F28"/>
    <w:rsid w:val="001A10BC"/>
    <w:rsid w:val="001A1A13"/>
    <w:rsid w:val="001A1DAE"/>
    <w:rsid w:val="001A1E87"/>
    <w:rsid w:val="001A1F4F"/>
    <w:rsid w:val="001A237E"/>
    <w:rsid w:val="001A242A"/>
    <w:rsid w:val="001A2537"/>
    <w:rsid w:val="001A2584"/>
    <w:rsid w:val="001A262F"/>
    <w:rsid w:val="001A26FF"/>
    <w:rsid w:val="001A271A"/>
    <w:rsid w:val="001A285D"/>
    <w:rsid w:val="001A2C6A"/>
    <w:rsid w:val="001A2C78"/>
    <w:rsid w:val="001A3109"/>
    <w:rsid w:val="001A3143"/>
    <w:rsid w:val="001A3288"/>
    <w:rsid w:val="001A3B84"/>
    <w:rsid w:val="001A3C61"/>
    <w:rsid w:val="001A3C7A"/>
    <w:rsid w:val="001A4356"/>
    <w:rsid w:val="001A47AF"/>
    <w:rsid w:val="001A47B8"/>
    <w:rsid w:val="001A4890"/>
    <w:rsid w:val="001A4909"/>
    <w:rsid w:val="001A4A29"/>
    <w:rsid w:val="001A4C8E"/>
    <w:rsid w:val="001A4F4B"/>
    <w:rsid w:val="001A5049"/>
    <w:rsid w:val="001A505B"/>
    <w:rsid w:val="001A52C9"/>
    <w:rsid w:val="001A536B"/>
    <w:rsid w:val="001A5405"/>
    <w:rsid w:val="001A55B7"/>
    <w:rsid w:val="001A58F6"/>
    <w:rsid w:val="001A59E1"/>
    <w:rsid w:val="001A5BD0"/>
    <w:rsid w:val="001A5C1A"/>
    <w:rsid w:val="001A5D50"/>
    <w:rsid w:val="001A5E3D"/>
    <w:rsid w:val="001A61E6"/>
    <w:rsid w:val="001A6473"/>
    <w:rsid w:val="001A6789"/>
    <w:rsid w:val="001A67A1"/>
    <w:rsid w:val="001A734E"/>
    <w:rsid w:val="001A7357"/>
    <w:rsid w:val="001A73F4"/>
    <w:rsid w:val="001A7417"/>
    <w:rsid w:val="001A74D1"/>
    <w:rsid w:val="001A75BE"/>
    <w:rsid w:val="001A7895"/>
    <w:rsid w:val="001A78E4"/>
    <w:rsid w:val="001A7A18"/>
    <w:rsid w:val="001A7BA0"/>
    <w:rsid w:val="001A7D67"/>
    <w:rsid w:val="001A7DDC"/>
    <w:rsid w:val="001B0218"/>
    <w:rsid w:val="001B0BBD"/>
    <w:rsid w:val="001B0FE7"/>
    <w:rsid w:val="001B1046"/>
    <w:rsid w:val="001B1870"/>
    <w:rsid w:val="001B1A0B"/>
    <w:rsid w:val="001B23A0"/>
    <w:rsid w:val="001B23B2"/>
    <w:rsid w:val="001B23D0"/>
    <w:rsid w:val="001B2576"/>
    <w:rsid w:val="001B2CB4"/>
    <w:rsid w:val="001B326C"/>
    <w:rsid w:val="001B3364"/>
    <w:rsid w:val="001B345D"/>
    <w:rsid w:val="001B34E3"/>
    <w:rsid w:val="001B3B12"/>
    <w:rsid w:val="001B419E"/>
    <w:rsid w:val="001B4245"/>
    <w:rsid w:val="001B435C"/>
    <w:rsid w:val="001B4614"/>
    <w:rsid w:val="001B4A00"/>
    <w:rsid w:val="001B4A87"/>
    <w:rsid w:val="001B4A95"/>
    <w:rsid w:val="001B4B66"/>
    <w:rsid w:val="001B4F7B"/>
    <w:rsid w:val="001B5299"/>
    <w:rsid w:val="001B5563"/>
    <w:rsid w:val="001B5BAF"/>
    <w:rsid w:val="001B62FC"/>
    <w:rsid w:val="001B6658"/>
    <w:rsid w:val="001B66B3"/>
    <w:rsid w:val="001B66EE"/>
    <w:rsid w:val="001B67A9"/>
    <w:rsid w:val="001B6859"/>
    <w:rsid w:val="001B6902"/>
    <w:rsid w:val="001B6A52"/>
    <w:rsid w:val="001B6BDC"/>
    <w:rsid w:val="001B6EAD"/>
    <w:rsid w:val="001B6EEE"/>
    <w:rsid w:val="001B705E"/>
    <w:rsid w:val="001B7559"/>
    <w:rsid w:val="001B7913"/>
    <w:rsid w:val="001C02C0"/>
    <w:rsid w:val="001C0328"/>
    <w:rsid w:val="001C0393"/>
    <w:rsid w:val="001C072A"/>
    <w:rsid w:val="001C09C2"/>
    <w:rsid w:val="001C0B0E"/>
    <w:rsid w:val="001C0C85"/>
    <w:rsid w:val="001C144C"/>
    <w:rsid w:val="001C1606"/>
    <w:rsid w:val="001C1805"/>
    <w:rsid w:val="001C1BA0"/>
    <w:rsid w:val="001C1D6A"/>
    <w:rsid w:val="001C23E8"/>
    <w:rsid w:val="001C2A26"/>
    <w:rsid w:val="001C2C48"/>
    <w:rsid w:val="001C2DFF"/>
    <w:rsid w:val="001C35ED"/>
    <w:rsid w:val="001C3A42"/>
    <w:rsid w:val="001C3C1D"/>
    <w:rsid w:val="001C3F7D"/>
    <w:rsid w:val="001C4FB0"/>
    <w:rsid w:val="001C644E"/>
    <w:rsid w:val="001C64B4"/>
    <w:rsid w:val="001C6801"/>
    <w:rsid w:val="001C6A7C"/>
    <w:rsid w:val="001C6B1E"/>
    <w:rsid w:val="001C6B47"/>
    <w:rsid w:val="001C6CA3"/>
    <w:rsid w:val="001C7068"/>
    <w:rsid w:val="001C711C"/>
    <w:rsid w:val="001C73C0"/>
    <w:rsid w:val="001C75C5"/>
    <w:rsid w:val="001C772F"/>
    <w:rsid w:val="001C7ECA"/>
    <w:rsid w:val="001D0130"/>
    <w:rsid w:val="001D0137"/>
    <w:rsid w:val="001D0150"/>
    <w:rsid w:val="001D0396"/>
    <w:rsid w:val="001D04C4"/>
    <w:rsid w:val="001D0589"/>
    <w:rsid w:val="001D06BC"/>
    <w:rsid w:val="001D0A79"/>
    <w:rsid w:val="001D0B07"/>
    <w:rsid w:val="001D1016"/>
    <w:rsid w:val="001D11BE"/>
    <w:rsid w:val="001D14E3"/>
    <w:rsid w:val="001D1605"/>
    <w:rsid w:val="001D1921"/>
    <w:rsid w:val="001D1941"/>
    <w:rsid w:val="001D19B8"/>
    <w:rsid w:val="001D1BC7"/>
    <w:rsid w:val="001D1BF0"/>
    <w:rsid w:val="001D25AC"/>
    <w:rsid w:val="001D25C1"/>
    <w:rsid w:val="001D2D13"/>
    <w:rsid w:val="001D2F7F"/>
    <w:rsid w:val="001D3243"/>
    <w:rsid w:val="001D38F8"/>
    <w:rsid w:val="001D402D"/>
    <w:rsid w:val="001D40A2"/>
    <w:rsid w:val="001D41D5"/>
    <w:rsid w:val="001D443A"/>
    <w:rsid w:val="001D4442"/>
    <w:rsid w:val="001D46AA"/>
    <w:rsid w:val="001D47D2"/>
    <w:rsid w:val="001D4CDF"/>
    <w:rsid w:val="001D4DD6"/>
    <w:rsid w:val="001D4DFF"/>
    <w:rsid w:val="001D5472"/>
    <w:rsid w:val="001D54D5"/>
    <w:rsid w:val="001D54EA"/>
    <w:rsid w:val="001D579C"/>
    <w:rsid w:val="001D5F99"/>
    <w:rsid w:val="001D60F5"/>
    <w:rsid w:val="001D63E8"/>
    <w:rsid w:val="001D65B1"/>
    <w:rsid w:val="001D66D2"/>
    <w:rsid w:val="001D67A6"/>
    <w:rsid w:val="001D6A30"/>
    <w:rsid w:val="001D6BE8"/>
    <w:rsid w:val="001D6DB9"/>
    <w:rsid w:val="001D6FE5"/>
    <w:rsid w:val="001D737B"/>
    <w:rsid w:val="001D740D"/>
    <w:rsid w:val="001D746A"/>
    <w:rsid w:val="001D7684"/>
    <w:rsid w:val="001D782A"/>
    <w:rsid w:val="001D7A22"/>
    <w:rsid w:val="001D7B2C"/>
    <w:rsid w:val="001D7B3C"/>
    <w:rsid w:val="001E01E5"/>
    <w:rsid w:val="001E01FB"/>
    <w:rsid w:val="001E0954"/>
    <w:rsid w:val="001E0E88"/>
    <w:rsid w:val="001E0F35"/>
    <w:rsid w:val="001E0F6B"/>
    <w:rsid w:val="001E10E9"/>
    <w:rsid w:val="001E1134"/>
    <w:rsid w:val="001E11C5"/>
    <w:rsid w:val="001E1378"/>
    <w:rsid w:val="001E13F5"/>
    <w:rsid w:val="001E181B"/>
    <w:rsid w:val="001E1D5F"/>
    <w:rsid w:val="001E1E1C"/>
    <w:rsid w:val="001E2031"/>
    <w:rsid w:val="001E2202"/>
    <w:rsid w:val="001E2654"/>
    <w:rsid w:val="001E2696"/>
    <w:rsid w:val="001E2B6E"/>
    <w:rsid w:val="001E2BA6"/>
    <w:rsid w:val="001E2D58"/>
    <w:rsid w:val="001E2EA5"/>
    <w:rsid w:val="001E3A2D"/>
    <w:rsid w:val="001E3D68"/>
    <w:rsid w:val="001E3E53"/>
    <w:rsid w:val="001E3E83"/>
    <w:rsid w:val="001E420A"/>
    <w:rsid w:val="001E464B"/>
    <w:rsid w:val="001E46EF"/>
    <w:rsid w:val="001E4A14"/>
    <w:rsid w:val="001E4A1C"/>
    <w:rsid w:val="001E4B65"/>
    <w:rsid w:val="001E4B70"/>
    <w:rsid w:val="001E4ECB"/>
    <w:rsid w:val="001E4EED"/>
    <w:rsid w:val="001E4F8E"/>
    <w:rsid w:val="001E4FD8"/>
    <w:rsid w:val="001E513B"/>
    <w:rsid w:val="001E5201"/>
    <w:rsid w:val="001E529B"/>
    <w:rsid w:val="001E556D"/>
    <w:rsid w:val="001E5E87"/>
    <w:rsid w:val="001E611D"/>
    <w:rsid w:val="001E6394"/>
    <w:rsid w:val="001E650E"/>
    <w:rsid w:val="001E65E7"/>
    <w:rsid w:val="001E6AD4"/>
    <w:rsid w:val="001E6CF8"/>
    <w:rsid w:val="001E6E01"/>
    <w:rsid w:val="001E7118"/>
    <w:rsid w:val="001E75F8"/>
    <w:rsid w:val="001F00BA"/>
    <w:rsid w:val="001F013B"/>
    <w:rsid w:val="001F0266"/>
    <w:rsid w:val="001F051B"/>
    <w:rsid w:val="001F0A8A"/>
    <w:rsid w:val="001F0BBA"/>
    <w:rsid w:val="001F0C18"/>
    <w:rsid w:val="001F0C3D"/>
    <w:rsid w:val="001F0CE9"/>
    <w:rsid w:val="001F110E"/>
    <w:rsid w:val="001F118A"/>
    <w:rsid w:val="001F132B"/>
    <w:rsid w:val="001F169C"/>
    <w:rsid w:val="001F1C70"/>
    <w:rsid w:val="001F1DAE"/>
    <w:rsid w:val="001F1FC8"/>
    <w:rsid w:val="001F21E5"/>
    <w:rsid w:val="001F2C00"/>
    <w:rsid w:val="001F2FB8"/>
    <w:rsid w:val="001F3083"/>
    <w:rsid w:val="001F337D"/>
    <w:rsid w:val="001F33A7"/>
    <w:rsid w:val="001F3623"/>
    <w:rsid w:val="001F3826"/>
    <w:rsid w:val="001F38B3"/>
    <w:rsid w:val="001F3916"/>
    <w:rsid w:val="001F3962"/>
    <w:rsid w:val="001F3ADC"/>
    <w:rsid w:val="001F3D3F"/>
    <w:rsid w:val="001F3DFF"/>
    <w:rsid w:val="001F3E28"/>
    <w:rsid w:val="001F3E37"/>
    <w:rsid w:val="001F41D0"/>
    <w:rsid w:val="001F4481"/>
    <w:rsid w:val="001F4932"/>
    <w:rsid w:val="001F4D0A"/>
    <w:rsid w:val="001F4EE9"/>
    <w:rsid w:val="001F54B2"/>
    <w:rsid w:val="001F57EB"/>
    <w:rsid w:val="001F5A8C"/>
    <w:rsid w:val="001F5D35"/>
    <w:rsid w:val="001F66FC"/>
    <w:rsid w:val="001F67DA"/>
    <w:rsid w:val="001F69A9"/>
    <w:rsid w:val="001F6FF6"/>
    <w:rsid w:val="001F7031"/>
    <w:rsid w:val="001F7576"/>
    <w:rsid w:val="001F7824"/>
    <w:rsid w:val="001F7843"/>
    <w:rsid w:val="001F7D0E"/>
    <w:rsid w:val="001F7E67"/>
    <w:rsid w:val="0020009B"/>
    <w:rsid w:val="002005C6"/>
    <w:rsid w:val="00200954"/>
    <w:rsid w:val="00200CA1"/>
    <w:rsid w:val="00200FD7"/>
    <w:rsid w:val="0020103F"/>
    <w:rsid w:val="00201362"/>
    <w:rsid w:val="00201421"/>
    <w:rsid w:val="0020148A"/>
    <w:rsid w:val="00201774"/>
    <w:rsid w:val="0020186B"/>
    <w:rsid w:val="00201B03"/>
    <w:rsid w:val="00201B69"/>
    <w:rsid w:val="002024F2"/>
    <w:rsid w:val="002025BD"/>
    <w:rsid w:val="0020287A"/>
    <w:rsid w:val="002028B0"/>
    <w:rsid w:val="0020296C"/>
    <w:rsid w:val="00202B2F"/>
    <w:rsid w:val="00202BC7"/>
    <w:rsid w:val="00202D90"/>
    <w:rsid w:val="00202E31"/>
    <w:rsid w:val="00203678"/>
    <w:rsid w:val="002036BB"/>
    <w:rsid w:val="0020375D"/>
    <w:rsid w:val="00203AC7"/>
    <w:rsid w:val="00203BA6"/>
    <w:rsid w:val="00203C3D"/>
    <w:rsid w:val="002041DE"/>
    <w:rsid w:val="00204552"/>
    <w:rsid w:val="002053AC"/>
    <w:rsid w:val="00205515"/>
    <w:rsid w:val="00205903"/>
    <w:rsid w:val="00205B63"/>
    <w:rsid w:val="00205DF6"/>
    <w:rsid w:val="00206217"/>
    <w:rsid w:val="002066EE"/>
    <w:rsid w:val="002068AD"/>
    <w:rsid w:val="00206F76"/>
    <w:rsid w:val="00206F9C"/>
    <w:rsid w:val="00207055"/>
    <w:rsid w:val="002072B6"/>
    <w:rsid w:val="0020770D"/>
    <w:rsid w:val="002077C5"/>
    <w:rsid w:val="00207B20"/>
    <w:rsid w:val="0020EA15"/>
    <w:rsid w:val="0021004D"/>
    <w:rsid w:val="00210752"/>
    <w:rsid w:val="002108DE"/>
    <w:rsid w:val="002109BD"/>
    <w:rsid w:val="00210A41"/>
    <w:rsid w:val="00210AAB"/>
    <w:rsid w:val="00210BA7"/>
    <w:rsid w:val="00210D48"/>
    <w:rsid w:val="00210E83"/>
    <w:rsid w:val="002111D0"/>
    <w:rsid w:val="00211370"/>
    <w:rsid w:val="00211609"/>
    <w:rsid w:val="0021191D"/>
    <w:rsid w:val="00211A97"/>
    <w:rsid w:val="00211BA3"/>
    <w:rsid w:val="00212089"/>
    <w:rsid w:val="0021233A"/>
    <w:rsid w:val="00212458"/>
    <w:rsid w:val="002128A2"/>
    <w:rsid w:val="00212DC1"/>
    <w:rsid w:val="002130FE"/>
    <w:rsid w:val="002132C9"/>
    <w:rsid w:val="0021353B"/>
    <w:rsid w:val="0021378C"/>
    <w:rsid w:val="00213D94"/>
    <w:rsid w:val="00213E47"/>
    <w:rsid w:val="00214307"/>
    <w:rsid w:val="00214620"/>
    <w:rsid w:val="00214646"/>
    <w:rsid w:val="00214E52"/>
    <w:rsid w:val="00214F89"/>
    <w:rsid w:val="0021531E"/>
    <w:rsid w:val="002155C5"/>
    <w:rsid w:val="00215859"/>
    <w:rsid w:val="00215A78"/>
    <w:rsid w:val="00215B59"/>
    <w:rsid w:val="00215C02"/>
    <w:rsid w:val="00215C5E"/>
    <w:rsid w:val="002162D3"/>
    <w:rsid w:val="00216467"/>
    <w:rsid w:val="002168A8"/>
    <w:rsid w:val="00216BB1"/>
    <w:rsid w:val="00216EA8"/>
    <w:rsid w:val="00216F5C"/>
    <w:rsid w:val="00216F93"/>
    <w:rsid w:val="002170E8"/>
    <w:rsid w:val="002173E8"/>
    <w:rsid w:val="002174D2"/>
    <w:rsid w:val="0021787A"/>
    <w:rsid w:val="002178F0"/>
    <w:rsid w:val="0021793D"/>
    <w:rsid w:val="00220481"/>
    <w:rsid w:val="0022049D"/>
    <w:rsid w:val="00220577"/>
    <w:rsid w:val="00220705"/>
    <w:rsid w:val="00220B70"/>
    <w:rsid w:val="00220D60"/>
    <w:rsid w:val="00220E8F"/>
    <w:rsid w:val="00220EDA"/>
    <w:rsid w:val="00220FB3"/>
    <w:rsid w:val="00221083"/>
    <w:rsid w:val="00221098"/>
    <w:rsid w:val="00221128"/>
    <w:rsid w:val="002214E1"/>
    <w:rsid w:val="00221649"/>
    <w:rsid w:val="00221CA1"/>
    <w:rsid w:val="00221E8E"/>
    <w:rsid w:val="00222064"/>
    <w:rsid w:val="002222CA"/>
    <w:rsid w:val="00222635"/>
    <w:rsid w:val="00222BB8"/>
    <w:rsid w:val="00222CCE"/>
    <w:rsid w:val="00222CFF"/>
    <w:rsid w:val="00222D90"/>
    <w:rsid w:val="0022332A"/>
    <w:rsid w:val="002233CA"/>
    <w:rsid w:val="002233D1"/>
    <w:rsid w:val="002234C5"/>
    <w:rsid w:val="00223680"/>
    <w:rsid w:val="002238FC"/>
    <w:rsid w:val="00223B74"/>
    <w:rsid w:val="00223CCB"/>
    <w:rsid w:val="00223CD4"/>
    <w:rsid w:val="002240F1"/>
    <w:rsid w:val="002240FF"/>
    <w:rsid w:val="0022429B"/>
    <w:rsid w:val="0022473F"/>
    <w:rsid w:val="00224C62"/>
    <w:rsid w:val="0022518D"/>
    <w:rsid w:val="00225880"/>
    <w:rsid w:val="00225AA9"/>
    <w:rsid w:val="0022635E"/>
    <w:rsid w:val="00226552"/>
    <w:rsid w:val="0022662D"/>
    <w:rsid w:val="002267D2"/>
    <w:rsid w:val="00226ACA"/>
    <w:rsid w:val="00226DA6"/>
    <w:rsid w:val="00226F7B"/>
    <w:rsid w:val="002270E2"/>
    <w:rsid w:val="00227181"/>
    <w:rsid w:val="002272B2"/>
    <w:rsid w:val="002273F6"/>
    <w:rsid w:val="002275BF"/>
    <w:rsid w:val="002279AC"/>
    <w:rsid w:val="00227CA4"/>
    <w:rsid w:val="0022FC3C"/>
    <w:rsid w:val="00230135"/>
    <w:rsid w:val="00230287"/>
    <w:rsid w:val="00230319"/>
    <w:rsid w:val="00230932"/>
    <w:rsid w:val="00230C54"/>
    <w:rsid w:val="00230F5D"/>
    <w:rsid w:val="0023109B"/>
    <w:rsid w:val="002310DE"/>
    <w:rsid w:val="002315FD"/>
    <w:rsid w:val="00231664"/>
    <w:rsid w:val="002316AE"/>
    <w:rsid w:val="00231890"/>
    <w:rsid w:val="00231AB8"/>
    <w:rsid w:val="00232023"/>
    <w:rsid w:val="00232380"/>
    <w:rsid w:val="002323E3"/>
    <w:rsid w:val="002325C7"/>
    <w:rsid w:val="00232634"/>
    <w:rsid w:val="00233261"/>
    <w:rsid w:val="002332B3"/>
    <w:rsid w:val="002333D0"/>
    <w:rsid w:val="00233438"/>
    <w:rsid w:val="0023346D"/>
    <w:rsid w:val="00233688"/>
    <w:rsid w:val="002336E6"/>
    <w:rsid w:val="00233854"/>
    <w:rsid w:val="002338FA"/>
    <w:rsid w:val="00233DC7"/>
    <w:rsid w:val="00233F5B"/>
    <w:rsid w:val="0023425C"/>
    <w:rsid w:val="0023436D"/>
    <w:rsid w:val="00234395"/>
    <w:rsid w:val="00234600"/>
    <w:rsid w:val="00234B2E"/>
    <w:rsid w:val="00234BF2"/>
    <w:rsid w:val="00234C13"/>
    <w:rsid w:val="00234C50"/>
    <w:rsid w:val="00234D60"/>
    <w:rsid w:val="002350E2"/>
    <w:rsid w:val="00235667"/>
    <w:rsid w:val="0023583B"/>
    <w:rsid w:val="00235BFE"/>
    <w:rsid w:val="00235C62"/>
    <w:rsid w:val="00235C91"/>
    <w:rsid w:val="00235CB1"/>
    <w:rsid w:val="00236035"/>
    <w:rsid w:val="00236083"/>
    <w:rsid w:val="0023609B"/>
    <w:rsid w:val="00236163"/>
    <w:rsid w:val="002365F3"/>
    <w:rsid w:val="0023678F"/>
    <w:rsid w:val="00236AB1"/>
    <w:rsid w:val="00236D8D"/>
    <w:rsid w:val="00236FBC"/>
    <w:rsid w:val="0023755B"/>
    <w:rsid w:val="00237C87"/>
    <w:rsid w:val="0024002B"/>
    <w:rsid w:val="00240460"/>
    <w:rsid w:val="0024080A"/>
    <w:rsid w:val="002409F8"/>
    <w:rsid w:val="0024139A"/>
    <w:rsid w:val="0024206E"/>
    <w:rsid w:val="00242202"/>
    <w:rsid w:val="00242D6F"/>
    <w:rsid w:val="00242D70"/>
    <w:rsid w:val="00242E45"/>
    <w:rsid w:val="0024301D"/>
    <w:rsid w:val="002435C2"/>
    <w:rsid w:val="002437FB"/>
    <w:rsid w:val="00243AE2"/>
    <w:rsid w:val="00243CFE"/>
    <w:rsid w:val="00243E22"/>
    <w:rsid w:val="002440F3"/>
    <w:rsid w:val="00244193"/>
    <w:rsid w:val="002445D6"/>
    <w:rsid w:val="00244AE8"/>
    <w:rsid w:val="00244B67"/>
    <w:rsid w:val="00244DF1"/>
    <w:rsid w:val="00244F52"/>
    <w:rsid w:val="0024530A"/>
    <w:rsid w:val="00245C1F"/>
    <w:rsid w:val="0024661E"/>
    <w:rsid w:val="00246938"/>
    <w:rsid w:val="00246C60"/>
    <w:rsid w:val="00247000"/>
    <w:rsid w:val="0024732E"/>
    <w:rsid w:val="00247750"/>
    <w:rsid w:val="00247779"/>
    <w:rsid w:val="00247BCE"/>
    <w:rsid w:val="00247BD7"/>
    <w:rsid w:val="00247C9A"/>
    <w:rsid w:val="00247EBB"/>
    <w:rsid w:val="00247F02"/>
    <w:rsid w:val="00250629"/>
    <w:rsid w:val="00250A68"/>
    <w:rsid w:val="00250AB8"/>
    <w:rsid w:val="00250E93"/>
    <w:rsid w:val="00250EC2"/>
    <w:rsid w:val="00250F87"/>
    <w:rsid w:val="002514CA"/>
    <w:rsid w:val="0025151E"/>
    <w:rsid w:val="0025198A"/>
    <w:rsid w:val="00251C07"/>
    <w:rsid w:val="00251DA7"/>
    <w:rsid w:val="00251EDF"/>
    <w:rsid w:val="002520FB"/>
    <w:rsid w:val="002522C3"/>
    <w:rsid w:val="002523EF"/>
    <w:rsid w:val="00252811"/>
    <w:rsid w:val="00252953"/>
    <w:rsid w:val="002529FA"/>
    <w:rsid w:val="00253793"/>
    <w:rsid w:val="002538DF"/>
    <w:rsid w:val="00253B17"/>
    <w:rsid w:val="00253DD3"/>
    <w:rsid w:val="00254434"/>
    <w:rsid w:val="0025472F"/>
    <w:rsid w:val="00254737"/>
    <w:rsid w:val="0025498B"/>
    <w:rsid w:val="00254C8D"/>
    <w:rsid w:val="00254E37"/>
    <w:rsid w:val="00254E3E"/>
    <w:rsid w:val="0025520B"/>
    <w:rsid w:val="00255543"/>
    <w:rsid w:val="002556A9"/>
    <w:rsid w:val="00256369"/>
    <w:rsid w:val="00256627"/>
    <w:rsid w:val="002567A7"/>
    <w:rsid w:val="00256B79"/>
    <w:rsid w:val="00256FF0"/>
    <w:rsid w:val="002572B8"/>
    <w:rsid w:val="0025735E"/>
    <w:rsid w:val="00257417"/>
    <w:rsid w:val="002578F2"/>
    <w:rsid w:val="002579B8"/>
    <w:rsid w:val="00257B86"/>
    <w:rsid w:val="00257C10"/>
    <w:rsid w:val="00257D4F"/>
    <w:rsid w:val="00257DB3"/>
    <w:rsid w:val="00260079"/>
    <w:rsid w:val="002601EA"/>
    <w:rsid w:val="00260457"/>
    <w:rsid w:val="0026094F"/>
    <w:rsid w:val="00261137"/>
    <w:rsid w:val="002612AD"/>
    <w:rsid w:val="002613BA"/>
    <w:rsid w:val="00261713"/>
    <w:rsid w:val="00261A38"/>
    <w:rsid w:val="00261CAB"/>
    <w:rsid w:val="00261D56"/>
    <w:rsid w:val="00261DB2"/>
    <w:rsid w:val="0026240B"/>
    <w:rsid w:val="00262523"/>
    <w:rsid w:val="00262612"/>
    <w:rsid w:val="0026279F"/>
    <w:rsid w:val="00262855"/>
    <w:rsid w:val="00262E2A"/>
    <w:rsid w:val="00262ED0"/>
    <w:rsid w:val="002630C7"/>
    <w:rsid w:val="0026396C"/>
    <w:rsid w:val="00263A04"/>
    <w:rsid w:val="00263BB2"/>
    <w:rsid w:val="00264075"/>
    <w:rsid w:val="00264566"/>
    <w:rsid w:val="002648B4"/>
    <w:rsid w:val="0026495C"/>
    <w:rsid w:val="00264B3B"/>
    <w:rsid w:val="00264F2E"/>
    <w:rsid w:val="00265093"/>
    <w:rsid w:val="00265603"/>
    <w:rsid w:val="00265623"/>
    <w:rsid w:val="00265A0E"/>
    <w:rsid w:val="00265C74"/>
    <w:rsid w:val="00265D2B"/>
    <w:rsid w:val="00265F40"/>
    <w:rsid w:val="002664F8"/>
    <w:rsid w:val="00266896"/>
    <w:rsid w:val="00266A08"/>
    <w:rsid w:val="00266B82"/>
    <w:rsid w:val="002675A5"/>
    <w:rsid w:val="00267B92"/>
    <w:rsid w:val="00267FB2"/>
    <w:rsid w:val="00270216"/>
    <w:rsid w:val="002706DC"/>
    <w:rsid w:val="00270760"/>
    <w:rsid w:val="00270978"/>
    <w:rsid w:val="00270A80"/>
    <w:rsid w:val="00270E6B"/>
    <w:rsid w:val="002710E0"/>
    <w:rsid w:val="00271235"/>
    <w:rsid w:val="00271662"/>
    <w:rsid w:val="00271666"/>
    <w:rsid w:val="002718D3"/>
    <w:rsid w:val="00271B61"/>
    <w:rsid w:val="00271E86"/>
    <w:rsid w:val="0027254F"/>
    <w:rsid w:val="0027294D"/>
    <w:rsid w:val="00272957"/>
    <w:rsid w:val="00272B3E"/>
    <w:rsid w:val="00272D63"/>
    <w:rsid w:val="00272E4B"/>
    <w:rsid w:val="002730E7"/>
    <w:rsid w:val="0027332F"/>
    <w:rsid w:val="00273419"/>
    <w:rsid w:val="002735E6"/>
    <w:rsid w:val="00273720"/>
    <w:rsid w:val="002739DE"/>
    <w:rsid w:val="00273B54"/>
    <w:rsid w:val="00273BE4"/>
    <w:rsid w:val="00273F7E"/>
    <w:rsid w:val="00274638"/>
    <w:rsid w:val="00274E63"/>
    <w:rsid w:val="00275120"/>
    <w:rsid w:val="0027515E"/>
    <w:rsid w:val="00275295"/>
    <w:rsid w:val="002755AD"/>
    <w:rsid w:val="00275ECE"/>
    <w:rsid w:val="00276232"/>
    <w:rsid w:val="0027629B"/>
    <w:rsid w:val="00276897"/>
    <w:rsid w:val="00276A29"/>
    <w:rsid w:val="00276AA2"/>
    <w:rsid w:val="00276B5F"/>
    <w:rsid w:val="00276C80"/>
    <w:rsid w:val="00276E6A"/>
    <w:rsid w:val="00276EA3"/>
    <w:rsid w:val="00276FAE"/>
    <w:rsid w:val="00277293"/>
    <w:rsid w:val="0027759D"/>
    <w:rsid w:val="002775B7"/>
    <w:rsid w:val="0027785B"/>
    <w:rsid w:val="00277C34"/>
    <w:rsid w:val="00279C56"/>
    <w:rsid w:val="002800EB"/>
    <w:rsid w:val="002803EA"/>
    <w:rsid w:val="00280494"/>
    <w:rsid w:val="00280B93"/>
    <w:rsid w:val="00280C75"/>
    <w:rsid w:val="00280F1F"/>
    <w:rsid w:val="00280FC0"/>
    <w:rsid w:val="002810D3"/>
    <w:rsid w:val="00281433"/>
    <w:rsid w:val="00281461"/>
    <w:rsid w:val="00281A40"/>
    <w:rsid w:val="00281AFB"/>
    <w:rsid w:val="00281CD4"/>
    <w:rsid w:val="002820EC"/>
    <w:rsid w:val="00282132"/>
    <w:rsid w:val="002821D6"/>
    <w:rsid w:val="002821F5"/>
    <w:rsid w:val="002828E7"/>
    <w:rsid w:val="00282CD2"/>
    <w:rsid w:val="00282F8B"/>
    <w:rsid w:val="00283267"/>
    <w:rsid w:val="00283464"/>
    <w:rsid w:val="00283921"/>
    <w:rsid w:val="002839CE"/>
    <w:rsid w:val="00283C85"/>
    <w:rsid w:val="00283EBC"/>
    <w:rsid w:val="0028405B"/>
    <w:rsid w:val="0028435F"/>
    <w:rsid w:val="0028449C"/>
    <w:rsid w:val="00284B58"/>
    <w:rsid w:val="00284C5B"/>
    <w:rsid w:val="00284EEF"/>
    <w:rsid w:val="00285090"/>
    <w:rsid w:val="0028543E"/>
    <w:rsid w:val="002855BA"/>
    <w:rsid w:val="0028568E"/>
    <w:rsid w:val="002856EE"/>
    <w:rsid w:val="00285791"/>
    <w:rsid w:val="00285B2F"/>
    <w:rsid w:val="00285BEE"/>
    <w:rsid w:val="00285C7A"/>
    <w:rsid w:val="00285EB0"/>
    <w:rsid w:val="00286328"/>
    <w:rsid w:val="0028681C"/>
    <w:rsid w:val="00286964"/>
    <w:rsid w:val="00286C1B"/>
    <w:rsid w:val="00286CC2"/>
    <w:rsid w:val="00286D72"/>
    <w:rsid w:val="002870C4"/>
    <w:rsid w:val="00287412"/>
    <w:rsid w:val="00287741"/>
    <w:rsid w:val="00287890"/>
    <w:rsid w:val="0028790F"/>
    <w:rsid w:val="00287AFA"/>
    <w:rsid w:val="00287B47"/>
    <w:rsid w:val="00290074"/>
    <w:rsid w:val="0029016A"/>
    <w:rsid w:val="002907C0"/>
    <w:rsid w:val="00290A52"/>
    <w:rsid w:val="00290A71"/>
    <w:rsid w:val="00290C0B"/>
    <w:rsid w:val="00290CF5"/>
    <w:rsid w:val="00290E23"/>
    <w:rsid w:val="00291489"/>
    <w:rsid w:val="002914E9"/>
    <w:rsid w:val="002916DD"/>
    <w:rsid w:val="00291804"/>
    <w:rsid w:val="00291CE8"/>
    <w:rsid w:val="00291D10"/>
    <w:rsid w:val="00291F12"/>
    <w:rsid w:val="002922C6"/>
    <w:rsid w:val="0029236C"/>
    <w:rsid w:val="00292776"/>
    <w:rsid w:val="002927C1"/>
    <w:rsid w:val="00292CE9"/>
    <w:rsid w:val="00292D4D"/>
    <w:rsid w:val="00292EB1"/>
    <w:rsid w:val="00292FDE"/>
    <w:rsid w:val="00293039"/>
    <w:rsid w:val="00293271"/>
    <w:rsid w:val="002936F1"/>
    <w:rsid w:val="00293D0B"/>
    <w:rsid w:val="00293D3F"/>
    <w:rsid w:val="00294264"/>
    <w:rsid w:val="00294349"/>
    <w:rsid w:val="0029435C"/>
    <w:rsid w:val="00294547"/>
    <w:rsid w:val="0029462D"/>
    <w:rsid w:val="00294CF1"/>
    <w:rsid w:val="00294DA9"/>
    <w:rsid w:val="0029501E"/>
    <w:rsid w:val="0029533F"/>
    <w:rsid w:val="0029557D"/>
    <w:rsid w:val="002957EE"/>
    <w:rsid w:val="002959B5"/>
    <w:rsid w:val="00295DF2"/>
    <w:rsid w:val="00295FB5"/>
    <w:rsid w:val="0029601C"/>
    <w:rsid w:val="00296047"/>
    <w:rsid w:val="00296068"/>
    <w:rsid w:val="002961CC"/>
    <w:rsid w:val="002963F3"/>
    <w:rsid w:val="00296597"/>
    <w:rsid w:val="002965F8"/>
    <w:rsid w:val="0029719C"/>
    <w:rsid w:val="00297465"/>
    <w:rsid w:val="00297735"/>
    <w:rsid w:val="00297868"/>
    <w:rsid w:val="002A05B9"/>
    <w:rsid w:val="002A0C09"/>
    <w:rsid w:val="002A0E57"/>
    <w:rsid w:val="002A0F16"/>
    <w:rsid w:val="002A10CB"/>
    <w:rsid w:val="002A13A5"/>
    <w:rsid w:val="002A15DE"/>
    <w:rsid w:val="002A1816"/>
    <w:rsid w:val="002A1861"/>
    <w:rsid w:val="002A1B0D"/>
    <w:rsid w:val="002A1B8F"/>
    <w:rsid w:val="002A1CA9"/>
    <w:rsid w:val="002A1D73"/>
    <w:rsid w:val="002A1EA5"/>
    <w:rsid w:val="002A21D9"/>
    <w:rsid w:val="002A246B"/>
    <w:rsid w:val="002A294D"/>
    <w:rsid w:val="002A29F7"/>
    <w:rsid w:val="002A2D0C"/>
    <w:rsid w:val="002A2F91"/>
    <w:rsid w:val="002A2FE3"/>
    <w:rsid w:val="002A3452"/>
    <w:rsid w:val="002A3565"/>
    <w:rsid w:val="002A3591"/>
    <w:rsid w:val="002A3805"/>
    <w:rsid w:val="002A471D"/>
    <w:rsid w:val="002A4864"/>
    <w:rsid w:val="002A4CE3"/>
    <w:rsid w:val="002A4CF7"/>
    <w:rsid w:val="002A4ED1"/>
    <w:rsid w:val="002A4FFF"/>
    <w:rsid w:val="002A554C"/>
    <w:rsid w:val="002A561B"/>
    <w:rsid w:val="002A5903"/>
    <w:rsid w:val="002A5A04"/>
    <w:rsid w:val="002A5A73"/>
    <w:rsid w:val="002A5B81"/>
    <w:rsid w:val="002A5BA7"/>
    <w:rsid w:val="002A5CE3"/>
    <w:rsid w:val="002A5F22"/>
    <w:rsid w:val="002A63E1"/>
    <w:rsid w:val="002A649C"/>
    <w:rsid w:val="002A6867"/>
    <w:rsid w:val="002A6E9B"/>
    <w:rsid w:val="002A7040"/>
    <w:rsid w:val="002A725D"/>
    <w:rsid w:val="002A73D4"/>
    <w:rsid w:val="002A7751"/>
    <w:rsid w:val="002A7A86"/>
    <w:rsid w:val="002A7CB2"/>
    <w:rsid w:val="002A7D72"/>
    <w:rsid w:val="002A7D7F"/>
    <w:rsid w:val="002ADF23"/>
    <w:rsid w:val="002B0181"/>
    <w:rsid w:val="002B02EA"/>
    <w:rsid w:val="002B0792"/>
    <w:rsid w:val="002B0A59"/>
    <w:rsid w:val="002B0A5F"/>
    <w:rsid w:val="002B0E59"/>
    <w:rsid w:val="002B0FC0"/>
    <w:rsid w:val="002B103C"/>
    <w:rsid w:val="002B1068"/>
    <w:rsid w:val="002B12EC"/>
    <w:rsid w:val="002B137C"/>
    <w:rsid w:val="002B1B2B"/>
    <w:rsid w:val="002B1EB8"/>
    <w:rsid w:val="002B20A7"/>
    <w:rsid w:val="002B20C6"/>
    <w:rsid w:val="002B2470"/>
    <w:rsid w:val="002B257C"/>
    <w:rsid w:val="002B284B"/>
    <w:rsid w:val="002B2960"/>
    <w:rsid w:val="002B29DA"/>
    <w:rsid w:val="002B29F1"/>
    <w:rsid w:val="002B302F"/>
    <w:rsid w:val="002B30AF"/>
    <w:rsid w:val="002B316A"/>
    <w:rsid w:val="002B3398"/>
    <w:rsid w:val="002B3460"/>
    <w:rsid w:val="002B3719"/>
    <w:rsid w:val="002B3794"/>
    <w:rsid w:val="002B38D0"/>
    <w:rsid w:val="002B38D7"/>
    <w:rsid w:val="002B3C7C"/>
    <w:rsid w:val="002B3FE8"/>
    <w:rsid w:val="002B4103"/>
    <w:rsid w:val="002B4566"/>
    <w:rsid w:val="002B45DD"/>
    <w:rsid w:val="002B4DEF"/>
    <w:rsid w:val="002B4E88"/>
    <w:rsid w:val="002B50FF"/>
    <w:rsid w:val="002B536B"/>
    <w:rsid w:val="002B53B1"/>
    <w:rsid w:val="002B5567"/>
    <w:rsid w:val="002B597A"/>
    <w:rsid w:val="002B5B8A"/>
    <w:rsid w:val="002B5E2E"/>
    <w:rsid w:val="002B6043"/>
    <w:rsid w:val="002B646D"/>
    <w:rsid w:val="002B677E"/>
    <w:rsid w:val="002B68C3"/>
    <w:rsid w:val="002B6986"/>
    <w:rsid w:val="002B6F89"/>
    <w:rsid w:val="002B710D"/>
    <w:rsid w:val="002B720B"/>
    <w:rsid w:val="002B7364"/>
    <w:rsid w:val="002B7609"/>
    <w:rsid w:val="002B766E"/>
    <w:rsid w:val="002B7906"/>
    <w:rsid w:val="002C048A"/>
    <w:rsid w:val="002C0515"/>
    <w:rsid w:val="002C078A"/>
    <w:rsid w:val="002C0831"/>
    <w:rsid w:val="002C0A20"/>
    <w:rsid w:val="002C0AFE"/>
    <w:rsid w:val="002C0C02"/>
    <w:rsid w:val="002C0EF5"/>
    <w:rsid w:val="002C0F8D"/>
    <w:rsid w:val="002C1166"/>
    <w:rsid w:val="002C129C"/>
    <w:rsid w:val="002C14F5"/>
    <w:rsid w:val="002C1543"/>
    <w:rsid w:val="002C1633"/>
    <w:rsid w:val="002C164F"/>
    <w:rsid w:val="002C1888"/>
    <w:rsid w:val="002C2223"/>
    <w:rsid w:val="002C237B"/>
    <w:rsid w:val="002C27AC"/>
    <w:rsid w:val="002C28B6"/>
    <w:rsid w:val="002C3091"/>
    <w:rsid w:val="002C3652"/>
    <w:rsid w:val="002C3667"/>
    <w:rsid w:val="002C3875"/>
    <w:rsid w:val="002C3E6E"/>
    <w:rsid w:val="002C435B"/>
    <w:rsid w:val="002C43DB"/>
    <w:rsid w:val="002C453C"/>
    <w:rsid w:val="002C4CC0"/>
    <w:rsid w:val="002C50C5"/>
    <w:rsid w:val="002C56FA"/>
    <w:rsid w:val="002C5875"/>
    <w:rsid w:val="002C5954"/>
    <w:rsid w:val="002C59EA"/>
    <w:rsid w:val="002C5C50"/>
    <w:rsid w:val="002C5D36"/>
    <w:rsid w:val="002C60EC"/>
    <w:rsid w:val="002C6424"/>
    <w:rsid w:val="002C642E"/>
    <w:rsid w:val="002C6638"/>
    <w:rsid w:val="002C681E"/>
    <w:rsid w:val="002C6928"/>
    <w:rsid w:val="002C693E"/>
    <w:rsid w:val="002C69B8"/>
    <w:rsid w:val="002C6B16"/>
    <w:rsid w:val="002C6EF8"/>
    <w:rsid w:val="002C7119"/>
    <w:rsid w:val="002C7509"/>
    <w:rsid w:val="002C7520"/>
    <w:rsid w:val="002C7A83"/>
    <w:rsid w:val="002C7F29"/>
    <w:rsid w:val="002C7F33"/>
    <w:rsid w:val="002D01F1"/>
    <w:rsid w:val="002D0337"/>
    <w:rsid w:val="002D0376"/>
    <w:rsid w:val="002D0468"/>
    <w:rsid w:val="002D0748"/>
    <w:rsid w:val="002D085F"/>
    <w:rsid w:val="002D0DEF"/>
    <w:rsid w:val="002D0FF8"/>
    <w:rsid w:val="002D10C9"/>
    <w:rsid w:val="002D10CA"/>
    <w:rsid w:val="002D1550"/>
    <w:rsid w:val="002D1590"/>
    <w:rsid w:val="002D1619"/>
    <w:rsid w:val="002D16B9"/>
    <w:rsid w:val="002D1767"/>
    <w:rsid w:val="002D1B75"/>
    <w:rsid w:val="002D1F4C"/>
    <w:rsid w:val="002D2077"/>
    <w:rsid w:val="002D2122"/>
    <w:rsid w:val="002D2609"/>
    <w:rsid w:val="002D2648"/>
    <w:rsid w:val="002D26C2"/>
    <w:rsid w:val="002D279F"/>
    <w:rsid w:val="002D2A87"/>
    <w:rsid w:val="002D2D44"/>
    <w:rsid w:val="002D327D"/>
    <w:rsid w:val="002D32D6"/>
    <w:rsid w:val="002D3879"/>
    <w:rsid w:val="002D3A40"/>
    <w:rsid w:val="002D3ADA"/>
    <w:rsid w:val="002D3B54"/>
    <w:rsid w:val="002D3B98"/>
    <w:rsid w:val="002D3DFE"/>
    <w:rsid w:val="002D3E3D"/>
    <w:rsid w:val="002D3EB1"/>
    <w:rsid w:val="002D46E5"/>
    <w:rsid w:val="002D485E"/>
    <w:rsid w:val="002D4B23"/>
    <w:rsid w:val="002D51D1"/>
    <w:rsid w:val="002D51FB"/>
    <w:rsid w:val="002D5318"/>
    <w:rsid w:val="002D5342"/>
    <w:rsid w:val="002D5E0C"/>
    <w:rsid w:val="002D5F27"/>
    <w:rsid w:val="002D6471"/>
    <w:rsid w:val="002D6B33"/>
    <w:rsid w:val="002D6B50"/>
    <w:rsid w:val="002D7326"/>
    <w:rsid w:val="002D75A0"/>
    <w:rsid w:val="002D75BE"/>
    <w:rsid w:val="002D7BAE"/>
    <w:rsid w:val="002D7C13"/>
    <w:rsid w:val="002D8B1C"/>
    <w:rsid w:val="002DF710"/>
    <w:rsid w:val="002E003C"/>
    <w:rsid w:val="002E0094"/>
    <w:rsid w:val="002E01B9"/>
    <w:rsid w:val="002E0511"/>
    <w:rsid w:val="002E056B"/>
    <w:rsid w:val="002E0975"/>
    <w:rsid w:val="002E0ACC"/>
    <w:rsid w:val="002E0E35"/>
    <w:rsid w:val="002E0F05"/>
    <w:rsid w:val="002E116D"/>
    <w:rsid w:val="002E11D1"/>
    <w:rsid w:val="002E133A"/>
    <w:rsid w:val="002E134A"/>
    <w:rsid w:val="002E14A9"/>
    <w:rsid w:val="002E15D0"/>
    <w:rsid w:val="002E16FB"/>
    <w:rsid w:val="002E1703"/>
    <w:rsid w:val="002E18A9"/>
    <w:rsid w:val="002E1ACD"/>
    <w:rsid w:val="002E1B6E"/>
    <w:rsid w:val="002E20A4"/>
    <w:rsid w:val="002E2106"/>
    <w:rsid w:val="002E21A8"/>
    <w:rsid w:val="002E2845"/>
    <w:rsid w:val="002E2A05"/>
    <w:rsid w:val="002E2F20"/>
    <w:rsid w:val="002E3655"/>
    <w:rsid w:val="002E3733"/>
    <w:rsid w:val="002E37C0"/>
    <w:rsid w:val="002E386E"/>
    <w:rsid w:val="002E38AB"/>
    <w:rsid w:val="002E3E12"/>
    <w:rsid w:val="002E3F27"/>
    <w:rsid w:val="002E3F5C"/>
    <w:rsid w:val="002E4050"/>
    <w:rsid w:val="002E4166"/>
    <w:rsid w:val="002E4424"/>
    <w:rsid w:val="002E4607"/>
    <w:rsid w:val="002E46B8"/>
    <w:rsid w:val="002E4AA3"/>
    <w:rsid w:val="002E5531"/>
    <w:rsid w:val="002E555F"/>
    <w:rsid w:val="002E56FA"/>
    <w:rsid w:val="002E5716"/>
    <w:rsid w:val="002E5C06"/>
    <w:rsid w:val="002E5D47"/>
    <w:rsid w:val="002E6098"/>
    <w:rsid w:val="002E620D"/>
    <w:rsid w:val="002E6659"/>
    <w:rsid w:val="002E6C5D"/>
    <w:rsid w:val="002E7247"/>
    <w:rsid w:val="002E744C"/>
    <w:rsid w:val="002E7895"/>
    <w:rsid w:val="002E79D9"/>
    <w:rsid w:val="002E7DBC"/>
    <w:rsid w:val="002F05CE"/>
    <w:rsid w:val="002F06F4"/>
    <w:rsid w:val="002F099C"/>
    <w:rsid w:val="002F0B99"/>
    <w:rsid w:val="002F0C14"/>
    <w:rsid w:val="002F0DB5"/>
    <w:rsid w:val="002F0E31"/>
    <w:rsid w:val="002F111B"/>
    <w:rsid w:val="002F15A3"/>
    <w:rsid w:val="002F15E5"/>
    <w:rsid w:val="002F17D2"/>
    <w:rsid w:val="002F1AF8"/>
    <w:rsid w:val="002F1D1A"/>
    <w:rsid w:val="002F1E0D"/>
    <w:rsid w:val="002F1EDA"/>
    <w:rsid w:val="002F24E3"/>
    <w:rsid w:val="002F2835"/>
    <w:rsid w:val="002F28F6"/>
    <w:rsid w:val="002F2CF4"/>
    <w:rsid w:val="002F365D"/>
    <w:rsid w:val="002F3923"/>
    <w:rsid w:val="002F3BAB"/>
    <w:rsid w:val="002F4609"/>
    <w:rsid w:val="002F465C"/>
    <w:rsid w:val="002F4D51"/>
    <w:rsid w:val="002F4E9A"/>
    <w:rsid w:val="002F51AC"/>
    <w:rsid w:val="002F5283"/>
    <w:rsid w:val="002F53CC"/>
    <w:rsid w:val="002F54B5"/>
    <w:rsid w:val="002F579C"/>
    <w:rsid w:val="002F58AC"/>
    <w:rsid w:val="002F58C3"/>
    <w:rsid w:val="002F59BF"/>
    <w:rsid w:val="002F6098"/>
    <w:rsid w:val="002F6132"/>
    <w:rsid w:val="002F6189"/>
    <w:rsid w:val="002F6200"/>
    <w:rsid w:val="002F6748"/>
    <w:rsid w:val="002F6931"/>
    <w:rsid w:val="002F6DC6"/>
    <w:rsid w:val="002F713E"/>
    <w:rsid w:val="002F72FD"/>
    <w:rsid w:val="002F73CF"/>
    <w:rsid w:val="002F75CC"/>
    <w:rsid w:val="002F765E"/>
    <w:rsid w:val="002F78F1"/>
    <w:rsid w:val="002F7A46"/>
    <w:rsid w:val="002F7B0B"/>
    <w:rsid w:val="002F7EE1"/>
    <w:rsid w:val="002F7FFA"/>
    <w:rsid w:val="00300216"/>
    <w:rsid w:val="00300230"/>
    <w:rsid w:val="00300562"/>
    <w:rsid w:val="00300927"/>
    <w:rsid w:val="00300EB7"/>
    <w:rsid w:val="00301036"/>
    <w:rsid w:val="003010A3"/>
    <w:rsid w:val="0030112B"/>
    <w:rsid w:val="003012D5"/>
    <w:rsid w:val="003013D4"/>
    <w:rsid w:val="003016B3"/>
    <w:rsid w:val="0030194B"/>
    <w:rsid w:val="00301A5D"/>
    <w:rsid w:val="00301BB0"/>
    <w:rsid w:val="00301BC9"/>
    <w:rsid w:val="00301E97"/>
    <w:rsid w:val="00301EFA"/>
    <w:rsid w:val="0030209E"/>
    <w:rsid w:val="003020AA"/>
    <w:rsid w:val="0030215D"/>
    <w:rsid w:val="00302539"/>
    <w:rsid w:val="003026F8"/>
    <w:rsid w:val="00302B65"/>
    <w:rsid w:val="00302D0A"/>
    <w:rsid w:val="00302D5A"/>
    <w:rsid w:val="00302D94"/>
    <w:rsid w:val="0030300E"/>
    <w:rsid w:val="00303038"/>
    <w:rsid w:val="00303DED"/>
    <w:rsid w:val="003040FA"/>
    <w:rsid w:val="00304353"/>
    <w:rsid w:val="00304619"/>
    <w:rsid w:val="003046C1"/>
    <w:rsid w:val="0030478A"/>
    <w:rsid w:val="003047CF"/>
    <w:rsid w:val="00304928"/>
    <w:rsid w:val="00304A5D"/>
    <w:rsid w:val="00304B0C"/>
    <w:rsid w:val="00304B19"/>
    <w:rsid w:val="00304D79"/>
    <w:rsid w:val="00304DE8"/>
    <w:rsid w:val="00304F23"/>
    <w:rsid w:val="00304FE1"/>
    <w:rsid w:val="003050A6"/>
    <w:rsid w:val="003051CB"/>
    <w:rsid w:val="00305407"/>
    <w:rsid w:val="00305573"/>
    <w:rsid w:val="00305748"/>
    <w:rsid w:val="00306074"/>
    <w:rsid w:val="00306174"/>
    <w:rsid w:val="00306340"/>
    <w:rsid w:val="00306951"/>
    <w:rsid w:val="003071FB"/>
    <w:rsid w:val="0030741D"/>
    <w:rsid w:val="003075A6"/>
    <w:rsid w:val="00307731"/>
    <w:rsid w:val="0030799E"/>
    <w:rsid w:val="00307EE2"/>
    <w:rsid w:val="00310298"/>
    <w:rsid w:val="00310344"/>
    <w:rsid w:val="003107A6"/>
    <w:rsid w:val="00310988"/>
    <w:rsid w:val="00310B01"/>
    <w:rsid w:val="00310F41"/>
    <w:rsid w:val="00311178"/>
    <w:rsid w:val="003112AF"/>
    <w:rsid w:val="003116C7"/>
    <w:rsid w:val="00311CA6"/>
    <w:rsid w:val="00311D4B"/>
    <w:rsid w:val="0031214E"/>
    <w:rsid w:val="00312557"/>
    <w:rsid w:val="0031271B"/>
    <w:rsid w:val="003129DB"/>
    <w:rsid w:val="00312B5A"/>
    <w:rsid w:val="00312DB4"/>
    <w:rsid w:val="00312E56"/>
    <w:rsid w:val="003130A3"/>
    <w:rsid w:val="00313537"/>
    <w:rsid w:val="00313C4C"/>
    <w:rsid w:val="00313DE0"/>
    <w:rsid w:val="00313FEE"/>
    <w:rsid w:val="003141AD"/>
    <w:rsid w:val="00314278"/>
    <w:rsid w:val="00314627"/>
    <w:rsid w:val="00314684"/>
    <w:rsid w:val="003146A5"/>
    <w:rsid w:val="00314804"/>
    <w:rsid w:val="0031485B"/>
    <w:rsid w:val="00314AE9"/>
    <w:rsid w:val="00314CC9"/>
    <w:rsid w:val="00314F55"/>
    <w:rsid w:val="003153F1"/>
    <w:rsid w:val="00315543"/>
    <w:rsid w:val="00315855"/>
    <w:rsid w:val="0031596F"/>
    <w:rsid w:val="00315DDA"/>
    <w:rsid w:val="00316555"/>
    <w:rsid w:val="003167A9"/>
    <w:rsid w:val="00317157"/>
    <w:rsid w:val="00317189"/>
    <w:rsid w:val="003174D8"/>
    <w:rsid w:val="003174F7"/>
    <w:rsid w:val="0031781C"/>
    <w:rsid w:val="003178F1"/>
    <w:rsid w:val="0031795C"/>
    <w:rsid w:val="00317C71"/>
    <w:rsid w:val="00317CBC"/>
    <w:rsid w:val="00317CBD"/>
    <w:rsid w:val="003206DC"/>
    <w:rsid w:val="0032107B"/>
    <w:rsid w:val="003212BE"/>
    <w:rsid w:val="003213DE"/>
    <w:rsid w:val="003214F8"/>
    <w:rsid w:val="00321D5D"/>
    <w:rsid w:val="00321DC1"/>
    <w:rsid w:val="003220E8"/>
    <w:rsid w:val="00322B01"/>
    <w:rsid w:val="00323001"/>
    <w:rsid w:val="0032300D"/>
    <w:rsid w:val="00323035"/>
    <w:rsid w:val="003234A2"/>
    <w:rsid w:val="003234C7"/>
    <w:rsid w:val="003235BD"/>
    <w:rsid w:val="00323932"/>
    <w:rsid w:val="00323A6E"/>
    <w:rsid w:val="00323AAA"/>
    <w:rsid w:val="00323AF7"/>
    <w:rsid w:val="00323E59"/>
    <w:rsid w:val="0032407B"/>
    <w:rsid w:val="003243E7"/>
    <w:rsid w:val="003243FC"/>
    <w:rsid w:val="00324496"/>
    <w:rsid w:val="003249F0"/>
    <w:rsid w:val="00324C4C"/>
    <w:rsid w:val="00324E0B"/>
    <w:rsid w:val="00324EAA"/>
    <w:rsid w:val="00325031"/>
    <w:rsid w:val="00325094"/>
    <w:rsid w:val="003254B8"/>
    <w:rsid w:val="0032581E"/>
    <w:rsid w:val="00325BCA"/>
    <w:rsid w:val="003261FD"/>
    <w:rsid w:val="003262DD"/>
    <w:rsid w:val="00326356"/>
    <w:rsid w:val="003263D7"/>
    <w:rsid w:val="0032666A"/>
    <w:rsid w:val="00326786"/>
    <w:rsid w:val="0032688A"/>
    <w:rsid w:val="00326EE4"/>
    <w:rsid w:val="00326FCC"/>
    <w:rsid w:val="00327166"/>
    <w:rsid w:val="003275B3"/>
    <w:rsid w:val="0032787D"/>
    <w:rsid w:val="003278C7"/>
    <w:rsid w:val="00327A7E"/>
    <w:rsid w:val="00327C91"/>
    <w:rsid w:val="00327F9D"/>
    <w:rsid w:val="00330161"/>
    <w:rsid w:val="00330279"/>
    <w:rsid w:val="00330A22"/>
    <w:rsid w:val="00330A7B"/>
    <w:rsid w:val="00330EF8"/>
    <w:rsid w:val="00330F24"/>
    <w:rsid w:val="00330FF8"/>
    <w:rsid w:val="003310BB"/>
    <w:rsid w:val="00331899"/>
    <w:rsid w:val="00331998"/>
    <w:rsid w:val="00331A05"/>
    <w:rsid w:val="00331AC1"/>
    <w:rsid w:val="00331C29"/>
    <w:rsid w:val="00331E0D"/>
    <w:rsid w:val="00332118"/>
    <w:rsid w:val="003325CC"/>
    <w:rsid w:val="0033299F"/>
    <w:rsid w:val="00332A3F"/>
    <w:rsid w:val="00332BF0"/>
    <w:rsid w:val="00332BFA"/>
    <w:rsid w:val="00333029"/>
    <w:rsid w:val="0033308D"/>
    <w:rsid w:val="00333237"/>
    <w:rsid w:val="00333307"/>
    <w:rsid w:val="0033344A"/>
    <w:rsid w:val="003334B0"/>
    <w:rsid w:val="0033362E"/>
    <w:rsid w:val="003336EB"/>
    <w:rsid w:val="00333782"/>
    <w:rsid w:val="003338E5"/>
    <w:rsid w:val="00333A74"/>
    <w:rsid w:val="00333D80"/>
    <w:rsid w:val="00334211"/>
    <w:rsid w:val="003342AB"/>
    <w:rsid w:val="003347DF"/>
    <w:rsid w:val="003349D4"/>
    <w:rsid w:val="00334AC7"/>
    <w:rsid w:val="00334FEE"/>
    <w:rsid w:val="00336329"/>
    <w:rsid w:val="003363AA"/>
    <w:rsid w:val="003365AA"/>
    <w:rsid w:val="00336EB4"/>
    <w:rsid w:val="0033719C"/>
    <w:rsid w:val="0033739A"/>
    <w:rsid w:val="003376E5"/>
    <w:rsid w:val="00337904"/>
    <w:rsid w:val="0033793B"/>
    <w:rsid w:val="00337A84"/>
    <w:rsid w:val="00337AAC"/>
    <w:rsid w:val="003400A1"/>
    <w:rsid w:val="00340951"/>
    <w:rsid w:val="003411B7"/>
    <w:rsid w:val="00341511"/>
    <w:rsid w:val="003418BE"/>
    <w:rsid w:val="003419A4"/>
    <w:rsid w:val="00341ABD"/>
    <w:rsid w:val="00341ECD"/>
    <w:rsid w:val="00342115"/>
    <w:rsid w:val="00342168"/>
    <w:rsid w:val="003421DD"/>
    <w:rsid w:val="00342263"/>
    <w:rsid w:val="0034230B"/>
    <w:rsid w:val="00342335"/>
    <w:rsid w:val="003427CE"/>
    <w:rsid w:val="003427F8"/>
    <w:rsid w:val="003427F9"/>
    <w:rsid w:val="00342BBF"/>
    <w:rsid w:val="00342CE4"/>
    <w:rsid w:val="00342F09"/>
    <w:rsid w:val="0034321D"/>
    <w:rsid w:val="00343682"/>
    <w:rsid w:val="0034372C"/>
    <w:rsid w:val="003439BE"/>
    <w:rsid w:val="00343BD5"/>
    <w:rsid w:val="00343DCF"/>
    <w:rsid w:val="00344B94"/>
    <w:rsid w:val="0034516A"/>
    <w:rsid w:val="00345292"/>
    <w:rsid w:val="003454CC"/>
    <w:rsid w:val="00345B6A"/>
    <w:rsid w:val="00345DFB"/>
    <w:rsid w:val="00345EFE"/>
    <w:rsid w:val="003473C8"/>
    <w:rsid w:val="00347D7A"/>
    <w:rsid w:val="00347FC3"/>
    <w:rsid w:val="00350102"/>
    <w:rsid w:val="003503B2"/>
    <w:rsid w:val="00350524"/>
    <w:rsid w:val="00350854"/>
    <w:rsid w:val="00350D56"/>
    <w:rsid w:val="00351315"/>
    <w:rsid w:val="003516D0"/>
    <w:rsid w:val="00351B4B"/>
    <w:rsid w:val="0035251D"/>
    <w:rsid w:val="0035267F"/>
    <w:rsid w:val="0035273B"/>
    <w:rsid w:val="00352A9F"/>
    <w:rsid w:val="00352AC1"/>
    <w:rsid w:val="00352B14"/>
    <w:rsid w:val="00352B76"/>
    <w:rsid w:val="00352D9B"/>
    <w:rsid w:val="00352E6F"/>
    <w:rsid w:val="003531FB"/>
    <w:rsid w:val="0035336D"/>
    <w:rsid w:val="00353915"/>
    <w:rsid w:val="003539FF"/>
    <w:rsid w:val="0035456E"/>
    <w:rsid w:val="00354757"/>
    <w:rsid w:val="00354A71"/>
    <w:rsid w:val="00354D13"/>
    <w:rsid w:val="00354D4C"/>
    <w:rsid w:val="00354E17"/>
    <w:rsid w:val="00354FF8"/>
    <w:rsid w:val="00355B47"/>
    <w:rsid w:val="00355DB0"/>
    <w:rsid w:val="00356256"/>
    <w:rsid w:val="003562DC"/>
    <w:rsid w:val="00356C09"/>
    <w:rsid w:val="00356DFA"/>
    <w:rsid w:val="00357258"/>
    <w:rsid w:val="00357835"/>
    <w:rsid w:val="00357932"/>
    <w:rsid w:val="003579D1"/>
    <w:rsid w:val="00357AC8"/>
    <w:rsid w:val="00357B0C"/>
    <w:rsid w:val="00357DAB"/>
    <w:rsid w:val="0035ABBC"/>
    <w:rsid w:val="00360083"/>
    <w:rsid w:val="003600EF"/>
    <w:rsid w:val="00360358"/>
    <w:rsid w:val="003604EA"/>
    <w:rsid w:val="00360BE0"/>
    <w:rsid w:val="00360CF3"/>
    <w:rsid w:val="00360E16"/>
    <w:rsid w:val="00361007"/>
    <w:rsid w:val="00361437"/>
    <w:rsid w:val="003614D7"/>
    <w:rsid w:val="00361558"/>
    <w:rsid w:val="003618A9"/>
    <w:rsid w:val="003618C9"/>
    <w:rsid w:val="00361984"/>
    <w:rsid w:val="00361C22"/>
    <w:rsid w:val="00361DDC"/>
    <w:rsid w:val="0036204E"/>
    <w:rsid w:val="003620AE"/>
    <w:rsid w:val="0036231E"/>
    <w:rsid w:val="003624B4"/>
    <w:rsid w:val="00362802"/>
    <w:rsid w:val="003628A0"/>
    <w:rsid w:val="003628DB"/>
    <w:rsid w:val="00362A15"/>
    <w:rsid w:val="00362A7F"/>
    <w:rsid w:val="00362DAB"/>
    <w:rsid w:val="00362F2C"/>
    <w:rsid w:val="0036359F"/>
    <w:rsid w:val="003635A7"/>
    <w:rsid w:val="00363F68"/>
    <w:rsid w:val="003640EF"/>
    <w:rsid w:val="00364B6C"/>
    <w:rsid w:val="00364DAD"/>
    <w:rsid w:val="00364DCC"/>
    <w:rsid w:val="00364E51"/>
    <w:rsid w:val="0036543A"/>
    <w:rsid w:val="003655AF"/>
    <w:rsid w:val="003659D8"/>
    <w:rsid w:val="00365D57"/>
    <w:rsid w:val="00366342"/>
    <w:rsid w:val="00366742"/>
    <w:rsid w:val="00366C19"/>
    <w:rsid w:val="003670F1"/>
    <w:rsid w:val="0036741C"/>
    <w:rsid w:val="00367469"/>
    <w:rsid w:val="003674F2"/>
    <w:rsid w:val="00367F6C"/>
    <w:rsid w:val="0036916A"/>
    <w:rsid w:val="003701E5"/>
    <w:rsid w:val="00370287"/>
    <w:rsid w:val="00370505"/>
    <w:rsid w:val="0037058C"/>
    <w:rsid w:val="00370632"/>
    <w:rsid w:val="00370683"/>
    <w:rsid w:val="00370692"/>
    <w:rsid w:val="00370E7B"/>
    <w:rsid w:val="00371D18"/>
    <w:rsid w:val="00371DD2"/>
    <w:rsid w:val="00371E15"/>
    <w:rsid w:val="003722E7"/>
    <w:rsid w:val="00372760"/>
    <w:rsid w:val="0037291A"/>
    <w:rsid w:val="00372E55"/>
    <w:rsid w:val="00372EEB"/>
    <w:rsid w:val="00372F91"/>
    <w:rsid w:val="00373063"/>
    <w:rsid w:val="003733F4"/>
    <w:rsid w:val="00373791"/>
    <w:rsid w:val="00373BD4"/>
    <w:rsid w:val="00373F8A"/>
    <w:rsid w:val="00374202"/>
    <w:rsid w:val="00374775"/>
    <w:rsid w:val="00374790"/>
    <w:rsid w:val="0037480D"/>
    <w:rsid w:val="00374C73"/>
    <w:rsid w:val="00375609"/>
    <w:rsid w:val="00375C0E"/>
    <w:rsid w:val="00375CB4"/>
    <w:rsid w:val="00375E8D"/>
    <w:rsid w:val="00375F33"/>
    <w:rsid w:val="00376079"/>
    <w:rsid w:val="00376279"/>
    <w:rsid w:val="00376561"/>
    <w:rsid w:val="0037657A"/>
    <w:rsid w:val="003769D0"/>
    <w:rsid w:val="00376D82"/>
    <w:rsid w:val="00376EB3"/>
    <w:rsid w:val="00377022"/>
    <w:rsid w:val="003772C5"/>
    <w:rsid w:val="00377408"/>
    <w:rsid w:val="0037786B"/>
    <w:rsid w:val="003779A7"/>
    <w:rsid w:val="00377ADB"/>
    <w:rsid w:val="00377E67"/>
    <w:rsid w:val="00377ED1"/>
    <w:rsid w:val="003806F8"/>
    <w:rsid w:val="003809F4"/>
    <w:rsid w:val="00380A6F"/>
    <w:rsid w:val="00380CE5"/>
    <w:rsid w:val="00380E06"/>
    <w:rsid w:val="00381016"/>
    <w:rsid w:val="0038117E"/>
    <w:rsid w:val="0038122A"/>
    <w:rsid w:val="0038148C"/>
    <w:rsid w:val="0038166E"/>
    <w:rsid w:val="003817AE"/>
    <w:rsid w:val="00381800"/>
    <w:rsid w:val="00381B57"/>
    <w:rsid w:val="00381B86"/>
    <w:rsid w:val="00381C45"/>
    <w:rsid w:val="00381CD9"/>
    <w:rsid w:val="00381D75"/>
    <w:rsid w:val="0038212A"/>
    <w:rsid w:val="00382207"/>
    <w:rsid w:val="00382463"/>
    <w:rsid w:val="003824AD"/>
    <w:rsid w:val="003824CD"/>
    <w:rsid w:val="00382579"/>
    <w:rsid w:val="00382FFA"/>
    <w:rsid w:val="003830E2"/>
    <w:rsid w:val="00383388"/>
    <w:rsid w:val="003833A4"/>
    <w:rsid w:val="003834F5"/>
    <w:rsid w:val="0038392E"/>
    <w:rsid w:val="00383BF2"/>
    <w:rsid w:val="00384137"/>
    <w:rsid w:val="00384531"/>
    <w:rsid w:val="00384C83"/>
    <w:rsid w:val="00384D3C"/>
    <w:rsid w:val="00384DA0"/>
    <w:rsid w:val="00385286"/>
    <w:rsid w:val="003854A8"/>
    <w:rsid w:val="00385638"/>
    <w:rsid w:val="00385CA7"/>
    <w:rsid w:val="00386200"/>
    <w:rsid w:val="0038647D"/>
    <w:rsid w:val="00386587"/>
    <w:rsid w:val="00386757"/>
    <w:rsid w:val="003867F9"/>
    <w:rsid w:val="00387661"/>
    <w:rsid w:val="003879D3"/>
    <w:rsid w:val="00387E0D"/>
    <w:rsid w:val="00387F0D"/>
    <w:rsid w:val="00387FA7"/>
    <w:rsid w:val="003903FF"/>
    <w:rsid w:val="003904E0"/>
    <w:rsid w:val="00390788"/>
    <w:rsid w:val="00390993"/>
    <w:rsid w:val="00390A78"/>
    <w:rsid w:val="00390CBC"/>
    <w:rsid w:val="0039122F"/>
    <w:rsid w:val="00391615"/>
    <w:rsid w:val="0039188D"/>
    <w:rsid w:val="00391914"/>
    <w:rsid w:val="00391D3C"/>
    <w:rsid w:val="0039267D"/>
    <w:rsid w:val="003926F9"/>
    <w:rsid w:val="00392AC0"/>
    <w:rsid w:val="00392CEF"/>
    <w:rsid w:val="00393404"/>
    <w:rsid w:val="00393521"/>
    <w:rsid w:val="003935D2"/>
    <w:rsid w:val="00393783"/>
    <w:rsid w:val="00393799"/>
    <w:rsid w:val="00393951"/>
    <w:rsid w:val="0039395B"/>
    <w:rsid w:val="00393AD3"/>
    <w:rsid w:val="00393E97"/>
    <w:rsid w:val="00394392"/>
    <w:rsid w:val="00394405"/>
    <w:rsid w:val="00394447"/>
    <w:rsid w:val="0039451D"/>
    <w:rsid w:val="00394656"/>
    <w:rsid w:val="00394B76"/>
    <w:rsid w:val="00394C47"/>
    <w:rsid w:val="00395365"/>
    <w:rsid w:val="0039539D"/>
    <w:rsid w:val="003955DC"/>
    <w:rsid w:val="00395E78"/>
    <w:rsid w:val="00395FD5"/>
    <w:rsid w:val="0039621E"/>
    <w:rsid w:val="00396750"/>
    <w:rsid w:val="00396767"/>
    <w:rsid w:val="00396A41"/>
    <w:rsid w:val="00396E25"/>
    <w:rsid w:val="00396E72"/>
    <w:rsid w:val="0039722C"/>
    <w:rsid w:val="00397293"/>
    <w:rsid w:val="00397466"/>
    <w:rsid w:val="003974CC"/>
    <w:rsid w:val="0039778F"/>
    <w:rsid w:val="003A016B"/>
    <w:rsid w:val="003A0975"/>
    <w:rsid w:val="003A0B4D"/>
    <w:rsid w:val="003A0C76"/>
    <w:rsid w:val="003A0E31"/>
    <w:rsid w:val="003A0F5D"/>
    <w:rsid w:val="003A1516"/>
    <w:rsid w:val="003A156D"/>
    <w:rsid w:val="003A1668"/>
    <w:rsid w:val="003A1A26"/>
    <w:rsid w:val="003A2488"/>
    <w:rsid w:val="003A2687"/>
    <w:rsid w:val="003A28CB"/>
    <w:rsid w:val="003A2E1A"/>
    <w:rsid w:val="003A3313"/>
    <w:rsid w:val="003A3C83"/>
    <w:rsid w:val="003A3C95"/>
    <w:rsid w:val="003A3CF9"/>
    <w:rsid w:val="003A40B5"/>
    <w:rsid w:val="003A414B"/>
    <w:rsid w:val="003A41C0"/>
    <w:rsid w:val="003A41C2"/>
    <w:rsid w:val="003A430A"/>
    <w:rsid w:val="003A4F8C"/>
    <w:rsid w:val="003A511E"/>
    <w:rsid w:val="003A51A6"/>
    <w:rsid w:val="003A55C6"/>
    <w:rsid w:val="003A56D9"/>
    <w:rsid w:val="003A5E88"/>
    <w:rsid w:val="003A6249"/>
    <w:rsid w:val="003A64EE"/>
    <w:rsid w:val="003A656C"/>
    <w:rsid w:val="003A6641"/>
    <w:rsid w:val="003A673F"/>
    <w:rsid w:val="003A6983"/>
    <w:rsid w:val="003A6A7D"/>
    <w:rsid w:val="003A6DBA"/>
    <w:rsid w:val="003A6F43"/>
    <w:rsid w:val="003A6FEC"/>
    <w:rsid w:val="003A700F"/>
    <w:rsid w:val="003A765B"/>
    <w:rsid w:val="003A78D0"/>
    <w:rsid w:val="003A7DC0"/>
    <w:rsid w:val="003B0407"/>
    <w:rsid w:val="003B06F8"/>
    <w:rsid w:val="003B1193"/>
    <w:rsid w:val="003B127B"/>
    <w:rsid w:val="003B14CE"/>
    <w:rsid w:val="003B18C1"/>
    <w:rsid w:val="003B1BB4"/>
    <w:rsid w:val="003B1D9E"/>
    <w:rsid w:val="003B252C"/>
    <w:rsid w:val="003B25D8"/>
    <w:rsid w:val="003B2A0C"/>
    <w:rsid w:val="003B2CE8"/>
    <w:rsid w:val="003B2E4A"/>
    <w:rsid w:val="003B2EC0"/>
    <w:rsid w:val="003B345B"/>
    <w:rsid w:val="003B3E3E"/>
    <w:rsid w:val="003B3F49"/>
    <w:rsid w:val="003B421A"/>
    <w:rsid w:val="003B473C"/>
    <w:rsid w:val="003B4BE3"/>
    <w:rsid w:val="003B4C65"/>
    <w:rsid w:val="003B4C90"/>
    <w:rsid w:val="003B4CC9"/>
    <w:rsid w:val="003B4E58"/>
    <w:rsid w:val="003B4ED3"/>
    <w:rsid w:val="003B516E"/>
    <w:rsid w:val="003B52DB"/>
    <w:rsid w:val="003B558F"/>
    <w:rsid w:val="003B55D0"/>
    <w:rsid w:val="003B59B1"/>
    <w:rsid w:val="003B5BF9"/>
    <w:rsid w:val="003B64E8"/>
    <w:rsid w:val="003B6606"/>
    <w:rsid w:val="003B67A2"/>
    <w:rsid w:val="003B6812"/>
    <w:rsid w:val="003B6C44"/>
    <w:rsid w:val="003B6C8A"/>
    <w:rsid w:val="003B6DC0"/>
    <w:rsid w:val="003B6E7A"/>
    <w:rsid w:val="003B6FE5"/>
    <w:rsid w:val="003B72AD"/>
    <w:rsid w:val="003B734C"/>
    <w:rsid w:val="003B76D7"/>
    <w:rsid w:val="003B784E"/>
    <w:rsid w:val="003B79AD"/>
    <w:rsid w:val="003B7B44"/>
    <w:rsid w:val="003B7EC7"/>
    <w:rsid w:val="003B7FD4"/>
    <w:rsid w:val="003C06D8"/>
    <w:rsid w:val="003C079C"/>
    <w:rsid w:val="003C0B75"/>
    <w:rsid w:val="003C0ED1"/>
    <w:rsid w:val="003C1820"/>
    <w:rsid w:val="003C1C46"/>
    <w:rsid w:val="003C2124"/>
    <w:rsid w:val="003C22A1"/>
    <w:rsid w:val="003C23AE"/>
    <w:rsid w:val="003C23C9"/>
    <w:rsid w:val="003C263D"/>
    <w:rsid w:val="003C2AB5"/>
    <w:rsid w:val="003C2C98"/>
    <w:rsid w:val="003C2D10"/>
    <w:rsid w:val="003C2DBD"/>
    <w:rsid w:val="003C31CD"/>
    <w:rsid w:val="003C3440"/>
    <w:rsid w:val="003C3A6C"/>
    <w:rsid w:val="003C3ACB"/>
    <w:rsid w:val="003C3AF0"/>
    <w:rsid w:val="003C3C04"/>
    <w:rsid w:val="003C3C23"/>
    <w:rsid w:val="003C3F1E"/>
    <w:rsid w:val="003C40F2"/>
    <w:rsid w:val="003C4443"/>
    <w:rsid w:val="003C4690"/>
    <w:rsid w:val="003C475D"/>
    <w:rsid w:val="003C50E6"/>
    <w:rsid w:val="003C5218"/>
    <w:rsid w:val="003C5670"/>
    <w:rsid w:val="003C5982"/>
    <w:rsid w:val="003C625A"/>
    <w:rsid w:val="003C62A6"/>
    <w:rsid w:val="003C6496"/>
    <w:rsid w:val="003C68A5"/>
    <w:rsid w:val="003C697B"/>
    <w:rsid w:val="003C6A47"/>
    <w:rsid w:val="003C6C6F"/>
    <w:rsid w:val="003C6D4A"/>
    <w:rsid w:val="003C6E9C"/>
    <w:rsid w:val="003C6EE7"/>
    <w:rsid w:val="003C723E"/>
    <w:rsid w:val="003C768C"/>
    <w:rsid w:val="003C794B"/>
    <w:rsid w:val="003C79BF"/>
    <w:rsid w:val="003C7A29"/>
    <w:rsid w:val="003C7C0E"/>
    <w:rsid w:val="003C7DFA"/>
    <w:rsid w:val="003D02E6"/>
    <w:rsid w:val="003D030A"/>
    <w:rsid w:val="003D045B"/>
    <w:rsid w:val="003D04D0"/>
    <w:rsid w:val="003D0547"/>
    <w:rsid w:val="003D0955"/>
    <w:rsid w:val="003D0A32"/>
    <w:rsid w:val="003D0D87"/>
    <w:rsid w:val="003D0EFA"/>
    <w:rsid w:val="003D10EB"/>
    <w:rsid w:val="003D161A"/>
    <w:rsid w:val="003D17B8"/>
    <w:rsid w:val="003D1BB6"/>
    <w:rsid w:val="003D1F3D"/>
    <w:rsid w:val="003D2150"/>
    <w:rsid w:val="003D2205"/>
    <w:rsid w:val="003D23B1"/>
    <w:rsid w:val="003D268A"/>
    <w:rsid w:val="003D2827"/>
    <w:rsid w:val="003D2F17"/>
    <w:rsid w:val="003D3875"/>
    <w:rsid w:val="003D38A7"/>
    <w:rsid w:val="003D3CFF"/>
    <w:rsid w:val="003D3F7B"/>
    <w:rsid w:val="003D3F8C"/>
    <w:rsid w:val="003D3FE4"/>
    <w:rsid w:val="003D40CF"/>
    <w:rsid w:val="003D4301"/>
    <w:rsid w:val="003D44FA"/>
    <w:rsid w:val="003D47B8"/>
    <w:rsid w:val="003D47BC"/>
    <w:rsid w:val="003D49A6"/>
    <w:rsid w:val="003D4D7B"/>
    <w:rsid w:val="003D501F"/>
    <w:rsid w:val="003D50A0"/>
    <w:rsid w:val="003D56EC"/>
    <w:rsid w:val="003D587C"/>
    <w:rsid w:val="003D5B58"/>
    <w:rsid w:val="003D5BD1"/>
    <w:rsid w:val="003D5E45"/>
    <w:rsid w:val="003D5F94"/>
    <w:rsid w:val="003D6211"/>
    <w:rsid w:val="003D633B"/>
    <w:rsid w:val="003D68A6"/>
    <w:rsid w:val="003D6E70"/>
    <w:rsid w:val="003D6F5A"/>
    <w:rsid w:val="003D7038"/>
    <w:rsid w:val="003D7105"/>
    <w:rsid w:val="003D7473"/>
    <w:rsid w:val="003D7CBA"/>
    <w:rsid w:val="003D7FA8"/>
    <w:rsid w:val="003E0296"/>
    <w:rsid w:val="003E03C9"/>
    <w:rsid w:val="003E058A"/>
    <w:rsid w:val="003E0789"/>
    <w:rsid w:val="003E07BB"/>
    <w:rsid w:val="003E0AAC"/>
    <w:rsid w:val="003E1061"/>
    <w:rsid w:val="003E1A93"/>
    <w:rsid w:val="003E1D77"/>
    <w:rsid w:val="003E1E24"/>
    <w:rsid w:val="003E292F"/>
    <w:rsid w:val="003E2A8E"/>
    <w:rsid w:val="003E2A99"/>
    <w:rsid w:val="003E3063"/>
    <w:rsid w:val="003E325B"/>
    <w:rsid w:val="003E3408"/>
    <w:rsid w:val="003E34BE"/>
    <w:rsid w:val="003E3607"/>
    <w:rsid w:val="003E370A"/>
    <w:rsid w:val="003E37A7"/>
    <w:rsid w:val="003E37C8"/>
    <w:rsid w:val="003E3D4A"/>
    <w:rsid w:val="003E3DA0"/>
    <w:rsid w:val="003E3DD1"/>
    <w:rsid w:val="003E3ED0"/>
    <w:rsid w:val="003E3FD0"/>
    <w:rsid w:val="003E432C"/>
    <w:rsid w:val="003E4533"/>
    <w:rsid w:val="003E477C"/>
    <w:rsid w:val="003E48F0"/>
    <w:rsid w:val="003E4D55"/>
    <w:rsid w:val="003E4F47"/>
    <w:rsid w:val="003E5013"/>
    <w:rsid w:val="003E50CB"/>
    <w:rsid w:val="003E5198"/>
    <w:rsid w:val="003E55F1"/>
    <w:rsid w:val="003E5A4E"/>
    <w:rsid w:val="003E5A69"/>
    <w:rsid w:val="003E5E4A"/>
    <w:rsid w:val="003E614C"/>
    <w:rsid w:val="003E62FE"/>
    <w:rsid w:val="003E6681"/>
    <w:rsid w:val="003E6CBE"/>
    <w:rsid w:val="003E6DB8"/>
    <w:rsid w:val="003E711E"/>
    <w:rsid w:val="003E7208"/>
    <w:rsid w:val="003E75D7"/>
    <w:rsid w:val="003E7636"/>
    <w:rsid w:val="003E7651"/>
    <w:rsid w:val="003E791E"/>
    <w:rsid w:val="003E7D8C"/>
    <w:rsid w:val="003F0278"/>
    <w:rsid w:val="003F0448"/>
    <w:rsid w:val="003F0490"/>
    <w:rsid w:val="003F04D5"/>
    <w:rsid w:val="003F06BA"/>
    <w:rsid w:val="003F0AB9"/>
    <w:rsid w:val="003F0DEB"/>
    <w:rsid w:val="003F0F7D"/>
    <w:rsid w:val="003F117C"/>
    <w:rsid w:val="003F143D"/>
    <w:rsid w:val="003F186B"/>
    <w:rsid w:val="003F1973"/>
    <w:rsid w:val="003F19C0"/>
    <w:rsid w:val="003F1C1D"/>
    <w:rsid w:val="003F21A0"/>
    <w:rsid w:val="003F2448"/>
    <w:rsid w:val="003F246F"/>
    <w:rsid w:val="003F25BE"/>
    <w:rsid w:val="003F2964"/>
    <w:rsid w:val="003F2EA5"/>
    <w:rsid w:val="003F2F6E"/>
    <w:rsid w:val="003F3342"/>
    <w:rsid w:val="003F373B"/>
    <w:rsid w:val="003F39E2"/>
    <w:rsid w:val="003F3A40"/>
    <w:rsid w:val="003F3A7B"/>
    <w:rsid w:val="003F3AD5"/>
    <w:rsid w:val="003F3B7A"/>
    <w:rsid w:val="003F3FAF"/>
    <w:rsid w:val="003F4275"/>
    <w:rsid w:val="003F469D"/>
    <w:rsid w:val="003F471F"/>
    <w:rsid w:val="003F49BF"/>
    <w:rsid w:val="003F4A3A"/>
    <w:rsid w:val="003F4C04"/>
    <w:rsid w:val="003F5009"/>
    <w:rsid w:val="003F500E"/>
    <w:rsid w:val="003F5627"/>
    <w:rsid w:val="003F57EF"/>
    <w:rsid w:val="003F5B51"/>
    <w:rsid w:val="003F5CEE"/>
    <w:rsid w:val="003F5E92"/>
    <w:rsid w:val="003F5F6F"/>
    <w:rsid w:val="003F5FB2"/>
    <w:rsid w:val="003F6066"/>
    <w:rsid w:val="003F645A"/>
    <w:rsid w:val="003F65C7"/>
    <w:rsid w:val="003F688C"/>
    <w:rsid w:val="003F6A24"/>
    <w:rsid w:val="003F6ADE"/>
    <w:rsid w:val="003F6C45"/>
    <w:rsid w:val="003F7139"/>
    <w:rsid w:val="003F71AC"/>
    <w:rsid w:val="003F76FC"/>
    <w:rsid w:val="003F776A"/>
    <w:rsid w:val="003F7A02"/>
    <w:rsid w:val="00400C39"/>
    <w:rsid w:val="00400DD3"/>
    <w:rsid w:val="004010B7"/>
    <w:rsid w:val="00401149"/>
    <w:rsid w:val="00401233"/>
    <w:rsid w:val="004012B5"/>
    <w:rsid w:val="00401514"/>
    <w:rsid w:val="00401646"/>
    <w:rsid w:val="00401A8F"/>
    <w:rsid w:val="00401BEC"/>
    <w:rsid w:val="00401CDB"/>
    <w:rsid w:val="00401CEC"/>
    <w:rsid w:val="00401DAE"/>
    <w:rsid w:val="00401DB7"/>
    <w:rsid w:val="00401F27"/>
    <w:rsid w:val="00402079"/>
    <w:rsid w:val="004023F1"/>
    <w:rsid w:val="004028D9"/>
    <w:rsid w:val="00402D8C"/>
    <w:rsid w:val="0040326B"/>
    <w:rsid w:val="004033C8"/>
    <w:rsid w:val="004038BE"/>
    <w:rsid w:val="00403951"/>
    <w:rsid w:val="00403B28"/>
    <w:rsid w:val="00403CFD"/>
    <w:rsid w:val="00403D08"/>
    <w:rsid w:val="00404119"/>
    <w:rsid w:val="00404355"/>
    <w:rsid w:val="0040479C"/>
    <w:rsid w:val="004052D7"/>
    <w:rsid w:val="00405392"/>
    <w:rsid w:val="004054C8"/>
    <w:rsid w:val="004055C5"/>
    <w:rsid w:val="00405849"/>
    <w:rsid w:val="00405970"/>
    <w:rsid w:val="00405BD1"/>
    <w:rsid w:val="00405DEB"/>
    <w:rsid w:val="00406019"/>
    <w:rsid w:val="00406325"/>
    <w:rsid w:val="00406462"/>
    <w:rsid w:val="00406672"/>
    <w:rsid w:val="00406A8E"/>
    <w:rsid w:val="00406C87"/>
    <w:rsid w:val="00407023"/>
    <w:rsid w:val="00407102"/>
    <w:rsid w:val="00407240"/>
    <w:rsid w:val="00407DA3"/>
    <w:rsid w:val="00407F7B"/>
    <w:rsid w:val="00410082"/>
    <w:rsid w:val="004101F8"/>
    <w:rsid w:val="0041077E"/>
    <w:rsid w:val="004107D2"/>
    <w:rsid w:val="0041082A"/>
    <w:rsid w:val="004108D4"/>
    <w:rsid w:val="00410F46"/>
    <w:rsid w:val="004113A0"/>
    <w:rsid w:val="00411700"/>
    <w:rsid w:val="00411A42"/>
    <w:rsid w:val="00411A98"/>
    <w:rsid w:val="00411E99"/>
    <w:rsid w:val="00412161"/>
    <w:rsid w:val="0041222D"/>
    <w:rsid w:val="00412443"/>
    <w:rsid w:val="004128DE"/>
    <w:rsid w:val="004129DD"/>
    <w:rsid w:val="00412BA6"/>
    <w:rsid w:val="00412D08"/>
    <w:rsid w:val="00412E4D"/>
    <w:rsid w:val="004134EA"/>
    <w:rsid w:val="004135A4"/>
    <w:rsid w:val="004136B2"/>
    <w:rsid w:val="00413740"/>
    <w:rsid w:val="004140DE"/>
    <w:rsid w:val="00414182"/>
    <w:rsid w:val="00414500"/>
    <w:rsid w:val="0041461C"/>
    <w:rsid w:val="00414685"/>
    <w:rsid w:val="00414715"/>
    <w:rsid w:val="00414ABE"/>
    <w:rsid w:val="00414B98"/>
    <w:rsid w:val="00414CC5"/>
    <w:rsid w:val="0041507D"/>
    <w:rsid w:val="00415124"/>
    <w:rsid w:val="00415161"/>
    <w:rsid w:val="00415453"/>
    <w:rsid w:val="00415693"/>
    <w:rsid w:val="004158D4"/>
    <w:rsid w:val="00415AE2"/>
    <w:rsid w:val="00415B56"/>
    <w:rsid w:val="00415E55"/>
    <w:rsid w:val="00415F2F"/>
    <w:rsid w:val="00416129"/>
    <w:rsid w:val="00416255"/>
    <w:rsid w:val="004163D9"/>
    <w:rsid w:val="004169FB"/>
    <w:rsid w:val="00416CBF"/>
    <w:rsid w:val="00416F54"/>
    <w:rsid w:val="00417130"/>
    <w:rsid w:val="0041720F"/>
    <w:rsid w:val="00417A61"/>
    <w:rsid w:val="00417C1B"/>
    <w:rsid w:val="00417DEC"/>
    <w:rsid w:val="00417FEB"/>
    <w:rsid w:val="004205EF"/>
    <w:rsid w:val="00420AAA"/>
    <w:rsid w:val="00420FD3"/>
    <w:rsid w:val="00421245"/>
    <w:rsid w:val="0042130D"/>
    <w:rsid w:val="004214FB"/>
    <w:rsid w:val="00421569"/>
    <w:rsid w:val="0042162E"/>
    <w:rsid w:val="004219D6"/>
    <w:rsid w:val="00421F01"/>
    <w:rsid w:val="00421F34"/>
    <w:rsid w:val="004220F2"/>
    <w:rsid w:val="00422452"/>
    <w:rsid w:val="00422488"/>
    <w:rsid w:val="00422583"/>
    <w:rsid w:val="00422761"/>
    <w:rsid w:val="004228B7"/>
    <w:rsid w:val="00422A14"/>
    <w:rsid w:val="00422B62"/>
    <w:rsid w:val="00422C98"/>
    <w:rsid w:val="00422D92"/>
    <w:rsid w:val="00422DD3"/>
    <w:rsid w:val="00423392"/>
    <w:rsid w:val="004236A5"/>
    <w:rsid w:val="004238A8"/>
    <w:rsid w:val="004239BE"/>
    <w:rsid w:val="00424254"/>
    <w:rsid w:val="00424376"/>
    <w:rsid w:val="004243DB"/>
    <w:rsid w:val="0042440E"/>
    <w:rsid w:val="00424A5F"/>
    <w:rsid w:val="00424A7E"/>
    <w:rsid w:val="00424CDD"/>
    <w:rsid w:val="00424DA2"/>
    <w:rsid w:val="0042516B"/>
    <w:rsid w:val="00425280"/>
    <w:rsid w:val="0042586F"/>
    <w:rsid w:val="00425DAC"/>
    <w:rsid w:val="00425F71"/>
    <w:rsid w:val="00425FA3"/>
    <w:rsid w:val="00426035"/>
    <w:rsid w:val="00426038"/>
    <w:rsid w:val="0042648E"/>
    <w:rsid w:val="00426A1E"/>
    <w:rsid w:val="00426B4D"/>
    <w:rsid w:val="00426C4D"/>
    <w:rsid w:val="00427103"/>
    <w:rsid w:val="00427A10"/>
    <w:rsid w:val="00427A3E"/>
    <w:rsid w:val="0043059C"/>
    <w:rsid w:val="00430768"/>
    <w:rsid w:val="00430A08"/>
    <w:rsid w:val="00430AB2"/>
    <w:rsid w:val="00430AC8"/>
    <w:rsid w:val="0043125E"/>
    <w:rsid w:val="0043170D"/>
    <w:rsid w:val="004317AC"/>
    <w:rsid w:val="00431F5B"/>
    <w:rsid w:val="00431F73"/>
    <w:rsid w:val="00432266"/>
    <w:rsid w:val="004325C9"/>
    <w:rsid w:val="00432C23"/>
    <w:rsid w:val="00432D96"/>
    <w:rsid w:val="004332A0"/>
    <w:rsid w:val="00433637"/>
    <w:rsid w:val="004339D0"/>
    <w:rsid w:val="00433A76"/>
    <w:rsid w:val="00433D1C"/>
    <w:rsid w:val="00433F9B"/>
    <w:rsid w:val="0043449A"/>
    <w:rsid w:val="004345E2"/>
    <w:rsid w:val="00434A93"/>
    <w:rsid w:val="00434DC7"/>
    <w:rsid w:val="00434E4B"/>
    <w:rsid w:val="00434EC8"/>
    <w:rsid w:val="004350A7"/>
    <w:rsid w:val="004351DF"/>
    <w:rsid w:val="004351FA"/>
    <w:rsid w:val="0043525F"/>
    <w:rsid w:val="004357D1"/>
    <w:rsid w:val="004358B9"/>
    <w:rsid w:val="00435A75"/>
    <w:rsid w:val="00435CB1"/>
    <w:rsid w:val="00436312"/>
    <w:rsid w:val="0043632D"/>
    <w:rsid w:val="00436333"/>
    <w:rsid w:val="00436339"/>
    <w:rsid w:val="004364C8"/>
    <w:rsid w:val="00436797"/>
    <w:rsid w:val="00436E2F"/>
    <w:rsid w:val="0043707F"/>
    <w:rsid w:val="00437123"/>
    <w:rsid w:val="00437140"/>
    <w:rsid w:val="00437965"/>
    <w:rsid w:val="00437C09"/>
    <w:rsid w:val="00437E7A"/>
    <w:rsid w:val="00440310"/>
    <w:rsid w:val="00440502"/>
    <w:rsid w:val="004405C4"/>
    <w:rsid w:val="004409F4"/>
    <w:rsid w:val="00440C20"/>
    <w:rsid w:val="00440F24"/>
    <w:rsid w:val="00441070"/>
    <w:rsid w:val="004411D2"/>
    <w:rsid w:val="00441B83"/>
    <w:rsid w:val="00442116"/>
    <w:rsid w:val="0044257C"/>
    <w:rsid w:val="0044297D"/>
    <w:rsid w:val="00442A14"/>
    <w:rsid w:val="00442BAD"/>
    <w:rsid w:val="00442BBC"/>
    <w:rsid w:val="00442D99"/>
    <w:rsid w:val="00442F5A"/>
    <w:rsid w:val="00442FB4"/>
    <w:rsid w:val="004430EB"/>
    <w:rsid w:val="004434CF"/>
    <w:rsid w:val="00443A16"/>
    <w:rsid w:val="00443C50"/>
    <w:rsid w:val="00443E4E"/>
    <w:rsid w:val="00444044"/>
    <w:rsid w:val="004443DC"/>
    <w:rsid w:val="004443FC"/>
    <w:rsid w:val="00444419"/>
    <w:rsid w:val="00444739"/>
    <w:rsid w:val="00444978"/>
    <w:rsid w:val="00444DCE"/>
    <w:rsid w:val="00444E79"/>
    <w:rsid w:val="0044559A"/>
    <w:rsid w:val="00445905"/>
    <w:rsid w:val="0044598F"/>
    <w:rsid w:val="00445994"/>
    <w:rsid w:val="004459AC"/>
    <w:rsid w:val="00445B77"/>
    <w:rsid w:val="00445C9C"/>
    <w:rsid w:val="0044612B"/>
    <w:rsid w:val="00446741"/>
    <w:rsid w:val="004467EB"/>
    <w:rsid w:val="00446B63"/>
    <w:rsid w:val="00446D76"/>
    <w:rsid w:val="0044741A"/>
    <w:rsid w:val="00447A07"/>
    <w:rsid w:val="00447FD2"/>
    <w:rsid w:val="00450020"/>
    <w:rsid w:val="004502E9"/>
    <w:rsid w:val="004504B6"/>
    <w:rsid w:val="0045058D"/>
    <w:rsid w:val="0045060A"/>
    <w:rsid w:val="004508C3"/>
    <w:rsid w:val="00450D00"/>
    <w:rsid w:val="00450DE0"/>
    <w:rsid w:val="004511D0"/>
    <w:rsid w:val="0045120F"/>
    <w:rsid w:val="004514BB"/>
    <w:rsid w:val="0045151F"/>
    <w:rsid w:val="00451720"/>
    <w:rsid w:val="00451781"/>
    <w:rsid w:val="004519DB"/>
    <w:rsid w:val="00451CC8"/>
    <w:rsid w:val="00451DE5"/>
    <w:rsid w:val="004521E0"/>
    <w:rsid w:val="004523DD"/>
    <w:rsid w:val="0045250E"/>
    <w:rsid w:val="00452528"/>
    <w:rsid w:val="004526D1"/>
    <w:rsid w:val="004529FB"/>
    <w:rsid w:val="00452F3D"/>
    <w:rsid w:val="00453003"/>
    <w:rsid w:val="0045319C"/>
    <w:rsid w:val="00453429"/>
    <w:rsid w:val="00453905"/>
    <w:rsid w:val="00453BD8"/>
    <w:rsid w:val="00453D15"/>
    <w:rsid w:val="00453FFE"/>
    <w:rsid w:val="0045417F"/>
    <w:rsid w:val="0045491E"/>
    <w:rsid w:val="0045497D"/>
    <w:rsid w:val="00454B0D"/>
    <w:rsid w:val="00454EBE"/>
    <w:rsid w:val="004550F2"/>
    <w:rsid w:val="00455632"/>
    <w:rsid w:val="004557B4"/>
    <w:rsid w:val="00455CDA"/>
    <w:rsid w:val="00455F48"/>
    <w:rsid w:val="0045601B"/>
    <w:rsid w:val="00456383"/>
    <w:rsid w:val="00456845"/>
    <w:rsid w:val="00456AE7"/>
    <w:rsid w:val="00456B07"/>
    <w:rsid w:val="004570BE"/>
    <w:rsid w:val="004573BC"/>
    <w:rsid w:val="004575E2"/>
    <w:rsid w:val="00457656"/>
    <w:rsid w:val="00457816"/>
    <w:rsid w:val="00457852"/>
    <w:rsid w:val="00457A46"/>
    <w:rsid w:val="00457A90"/>
    <w:rsid w:val="00457BB1"/>
    <w:rsid w:val="00457C38"/>
    <w:rsid w:val="00457D3A"/>
    <w:rsid w:val="0046003C"/>
    <w:rsid w:val="004600B8"/>
    <w:rsid w:val="00460447"/>
    <w:rsid w:val="00460A61"/>
    <w:rsid w:val="00460D3A"/>
    <w:rsid w:val="00461054"/>
    <w:rsid w:val="004612C4"/>
    <w:rsid w:val="00461370"/>
    <w:rsid w:val="00461DB2"/>
    <w:rsid w:val="004620A3"/>
    <w:rsid w:val="00462629"/>
    <w:rsid w:val="00462A93"/>
    <w:rsid w:val="00462AAE"/>
    <w:rsid w:val="00462AE4"/>
    <w:rsid w:val="00462C4D"/>
    <w:rsid w:val="00463126"/>
    <w:rsid w:val="00463464"/>
    <w:rsid w:val="00463790"/>
    <w:rsid w:val="004637D7"/>
    <w:rsid w:val="00463853"/>
    <w:rsid w:val="00464004"/>
    <w:rsid w:val="004643B2"/>
    <w:rsid w:val="0046459C"/>
    <w:rsid w:val="004646F8"/>
    <w:rsid w:val="00464936"/>
    <w:rsid w:val="0046532E"/>
    <w:rsid w:val="004656C6"/>
    <w:rsid w:val="00465762"/>
    <w:rsid w:val="00465B9F"/>
    <w:rsid w:val="00465BCD"/>
    <w:rsid w:val="00465ECD"/>
    <w:rsid w:val="0046606D"/>
    <w:rsid w:val="004660E2"/>
    <w:rsid w:val="0046649C"/>
    <w:rsid w:val="00466804"/>
    <w:rsid w:val="00466CCC"/>
    <w:rsid w:val="00466F18"/>
    <w:rsid w:val="00467042"/>
    <w:rsid w:val="00467309"/>
    <w:rsid w:val="004673A6"/>
    <w:rsid w:val="004676B9"/>
    <w:rsid w:val="00467737"/>
    <w:rsid w:val="00467891"/>
    <w:rsid w:val="00467C80"/>
    <w:rsid w:val="004704AD"/>
    <w:rsid w:val="00470770"/>
    <w:rsid w:val="00470784"/>
    <w:rsid w:val="00470C62"/>
    <w:rsid w:val="00470D79"/>
    <w:rsid w:val="00470F26"/>
    <w:rsid w:val="00470F87"/>
    <w:rsid w:val="00470FB6"/>
    <w:rsid w:val="00471357"/>
    <w:rsid w:val="0047140D"/>
    <w:rsid w:val="0047140F"/>
    <w:rsid w:val="00471653"/>
    <w:rsid w:val="00471FAD"/>
    <w:rsid w:val="0047249C"/>
    <w:rsid w:val="00472DFF"/>
    <w:rsid w:val="00472E61"/>
    <w:rsid w:val="00472E9C"/>
    <w:rsid w:val="00472F60"/>
    <w:rsid w:val="004731F7"/>
    <w:rsid w:val="004734FC"/>
    <w:rsid w:val="00473BE3"/>
    <w:rsid w:val="00474185"/>
    <w:rsid w:val="004742BB"/>
    <w:rsid w:val="004742C0"/>
    <w:rsid w:val="004742D9"/>
    <w:rsid w:val="00474659"/>
    <w:rsid w:val="004747B0"/>
    <w:rsid w:val="0047483C"/>
    <w:rsid w:val="00474891"/>
    <w:rsid w:val="00474B79"/>
    <w:rsid w:val="00475044"/>
    <w:rsid w:val="00475113"/>
    <w:rsid w:val="004751F3"/>
    <w:rsid w:val="00475407"/>
    <w:rsid w:val="0047554F"/>
    <w:rsid w:val="00475DC6"/>
    <w:rsid w:val="00475E86"/>
    <w:rsid w:val="00475F4E"/>
    <w:rsid w:val="0047643A"/>
    <w:rsid w:val="00476AB7"/>
    <w:rsid w:val="00476C70"/>
    <w:rsid w:val="00476C7A"/>
    <w:rsid w:val="00476EB4"/>
    <w:rsid w:val="00476FE8"/>
    <w:rsid w:val="00477010"/>
    <w:rsid w:val="004773EA"/>
    <w:rsid w:val="00477774"/>
    <w:rsid w:val="00477938"/>
    <w:rsid w:val="00477B38"/>
    <w:rsid w:val="00477F35"/>
    <w:rsid w:val="00480384"/>
    <w:rsid w:val="00480489"/>
    <w:rsid w:val="0048048B"/>
    <w:rsid w:val="00480D8F"/>
    <w:rsid w:val="0048112D"/>
    <w:rsid w:val="004812C4"/>
    <w:rsid w:val="00481732"/>
    <w:rsid w:val="0048173F"/>
    <w:rsid w:val="00481788"/>
    <w:rsid w:val="004817AC"/>
    <w:rsid w:val="00481DA3"/>
    <w:rsid w:val="0048203E"/>
    <w:rsid w:val="004820A9"/>
    <w:rsid w:val="004826DF"/>
    <w:rsid w:val="00482776"/>
    <w:rsid w:val="004828FE"/>
    <w:rsid w:val="004832B4"/>
    <w:rsid w:val="00483515"/>
    <w:rsid w:val="00483801"/>
    <w:rsid w:val="0048380B"/>
    <w:rsid w:val="0048396A"/>
    <w:rsid w:val="00483FC6"/>
    <w:rsid w:val="00484355"/>
    <w:rsid w:val="0048445D"/>
    <w:rsid w:val="0048461A"/>
    <w:rsid w:val="004846E3"/>
    <w:rsid w:val="004848B0"/>
    <w:rsid w:val="00484D4A"/>
    <w:rsid w:val="00484EF7"/>
    <w:rsid w:val="0048507F"/>
    <w:rsid w:val="004851F0"/>
    <w:rsid w:val="00485423"/>
    <w:rsid w:val="004858CA"/>
    <w:rsid w:val="00485D1A"/>
    <w:rsid w:val="00486178"/>
    <w:rsid w:val="00487498"/>
    <w:rsid w:val="00487DA4"/>
    <w:rsid w:val="00487E3A"/>
    <w:rsid w:val="00490260"/>
    <w:rsid w:val="00490879"/>
    <w:rsid w:val="00490B91"/>
    <w:rsid w:val="00490D60"/>
    <w:rsid w:val="004912BF"/>
    <w:rsid w:val="0049130A"/>
    <w:rsid w:val="00491603"/>
    <w:rsid w:val="004918EB"/>
    <w:rsid w:val="0049195A"/>
    <w:rsid w:val="004919ED"/>
    <w:rsid w:val="00491B53"/>
    <w:rsid w:val="00491B88"/>
    <w:rsid w:val="00491E9C"/>
    <w:rsid w:val="00492536"/>
    <w:rsid w:val="00492687"/>
    <w:rsid w:val="00492B70"/>
    <w:rsid w:val="00492BC6"/>
    <w:rsid w:val="00492E1C"/>
    <w:rsid w:val="00493051"/>
    <w:rsid w:val="004936D2"/>
    <w:rsid w:val="004938C1"/>
    <w:rsid w:val="004940BA"/>
    <w:rsid w:val="004943F9"/>
    <w:rsid w:val="00494575"/>
    <w:rsid w:val="0049483B"/>
    <w:rsid w:val="00494FC9"/>
    <w:rsid w:val="00495280"/>
    <w:rsid w:val="00495613"/>
    <w:rsid w:val="00495852"/>
    <w:rsid w:val="004958C2"/>
    <w:rsid w:val="00495981"/>
    <w:rsid w:val="00496118"/>
    <w:rsid w:val="004962B5"/>
    <w:rsid w:val="004962F9"/>
    <w:rsid w:val="004965C0"/>
    <w:rsid w:val="00496967"/>
    <w:rsid w:val="00496A64"/>
    <w:rsid w:val="00496AAF"/>
    <w:rsid w:val="00496FED"/>
    <w:rsid w:val="004970E7"/>
    <w:rsid w:val="00497329"/>
    <w:rsid w:val="004973A6"/>
    <w:rsid w:val="00497CD7"/>
    <w:rsid w:val="00497E6A"/>
    <w:rsid w:val="004A0173"/>
    <w:rsid w:val="004A02B7"/>
    <w:rsid w:val="004A03AF"/>
    <w:rsid w:val="004A05F5"/>
    <w:rsid w:val="004A0738"/>
    <w:rsid w:val="004A07EA"/>
    <w:rsid w:val="004A090C"/>
    <w:rsid w:val="004A0A17"/>
    <w:rsid w:val="004A0D6D"/>
    <w:rsid w:val="004A1116"/>
    <w:rsid w:val="004A14F3"/>
    <w:rsid w:val="004A15AF"/>
    <w:rsid w:val="004A1627"/>
    <w:rsid w:val="004A19AC"/>
    <w:rsid w:val="004A1BFF"/>
    <w:rsid w:val="004A1CB7"/>
    <w:rsid w:val="004A1E85"/>
    <w:rsid w:val="004A20A7"/>
    <w:rsid w:val="004A2182"/>
    <w:rsid w:val="004A21C3"/>
    <w:rsid w:val="004A21F1"/>
    <w:rsid w:val="004A2215"/>
    <w:rsid w:val="004A23A5"/>
    <w:rsid w:val="004A2506"/>
    <w:rsid w:val="004A262E"/>
    <w:rsid w:val="004A291E"/>
    <w:rsid w:val="004A2979"/>
    <w:rsid w:val="004A2A49"/>
    <w:rsid w:val="004A2AD9"/>
    <w:rsid w:val="004A2BE1"/>
    <w:rsid w:val="004A2EF0"/>
    <w:rsid w:val="004A35E6"/>
    <w:rsid w:val="004A3695"/>
    <w:rsid w:val="004A4058"/>
    <w:rsid w:val="004A41A9"/>
    <w:rsid w:val="004A44EA"/>
    <w:rsid w:val="004A4AA3"/>
    <w:rsid w:val="004A4C22"/>
    <w:rsid w:val="004A4C89"/>
    <w:rsid w:val="004A4DEE"/>
    <w:rsid w:val="004A51C9"/>
    <w:rsid w:val="004A52C4"/>
    <w:rsid w:val="004A546E"/>
    <w:rsid w:val="004A55AD"/>
    <w:rsid w:val="004A59F3"/>
    <w:rsid w:val="004A5B59"/>
    <w:rsid w:val="004A5DAA"/>
    <w:rsid w:val="004A60B6"/>
    <w:rsid w:val="004A6272"/>
    <w:rsid w:val="004A658E"/>
    <w:rsid w:val="004A667B"/>
    <w:rsid w:val="004A68A8"/>
    <w:rsid w:val="004A7686"/>
    <w:rsid w:val="004A77CD"/>
    <w:rsid w:val="004A7B62"/>
    <w:rsid w:val="004A7CA4"/>
    <w:rsid w:val="004A7F19"/>
    <w:rsid w:val="004A7F37"/>
    <w:rsid w:val="004ABDA6"/>
    <w:rsid w:val="004B03EE"/>
    <w:rsid w:val="004B043F"/>
    <w:rsid w:val="004B079C"/>
    <w:rsid w:val="004B0BEB"/>
    <w:rsid w:val="004B0EFB"/>
    <w:rsid w:val="004B1230"/>
    <w:rsid w:val="004B16B3"/>
    <w:rsid w:val="004B183A"/>
    <w:rsid w:val="004B1E91"/>
    <w:rsid w:val="004B1F74"/>
    <w:rsid w:val="004B2281"/>
    <w:rsid w:val="004B258B"/>
    <w:rsid w:val="004B25B3"/>
    <w:rsid w:val="004B2721"/>
    <w:rsid w:val="004B2939"/>
    <w:rsid w:val="004B2984"/>
    <w:rsid w:val="004B299D"/>
    <w:rsid w:val="004B31C0"/>
    <w:rsid w:val="004B346B"/>
    <w:rsid w:val="004B3594"/>
    <w:rsid w:val="004B36F9"/>
    <w:rsid w:val="004B3AA2"/>
    <w:rsid w:val="004B3B4A"/>
    <w:rsid w:val="004B4419"/>
    <w:rsid w:val="004B4486"/>
    <w:rsid w:val="004B4823"/>
    <w:rsid w:val="004B48A1"/>
    <w:rsid w:val="004B490B"/>
    <w:rsid w:val="004B57E7"/>
    <w:rsid w:val="004B5A46"/>
    <w:rsid w:val="004B6325"/>
    <w:rsid w:val="004B646A"/>
    <w:rsid w:val="004B6599"/>
    <w:rsid w:val="004B66BC"/>
    <w:rsid w:val="004B6844"/>
    <w:rsid w:val="004B68F3"/>
    <w:rsid w:val="004B69AD"/>
    <w:rsid w:val="004B6BA6"/>
    <w:rsid w:val="004B6F5B"/>
    <w:rsid w:val="004B705E"/>
    <w:rsid w:val="004B7102"/>
    <w:rsid w:val="004B72E2"/>
    <w:rsid w:val="004B7368"/>
    <w:rsid w:val="004B7442"/>
    <w:rsid w:val="004B758C"/>
    <w:rsid w:val="004B7628"/>
    <w:rsid w:val="004B769B"/>
    <w:rsid w:val="004B76B0"/>
    <w:rsid w:val="004B77F2"/>
    <w:rsid w:val="004B787E"/>
    <w:rsid w:val="004B7E43"/>
    <w:rsid w:val="004C01FD"/>
    <w:rsid w:val="004C0586"/>
    <w:rsid w:val="004C0938"/>
    <w:rsid w:val="004C0B89"/>
    <w:rsid w:val="004C0BA4"/>
    <w:rsid w:val="004C0C76"/>
    <w:rsid w:val="004C0DA5"/>
    <w:rsid w:val="004C1342"/>
    <w:rsid w:val="004C16D9"/>
    <w:rsid w:val="004C1870"/>
    <w:rsid w:val="004C18A6"/>
    <w:rsid w:val="004C1D2E"/>
    <w:rsid w:val="004C1FAF"/>
    <w:rsid w:val="004C20DE"/>
    <w:rsid w:val="004C2799"/>
    <w:rsid w:val="004C29B3"/>
    <w:rsid w:val="004C2A6A"/>
    <w:rsid w:val="004C2B6D"/>
    <w:rsid w:val="004C2CC9"/>
    <w:rsid w:val="004C32AD"/>
    <w:rsid w:val="004C36BC"/>
    <w:rsid w:val="004C36D0"/>
    <w:rsid w:val="004C3ACB"/>
    <w:rsid w:val="004C3B04"/>
    <w:rsid w:val="004C3BF7"/>
    <w:rsid w:val="004C3CA4"/>
    <w:rsid w:val="004C42D8"/>
    <w:rsid w:val="004C4312"/>
    <w:rsid w:val="004C43BF"/>
    <w:rsid w:val="004C4549"/>
    <w:rsid w:val="004C4666"/>
    <w:rsid w:val="004C47DA"/>
    <w:rsid w:val="004C4881"/>
    <w:rsid w:val="004C49B3"/>
    <w:rsid w:val="004C4E5B"/>
    <w:rsid w:val="004C5341"/>
    <w:rsid w:val="004C5366"/>
    <w:rsid w:val="004C53C7"/>
    <w:rsid w:val="004C5C52"/>
    <w:rsid w:val="004C5D4E"/>
    <w:rsid w:val="004C5E62"/>
    <w:rsid w:val="004C6643"/>
    <w:rsid w:val="004C6CC4"/>
    <w:rsid w:val="004C6F21"/>
    <w:rsid w:val="004C6FEE"/>
    <w:rsid w:val="004C7060"/>
    <w:rsid w:val="004C7202"/>
    <w:rsid w:val="004C7590"/>
    <w:rsid w:val="004C782A"/>
    <w:rsid w:val="004C7AF0"/>
    <w:rsid w:val="004C7D8A"/>
    <w:rsid w:val="004C7F8B"/>
    <w:rsid w:val="004D07C4"/>
    <w:rsid w:val="004D0860"/>
    <w:rsid w:val="004D090C"/>
    <w:rsid w:val="004D0A9A"/>
    <w:rsid w:val="004D1215"/>
    <w:rsid w:val="004D1273"/>
    <w:rsid w:val="004D1290"/>
    <w:rsid w:val="004D1593"/>
    <w:rsid w:val="004D1BC6"/>
    <w:rsid w:val="004D1C2C"/>
    <w:rsid w:val="004D1D94"/>
    <w:rsid w:val="004D1DB0"/>
    <w:rsid w:val="004D1E60"/>
    <w:rsid w:val="004D2054"/>
    <w:rsid w:val="004D2154"/>
    <w:rsid w:val="004D228A"/>
    <w:rsid w:val="004D22E7"/>
    <w:rsid w:val="004D231C"/>
    <w:rsid w:val="004D2340"/>
    <w:rsid w:val="004D237E"/>
    <w:rsid w:val="004D239E"/>
    <w:rsid w:val="004D2439"/>
    <w:rsid w:val="004D255D"/>
    <w:rsid w:val="004D26B0"/>
    <w:rsid w:val="004D27FC"/>
    <w:rsid w:val="004D29EF"/>
    <w:rsid w:val="004D2DFE"/>
    <w:rsid w:val="004D2F0F"/>
    <w:rsid w:val="004D31A8"/>
    <w:rsid w:val="004D3910"/>
    <w:rsid w:val="004D3A29"/>
    <w:rsid w:val="004D3B85"/>
    <w:rsid w:val="004D43B5"/>
    <w:rsid w:val="004D47EF"/>
    <w:rsid w:val="004D4A46"/>
    <w:rsid w:val="004D4C7C"/>
    <w:rsid w:val="004D4FEC"/>
    <w:rsid w:val="004D50D9"/>
    <w:rsid w:val="004D55CD"/>
    <w:rsid w:val="004D57EB"/>
    <w:rsid w:val="004D5C50"/>
    <w:rsid w:val="004D5D33"/>
    <w:rsid w:val="004D6A55"/>
    <w:rsid w:val="004D6AC6"/>
    <w:rsid w:val="004D6B9E"/>
    <w:rsid w:val="004D7007"/>
    <w:rsid w:val="004D7462"/>
    <w:rsid w:val="004D755D"/>
    <w:rsid w:val="004D7570"/>
    <w:rsid w:val="004D79AF"/>
    <w:rsid w:val="004D7B9D"/>
    <w:rsid w:val="004D7CCB"/>
    <w:rsid w:val="004D7E55"/>
    <w:rsid w:val="004E093C"/>
    <w:rsid w:val="004E0B21"/>
    <w:rsid w:val="004E0D06"/>
    <w:rsid w:val="004E0F5F"/>
    <w:rsid w:val="004E1020"/>
    <w:rsid w:val="004E1080"/>
    <w:rsid w:val="004E1867"/>
    <w:rsid w:val="004E186A"/>
    <w:rsid w:val="004E20A9"/>
    <w:rsid w:val="004E244A"/>
    <w:rsid w:val="004E2468"/>
    <w:rsid w:val="004E25DF"/>
    <w:rsid w:val="004E26F4"/>
    <w:rsid w:val="004E283B"/>
    <w:rsid w:val="004E2A9E"/>
    <w:rsid w:val="004E2AB8"/>
    <w:rsid w:val="004E2DC6"/>
    <w:rsid w:val="004E2DE8"/>
    <w:rsid w:val="004E2F32"/>
    <w:rsid w:val="004E3020"/>
    <w:rsid w:val="004E30A4"/>
    <w:rsid w:val="004E3347"/>
    <w:rsid w:val="004E37EE"/>
    <w:rsid w:val="004E383E"/>
    <w:rsid w:val="004E3D21"/>
    <w:rsid w:val="004E3DAF"/>
    <w:rsid w:val="004E3EC5"/>
    <w:rsid w:val="004E409F"/>
    <w:rsid w:val="004E412A"/>
    <w:rsid w:val="004E43BE"/>
    <w:rsid w:val="004E4478"/>
    <w:rsid w:val="004E456E"/>
    <w:rsid w:val="004E45CD"/>
    <w:rsid w:val="004E463F"/>
    <w:rsid w:val="004E4C6D"/>
    <w:rsid w:val="004E4D21"/>
    <w:rsid w:val="004E4D38"/>
    <w:rsid w:val="004E4D3A"/>
    <w:rsid w:val="004E4F48"/>
    <w:rsid w:val="004E5166"/>
    <w:rsid w:val="004E5295"/>
    <w:rsid w:val="004E52E7"/>
    <w:rsid w:val="004E5331"/>
    <w:rsid w:val="004E543C"/>
    <w:rsid w:val="004E56B3"/>
    <w:rsid w:val="004E59F0"/>
    <w:rsid w:val="004E5BEA"/>
    <w:rsid w:val="004E5E8B"/>
    <w:rsid w:val="004E67ED"/>
    <w:rsid w:val="004E6820"/>
    <w:rsid w:val="004E7691"/>
    <w:rsid w:val="004E7789"/>
    <w:rsid w:val="004E77BE"/>
    <w:rsid w:val="004E79DE"/>
    <w:rsid w:val="004E7A8F"/>
    <w:rsid w:val="004E7C83"/>
    <w:rsid w:val="004F05B6"/>
    <w:rsid w:val="004F086C"/>
    <w:rsid w:val="004F0ABE"/>
    <w:rsid w:val="004F0D6D"/>
    <w:rsid w:val="004F1027"/>
    <w:rsid w:val="004F15AC"/>
    <w:rsid w:val="004F1674"/>
    <w:rsid w:val="004F1D1D"/>
    <w:rsid w:val="004F1FB1"/>
    <w:rsid w:val="004F222F"/>
    <w:rsid w:val="004F22CF"/>
    <w:rsid w:val="004F239F"/>
    <w:rsid w:val="004F23B0"/>
    <w:rsid w:val="004F2477"/>
    <w:rsid w:val="004F24AD"/>
    <w:rsid w:val="004F2F37"/>
    <w:rsid w:val="004F35DD"/>
    <w:rsid w:val="004F367D"/>
    <w:rsid w:val="004F3791"/>
    <w:rsid w:val="004F3BB6"/>
    <w:rsid w:val="004F4042"/>
    <w:rsid w:val="004F420A"/>
    <w:rsid w:val="004F4620"/>
    <w:rsid w:val="004F47B4"/>
    <w:rsid w:val="004F48E5"/>
    <w:rsid w:val="004F4F3D"/>
    <w:rsid w:val="004F4F81"/>
    <w:rsid w:val="004F57A4"/>
    <w:rsid w:val="004F5A08"/>
    <w:rsid w:val="004F5CE2"/>
    <w:rsid w:val="004F63FF"/>
    <w:rsid w:val="004F64B2"/>
    <w:rsid w:val="004F6614"/>
    <w:rsid w:val="004F66FF"/>
    <w:rsid w:val="004F6779"/>
    <w:rsid w:val="004F6BE5"/>
    <w:rsid w:val="004F6C84"/>
    <w:rsid w:val="004F6F44"/>
    <w:rsid w:val="004F7351"/>
    <w:rsid w:val="004F7383"/>
    <w:rsid w:val="004F7425"/>
    <w:rsid w:val="004F794B"/>
    <w:rsid w:val="004F7D95"/>
    <w:rsid w:val="004F7FFA"/>
    <w:rsid w:val="00500476"/>
    <w:rsid w:val="0050067F"/>
    <w:rsid w:val="005007AA"/>
    <w:rsid w:val="005009B4"/>
    <w:rsid w:val="005009FA"/>
    <w:rsid w:val="00500D90"/>
    <w:rsid w:val="00500F1C"/>
    <w:rsid w:val="0050119E"/>
    <w:rsid w:val="00501352"/>
    <w:rsid w:val="0050167F"/>
    <w:rsid w:val="00501AF0"/>
    <w:rsid w:val="00501C69"/>
    <w:rsid w:val="00501F33"/>
    <w:rsid w:val="005024FC"/>
    <w:rsid w:val="00502A71"/>
    <w:rsid w:val="00502DC2"/>
    <w:rsid w:val="00502F02"/>
    <w:rsid w:val="00503051"/>
    <w:rsid w:val="0050312C"/>
    <w:rsid w:val="005031D8"/>
    <w:rsid w:val="0050327E"/>
    <w:rsid w:val="0050336E"/>
    <w:rsid w:val="005033B5"/>
    <w:rsid w:val="005033CE"/>
    <w:rsid w:val="0050391D"/>
    <w:rsid w:val="00504116"/>
    <w:rsid w:val="00504227"/>
    <w:rsid w:val="00504354"/>
    <w:rsid w:val="005044F5"/>
    <w:rsid w:val="0050473B"/>
    <w:rsid w:val="00504778"/>
    <w:rsid w:val="00504EFF"/>
    <w:rsid w:val="0050517F"/>
    <w:rsid w:val="005051DD"/>
    <w:rsid w:val="00505517"/>
    <w:rsid w:val="0050647F"/>
    <w:rsid w:val="00506800"/>
    <w:rsid w:val="00506BC1"/>
    <w:rsid w:val="00506D66"/>
    <w:rsid w:val="00506F63"/>
    <w:rsid w:val="00507108"/>
    <w:rsid w:val="005073D3"/>
    <w:rsid w:val="005075D7"/>
    <w:rsid w:val="005079D1"/>
    <w:rsid w:val="0051008C"/>
    <w:rsid w:val="005101FA"/>
    <w:rsid w:val="00510B1B"/>
    <w:rsid w:val="00510C21"/>
    <w:rsid w:val="0051109D"/>
    <w:rsid w:val="005114D3"/>
    <w:rsid w:val="005123C7"/>
    <w:rsid w:val="00512451"/>
    <w:rsid w:val="00512500"/>
    <w:rsid w:val="00512C16"/>
    <w:rsid w:val="00512C76"/>
    <w:rsid w:val="00513122"/>
    <w:rsid w:val="0051335D"/>
    <w:rsid w:val="0051338E"/>
    <w:rsid w:val="005133CE"/>
    <w:rsid w:val="005136BF"/>
    <w:rsid w:val="0051376B"/>
    <w:rsid w:val="00513DDE"/>
    <w:rsid w:val="00513EAF"/>
    <w:rsid w:val="00514268"/>
    <w:rsid w:val="00514354"/>
    <w:rsid w:val="005144E2"/>
    <w:rsid w:val="0051457B"/>
    <w:rsid w:val="00514CF1"/>
    <w:rsid w:val="00514D5C"/>
    <w:rsid w:val="00514DD5"/>
    <w:rsid w:val="00514E9B"/>
    <w:rsid w:val="00514F2D"/>
    <w:rsid w:val="00515102"/>
    <w:rsid w:val="0051547B"/>
    <w:rsid w:val="0051561A"/>
    <w:rsid w:val="00515DAC"/>
    <w:rsid w:val="00515F4D"/>
    <w:rsid w:val="005164C6"/>
    <w:rsid w:val="005176EC"/>
    <w:rsid w:val="00517882"/>
    <w:rsid w:val="00517AB4"/>
    <w:rsid w:val="00517ADD"/>
    <w:rsid w:val="00517AF5"/>
    <w:rsid w:val="00520250"/>
    <w:rsid w:val="0052050F"/>
    <w:rsid w:val="00520789"/>
    <w:rsid w:val="00520883"/>
    <w:rsid w:val="005208EE"/>
    <w:rsid w:val="00520AA3"/>
    <w:rsid w:val="00520C81"/>
    <w:rsid w:val="00520DD1"/>
    <w:rsid w:val="00520F0B"/>
    <w:rsid w:val="00521801"/>
    <w:rsid w:val="005219D1"/>
    <w:rsid w:val="00521B79"/>
    <w:rsid w:val="00521D82"/>
    <w:rsid w:val="00521EEC"/>
    <w:rsid w:val="00521FD3"/>
    <w:rsid w:val="00522127"/>
    <w:rsid w:val="005221D3"/>
    <w:rsid w:val="00522332"/>
    <w:rsid w:val="0052278E"/>
    <w:rsid w:val="00522A4A"/>
    <w:rsid w:val="00522A89"/>
    <w:rsid w:val="00522E6C"/>
    <w:rsid w:val="00522E70"/>
    <w:rsid w:val="00522F63"/>
    <w:rsid w:val="00522F8B"/>
    <w:rsid w:val="0052335D"/>
    <w:rsid w:val="00523382"/>
    <w:rsid w:val="0052350D"/>
    <w:rsid w:val="00523690"/>
    <w:rsid w:val="005238BD"/>
    <w:rsid w:val="00523C6D"/>
    <w:rsid w:val="00523CF8"/>
    <w:rsid w:val="00523D27"/>
    <w:rsid w:val="005241BA"/>
    <w:rsid w:val="005245E3"/>
    <w:rsid w:val="00524D70"/>
    <w:rsid w:val="00525172"/>
    <w:rsid w:val="00525326"/>
    <w:rsid w:val="005253D8"/>
    <w:rsid w:val="0052569D"/>
    <w:rsid w:val="00525F3E"/>
    <w:rsid w:val="00526305"/>
    <w:rsid w:val="00526690"/>
    <w:rsid w:val="005269CF"/>
    <w:rsid w:val="00526F9D"/>
    <w:rsid w:val="005272C6"/>
    <w:rsid w:val="0052737B"/>
    <w:rsid w:val="00527381"/>
    <w:rsid w:val="00527406"/>
    <w:rsid w:val="005278EB"/>
    <w:rsid w:val="00527A7B"/>
    <w:rsid w:val="00527D61"/>
    <w:rsid w:val="005300FA"/>
    <w:rsid w:val="005301C1"/>
    <w:rsid w:val="0053044D"/>
    <w:rsid w:val="005306FA"/>
    <w:rsid w:val="00530C99"/>
    <w:rsid w:val="00530CEB"/>
    <w:rsid w:val="00530F4F"/>
    <w:rsid w:val="00530F53"/>
    <w:rsid w:val="00530FEF"/>
    <w:rsid w:val="00530FFD"/>
    <w:rsid w:val="00531140"/>
    <w:rsid w:val="005314CA"/>
    <w:rsid w:val="00531AED"/>
    <w:rsid w:val="00531B2B"/>
    <w:rsid w:val="00531B55"/>
    <w:rsid w:val="00531E8B"/>
    <w:rsid w:val="00531F8D"/>
    <w:rsid w:val="005320A4"/>
    <w:rsid w:val="0053263C"/>
    <w:rsid w:val="005326F6"/>
    <w:rsid w:val="00532BE7"/>
    <w:rsid w:val="00532C17"/>
    <w:rsid w:val="00532EF7"/>
    <w:rsid w:val="00533149"/>
    <w:rsid w:val="0053352B"/>
    <w:rsid w:val="00533557"/>
    <w:rsid w:val="0053380F"/>
    <w:rsid w:val="00533B35"/>
    <w:rsid w:val="00533B8E"/>
    <w:rsid w:val="00533DEA"/>
    <w:rsid w:val="00533E70"/>
    <w:rsid w:val="005341DB"/>
    <w:rsid w:val="00534353"/>
    <w:rsid w:val="005349C8"/>
    <w:rsid w:val="005349F3"/>
    <w:rsid w:val="00534AA1"/>
    <w:rsid w:val="00534CEC"/>
    <w:rsid w:val="005353BF"/>
    <w:rsid w:val="005355A2"/>
    <w:rsid w:val="00535866"/>
    <w:rsid w:val="005359BF"/>
    <w:rsid w:val="00535A4B"/>
    <w:rsid w:val="00535B27"/>
    <w:rsid w:val="00535C76"/>
    <w:rsid w:val="00535FED"/>
    <w:rsid w:val="005360C3"/>
    <w:rsid w:val="00536169"/>
    <w:rsid w:val="00536172"/>
    <w:rsid w:val="00536428"/>
    <w:rsid w:val="00536485"/>
    <w:rsid w:val="0053654A"/>
    <w:rsid w:val="00536689"/>
    <w:rsid w:val="00536A7A"/>
    <w:rsid w:val="00536ACF"/>
    <w:rsid w:val="00536BC4"/>
    <w:rsid w:val="00536BE2"/>
    <w:rsid w:val="00536C49"/>
    <w:rsid w:val="00536E0C"/>
    <w:rsid w:val="00537061"/>
    <w:rsid w:val="005370D9"/>
    <w:rsid w:val="0053750B"/>
    <w:rsid w:val="0053760D"/>
    <w:rsid w:val="00537EBF"/>
    <w:rsid w:val="005401DE"/>
    <w:rsid w:val="00540569"/>
    <w:rsid w:val="00540697"/>
    <w:rsid w:val="00540A62"/>
    <w:rsid w:val="00540F44"/>
    <w:rsid w:val="00540F81"/>
    <w:rsid w:val="0054121C"/>
    <w:rsid w:val="005417E7"/>
    <w:rsid w:val="00541A08"/>
    <w:rsid w:val="00541CBD"/>
    <w:rsid w:val="00541F6C"/>
    <w:rsid w:val="00542005"/>
    <w:rsid w:val="0054246D"/>
    <w:rsid w:val="00542CAC"/>
    <w:rsid w:val="00542D1C"/>
    <w:rsid w:val="00542E60"/>
    <w:rsid w:val="00542F13"/>
    <w:rsid w:val="00543002"/>
    <w:rsid w:val="0054306C"/>
    <w:rsid w:val="00543072"/>
    <w:rsid w:val="00543271"/>
    <w:rsid w:val="0054392A"/>
    <w:rsid w:val="00543C40"/>
    <w:rsid w:val="00543E01"/>
    <w:rsid w:val="00543E24"/>
    <w:rsid w:val="00543E91"/>
    <w:rsid w:val="00544048"/>
    <w:rsid w:val="0054409D"/>
    <w:rsid w:val="005440C5"/>
    <w:rsid w:val="00544346"/>
    <w:rsid w:val="005446BD"/>
    <w:rsid w:val="00544AC8"/>
    <w:rsid w:val="00544B7E"/>
    <w:rsid w:val="00544BB0"/>
    <w:rsid w:val="0054515F"/>
    <w:rsid w:val="0054518C"/>
    <w:rsid w:val="00545239"/>
    <w:rsid w:val="00545291"/>
    <w:rsid w:val="00545364"/>
    <w:rsid w:val="005455CD"/>
    <w:rsid w:val="00545690"/>
    <w:rsid w:val="00545B31"/>
    <w:rsid w:val="00546234"/>
    <w:rsid w:val="0054663A"/>
    <w:rsid w:val="005467B8"/>
    <w:rsid w:val="00546AE1"/>
    <w:rsid w:val="0054700C"/>
    <w:rsid w:val="00547033"/>
    <w:rsid w:val="00547882"/>
    <w:rsid w:val="00547893"/>
    <w:rsid w:val="00547AD0"/>
    <w:rsid w:val="00547FFB"/>
    <w:rsid w:val="00550054"/>
    <w:rsid w:val="00550407"/>
    <w:rsid w:val="0055056B"/>
    <w:rsid w:val="00550590"/>
    <w:rsid w:val="00550631"/>
    <w:rsid w:val="00550A11"/>
    <w:rsid w:val="00550F7E"/>
    <w:rsid w:val="00551311"/>
    <w:rsid w:val="00551361"/>
    <w:rsid w:val="00551485"/>
    <w:rsid w:val="005514D9"/>
    <w:rsid w:val="005519C5"/>
    <w:rsid w:val="00551B05"/>
    <w:rsid w:val="00551BAF"/>
    <w:rsid w:val="0055234A"/>
    <w:rsid w:val="00552B03"/>
    <w:rsid w:val="00552BB5"/>
    <w:rsid w:val="00552BD4"/>
    <w:rsid w:val="00552C83"/>
    <w:rsid w:val="00552DB4"/>
    <w:rsid w:val="00553052"/>
    <w:rsid w:val="00553813"/>
    <w:rsid w:val="00553A6E"/>
    <w:rsid w:val="00553C2D"/>
    <w:rsid w:val="00553C62"/>
    <w:rsid w:val="00553C81"/>
    <w:rsid w:val="00553E89"/>
    <w:rsid w:val="00553FBF"/>
    <w:rsid w:val="0055439F"/>
    <w:rsid w:val="005544CD"/>
    <w:rsid w:val="00554642"/>
    <w:rsid w:val="0055467A"/>
    <w:rsid w:val="00554813"/>
    <w:rsid w:val="00554A2E"/>
    <w:rsid w:val="00554B97"/>
    <w:rsid w:val="00554D51"/>
    <w:rsid w:val="005559A1"/>
    <w:rsid w:val="005559E3"/>
    <w:rsid w:val="00555B76"/>
    <w:rsid w:val="00556396"/>
    <w:rsid w:val="005564AB"/>
    <w:rsid w:val="0055652A"/>
    <w:rsid w:val="00556748"/>
    <w:rsid w:val="00556851"/>
    <w:rsid w:val="00556F4A"/>
    <w:rsid w:val="0055719E"/>
    <w:rsid w:val="005572CE"/>
    <w:rsid w:val="005574C4"/>
    <w:rsid w:val="00557558"/>
    <w:rsid w:val="00557736"/>
    <w:rsid w:val="00557763"/>
    <w:rsid w:val="00557982"/>
    <w:rsid w:val="00557A67"/>
    <w:rsid w:val="0056008D"/>
    <w:rsid w:val="0056074D"/>
    <w:rsid w:val="005608C1"/>
    <w:rsid w:val="00560C25"/>
    <w:rsid w:val="00560CA0"/>
    <w:rsid w:val="00560D4A"/>
    <w:rsid w:val="00560DBE"/>
    <w:rsid w:val="00560DF7"/>
    <w:rsid w:val="005610E4"/>
    <w:rsid w:val="00561379"/>
    <w:rsid w:val="005615F5"/>
    <w:rsid w:val="0056198A"/>
    <w:rsid w:val="00561B4C"/>
    <w:rsid w:val="00561CB3"/>
    <w:rsid w:val="00561DC1"/>
    <w:rsid w:val="0056233C"/>
    <w:rsid w:val="00562396"/>
    <w:rsid w:val="0056274D"/>
    <w:rsid w:val="0056294E"/>
    <w:rsid w:val="005629A6"/>
    <w:rsid w:val="00562B6A"/>
    <w:rsid w:val="00562CE7"/>
    <w:rsid w:val="00562EF4"/>
    <w:rsid w:val="005635C8"/>
    <w:rsid w:val="0056378E"/>
    <w:rsid w:val="00563FC9"/>
    <w:rsid w:val="0056580A"/>
    <w:rsid w:val="00565D95"/>
    <w:rsid w:val="00565FB0"/>
    <w:rsid w:val="00565FB1"/>
    <w:rsid w:val="00566A5A"/>
    <w:rsid w:val="00566CC3"/>
    <w:rsid w:val="00566F42"/>
    <w:rsid w:val="005676C4"/>
    <w:rsid w:val="00567A46"/>
    <w:rsid w:val="00567AE0"/>
    <w:rsid w:val="00567CD9"/>
    <w:rsid w:val="00567E4D"/>
    <w:rsid w:val="00570057"/>
    <w:rsid w:val="005702C6"/>
    <w:rsid w:val="005704EB"/>
    <w:rsid w:val="005711C9"/>
    <w:rsid w:val="00571290"/>
    <w:rsid w:val="005714EE"/>
    <w:rsid w:val="00571D93"/>
    <w:rsid w:val="005722B9"/>
    <w:rsid w:val="0057238C"/>
    <w:rsid w:val="00572733"/>
    <w:rsid w:val="00572E28"/>
    <w:rsid w:val="005730D1"/>
    <w:rsid w:val="005734B0"/>
    <w:rsid w:val="005736BB"/>
    <w:rsid w:val="00573881"/>
    <w:rsid w:val="00574012"/>
    <w:rsid w:val="00574088"/>
    <w:rsid w:val="00574985"/>
    <w:rsid w:val="00574A50"/>
    <w:rsid w:val="00574C71"/>
    <w:rsid w:val="00574CE1"/>
    <w:rsid w:val="00574D24"/>
    <w:rsid w:val="00574D98"/>
    <w:rsid w:val="00574F83"/>
    <w:rsid w:val="00575007"/>
    <w:rsid w:val="0057515C"/>
    <w:rsid w:val="00575586"/>
    <w:rsid w:val="00575727"/>
    <w:rsid w:val="005757E6"/>
    <w:rsid w:val="005758D7"/>
    <w:rsid w:val="00575E12"/>
    <w:rsid w:val="00575E40"/>
    <w:rsid w:val="005762E5"/>
    <w:rsid w:val="00576618"/>
    <w:rsid w:val="00576CB5"/>
    <w:rsid w:val="00576EA6"/>
    <w:rsid w:val="005774A4"/>
    <w:rsid w:val="005776A6"/>
    <w:rsid w:val="00577953"/>
    <w:rsid w:val="00577C33"/>
    <w:rsid w:val="00577F49"/>
    <w:rsid w:val="00577F65"/>
    <w:rsid w:val="0058083A"/>
    <w:rsid w:val="0058091D"/>
    <w:rsid w:val="00580B48"/>
    <w:rsid w:val="00581621"/>
    <w:rsid w:val="00581AF2"/>
    <w:rsid w:val="00581C72"/>
    <w:rsid w:val="00581E4F"/>
    <w:rsid w:val="00582215"/>
    <w:rsid w:val="00582354"/>
    <w:rsid w:val="005824D0"/>
    <w:rsid w:val="005824DD"/>
    <w:rsid w:val="00582590"/>
    <w:rsid w:val="00582714"/>
    <w:rsid w:val="005828BF"/>
    <w:rsid w:val="00582F6C"/>
    <w:rsid w:val="005835CA"/>
    <w:rsid w:val="005839FF"/>
    <w:rsid w:val="00583D8B"/>
    <w:rsid w:val="005840E5"/>
    <w:rsid w:val="005840EB"/>
    <w:rsid w:val="005843C3"/>
    <w:rsid w:val="00584543"/>
    <w:rsid w:val="005846F8"/>
    <w:rsid w:val="0058476B"/>
    <w:rsid w:val="00584A29"/>
    <w:rsid w:val="00584C8B"/>
    <w:rsid w:val="005850BF"/>
    <w:rsid w:val="00585476"/>
    <w:rsid w:val="005854E3"/>
    <w:rsid w:val="005856AC"/>
    <w:rsid w:val="005857F0"/>
    <w:rsid w:val="00585942"/>
    <w:rsid w:val="00585BA9"/>
    <w:rsid w:val="00585D4D"/>
    <w:rsid w:val="00585D6C"/>
    <w:rsid w:val="00585DD0"/>
    <w:rsid w:val="00585E1A"/>
    <w:rsid w:val="00586240"/>
    <w:rsid w:val="00586A27"/>
    <w:rsid w:val="00586D12"/>
    <w:rsid w:val="00586E7B"/>
    <w:rsid w:val="00587075"/>
    <w:rsid w:val="005872A0"/>
    <w:rsid w:val="00587A67"/>
    <w:rsid w:val="00590193"/>
    <w:rsid w:val="005905E9"/>
    <w:rsid w:val="0059072F"/>
    <w:rsid w:val="00590752"/>
    <w:rsid w:val="00590894"/>
    <w:rsid w:val="00590D15"/>
    <w:rsid w:val="00590F89"/>
    <w:rsid w:val="00591370"/>
    <w:rsid w:val="00591427"/>
    <w:rsid w:val="005914B2"/>
    <w:rsid w:val="00592BAD"/>
    <w:rsid w:val="00592E00"/>
    <w:rsid w:val="00593202"/>
    <w:rsid w:val="0059320F"/>
    <w:rsid w:val="005932C1"/>
    <w:rsid w:val="0059341D"/>
    <w:rsid w:val="0059356B"/>
    <w:rsid w:val="005937AA"/>
    <w:rsid w:val="0059390A"/>
    <w:rsid w:val="00593985"/>
    <w:rsid w:val="00594034"/>
    <w:rsid w:val="005940B8"/>
    <w:rsid w:val="005941B5"/>
    <w:rsid w:val="00594228"/>
    <w:rsid w:val="0059479E"/>
    <w:rsid w:val="00594858"/>
    <w:rsid w:val="00594B89"/>
    <w:rsid w:val="00594CCE"/>
    <w:rsid w:val="00594EEA"/>
    <w:rsid w:val="005954B8"/>
    <w:rsid w:val="00595FC5"/>
    <w:rsid w:val="00596309"/>
    <w:rsid w:val="00596636"/>
    <w:rsid w:val="0059675F"/>
    <w:rsid w:val="005967F8"/>
    <w:rsid w:val="00596893"/>
    <w:rsid w:val="00596CE0"/>
    <w:rsid w:val="005970CB"/>
    <w:rsid w:val="0059723C"/>
    <w:rsid w:val="0059757E"/>
    <w:rsid w:val="00597710"/>
    <w:rsid w:val="00597779"/>
    <w:rsid w:val="00597BBB"/>
    <w:rsid w:val="005A03E7"/>
    <w:rsid w:val="005A0689"/>
    <w:rsid w:val="005A07DE"/>
    <w:rsid w:val="005A0A69"/>
    <w:rsid w:val="005A0AA3"/>
    <w:rsid w:val="005A0D8A"/>
    <w:rsid w:val="005A0EF2"/>
    <w:rsid w:val="005A16B3"/>
    <w:rsid w:val="005A17F6"/>
    <w:rsid w:val="005A1DDB"/>
    <w:rsid w:val="005A22DF"/>
    <w:rsid w:val="005A24A9"/>
    <w:rsid w:val="005A262D"/>
    <w:rsid w:val="005A26EC"/>
    <w:rsid w:val="005A2C3E"/>
    <w:rsid w:val="005A2E58"/>
    <w:rsid w:val="005A2F0C"/>
    <w:rsid w:val="005A34C7"/>
    <w:rsid w:val="005A3607"/>
    <w:rsid w:val="005A36DD"/>
    <w:rsid w:val="005A3957"/>
    <w:rsid w:val="005A3A21"/>
    <w:rsid w:val="005A47E4"/>
    <w:rsid w:val="005A4921"/>
    <w:rsid w:val="005A4CAE"/>
    <w:rsid w:val="005A4DC8"/>
    <w:rsid w:val="005A4EEE"/>
    <w:rsid w:val="005A55A7"/>
    <w:rsid w:val="005A5832"/>
    <w:rsid w:val="005A5EAF"/>
    <w:rsid w:val="005A603C"/>
    <w:rsid w:val="005A61A5"/>
    <w:rsid w:val="005A697C"/>
    <w:rsid w:val="005A6B6A"/>
    <w:rsid w:val="005A6C05"/>
    <w:rsid w:val="005A6E9D"/>
    <w:rsid w:val="005A7193"/>
    <w:rsid w:val="005A7C0F"/>
    <w:rsid w:val="005B04F5"/>
    <w:rsid w:val="005B0A1D"/>
    <w:rsid w:val="005B0E7A"/>
    <w:rsid w:val="005B0FD1"/>
    <w:rsid w:val="005B1265"/>
    <w:rsid w:val="005B1585"/>
    <w:rsid w:val="005B1753"/>
    <w:rsid w:val="005B1804"/>
    <w:rsid w:val="005B187E"/>
    <w:rsid w:val="005B1C78"/>
    <w:rsid w:val="005B1EB6"/>
    <w:rsid w:val="005B1EF2"/>
    <w:rsid w:val="005B1FD2"/>
    <w:rsid w:val="005B2279"/>
    <w:rsid w:val="005B27F6"/>
    <w:rsid w:val="005B2819"/>
    <w:rsid w:val="005B2D23"/>
    <w:rsid w:val="005B3434"/>
    <w:rsid w:val="005B352E"/>
    <w:rsid w:val="005B363C"/>
    <w:rsid w:val="005B3710"/>
    <w:rsid w:val="005B37F6"/>
    <w:rsid w:val="005B38D0"/>
    <w:rsid w:val="005B3907"/>
    <w:rsid w:val="005B3AC9"/>
    <w:rsid w:val="005B3C71"/>
    <w:rsid w:val="005B3CEA"/>
    <w:rsid w:val="005B40E8"/>
    <w:rsid w:val="005B491B"/>
    <w:rsid w:val="005B4955"/>
    <w:rsid w:val="005B4C1C"/>
    <w:rsid w:val="005B522E"/>
    <w:rsid w:val="005B545A"/>
    <w:rsid w:val="005B5478"/>
    <w:rsid w:val="005B5919"/>
    <w:rsid w:val="005B59F0"/>
    <w:rsid w:val="005B5AEF"/>
    <w:rsid w:val="005B5AFD"/>
    <w:rsid w:val="005B6382"/>
    <w:rsid w:val="005B6408"/>
    <w:rsid w:val="005B659D"/>
    <w:rsid w:val="005B670A"/>
    <w:rsid w:val="005B6711"/>
    <w:rsid w:val="005B6810"/>
    <w:rsid w:val="005B6835"/>
    <w:rsid w:val="005B69CB"/>
    <w:rsid w:val="005B71C5"/>
    <w:rsid w:val="005B721A"/>
    <w:rsid w:val="005B7351"/>
    <w:rsid w:val="005B76CE"/>
    <w:rsid w:val="005B7DD9"/>
    <w:rsid w:val="005C00DC"/>
    <w:rsid w:val="005C0179"/>
    <w:rsid w:val="005C07A3"/>
    <w:rsid w:val="005C0E42"/>
    <w:rsid w:val="005C122C"/>
    <w:rsid w:val="005C1309"/>
    <w:rsid w:val="005C13E1"/>
    <w:rsid w:val="005C142E"/>
    <w:rsid w:val="005C15CC"/>
    <w:rsid w:val="005C166E"/>
    <w:rsid w:val="005C1D85"/>
    <w:rsid w:val="005C20D0"/>
    <w:rsid w:val="005C2564"/>
    <w:rsid w:val="005C2B37"/>
    <w:rsid w:val="005C2CB1"/>
    <w:rsid w:val="005C2D64"/>
    <w:rsid w:val="005C2F28"/>
    <w:rsid w:val="005C2F52"/>
    <w:rsid w:val="005C330A"/>
    <w:rsid w:val="005C3B59"/>
    <w:rsid w:val="005C3F29"/>
    <w:rsid w:val="005C41B5"/>
    <w:rsid w:val="005C45BD"/>
    <w:rsid w:val="005C47BE"/>
    <w:rsid w:val="005C4A00"/>
    <w:rsid w:val="005C4A9B"/>
    <w:rsid w:val="005C5239"/>
    <w:rsid w:val="005C5A32"/>
    <w:rsid w:val="005C5AC5"/>
    <w:rsid w:val="005C5E88"/>
    <w:rsid w:val="005C6290"/>
    <w:rsid w:val="005C636C"/>
    <w:rsid w:val="005C6698"/>
    <w:rsid w:val="005C66D2"/>
    <w:rsid w:val="005C6923"/>
    <w:rsid w:val="005C6C17"/>
    <w:rsid w:val="005C6E54"/>
    <w:rsid w:val="005C6F2F"/>
    <w:rsid w:val="005C6F76"/>
    <w:rsid w:val="005C7144"/>
    <w:rsid w:val="005C743D"/>
    <w:rsid w:val="005C7489"/>
    <w:rsid w:val="005C767E"/>
    <w:rsid w:val="005C7AD7"/>
    <w:rsid w:val="005C7CC3"/>
    <w:rsid w:val="005C7E3C"/>
    <w:rsid w:val="005C7E88"/>
    <w:rsid w:val="005C7F8F"/>
    <w:rsid w:val="005D020A"/>
    <w:rsid w:val="005D0757"/>
    <w:rsid w:val="005D07D0"/>
    <w:rsid w:val="005D0B3A"/>
    <w:rsid w:val="005D0CDF"/>
    <w:rsid w:val="005D10D2"/>
    <w:rsid w:val="005D12CF"/>
    <w:rsid w:val="005D1320"/>
    <w:rsid w:val="005D1558"/>
    <w:rsid w:val="005D17EB"/>
    <w:rsid w:val="005D18C7"/>
    <w:rsid w:val="005D1F8C"/>
    <w:rsid w:val="005D2389"/>
    <w:rsid w:val="005D2483"/>
    <w:rsid w:val="005D2674"/>
    <w:rsid w:val="005D28A8"/>
    <w:rsid w:val="005D2A47"/>
    <w:rsid w:val="005D2B4E"/>
    <w:rsid w:val="005D310A"/>
    <w:rsid w:val="005D3550"/>
    <w:rsid w:val="005D40E6"/>
    <w:rsid w:val="005D41B4"/>
    <w:rsid w:val="005D4221"/>
    <w:rsid w:val="005D423F"/>
    <w:rsid w:val="005D48B1"/>
    <w:rsid w:val="005D4903"/>
    <w:rsid w:val="005D49B8"/>
    <w:rsid w:val="005D4FB1"/>
    <w:rsid w:val="005D5368"/>
    <w:rsid w:val="005D54C2"/>
    <w:rsid w:val="005D5687"/>
    <w:rsid w:val="005D59DC"/>
    <w:rsid w:val="005D5A07"/>
    <w:rsid w:val="005D5B98"/>
    <w:rsid w:val="005D5DA1"/>
    <w:rsid w:val="005D6336"/>
    <w:rsid w:val="005D64DA"/>
    <w:rsid w:val="005D6D8D"/>
    <w:rsid w:val="005D6D96"/>
    <w:rsid w:val="005D6F07"/>
    <w:rsid w:val="005D70A8"/>
    <w:rsid w:val="005D742F"/>
    <w:rsid w:val="005D7535"/>
    <w:rsid w:val="005D7DE1"/>
    <w:rsid w:val="005E05DC"/>
    <w:rsid w:val="005E1022"/>
    <w:rsid w:val="005E1063"/>
    <w:rsid w:val="005E133B"/>
    <w:rsid w:val="005E14D7"/>
    <w:rsid w:val="005E18EA"/>
    <w:rsid w:val="005E19A9"/>
    <w:rsid w:val="005E1A2D"/>
    <w:rsid w:val="005E1C50"/>
    <w:rsid w:val="005E1D63"/>
    <w:rsid w:val="005E219C"/>
    <w:rsid w:val="005E24F3"/>
    <w:rsid w:val="005E265C"/>
    <w:rsid w:val="005E275E"/>
    <w:rsid w:val="005E27A3"/>
    <w:rsid w:val="005E285D"/>
    <w:rsid w:val="005E29FD"/>
    <w:rsid w:val="005E2D44"/>
    <w:rsid w:val="005E3059"/>
    <w:rsid w:val="005E3EF4"/>
    <w:rsid w:val="005E3EFE"/>
    <w:rsid w:val="005E4196"/>
    <w:rsid w:val="005E41E1"/>
    <w:rsid w:val="005E43D3"/>
    <w:rsid w:val="005E474D"/>
    <w:rsid w:val="005E48AA"/>
    <w:rsid w:val="005E4AFF"/>
    <w:rsid w:val="005E50CC"/>
    <w:rsid w:val="005E5136"/>
    <w:rsid w:val="005E558B"/>
    <w:rsid w:val="005E5A13"/>
    <w:rsid w:val="005E5C70"/>
    <w:rsid w:val="005E5C99"/>
    <w:rsid w:val="005E5E25"/>
    <w:rsid w:val="005E630A"/>
    <w:rsid w:val="005E64C0"/>
    <w:rsid w:val="005E6501"/>
    <w:rsid w:val="005E6542"/>
    <w:rsid w:val="005E6568"/>
    <w:rsid w:val="005E66FB"/>
    <w:rsid w:val="005E69B0"/>
    <w:rsid w:val="005E6CCA"/>
    <w:rsid w:val="005E7166"/>
    <w:rsid w:val="005E71FA"/>
    <w:rsid w:val="005E7411"/>
    <w:rsid w:val="005E756A"/>
    <w:rsid w:val="005E7784"/>
    <w:rsid w:val="005E7BAB"/>
    <w:rsid w:val="005E7CB7"/>
    <w:rsid w:val="005E7CFF"/>
    <w:rsid w:val="005E7F46"/>
    <w:rsid w:val="005F03E7"/>
    <w:rsid w:val="005F077D"/>
    <w:rsid w:val="005F0CC8"/>
    <w:rsid w:val="005F17D6"/>
    <w:rsid w:val="005F1A86"/>
    <w:rsid w:val="005F1C36"/>
    <w:rsid w:val="005F1DB7"/>
    <w:rsid w:val="005F20E1"/>
    <w:rsid w:val="005F25B4"/>
    <w:rsid w:val="005F268B"/>
    <w:rsid w:val="005F2AEE"/>
    <w:rsid w:val="005F2C05"/>
    <w:rsid w:val="005F2C85"/>
    <w:rsid w:val="005F307A"/>
    <w:rsid w:val="005F3326"/>
    <w:rsid w:val="005F33F1"/>
    <w:rsid w:val="005F35C9"/>
    <w:rsid w:val="005F3D3C"/>
    <w:rsid w:val="005F3D6E"/>
    <w:rsid w:val="005F4138"/>
    <w:rsid w:val="005F4283"/>
    <w:rsid w:val="005F4307"/>
    <w:rsid w:val="005F4414"/>
    <w:rsid w:val="005F4449"/>
    <w:rsid w:val="005F49A3"/>
    <w:rsid w:val="005F4A7F"/>
    <w:rsid w:val="005F4CB9"/>
    <w:rsid w:val="005F50F7"/>
    <w:rsid w:val="005F52CD"/>
    <w:rsid w:val="005F531C"/>
    <w:rsid w:val="005F5652"/>
    <w:rsid w:val="005F59BE"/>
    <w:rsid w:val="005F5B93"/>
    <w:rsid w:val="005F5F1D"/>
    <w:rsid w:val="005F6C31"/>
    <w:rsid w:val="005F7128"/>
    <w:rsid w:val="005F763B"/>
    <w:rsid w:val="005F7C2D"/>
    <w:rsid w:val="006000A2"/>
    <w:rsid w:val="006003FB"/>
    <w:rsid w:val="00600802"/>
    <w:rsid w:val="00600884"/>
    <w:rsid w:val="00600953"/>
    <w:rsid w:val="00600D36"/>
    <w:rsid w:val="00600E2F"/>
    <w:rsid w:val="00600E3C"/>
    <w:rsid w:val="00601260"/>
    <w:rsid w:val="00601377"/>
    <w:rsid w:val="006013D4"/>
    <w:rsid w:val="006013E4"/>
    <w:rsid w:val="006015B1"/>
    <w:rsid w:val="0060172A"/>
    <w:rsid w:val="00601878"/>
    <w:rsid w:val="00601BC0"/>
    <w:rsid w:val="00601CC1"/>
    <w:rsid w:val="00601ED8"/>
    <w:rsid w:val="00601EF0"/>
    <w:rsid w:val="00601F07"/>
    <w:rsid w:val="006024BA"/>
    <w:rsid w:val="00602545"/>
    <w:rsid w:val="006025E3"/>
    <w:rsid w:val="0060267F"/>
    <w:rsid w:val="006026ED"/>
    <w:rsid w:val="00602789"/>
    <w:rsid w:val="00602A91"/>
    <w:rsid w:val="00602EA5"/>
    <w:rsid w:val="00602ECB"/>
    <w:rsid w:val="00603205"/>
    <w:rsid w:val="006032DE"/>
    <w:rsid w:val="006033CC"/>
    <w:rsid w:val="006033D7"/>
    <w:rsid w:val="006034EF"/>
    <w:rsid w:val="00603561"/>
    <w:rsid w:val="00603631"/>
    <w:rsid w:val="006037DC"/>
    <w:rsid w:val="006039F1"/>
    <w:rsid w:val="00603C2C"/>
    <w:rsid w:val="00603DB6"/>
    <w:rsid w:val="00603E52"/>
    <w:rsid w:val="0060431C"/>
    <w:rsid w:val="00604ACD"/>
    <w:rsid w:val="00604F66"/>
    <w:rsid w:val="006054A5"/>
    <w:rsid w:val="00605530"/>
    <w:rsid w:val="00605B35"/>
    <w:rsid w:val="00605B62"/>
    <w:rsid w:val="00605B6B"/>
    <w:rsid w:val="00606ABF"/>
    <w:rsid w:val="00606B4E"/>
    <w:rsid w:val="00606EB8"/>
    <w:rsid w:val="0060714A"/>
    <w:rsid w:val="0060762D"/>
    <w:rsid w:val="006079E2"/>
    <w:rsid w:val="00607DE7"/>
    <w:rsid w:val="00607EDE"/>
    <w:rsid w:val="006102CB"/>
    <w:rsid w:val="00610314"/>
    <w:rsid w:val="00610593"/>
    <w:rsid w:val="006108AF"/>
    <w:rsid w:val="006109A4"/>
    <w:rsid w:val="00610F33"/>
    <w:rsid w:val="00611713"/>
    <w:rsid w:val="0061172A"/>
    <w:rsid w:val="00611763"/>
    <w:rsid w:val="0061177B"/>
    <w:rsid w:val="00611DCB"/>
    <w:rsid w:val="00611EB3"/>
    <w:rsid w:val="00612206"/>
    <w:rsid w:val="00612481"/>
    <w:rsid w:val="0061274F"/>
    <w:rsid w:val="006128E5"/>
    <w:rsid w:val="00612A83"/>
    <w:rsid w:val="00612FAC"/>
    <w:rsid w:val="0061346C"/>
    <w:rsid w:val="006134A3"/>
    <w:rsid w:val="00613612"/>
    <w:rsid w:val="00613904"/>
    <w:rsid w:val="00613CEE"/>
    <w:rsid w:val="006142BC"/>
    <w:rsid w:val="00614322"/>
    <w:rsid w:val="0061436D"/>
    <w:rsid w:val="006143B2"/>
    <w:rsid w:val="00614465"/>
    <w:rsid w:val="00614DE6"/>
    <w:rsid w:val="00615066"/>
    <w:rsid w:val="00615310"/>
    <w:rsid w:val="00615378"/>
    <w:rsid w:val="006155B3"/>
    <w:rsid w:val="0061577E"/>
    <w:rsid w:val="006157C4"/>
    <w:rsid w:val="0061622F"/>
    <w:rsid w:val="00616648"/>
    <w:rsid w:val="00616B9B"/>
    <w:rsid w:val="00616E31"/>
    <w:rsid w:val="00616EAC"/>
    <w:rsid w:val="00616EDD"/>
    <w:rsid w:val="00617434"/>
    <w:rsid w:val="00617757"/>
    <w:rsid w:val="00617B62"/>
    <w:rsid w:val="00617DB0"/>
    <w:rsid w:val="00617EF5"/>
    <w:rsid w:val="00620ABB"/>
    <w:rsid w:val="00620C10"/>
    <w:rsid w:val="00620D6B"/>
    <w:rsid w:val="00620D6C"/>
    <w:rsid w:val="00621031"/>
    <w:rsid w:val="0062106E"/>
    <w:rsid w:val="0062117A"/>
    <w:rsid w:val="006213F7"/>
    <w:rsid w:val="0062145F"/>
    <w:rsid w:val="006216BD"/>
    <w:rsid w:val="006217F2"/>
    <w:rsid w:val="00621A57"/>
    <w:rsid w:val="00621B32"/>
    <w:rsid w:val="00621E18"/>
    <w:rsid w:val="00622110"/>
    <w:rsid w:val="0062260C"/>
    <w:rsid w:val="00622839"/>
    <w:rsid w:val="006228B4"/>
    <w:rsid w:val="0062299E"/>
    <w:rsid w:val="006229C1"/>
    <w:rsid w:val="00622C35"/>
    <w:rsid w:val="00622E1C"/>
    <w:rsid w:val="006235A0"/>
    <w:rsid w:val="00623746"/>
    <w:rsid w:val="00623976"/>
    <w:rsid w:val="006239AE"/>
    <w:rsid w:val="00623FF7"/>
    <w:rsid w:val="006241D1"/>
    <w:rsid w:val="006244EA"/>
    <w:rsid w:val="0062482B"/>
    <w:rsid w:val="00624884"/>
    <w:rsid w:val="00624A74"/>
    <w:rsid w:val="00624B00"/>
    <w:rsid w:val="00624E9C"/>
    <w:rsid w:val="00625196"/>
    <w:rsid w:val="00625461"/>
    <w:rsid w:val="00625470"/>
    <w:rsid w:val="006254FC"/>
    <w:rsid w:val="00625868"/>
    <w:rsid w:val="006259AD"/>
    <w:rsid w:val="00625B93"/>
    <w:rsid w:val="00625BDD"/>
    <w:rsid w:val="00626A92"/>
    <w:rsid w:val="00627000"/>
    <w:rsid w:val="0062707E"/>
    <w:rsid w:val="006271D9"/>
    <w:rsid w:val="006274E8"/>
    <w:rsid w:val="006279B1"/>
    <w:rsid w:val="00627C8D"/>
    <w:rsid w:val="0062CB24"/>
    <w:rsid w:val="0063047C"/>
    <w:rsid w:val="00630764"/>
    <w:rsid w:val="006307AE"/>
    <w:rsid w:val="00630A68"/>
    <w:rsid w:val="00630B63"/>
    <w:rsid w:val="00630E9C"/>
    <w:rsid w:val="00630EC4"/>
    <w:rsid w:val="00631341"/>
    <w:rsid w:val="0063135E"/>
    <w:rsid w:val="006315A8"/>
    <w:rsid w:val="00631884"/>
    <w:rsid w:val="006320FF"/>
    <w:rsid w:val="006323D5"/>
    <w:rsid w:val="00633023"/>
    <w:rsid w:val="006333B8"/>
    <w:rsid w:val="006334E9"/>
    <w:rsid w:val="00633788"/>
    <w:rsid w:val="0063384F"/>
    <w:rsid w:val="00633911"/>
    <w:rsid w:val="0063391A"/>
    <w:rsid w:val="006339F4"/>
    <w:rsid w:val="00633ABD"/>
    <w:rsid w:val="00633D0C"/>
    <w:rsid w:val="00633D19"/>
    <w:rsid w:val="00633E2C"/>
    <w:rsid w:val="00634D14"/>
    <w:rsid w:val="0063500B"/>
    <w:rsid w:val="0063505B"/>
    <w:rsid w:val="006350AF"/>
    <w:rsid w:val="0063514D"/>
    <w:rsid w:val="006356CD"/>
    <w:rsid w:val="0063572E"/>
    <w:rsid w:val="00635850"/>
    <w:rsid w:val="00635CEB"/>
    <w:rsid w:val="00635F1C"/>
    <w:rsid w:val="0063625E"/>
    <w:rsid w:val="00636286"/>
    <w:rsid w:val="00636608"/>
    <w:rsid w:val="0063693D"/>
    <w:rsid w:val="00636EBA"/>
    <w:rsid w:val="00637514"/>
    <w:rsid w:val="006376BE"/>
    <w:rsid w:val="00637CAD"/>
    <w:rsid w:val="0063C6F3"/>
    <w:rsid w:val="00640012"/>
    <w:rsid w:val="006400C4"/>
    <w:rsid w:val="0064059D"/>
    <w:rsid w:val="0064089D"/>
    <w:rsid w:val="00640CE1"/>
    <w:rsid w:val="00640F38"/>
    <w:rsid w:val="0064100D"/>
    <w:rsid w:val="0064171B"/>
    <w:rsid w:val="006422F5"/>
    <w:rsid w:val="00642448"/>
    <w:rsid w:val="00642823"/>
    <w:rsid w:val="006429B4"/>
    <w:rsid w:val="00642BD6"/>
    <w:rsid w:val="00642E3B"/>
    <w:rsid w:val="00642F7B"/>
    <w:rsid w:val="0064306E"/>
    <w:rsid w:val="00643110"/>
    <w:rsid w:val="00644504"/>
    <w:rsid w:val="006446BA"/>
    <w:rsid w:val="00644861"/>
    <w:rsid w:val="00644EE5"/>
    <w:rsid w:val="00645204"/>
    <w:rsid w:val="0064550D"/>
    <w:rsid w:val="00645675"/>
    <w:rsid w:val="00645DEB"/>
    <w:rsid w:val="0064641A"/>
    <w:rsid w:val="00646743"/>
    <w:rsid w:val="00646809"/>
    <w:rsid w:val="00646CD7"/>
    <w:rsid w:val="00646D49"/>
    <w:rsid w:val="006470B8"/>
    <w:rsid w:val="006470E5"/>
    <w:rsid w:val="0064763E"/>
    <w:rsid w:val="006476CC"/>
    <w:rsid w:val="0064772F"/>
    <w:rsid w:val="00647A00"/>
    <w:rsid w:val="00647D18"/>
    <w:rsid w:val="00647EF2"/>
    <w:rsid w:val="00650035"/>
    <w:rsid w:val="00650057"/>
    <w:rsid w:val="00650364"/>
    <w:rsid w:val="00650661"/>
    <w:rsid w:val="00650851"/>
    <w:rsid w:val="00650ACA"/>
    <w:rsid w:val="00650BE9"/>
    <w:rsid w:val="00650CE5"/>
    <w:rsid w:val="00650EE4"/>
    <w:rsid w:val="00651823"/>
    <w:rsid w:val="006519F0"/>
    <w:rsid w:val="00651B72"/>
    <w:rsid w:val="00651C5C"/>
    <w:rsid w:val="00651EEA"/>
    <w:rsid w:val="00652220"/>
    <w:rsid w:val="006527A0"/>
    <w:rsid w:val="00652965"/>
    <w:rsid w:val="00652C35"/>
    <w:rsid w:val="00652E42"/>
    <w:rsid w:val="00652F94"/>
    <w:rsid w:val="006532F9"/>
    <w:rsid w:val="00653385"/>
    <w:rsid w:val="006537F2"/>
    <w:rsid w:val="006538BA"/>
    <w:rsid w:val="006539BC"/>
    <w:rsid w:val="00653BA5"/>
    <w:rsid w:val="00653BCB"/>
    <w:rsid w:val="00653F02"/>
    <w:rsid w:val="006543B4"/>
    <w:rsid w:val="006546FD"/>
    <w:rsid w:val="006547B9"/>
    <w:rsid w:val="006548E0"/>
    <w:rsid w:val="00654A62"/>
    <w:rsid w:val="006551C5"/>
    <w:rsid w:val="00655641"/>
    <w:rsid w:val="006557EC"/>
    <w:rsid w:val="00655BB4"/>
    <w:rsid w:val="00655F86"/>
    <w:rsid w:val="00656866"/>
    <w:rsid w:val="00656A52"/>
    <w:rsid w:val="00656C7C"/>
    <w:rsid w:val="00656FA0"/>
    <w:rsid w:val="006570B1"/>
    <w:rsid w:val="0065714E"/>
    <w:rsid w:val="00657415"/>
    <w:rsid w:val="00657811"/>
    <w:rsid w:val="0065788C"/>
    <w:rsid w:val="00657989"/>
    <w:rsid w:val="006579B1"/>
    <w:rsid w:val="00657FA6"/>
    <w:rsid w:val="0066047C"/>
    <w:rsid w:val="006606B7"/>
    <w:rsid w:val="006607E9"/>
    <w:rsid w:val="00660825"/>
    <w:rsid w:val="006609CE"/>
    <w:rsid w:val="00660A11"/>
    <w:rsid w:val="00660D61"/>
    <w:rsid w:val="006616AB"/>
    <w:rsid w:val="00661A45"/>
    <w:rsid w:val="00661AFE"/>
    <w:rsid w:val="00661B45"/>
    <w:rsid w:val="006625D1"/>
    <w:rsid w:val="00662685"/>
    <w:rsid w:val="00662928"/>
    <w:rsid w:val="00662B83"/>
    <w:rsid w:val="00662C14"/>
    <w:rsid w:val="0066379F"/>
    <w:rsid w:val="006638EB"/>
    <w:rsid w:val="00663D50"/>
    <w:rsid w:val="00663D9E"/>
    <w:rsid w:val="00663DF4"/>
    <w:rsid w:val="00664131"/>
    <w:rsid w:val="006646EC"/>
    <w:rsid w:val="00664757"/>
    <w:rsid w:val="0066496B"/>
    <w:rsid w:val="00664BC4"/>
    <w:rsid w:val="00665094"/>
    <w:rsid w:val="006650AA"/>
    <w:rsid w:val="00665455"/>
    <w:rsid w:val="00665549"/>
    <w:rsid w:val="00665630"/>
    <w:rsid w:val="00665B05"/>
    <w:rsid w:val="00666065"/>
    <w:rsid w:val="006666A2"/>
    <w:rsid w:val="006666B5"/>
    <w:rsid w:val="00667423"/>
    <w:rsid w:val="00667D24"/>
    <w:rsid w:val="00667F4E"/>
    <w:rsid w:val="006704DC"/>
    <w:rsid w:val="00670635"/>
    <w:rsid w:val="00670694"/>
    <w:rsid w:val="006712B6"/>
    <w:rsid w:val="00671561"/>
    <w:rsid w:val="006719FF"/>
    <w:rsid w:val="00671D64"/>
    <w:rsid w:val="00671DCA"/>
    <w:rsid w:val="00671E66"/>
    <w:rsid w:val="00671ED4"/>
    <w:rsid w:val="0067205D"/>
    <w:rsid w:val="006721C7"/>
    <w:rsid w:val="00672287"/>
    <w:rsid w:val="006722DB"/>
    <w:rsid w:val="0067233C"/>
    <w:rsid w:val="00672406"/>
    <w:rsid w:val="006724B5"/>
    <w:rsid w:val="0067259B"/>
    <w:rsid w:val="00672B53"/>
    <w:rsid w:val="0067327D"/>
    <w:rsid w:val="006735F9"/>
    <w:rsid w:val="006737D6"/>
    <w:rsid w:val="00673D80"/>
    <w:rsid w:val="00674078"/>
    <w:rsid w:val="006745CC"/>
    <w:rsid w:val="006746F1"/>
    <w:rsid w:val="00674B47"/>
    <w:rsid w:val="00674D70"/>
    <w:rsid w:val="00674DC5"/>
    <w:rsid w:val="00674F5A"/>
    <w:rsid w:val="00674FF1"/>
    <w:rsid w:val="00675113"/>
    <w:rsid w:val="00675E8C"/>
    <w:rsid w:val="0067618F"/>
    <w:rsid w:val="0067640F"/>
    <w:rsid w:val="00676554"/>
    <w:rsid w:val="00676CA9"/>
    <w:rsid w:val="00676DDA"/>
    <w:rsid w:val="00676E8F"/>
    <w:rsid w:val="006770BB"/>
    <w:rsid w:val="006772D7"/>
    <w:rsid w:val="0067753B"/>
    <w:rsid w:val="0067755F"/>
    <w:rsid w:val="00677650"/>
    <w:rsid w:val="00677DE6"/>
    <w:rsid w:val="00680250"/>
    <w:rsid w:val="00680575"/>
    <w:rsid w:val="00680BDF"/>
    <w:rsid w:val="00680ED3"/>
    <w:rsid w:val="0068137C"/>
    <w:rsid w:val="00681837"/>
    <w:rsid w:val="00682527"/>
    <w:rsid w:val="006827DC"/>
    <w:rsid w:val="00682CEA"/>
    <w:rsid w:val="00682DB1"/>
    <w:rsid w:val="00683112"/>
    <w:rsid w:val="006834CD"/>
    <w:rsid w:val="006834D7"/>
    <w:rsid w:val="00683707"/>
    <w:rsid w:val="0068372D"/>
    <w:rsid w:val="0068376D"/>
    <w:rsid w:val="00683AE3"/>
    <w:rsid w:val="00683B03"/>
    <w:rsid w:val="00683D55"/>
    <w:rsid w:val="00683E34"/>
    <w:rsid w:val="0068429E"/>
    <w:rsid w:val="00684657"/>
    <w:rsid w:val="0068499E"/>
    <w:rsid w:val="00684AB6"/>
    <w:rsid w:val="00684F03"/>
    <w:rsid w:val="00685044"/>
    <w:rsid w:val="00685097"/>
    <w:rsid w:val="006854EB"/>
    <w:rsid w:val="006856AE"/>
    <w:rsid w:val="00685885"/>
    <w:rsid w:val="006861AE"/>
    <w:rsid w:val="006861F2"/>
    <w:rsid w:val="0068632A"/>
    <w:rsid w:val="006864C5"/>
    <w:rsid w:val="0068696A"/>
    <w:rsid w:val="00687160"/>
    <w:rsid w:val="006871FA"/>
    <w:rsid w:val="0068784F"/>
    <w:rsid w:val="0068789F"/>
    <w:rsid w:val="0068792D"/>
    <w:rsid w:val="00687971"/>
    <w:rsid w:val="0069005A"/>
    <w:rsid w:val="006900CF"/>
    <w:rsid w:val="0069058C"/>
    <w:rsid w:val="00690D7E"/>
    <w:rsid w:val="00690E84"/>
    <w:rsid w:val="00690EBA"/>
    <w:rsid w:val="00690FC7"/>
    <w:rsid w:val="0069109F"/>
    <w:rsid w:val="00691516"/>
    <w:rsid w:val="006915B5"/>
    <w:rsid w:val="0069175F"/>
    <w:rsid w:val="0069177D"/>
    <w:rsid w:val="00691A4E"/>
    <w:rsid w:val="006922F0"/>
    <w:rsid w:val="00692561"/>
    <w:rsid w:val="00692676"/>
    <w:rsid w:val="0069272E"/>
    <w:rsid w:val="0069287F"/>
    <w:rsid w:val="0069288F"/>
    <w:rsid w:val="00692B36"/>
    <w:rsid w:val="00692CD5"/>
    <w:rsid w:val="00692E35"/>
    <w:rsid w:val="00693252"/>
    <w:rsid w:val="006936C4"/>
    <w:rsid w:val="00694094"/>
    <w:rsid w:val="0069445A"/>
    <w:rsid w:val="00694575"/>
    <w:rsid w:val="00694AA8"/>
    <w:rsid w:val="00694C54"/>
    <w:rsid w:val="00694D03"/>
    <w:rsid w:val="00695247"/>
    <w:rsid w:val="0069579E"/>
    <w:rsid w:val="00695A51"/>
    <w:rsid w:val="00695A65"/>
    <w:rsid w:val="00695D2A"/>
    <w:rsid w:val="00695D94"/>
    <w:rsid w:val="00696133"/>
    <w:rsid w:val="006962A4"/>
    <w:rsid w:val="0069636E"/>
    <w:rsid w:val="00696443"/>
    <w:rsid w:val="006966F7"/>
    <w:rsid w:val="006968AE"/>
    <w:rsid w:val="006968E3"/>
    <w:rsid w:val="00696B4E"/>
    <w:rsid w:val="00696E6A"/>
    <w:rsid w:val="00696FA7"/>
    <w:rsid w:val="00697026"/>
    <w:rsid w:val="00697214"/>
    <w:rsid w:val="006972DB"/>
    <w:rsid w:val="00697A5F"/>
    <w:rsid w:val="00697B21"/>
    <w:rsid w:val="00697B4B"/>
    <w:rsid w:val="00697B68"/>
    <w:rsid w:val="00697E6B"/>
    <w:rsid w:val="00697F57"/>
    <w:rsid w:val="00697F7A"/>
    <w:rsid w:val="006A0069"/>
    <w:rsid w:val="006A00D5"/>
    <w:rsid w:val="006A02D8"/>
    <w:rsid w:val="006A0486"/>
    <w:rsid w:val="006A04C8"/>
    <w:rsid w:val="006A0557"/>
    <w:rsid w:val="006A0651"/>
    <w:rsid w:val="006A067B"/>
    <w:rsid w:val="006A06B9"/>
    <w:rsid w:val="006A0741"/>
    <w:rsid w:val="006A07EC"/>
    <w:rsid w:val="006A0BF9"/>
    <w:rsid w:val="006A1153"/>
    <w:rsid w:val="006A122C"/>
    <w:rsid w:val="006A14D5"/>
    <w:rsid w:val="006A197B"/>
    <w:rsid w:val="006A19F8"/>
    <w:rsid w:val="006A1ADB"/>
    <w:rsid w:val="006A22B0"/>
    <w:rsid w:val="006A22BA"/>
    <w:rsid w:val="006A2400"/>
    <w:rsid w:val="006A24FB"/>
    <w:rsid w:val="006A288E"/>
    <w:rsid w:val="006A2D76"/>
    <w:rsid w:val="006A30B9"/>
    <w:rsid w:val="006A347D"/>
    <w:rsid w:val="006A35BA"/>
    <w:rsid w:val="006A36B7"/>
    <w:rsid w:val="006A388F"/>
    <w:rsid w:val="006A394F"/>
    <w:rsid w:val="006A3DBC"/>
    <w:rsid w:val="006A43AD"/>
    <w:rsid w:val="006A4585"/>
    <w:rsid w:val="006A4638"/>
    <w:rsid w:val="006A485A"/>
    <w:rsid w:val="006A491F"/>
    <w:rsid w:val="006A494F"/>
    <w:rsid w:val="006A4EDA"/>
    <w:rsid w:val="006A4FFB"/>
    <w:rsid w:val="006A5135"/>
    <w:rsid w:val="006A56D3"/>
    <w:rsid w:val="006A56F0"/>
    <w:rsid w:val="006A58C4"/>
    <w:rsid w:val="006A58C5"/>
    <w:rsid w:val="006A5B2E"/>
    <w:rsid w:val="006A638D"/>
    <w:rsid w:val="006A63E7"/>
    <w:rsid w:val="006A646A"/>
    <w:rsid w:val="006A646B"/>
    <w:rsid w:val="006A67AE"/>
    <w:rsid w:val="006A68DB"/>
    <w:rsid w:val="006A6B28"/>
    <w:rsid w:val="006A6B4A"/>
    <w:rsid w:val="006A735F"/>
    <w:rsid w:val="006A7483"/>
    <w:rsid w:val="006A7530"/>
    <w:rsid w:val="006A787A"/>
    <w:rsid w:val="006A7EC7"/>
    <w:rsid w:val="006A7FAE"/>
    <w:rsid w:val="006A7FF8"/>
    <w:rsid w:val="006B02A7"/>
    <w:rsid w:val="006B0466"/>
    <w:rsid w:val="006B050D"/>
    <w:rsid w:val="006B0562"/>
    <w:rsid w:val="006B07DF"/>
    <w:rsid w:val="006B085F"/>
    <w:rsid w:val="006B09E8"/>
    <w:rsid w:val="006B1390"/>
    <w:rsid w:val="006B171B"/>
    <w:rsid w:val="006B187D"/>
    <w:rsid w:val="006B1AF8"/>
    <w:rsid w:val="006B1F6A"/>
    <w:rsid w:val="006B21E0"/>
    <w:rsid w:val="006B2341"/>
    <w:rsid w:val="006B25A3"/>
    <w:rsid w:val="006B29D0"/>
    <w:rsid w:val="006B2A1A"/>
    <w:rsid w:val="006B2C30"/>
    <w:rsid w:val="006B2DD5"/>
    <w:rsid w:val="006B2E08"/>
    <w:rsid w:val="006B2E8F"/>
    <w:rsid w:val="006B3337"/>
    <w:rsid w:val="006B338F"/>
    <w:rsid w:val="006B3CDF"/>
    <w:rsid w:val="006B3CE1"/>
    <w:rsid w:val="006B4294"/>
    <w:rsid w:val="006B4483"/>
    <w:rsid w:val="006B49CC"/>
    <w:rsid w:val="006B4B88"/>
    <w:rsid w:val="006B4DD4"/>
    <w:rsid w:val="006B4FC6"/>
    <w:rsid w:val="006B54E7"/>
    <w:rsid w:val="006B5B5E"/>
    <w:rsid w:val="006B5DAA"/>
    <w:rsid w:val="006B602B"/>
    <w:rsid w:val="006B6046"/>
    <w:rsid w:val="006B6170"/>
    <w:rsid w:val="006B6501"/>
    <w:rsid w:val="006B651B"/>
    <w:rsid w:val="006B6688"/>
    <w:rsid w:val="006B66E5"/>
    <w:rsid w:val="006B6CBA"/>
    <w:rsid w:val="006B6E7F"/>
    <w:rsid w:val="006B71F3"/>
    <w:rsid w:val="006B733C"/>
    <w:rsid w:val="006B73F6"/>
    <w:rsid w:val="006B7434"/>
    <w:rsid w:val="006B7600"/>
    <w:rsid w:val="006B7607"/>
    <w:rsid w:val="006B781B"/>
    <w:rsid w:val="006B7898"/>
    <w:rsid w:val="006B7BEB"/>
    <w:rsid w:val="006B7D04"/>
    <w:rsid w:val="006B7DBD"/>
    <w:rsid w:val="006C010E"/>
    <w:rsid w:val="006C0120"/>
    <w:rsid w:val="006C0255"/>
    <w:rsid w:val="006C027A"/>
    <w:rsid w:val="006C070F"/>
    <w:rsid w:val="006C07D4"/>
    <w:rsid w:val="006C0A0C"/>
    <w:rsid w:val="006C13E1"/>
    <w:rsid w:val="006C1889"/>
    <w:rsid w:val="006C1C88"/>
    <w:rsid w:val="006C1E3A"/>
    <w:rsid w:val="006C1E46"/>
    <w:rsid w:val="006C1ECD"/>
    <w:rsid w:val="006C242F"/>
    <w:rsid w:val="006C2603"/>
    <w:rsid w:val="006C2797"/>
    <w:rsid w:val="006C296C"/>
    <w:rsid w:val="006C2A1C"/>
    <w:rsid w:val="006C2F96"/>
    <w:rsid w:val="006C302B"/>
    <w:rsid w:val="006C3385"/>
    <w:rsid w:val="006C37E6"/>
    <w:rsid w:val="006C3EB4"/>
    <w:rsid w:val="006C4009"/>
    <w:rsid w:val="006C4379"/>
    <w:rsid w:val="006C494D"/>
    <w:rsid w:val="006C4973"/>
    <w:rsid w:val="006C49BC"/>
    <w:rsid w:val="006C4F78"/>
    <w:rsid w:val="006C5268"/>
    <w:rsid w:val="006C54A3"/>
    <w:rsid w:val="006C5575"/>
    <w:rsid w:val="006C56D3"/>
    <w:rsid w:val="006C5A4F"/>
    <w:rsid w:val="006C5B7D"/>
    <w:rsid w:val="006C6677"/>
    <w:rsid w:val="006C67A9"/>
    <w:rsid w:val="006C6B71"/>
    <w:rsid w:val="006C6C5D"/>
    <w:rsid w:val="006C7057"/>
    <w:rsid w:val="006C7830"/>
    <w:rsid w:val="006C7961"/>
    <w:rsid w:val="006C796B"/>
    <w:rsid w:val="006C798B"/>
    <w:rsid w:val="006C7A68"/>
    <w:rsid w:val="006C7C19"/>
    <w:rsid w:val="006C7F39"/>
    <w:rsid w:val="006D042D"/>
    <w:rsid w:val="006D08BE"/>
    <w:rsid w:val="006D1479"/>
    <w:rsid w:val="006D16B7"/>
    <w:rsid w:val="006D179F"/>
    <w:rsid w:val="006D17B2"/>
    <w:rsid w:val="006D1C74"/>
    <w:rsid w:val="006D1DAD"/>
    <w:rsid w:val="006D216F"/>
    <w:rsid w:val="006D27A2"/>
    <w:rsid w:val="006D2803"/>
    <w:rsid w:val="006D2942"/>
    <w:rsid w:val="006D29A7"/>
    <w:rsid w:val="006D29CA"/>
    <w:rsid w:val="006D2D31"/>
    <w:rsid w:val="006D2D5C"/>
    <w:rsid w:val="006D2E0F"/>
    <w:rsid w:val="006D32E6"/>
    <w:rsid w:val="006D32FE"/>
    <w:rsid w:val="006D335A"/>
    <w:rsid w:val="006D339B"/>
    <w:rsid w:val="006D34EA"/>
    <w:rsid w:val="006D371A"/>
    <w:rsid w:val="006D3E3D"/>
    <w:rsid w:val="006D3E68"/>
    <w:rsid w:val="006D42EF"/>
    <w:rsid w:val="006D461A"/>
    <w:rsid w:val="006D485A"/>
    <w:rsid w:val="006D4B43"/>
    <w:rsid w:val="006D4F63"/>
    <w:rsid w:val="006D50EC"/>
    <w:rsid w:val="006D5239"/>
    <w:rsid w:val="006D547E"/>
    <w:rsid w:val="006D5B91"/>
    <w:rsid w:val="006D5DF3"/>
    <w:rsid w:val="006D64E1"/>
    <w:rsid w:val="006D65CB"/>
    <w:rsid w:val="006D69FC"/>
    <w:rsid w:val="006D6AA1"/>
    <w:rsid w:val="006D6E8E"/>
    <w:rsid w:val="006D6F25"/>
    <w:rsid w:val="006D7105"/>
    <w:rsid w:val="006D73BE"/>
    <w:rsid w:val="006D74B9"/>
    <w:rsid w:val="006D795D"/>
    <w:rsid w:val="006D7D5D"/>
    <w:rsid w:val="006E0345"/>
    <w:rsid w:val="006E0584"/>
    <w:rsid w:val="006E05EC"/>
    <w:rsid w:val="006E0745"/>
    <w:rsid w:val="006E0997"/>
    <w:rsid w:val="006E0BAD"/>
    <w:rsid w:val="006E0BC1"/>
    <w:rsid w:val="006E0CBE"/>
    <w:rsid w:val="006E105A"/>
    <w:rsid w:val="006E109B"/>
    <w:rsid w:val="006E1244"/>
    <w:rsid w:val="006E147F"/>
    <w:rsid w:val="006E15FA"/>
    <w:rsid w:val="006E177F"/>
    <w:rsid w:val="006E17D7"/>
    <w:rsid w:val="006E21E4"/>
    <w:rsid w:val="006E2347"/>
    <w:rsid w:val="006E2A61"/>
    <w:rsid w:val="006E30FA"/>
    <w:rsid w:val="006E3130"/>
    <w:rsid w:val="006E3271"/>
    <w:rsid w:val="006E3845"/>
    <w:rsid w:val="006E3B4B"/>
    <w:rsid w:val="006E3C94"/>
    <w:rsid w:val="006E4171"/>
    <w:rsid w:val="006E47B1"/>
    <w:rsid w:val="006E48DA"/>
    <w:rsid w:val="006E4908"/>
    <w:rsid w:val="006E49D1"/>
    <w:rsid w:val="006E4BB0"/>
    <w:rsid w:val="006E4F93"/>
    <w:rsid w:val="006E5081"/>
    <w:rsid w:val="006E51CC"/>
    <w:rsid w:val="006E52B6"/>
    <w:rsid w:val="006E58B1"/>
    <w:rsid w:val="006E5A6A"/>
    <w:rsid w:val="006E5AA2"/>
    <w:rsid w:val="006E63FC"/>
    <w:rsid w:val="006E6815"/>
    <w:rsid w:val="006E78F7"/>
    <w:rsid w:val="006F0646"/>
    <w:rsid w:val="006F0845"/>
    <w:rsid w:val="006F0ED0"/>
    <w:rsid w:val="006F1254"/>
    <w:rsid w:val="006F1407"/>
    <w:rsid w:val="006F1619"/>
    <w:rsid w:val="006F1E71"/>
    <w:rsid w:val="006F2135"/>
    <w:rsid w:val="006F25B6"/>
    <w:rsid w:val="006F27F7"/>
    <w:rsid w:val="006F2973"/>
    <w:rsid w:val="006F2D24"/>
    <w:rsid w:val="006F2D3A"/>
    <w:rsid w:val="006F2D5A"/>
    <w:rsid w:val="006F2DFC"/>
    <w:rsid w:val="006F2F75"/>
    <w:rsid w:val="006F3184"/>
    <w:rsid w:val="006F36F3"/>
    <w:rsid w:val="006F3707"/>
    <w:rsid w:val="006F3777"/>
    <w:rsid w:val="006F3845"/>
    <w:rsid w:val="006F3968"/>
    <w:rsid w:val="006F3D48"/>
    <w:rsid w:val="006F3FB3"/>
    <w:rsid w:val="006F428C"/>
    <w:rsid w:val="006F4466"/>
    <w:rsid w:val="006F4586"/>
    <w:rsid w:val="006F4592"/>
    <w:rsid w:val="006F466F"/>
    <w:rsid w:val="006F4767"/>
    <w:rsid w:val="006F4873"/>
    <w:rsid w:val="006F48BA"/>
    <w:rsid w:val="006F4E7D"/>
    <w:rsid w:val="006F50C8"/>
    <w:rsid w:val="006F51B9"/>
    <w:rsid w:val="006F554C"/>
    <w:rsid w:val="006F5559"/>
    <w:rsid w:val="006F58CC"/>
    <w:rsid w:val="006F5E81"/>
    <w:rsid w:val="006F61DF"/>
    <w:rsid w:val="006F634D"/>
    <w:rsid w:val="006F6428"/>
    <w:rsid w:val="006F6546"/>
    <w:rsid w:val="006F6627"/>
    <w:rsid w:val="006F68DB"/>
    <w:rsid w:val="006F6DD1"/>
    <w:rsid w:val="006F6F24"/>
    <w:rsid w:val="006F7592"/>
    <w:rsid w:val="006F760D"/>
    <w:rsid w:val="006F7797"/>
    <w:rsid w:val="006F79CA"/>
    <w:rsid w:val="006F7EAA"/>
    <w:rsid w:val="006F7FE0"/>
    <w:rsid w:val="006F7FE4"/>
    <w:rsid w:val="0070025E"/>
    <w:rsid w:val="007004D0"/>
    <w:rsid w:val="0070050D"/>
    <w:rsid w:val="007006B7"/>
    <w:rsid w:val="0070094D"/>
    <w:rsid w:val="00700957"/>
    <w:rsid w:val="00700C7D"/>
    <w:rsid w:val="007016C6"/>
    <w:rsid w:val="00701754"/>
    <w:rsid w:val="007018B8"/>
    <w:rsid w:val="00701A8E"/>
    <w:rsid w:val="00701E66"/>
    <w:rsid w:val="00701EDD"/>
    <w:rsid w:val="00701FBB"/>
    <w:rsid w:val="00702625"/>
    <w:rsid w:val="0070294E"/>
    <w:rsid w:val="00702974"/>
    <w:rsid w:val="00702C88"/>
    <w:rsid w:val="00703270"/>
    <w:rsid w:val="007032CA"/>
    <w:rsid w:val="007034F7"/>
    <w:rsid w:val="00703794"/>
    <w:rsid w:val="00703982"/>
    <w:rsid w:val="00703A62"/>
    <w:rsid w:val="00703B62"/>
    <w:rsid w:val="00703C00"/>
    <w:rsid w:val="00703FED"/>
    <w:rsid w:val="0070424D"/>
    <w:rsid w:val="00704306"/>
    <w:rsid w:val="007048E7"/>
    <w:rsid w:val="00704B06"/>
    <w:rsid w:val="00704E7A"/>
    <w:rsid w:val="00704E7C"/>
    <w:rsid w:val="00705449"/>
    <w:rsid w:val="00705682"/>
    <w:rsid w:val="0070580D"/>
    <w:rsid w:val="00706034"/>
    <w:rsid w:val="007061EC"/>
    <w:rsid w:val="00706335"/>
    <w:rsid w:val="0070656E"/>
    <w:rsid w:val="0070667C"/>
    <w:rsid w:val="00706837"/>
    <w:rsid w:val="00706A8A"/>
    <w:rsid w:val="00706F70"/>
    <w:rsid w:val="007070E1"/>
    <w:rsid w:val="007072A2"/>
    <w:rsid w:val="0070730E"/>
    <w:rsid w:val="00707423"/>
    <w:rsid w:val="00707679"/>
    <w:rsid w:val="0070767C"/>
    <w:rsid w:val="007077C2"/>
    <w:rsid w:val="00707C2D"/>
    <w:rsid w:val="0070844C"/>
    <w:rsid w:val="007100B9"/>
    <w:rsid w:val="007101C4"/>
    <w:rsid w:val="0071027A"/>
    <w:rsid w:val="007107CD"/>
    <w:rsid w:val="00710990"/>
    <w:rsid w:val="00710D53"/>
    <w:rsid w:val="007111F8"/>
    <w:rsid w:val="0071161A"/>
    <w:rsid w:val="00711951"/>
    <w:rsid w:val="00711C9C"/>
    <w:rsid w:val="00711E2F"/>
    <w:rsid w:val="00711EEA"/>
    <w:rsid w:val="00712052"/>
    <w:rsid w:val="007128DD"/>
    <w:rsid w:val="00713207"/>
    <w:rsid w:val="00713264"/>
    <w:rsid w:val="0071374E"/>
    <w:rsid w:val="007139B1"/>
    <w:rsid w:val="00713D3F"/>
    <w:rsid w:val="00713D6D"/>
    <w:rsid w:val="00713F03"/>
    <w:rsid w:val="007144F1"/>
    <w:rsid w:val="007145B0"/>
    <w:rsid w:val="0071460F"/>
    <w:rsid w:val="00714823"/>
    <w:rsid w:val="00714A35"/>
    <w:rsid w:val="007152AE"/>
    <w:rsid w:val="007153DD"/>
    <w:rsid w:val="007155BE"/>
    <w:rsid w:val="00715857"/>
    <w:rsid w:val="007158E3"/>
    <w:rsid w:val="00715A76"/>
    <w:rsid w:val="00715B77"/>
    <w:rsid w:val="007160C7"/>
    <w:rsid w:val="0071616A"/>
    <w:rsid w:val="00716330"/>
    <w:rsid w:val="00716465"/>
    <w:rsid w:val="00716469"/>
    <w:rsid w:val="0071654A"/>
    <w:rsid w:val="00716658"/>
    <w:rsid w:val="00717179"/>
    <w:rsid w:val="00717278"/>
    <w:rsid w:val="00717758"/>
    <w:rsid w:val="007178D6"/>
    <w:rsid w:val="00720054"/>
    <w:rsid w:val="00720320"/>
    <w:rsid w:val="00720D1C"/>
    <w:rsid w:val="00720EF2"/>
    <w:rsid w:val="0072116B"/>
    <w:rsid w:val="00721256"/>
    <w:rsid w:val="007218B6"/>
    <w:rsid w:val="007218F7"/>
    <w:rsid w:val="00721B93"/>
    <w:rsid w:val="00721C5F"/>
    <w:rsid w:val="00721CC6"/>
    <w:rsid w:val="00721D44"/>
    <w:rsid w:val="00721F0F"/>
    <w:rsid w:val="00722036"/>
    <w:rsid w:val="00722828"/>
    <w:rsid w:val="00722CD0"/>
    <w:rsid w:val="00723053"/>
    <w:rsid w:val="00723274"/>
    <w:rsid w:val="007232B1"/>
    <w:rsid w:val="007233F6"/>
    <w:rsid w:val="00723491"/>
    <w:rsid w:val="0072355C"/>
    <w:rsid w:val="0072368B"/>
    <w:rsid w:val="00723722"/>
    <w:rsid w:val="0072373C"/>
    <w:rsid w:val="007238DB"/>
    <w:rsid w:val="0072392E"/>
    <w:rsid w:val="00723B57"/>
    <w:rsid w:val="00723D38"/>
    <w:rsid w:val="00724311"/>
    <w:rsid w:val="007243A8"/>
    <w:rsid w:val="00724461"/>
    <w:rsid w:val="007249BD"/>
    <w:rsid w:val="00724B09"/>
    <w:rsid w:val="00724C2F"/>
    <w:rsid w:val="00724FD9"/>
    <w:rsid w:val="00725034"/>
    <w:rsid w:val="0072568D"/>
    <w:rsid w:val="00725B23"/>
    <w:rsid w:val="00725B7B"/>
    <w:rsid w:val="00725C76"/>
    <w:rsid w:val="00726217"/>
    <w:rsid w:val="007263FF"/>
    <w:rsid w:val="0072645E"/>
    <w:rsid w:val="00726B2A"/>
    <w:rsid w:val="00726BB7"/>
    <w:rsid w:val="00726CB1"/>
    <w:rsid w:val="0072706C"/>
    <w:rsid w:val="00727256"/>
    <w:rsid w:val="00727ADD"/>
    <w:rsid w:val="00727AF8"/>
    <w:rsid w:val="00727B9F"/>
    <w:rsid w:val="00727DB4"/>
    <w:rsid w:val="00727E4A"/>
    <w:rsid w:val="00727F42"/>
    <w:rsid w:val="00727FFB"/>
    <w:rsid w:val="0073036A"/>
    <w:rsid w:val="00730C8B"/>
    <w:rsid w:val="00730D33"/>
    <w:rsid w:val="00730FBD"/>
    <w:rsid w:val="0073110A"/>
    <w:rsid w:val="007313D3"/>
    <w:rsid w:val="0073179F"/>
    <w:rsid w:val="0073192F"/>
    <w:rsid w:val="00731D6E"/>
    <w:rsid w:val="00731E36"/>
    <w:rsid w:val="00731EF8"/>
    <w:rsid w:val="00731FD9"/>
    <w:rsid w:val="00732354"/>
    <w:rsid w:val="00732497"/>
    <w:rsid w:val="00732B28"/>
    <w:rsid w:val="00732F24"/>
    <w:rsid w:val="00733152"/>
    <w:rsid w:val="0073378B"/>
    <w:rsid w:val="00733846"/>
    <w:rsid w:val="00733A50"/>
    <w:rsid w:val="00733D8C"/>
    <w:rsid w:val="00733E88"/>
    <w:rsid w:val="00734536"/>
    <w:rsid w:val="00734566"/>
    <w:rsid w:val="00734C11"/>
    <w:rsid w:val="00734ED2"/>
    <w:rsid w:val="00735029"/>
    <w:rsid w:val="007355B2"/>
    <w:rsid w:val="0073564C"/>
    <w:rsid w:val="007356FD"/>
    <w:rsid w:val="00735CFA"/>
    <w:rsid w:val="00736036"/>
    <w:rsid w:val="007361F9"/>
    <w:rsid w:val="00736302"/>
    <w:rsid w:val="0073661E"/>
    <w:rsid w:val="00736694"/>
    <w:rsid w:val="00736AFA"/>
    <w:rsid w:val="007371E9"/>
    <w:rsid w:val="00737787"/>
    <w:rsid w:val="0073789E"/>
    <w:rsid w:val="00737CE5"/>
    <w:rsid w:val="00737DB0"/>
    <w:rsid w:val="00737EAD"/>
    <w:rsid w:val="00737EE9"/>
    <w:rsid w:val="00740024"/>
    <w:rsid w:val="0074036F"/>
    <w:rsid w:val="007406FC"/>
    <w:rsid w:val="00740E86"/>
    <w:rsid w:val="00740E87"/>
    <w:rsid w:val="00740E98"/>
    <w:rsid w:val="00740FEC"/>
    <w:rsid w:val="00741014"/>
    <w:rsid w:val="00741288"/>
    <w:rsid w:val="00741B45"/>
    <w:rsid w:val="00741CBB"/>
    <w:rsid w:val="007424AA"/>
    <w:rsid w:val="007426E7"/>
    <w:rsid w:val="00742B10"/>
    <w:rsid w:val="00742FEC"/>
    <w:rsid w:val="00743223"/>
    <w:rsid w:val="00743313"/>
    <w:rsid w:val="00743524"/>
    <w:rsid w:val="007436BA"/>
    <w:rsid w:val="00743A36"/>
    <w:rsid w:val="00743CD0"/>
    <w:rsid w:val="00743F12"/>
    <w:rsid w:val="007441A1"/>
    <w:rsid w:val="00744C16"/>
    <w:rsid w:val="00744E4B"/>
    <w:rsid w:val="00744F99"/>
    <w:rsid w:val="0074519F"/>
    <w:rsid w:val="007451B5"/>
    <w:rsid w:val="007451C8"/>
    <w:rsid w:val="007452A1"/>
    <w:rsid w:val="0074531C"/>
    <w:rsid w:val="007455FF"/>
    <w:rsid w:val="00745647"/>
    <w:rsid w:val="00745775"/>
    <w:rsid w:val="00745BF0"/>
    <w:rsid w:val="00745E30"/>
    <w:rsid w:val="00745EA5"/>
    <w:rsid w:val="00745EC1"/>
    <w:rsid w:val="00745FE6"/>
    <w:rsid w:val="00746D53"/>
    <w:rsid w:val="00746E70"/>
    <w:rsid w:val="00747113"/>
    <w:rsid w:val="00747536"/>
    <w:rsid w:val="00747A92"/>
    <w:rsid w:val="00747AAD"/>
    <w:rsid w:val="00750028"/>
    <w:rsid w:val="007503B6"/>
    <w:rsid w:val="00750C41"/>
    <w:rsid w:val="00751300"/>
    <w:rsid w:val="00751876"/>
    <w:rsid w:val="0075196D"/>
    <w:rsid w:val="00751B04"/>
    <w:rsid w:val="00751CB7"/>
    <w:rsid w:val="0075237B"/>
    <w:rsid w:val="0075240F"/>
    <w:rsid w:val="00752693"/>
    <w:rsid w:val="007526B4"/>
    <w:rsid w:val="00752B8D"/>
    <w:rsid w:val="00752CDF"/>
    <w:rsid w:val="00752D92"/>
    <w:rsid w:val="00752E69"/>
    <w:rsid w:val="00753875"/>
    <w:rsid w:val="007538D4"/>
    <w:rsid w:val="00753BC2"/>
    <w:rsid w:val="0075426F"/>
    <w:rsid w:val="0075427D"/>
    <w:rsid w:val="00754367"/>
    <w:rsid w:val="007545C5"/>
    <w:rsid w:val="00754830"/>
    <w:rsid w:val="00754F00"/>
    <w:rsid w:val="00755777"/>
    <w:rsid w:val="007558B4"/>
    <w:rsid w:val="007558C7"/>
    <w:rsid w:val="00756032"/>
    <w:rsid w:val="007565BF"/>
    <w:rsid w:val="0075662A"/>
    <w:rsid w:val="00756633"/>
    <w:rsid w:val="00756B60"/>
    <w:rsid w:val="00756BFF"/>
    <w:rsid w:val="00756F5C"/>
    <w:rsid w:val="0075725F"/>
    <w:rsid w:val="00757C7A"/>
    <w:rsid w:val="00757ECD"/>
    <w:rsid w:val="00757F82"/>
    <w:rsid w:val="00760140"/>
    <w:rsid w:val="007601B7"/>
    <w:rsid w:val="0076021B"/>
    <w:rsid w:val="007605D1"/>
    <w:rsid w:val="00760859"/>
    <w:rsid w:val="0076090E"/>
    <w:rsid w:val="00760AEA"/>
    <w:rsid w:val="00760E49"/>
    <w:rsid w:val="00760FC3"/>
    <w:rsid w:val="007612A1"/>
    <w:rsid w:val="007614DF"/>
    <w:rsid w:val="00761A89"/>
    <w:rsid w:val="00761B91"/>
    <w:rsid w:val="00761C17"/>
    <w:rsid w:val="00761C53"/>
    <w:rsid w:val="00761F29"/>
    <w:rsid w:val="00761F64"/>
    <w:rsid w:val="007620A1"/>
    <w:rsid w:val="007627AF"/>
    <w:rsid w:val="007628F9"/>
    <w:rsid w:val="00762BFB"/>
    <w:rsid w:val="00762E27"/>
    <w:rsid w:val="00762E3B"/>
    <w:rsid w:val="00762F79"/>
    <w:rsid w:val="0076322C"/>
    <w:rsid w:val="00763598"/>
    <w:rsid w:val="0076370E"/>
    <w:rsid w:val="00763A2B"/>
    <w:rsid w:val="00763CA8"/>
    <w:rsid w:val="00764182"/>
    <w:rsid w:val="0076444F"/>
    <w:rsid w:val="0076478E"/>
    <w:rsid w:val="00764A5A"/>
    <w:rsid w:val="00765284"/>
    <w:rsid w:val="007652EE"/>
    <w:rsid w:val="00765A1F"/>
    <w:rsid w:val="00765A9B"/>
    <w:rsid w:val="00765F4C"/>
    <w:rsid w:val="007661D0"/>
    <w:rsid w:val="00766712"/>
    <w:rsid w:val="007667B4"/>
    <w:rsid w:val="0076685E"/>
    <w:rsid w:val="00766A37"/>
    <w:rsid w:val="00766C75"/>
    <w:rsid w:val="00766C77"/>
    <w:rsid w:val="00766DE4"/>
    <w:rsid w:val="00766F68"/>
    <w:rsid w:val="00767054"/>
    <w:rsid w:val="0076734A"/>
    <w:rsid w:val="00767388"/>
    <w:rsid w:val="00767A4E"/>
    <w:rsid w:val="00767AE9"/>
    <w:rsid w:val="00767F54"/>
    <w:rsid w:val="00770465"/>
    <w:rsid w:val="00770744"/>
    <w:rsid w:val="007709DB"/>
    <w:rsid w:val="00770FBC"/>
    <w:rsid w:val="0077116C"/>
    <w:rsid w:val="0077131B"/>
    <w:rsid w:val="00771702"/>
    <w:rsid w:val="00771704"/>
    <w:rsid w:val="00771EA4"/>
    <w:rsid w:val="00772664"/>
    <w:rsid w:val="00772A99"/>
    <w:rsid w:val="00772DCD"/>
    <w:rsid w:val="00772EC1"/>
    <w:rsid w:val="00773060"/>
    <w:rsid w:val="00773331"/>
    <w:rsid w:val="0077355F"/>
    <w:rsid w:val="00773886"/>
    <w:rsid w:val="00774036"/>
    <w:rsid w:val="00774092"/>
    <w:rsid w:val="007742A4"/>
    <w:rsid w:val="007748D2"/>
    <w:rsid w:val="0077495C"/>
    <w:rsid w:val="00774C6E"/>
    <w:rsid w:val="00774EE4"/>
    <w:rsid w:val="0077518C"/>
    <w:rsid w:val="007751C9"/>
    <w:rsid w:val="0077526D"/>
    <w:rsid w:val="007753A9"/>
    <w:rsid w:val="00775401"/>
    <w:rsid w:val="00775404"/>
    <w:rsid w:val="0077553C"/>
    <w:rsid w:val="00775BF9"/>
    <w:rsid w:val="00775DA6"/>
    <w:rsid w:val="00776104"/>
    <w:rsid w:val="0077616A"/>
    <w:rsid w:val="007765A5"/>
    <w:rsid w:val="00776604"/>
    <w:rsid w:val="007771A3"/>
    <w:rsid w:val="0077749B"/>
    <w:rsid w:val="00777945"/>
    <w:rsid w:val="00777CB2"/>
    <w:rsid w:val="00777CEE"/>
    <w:rsid w:val="0078016F"/>
    <w:rsid w:val="00780226"/>
    <w:rsid w:val="007804D2"/>
    <w:rsid w:val="0078056B"/>
    <w:rsid w:val="00781521"/>
    <w:rsid w:val="007816CA"/>
    <w:rsid w:val="007816D8"/>
    <w:rsid w:val="0078189D"/>
    <w:rsid w:val="007818CC"/>
    <w:rsid w:val="007819FE"/>
    <w:rsid w:val="00781AA0"/>
    <w:rsid w:val="00781C8B"/>
    <w:rsid w:val="00781CBF"/>
    <w:rsid w:val="00781E53"/>
    <w:rsid w:val="00782036"/>
    <w:rsid w:val="007824EE"/>
    <w:rsid w:val="00782682"/>
    <w:rsid w:val="0078278D"/>
    <w:rsid w:val="00782A22"/>
    <w:rsid w:val="00782D02"/>
    <w:rsid w:val="00783133"/>
    <w:rsid w:val="007831D7"/>
    <w:rsid w:val="00783860"/>
    <w:rsid w:val="00783B02"/>
    <w:rsid w:val="00783F04"/>
    <w:rsid w:val="00783F41"/>
    <w:rsid w:val="007841FE"/>
    <w:rsid w:val="00784444"/>
    <w:rsid w:val="00784598"/>
    <w:rsid w:val="0078460D"/>
    <w:rsid w:val="0078469F"/>
    <w:rsid w:val="00784D42"/>
    <w:rsid w:val="00784D98"/>
    <w:rsid w:val="00784F6E"/>
    <w:rsid w:val="00784FE9"/>
    <w:rsid w:val="00784FEE"/>
    <w:rsid w:val="0078533B"/>
    <w:rsid w:val="007853EC"/>
    <w:rsid w:val="007854DF"/>
    <w:rsid w:val="007859AC"/>
    <w:rsid w:val="00785A15"/>
    <w:rsid w:val="00785CF8"/>
    <w:rsid w:val="00786196"/>
    <w:rsid w:val="00786266"/>
    <w:rsid w:val="00786805"/>
    <w:rsid w:val="007869FD"/>
    <w:rsid w:val="00786A78"/>
    <w:rsid w:val="00786AC4"/>
    <w:rsid w:val="00786C89"/>
    <w:rsid w:val="007871B0"/>
    <w:rsid w:val="0078736C"/>
    <w:rsid w:val="0078741E"/>
    <w:rsid w:val="00787770"/>
    <w:rsid w:val="00787864"/>
    <w:rsid w:val="00787A21"/>
    <w:rsid w:val="00787A22"/>
    <w:rsid w:val="00787C33"/>
    <w:rsid w:val="00787F15"/>
    <w:rsid w:val="00790224"/>
    <w:rsid w:val="0079087E"/>
    <w:rsid w:val="00790C49"/>
    <w:rsid w:val="00791084"/>
    <w:rsid w:val="007910C7"/>
    <w:rsid w:val="007912EC"/>
    <w:rsid w:val="007913C5"/>
    <w:rsid w:val="0079186B"/>
    <w:rsid w:val="0079193A"/>
    <w:rsid w:val="00791AB4"/>
    <w:rsid w:val="00791D09"/>
    <w:rsid w:val="007920DF"/>
    <w:rsid w:val="0079240F"/>
    <w:rsid w:val="0079252A"/>
    <w:rsid w:val="007929E7"/>
    <w:rsid w:val="00792CC0"/>
    <w:rsid w:val="00792CEE"/>
    <w:rsid w:val="0079310A"/>
    <w:rsid w:val="0079312E"/>
    <w:rsid w:val="0079316B"/>
    <w:rsid w:val="007932EF"/>
    <w:rsid w:val="007932F9"/>
    <w:rsid w:val="007935E0"/>
    <w:rsid w:val="0079363E"/>
    <w:rsid w:val="00793682"/>
    <w:rsid w:val="007937DD"/>
    <w:rsid w:val="00793FC9"/>
    <w:rsid w:val="007942BE"/>
    <w:rsid w:val="00794526"/>
    <w:rsid w:val="007948DF"/>
    <w:rsid w:val="007951DF"/>
    <w:rsid w:val="0079546F"/>
    <w:rsid w:val="007954B6"/>
    <w:rsid w:val="007956AD"/>
    <w:rsid w:val="00795924"/>
    <w:rsid w:val="00795926"/>
    <w:rsid w:val="00795AE4"/>
    <w:rsid w:val="00795B1C"/>
    <w:rsid w:val="00795C7A"/>
    <w:rsid w:val="00795EFC"/>
    <w:rsid w:val="00795FFB"/>
    <w:rsid w:val="00796368"/>
    <w:rsid w:val="007964DE"/>
    <w:rsid w:val="0079661D"/>
    <w:rsid w:val="007968E9"/>
    <w:rsid w:val="007968FE"/>
    <w:rsid w:val="00796A15"/>
    <w:rsid w:val="00796D99"/>
    <w:rsid w:val="007974D1"/>
    <w:rsid w:val="0079757E"/>
    <w:rsid w:val="0079782D"/>
    <w:rsid w:val="00797CAB"/>
    <w:rsid w:val="00797D6B"/>
    <w:rsid w:val="007A0094"/>
    <w:rsid w:val="007A0689"/>
    <w:rsid w:val="007A0777"/>
    <w:rsid w:val="007A0B20"/>
    <w:rsid w:val="007A0E40"/>
    <w:rsid w:val="007A0F69"/>
    <w:rsid w:val="007A11EB"/>
    <w:rsid w:val="007A1282"/>
    <w:rsid w:val="007A15ED"/>
    <w:rsid w:val="007A1867"/>
    <w:rsid w:val="007A1D86"/>
    <w:rsid w:val="007A2063"/>
    <w:rsid w:val="007A20E3"/>
    <w:rsid w:val="007A2111"/>
    <w:rsid w:val="007A219E"/>
    <w:rsid w:val="007A21E4"/>
    <w:rsid w:val="007A25D0"/>
    <w:rsid w:val="007A2695"/>
    <w:rsid w:val="007A28BA"/>
    <w:rsid w:val="007A291C"/>
    <w:rsid w:val="007A2C1D"/>
    <w:rsid w:val="007A3371"/>
    <w:rsid w:val="007A3442"/>
    <w:rsid w:val="007A3956"/>
    <w:rsid w:val="007A4380"/>
    <w:rsid w:val="007A4776"/>
    <w:rsid w:val="007A481A"/>
    <w:rsid w:val="007A5079"/>
    <w:rsid w:val="007A54C4"/>
    <w:rsid w:val="007A57A5"/>
    <w:rsid w:val="007A5801"/>
    <w:rsid w:val="007A595B"/>
    <w:rsid w:val="007A5C4C"/>
    <w:rsid w:val="007A5DB4"/>
    <w:rsid w:val="007A6013"/>
    <w:rsid w:val="007A6307"/>
    <w:rsid w:val="007A6443"/>
    <w:rsid w:val="007A6641"/>
    <w:rsid w:val="007A667C"/>
    <w:rsid w:val="007A6944"/>
    <w:rsid w:val="007A6A7F"/>
    <w:rsid w:val="007A71FB"/>
    <w:rsid w:val="007A7254"/>
    <w:rsid w:val="007A78AC"/>
    <w:rsid w:val="007A7AF4"/>
    <w:rsid w:val="007A7C02"/>
    <w:rsid w:val="007A7F8A"/>
    <w:rsid w:val="007B0048"/>
    <w:rsid w:val="007B025D"/>
    <w:rsid w:val="007B03FC"/>
    <w:rsid w:val="007B0506"/>
    <w:rsid w:val="007B06B8"/>
    <w:rsid w:val="007B0875"/>
    <w:rsid w:val="007B0AEC"/>
    <w:rsid w:val="007B1592"/>
    <w:rsid w:val="007B192E"/>
    <w:rsid w:val="007B1A8F"/>
    <w:rsid w:val="007B210A"/>
    <w:rsid w:val="007B220E"/>
    <w:rsid w:val="007B27FF"/>
    <w:rsid w:val="007B2A5F"/>
    <w:rsid w:val="007B2CA3"/>
    <w:rsid w:val="007B2E48"/>
    <w:rsid w:val="007B2EFD"/>
    <w:rsid w:val="007B3236"/>
    <w:rsid w:val="007B3362"/>
    <w:rsid w:val="007B36D6"/>
    <w:rsid w:val="007B3791"/>
    <w:rsid w:val="007B3BBD"/>
    <w:rsid w:val="007B3C04"/>
    <w:rsid w:val="007B3C49"/>
    <w:rsid w:val="007B3DCA"/>
    <w:rsid w:val="007B448D"/>
    <w:rsid w:val="007B4784"/>
    <w:rsid w:val="007B478F"/>
    <w:rsid w:val="007B48DD"/>
    <w:rsid w:val="007B4922"/>
    <w:rsid w:val="007B4AFA"/>
    <w:rsid w:val="007B4EEB"/>
    <w:rsid w:val="007B4F5D"/>
    <w:rsid w:val="007B50E5"/>
    <w:rsid w:val="007B513C"/>
    <w:rsid w:val="007B557F"/>
    <w:rsid w:val="007B55E6"/>
    <w:rsid w:val="007B567C"/>
    <w:rsid w:val="007B5D87"/>
    <w:rsid w:val="007B5EC2"/>
    <w:rsid w:val="007B5FF9"/>
    <w:rsid w:val="007B607E"/>
    <w:rsid w:val="007B6148"/>
    <w:rsid w:val="007B6417"/>
    <w:rsid w:val="007B6889"/>
    <w:rsid w:val="007B6A02"/>
    <w:rsid w:val="007B6FA6"/>
    <w:rsid w:val="007B70CF"/>
    <w:rsid w:val="007B71E2"/>
    <w:rsid w:val="007B76B6"/>
    <w:rsid w:val="007B7E14"/>
    <w:rsid w:val="007B7F52"/>
    <w:rsid w:val="007B7F96"/>
    <w:rsid w:val="007C01AB"/>
    <w:rsid w:val="007C02D4"/>
    <w:rsid w:val="007C0411"/>
    <w:rsid w:val="007C0475"/>
    <w:rsid w:val="007C086E"/>
    <w:rsid w:val="007C0C1D"/>
    <w:rsid w:val="007C0F71"/>
    <w:rsid w:val="007C1029"/>
    <w:rsid w:val="007C1C18"/>
    <w:rsid w:val="007C1D66"/>
    <w:rsid w:val="007C2177"/>
    <w:rsid w:val="007C2364"/>
    <w:rsid w:val="007C2563"/>
    <w:rsid w:val="007C2564"/>
    <w:rsid w:val="007C2729"/>
    <w:rsid w:val="007C280A"/>
    <w:rsid w:val="007C2AEA"/>
    <w:rsid w:val="007C2C98"/>
    <w:rsid w:val="007C352B"/>
    <w:rsid w:val="007C3834"/>
    <w:rsid w:val="007C3D01"/>
    <w:rsid w:val="007C3D93"/>
    <w:rsid w:val="007C4047"/>
    <w:rsid w:val="007C447F"/>
    <w:rsid w:val="007C4A40"/>
    <w:rsid w:val="007C4B03"/>
    <w:rsid w:val="007C4BBF"/>
    <w:rsid w:val="007C50F5"/>
    <w:rsid w:val="007C52D3"/>
    <w:rsid w:val="007C55DC"/>
    <w:rsid w:val="007C5787"/>
    <w:rsid w:val="007C5B78"/>
    <w:rsid w:val="007C5F0E"/>
    <w:rsid w:val="007C6299"/>
    <w:rsid w:val="007C68E8"/>
    <w:rsid w:val="007C6FDB"/>
    <w:rsid w:val="007C7528"/>
    <w:rsid w:val="007C7536"/>
    <w:rsid w:val="007C7D47"/>
    <w:rsid w:val="007C7EBC"/>
    <w:rsid w:val="007CFBD7"/>
    <w:rsid w:val="007D00ED"/>
    <w:rsid w:val="007D020A"/>
    <w:rsid w:val="007D0527"/>
    <w:rsid w:val="007D0CB4"/>
    <w:rsid w:val="007D185A"/>
    <w:rsid w:val="007D1AB1"/>
    <w:rsid w:val="007D1ED0"/>
    <w:rsid w:val="007D2068"/>
    <w:rsid w:val="007D2084"/>
    <w:rsid w:val="007D26B1"/>
    <w:rsid w:val="007D2918"/>
    <w:rsid w:val="007D2F91"/>
    <w:rsid w:val="007D309A"/>
    <w:rsid w:val="007D322B"/>
    <w:rsid w:val="007D3336"/>
    <w:rsid w:val="007D344C"/>
    <w:rsid w:val="007D3B24"/>
    <w:rsid w:val="007D3E21"/>
    <w:rsid w:val="007D428B"/>
    <w:rsid w:val="007D42B5"/>
    <w:rsid w:val="007D47E5"/>
    <w:rsid w:val="007D50F5"/>
    <w:rsid w:val="007D5248"/>
    <w:rsid w:val="007D540D"/>
    <w:rsid w:val="007D580C"/>
    <w:rsid w:val="007D58D2"/>
    <w:rsid w:val="007D5B96"/>
    <w:rsid w:val="007D5C3B"/>
    <w:rsid w:val="007D5CBE"/>
    <w:rsid w:val="007D5CDC"/>
    <w:rsid w:val="007D5D14"/>
    <w:rsid w:val="007D5F6D"/>
    <w:rsid w:val="007D60DC"/>
    <w:rsid w:val="007D615E"/>
    <w:rsid w:val="007D6560"/>
    <w:rsid w:val="007D66AC"/>
    <w:rsid w:val="007D66D5"/>
    <w:rsid w:val="007D6FB7"/>
    <w:rsid w:val="007D728D"/>
    <w:rsid w:val="007D734D"/>
    <w:rsid w:val="007D743F"/>
    <w:rsid w:val="007D7712"/>
    <w:rsid w:val="007D7941"/>
    <w:rsid w:val="007D7F79"/>
    <w:rsid w:val="007D8129"/>
    <w:rsid w:val="007E0295"/>
    <w:rsid w:val="007E034E"/>
    <w:rsid w:val="007E042B"/>
    <w:rsid w:val="007E04D8"/>
    <w:rsid w:val="007E05B0"/>
    <w:rsid w:val="007E08D0"/>
    <w:rsid w:val="007E094D"/>
    <w:rsid w:val="007E0C53"/>
    <w:rsid w:val="007E0C6D"/>
    <w:rsid w:val="007E0DD8"/>
    <w:rsid w:val="007E0F7B"/>
    <w:rsid w:val="007E10B3"/>
    <w:rsid w:val="007E13BD"/>
    <w:rsid w:val="007E17F4"/>
    <w:rsid w:val="007E1C26"/>
    <w:rsid w:val="007E1D3E"/>
    <w:rsid w:val="007E2C5B"/>
    <w:rsid w:val="007E2DEB"/>
    <w:rsid w:val="007E2E6E"/>
    <w:rsid w:val="007E316F"/>
    <w:rsid w:val="007E383D"/>
    <w:rsid w:val="007E3C23"/>
    <w:rsid w:val="007E3C35"/>
    <w:rsid w:val="007E3FFD"/>
    <w:rsid w:val="007E4110"/>
    <w:rsid w:val="007E4471"/>
    <w:rsid w:val="007E473F"/>
    <w:rsid w:val="007E48E3"/>
    <w:rsid w:val="007E4DEA"/>
    <w:rsid w:val="007E4F8B"/>
    <w:rsid w:val="007E5020"/>
    <w:rsid w:val="007E5342"/>
    <w:rsid w:val="007E5591"/>
    <w:rsid w:val="007E567C"/>
    <w:rsid w:val="007E5B02"/>
    <w:rsid w:val="007E5D60"/>
    <w:rsid w:val="007E5D86"/>
    <w:rsid w:val="007E603F"/>
    <w:rsid w:val="007E6051"/>
    <w:rsid w:val="007E614C"/>
    <w:rsid w:val="007E6425"/>
    <w:rsid w:val="007E64FF"/>
    <w:rsid w:val="007E71DE"/>
    <w:rsid w:val="007E736B"/>
    <w:rsid w:val="007E736D"/>
    <w:rsid w:val="007E741D"/>
    <w:rsid w:val="007E754D"/>
    <w:rsid w:val="007E7550"/>
    <w:rsid w:val="007E763D"/>
    <w:rsid w:val="007E77B4"/>
    <w:rsid w:val="007E7F9D"/>
    <w:rsid w:val="007F0224"/>
    <w:rsid w:val="007F02A2"/>
    <w:rsid w:val="007F02C8"/>
    <w:rsid w:val="007F0720"/>
    <w:rsid w:val="007F076C"/>
    <w:rsid w:val="007F0B65"/>
    <w:rsid w:val="007F0CD8"/>
    <w:rsid w:val="007F0D7A"/>
    <w:rsid w:val="007F0E26"/>
    <w:rsid w:val="007F0E2A"/>
    <w:rsid w:val="007F0FBD"/>
    <w:rsid w:val="007F14E3"/>
    <w:rsid w:val="007F15B3"/>
    <w:rsid w:val="007F1AA8"/>
    <w:rsid w:val="007F1B5C"/>
    <w:rsid w:val="007F1FCB"/>
    <w:rsid w:val="007F1FFB"/>
    <w:rsid w:val="007F2280"/>
    <w:rsid w:val="007F25E4"/>
    <w:rsid w:val="007F26B7"/>
    <w:rsid w:val="007F27A2"/>
    <w:rsid w:val="007F27B4"/>
    <w:rsid w:val="007F2999"/>
    <w:rsid w:val="007F2B47"/>
    <w:rsid w:val="007F2B6C"/>
    <w:rsid w:val="007F2C3E"/>
    <w:rsid w:val="007F337C"/>
    <w:rsid w:val="007F3746"/>
    <w:rsid w:val="007F37D7"/>
    <w:rsid w:val="007F39B2"/>
    <w:rsid w:val="007F3F01"/>
    <w:rsid w:val="007F4257"/>
    <w:rsid w:val="007F4392"/>
    <w:rsid w:val="007F459E"/>
    <w:rsid w:val="007F45C5"/>
    <w:rsid w:val="007F494A"/>
    <w:rsid w:val="007F49BB"/>
    <w:rsid w:val="007F4B52"/>
    <w:rsid w:val="007F557C"/>
    <w:rsid w:val="007F5652"/>
    <w:rsid w:val="007F57D3"/>
    <w:rsid w:val="007F5A5B"/>
    <w:rsid w:val="007F5D61"/>
    <w:rsid w:val="007F6241"/>
    <w:rsid w:val="007F6287"/>
    <w:rsid w:val="007F67E0"/>
    <w:rsid w:val="007F6810"/>
    <w:rsid w:val="007F6C0F"/>
    <w:rsid w:val="007F6FA2"/>
    <w:rsid w:val="007F7140"/>
    <w:rsid w:val="007F726D"/>
    <w:rsid w:val="007F7309"/>
    <w:rsid w:val="007F7353"/>
    <w:rsid w:val="007F75D8"/>
    <w:rsid w:val="007F7847"/>
    <w:rsid w:val="007F7B65"/>
    <w:rsid w:val="007F7C74"/>
    <w:rsid w:val="007F7EE1"/>
    <w:rsid w:val="00800648"/>
    <w:rsid w:val="008006CB"/>
    <w:rsid w:val="008008D1"/>
    <w:rsid w:val="0080098E"/>
    <w:rsid w:val="00800A71"/>
    <w:rsid w:val="008010D8"/>
    <w:rsid w:val="00801764"/>
    <w:rsid w:val="00801A39"/>
    <w:rsid w:val="00801A76"/>
    <w:rsid w:val="00801B1C"/>
    <w:rsid w:val="0080219A"/>
    <w:rsid w:val="008021AE"/>
    <w:rsid w:val="00802739"/>
    <w:rsid w:val="008027E8"/>
    <w:rsid w:val="0080291E"/>
    <w:rsid w:val="00802C69"/>
    <w:rsid w:val="00802C7D"/>
    <w:rsid w:val="0080310E"/>
    <w:rsid w:val="0080336D"/>
    <w:rsid w:val="0080344F"/>
    <w:rsid w:val="00803B6F"/>
    <w:rsid w:val="00803CC4"/>
    <w:rsid w:val="00803EA2"/>
    <w:rsid w:val="008040E9"/>
    <w:rsid w:val="00804374"/>
    <w:rsid w:val="00804503"/>
    <w:rsid w:val="00804809"/>
    <w:rsid w:val="008048F7"/>
    <w:rsid w:val="00804CB6"/>
    <w:rsid w:val="00804D49"/>
    <w:rsid w:val="00804EEF"/>
    <w:rsid w:val="008052B3"/>
    <w:rsid w:val="00805338"/>
    <w:rsid w:val="00805574"/>
    <w:rsid w:val="008055C8"/>
    <w:rsid w:val="008056C3"/>
    <w:rsid w:val="00805783"/>
    <w:rsid w:val="00805B85"/>
    <w:rsid w:val="00806004"/>
    <w:rsid w:val="0080641D"/>
    <w:rsid w:val="00806582"/>
    <w:rsid w:val="008066A6"/>
    <w:rsid w:val="008069B3"/>
    <w:rsid w:val="00806F2E"/>
    <w:rsid w:val="008070BE"/>
    <w:rsid w:val="00807431"/>
    <w:rsid w:val="00807858"/>
    <w:rsid w:val="0080794B"/>
    <w:rsid w:val="00807F41"/>
    <w:rsid w:val="0081014B"/>
    <w:rsid w:val="0081071A"/>
    <w:rsid w:val="0081079B"/>
    <w:rsid w:val="008108C4"/>
    <w:rsid w:val="00810C87"/>
    <w:rsid w:val="00810D66"/>
    <w:rsid w:val="00810F79"/>
    <w:rsid w:val="008111A0"/>
    <w:rsid w:val="0081148E"/>
    <w:rsid w:val="00811650"/>
    <w:rsid w:val="00811759"/>
    <w:rsid w:val="00811A5E"/>
    <w:rsid w:val="00811ED3"/>
    <w:rsid w:val="00812430"/>
    <w:rsid w:val="0081276B"/>
    <w:rsid w:val="00812AC9"/>
    <w:rsid w:val="00812E5B"/>
    <w:rsid w:val="0081314F"/>
    <w:rsid w:val="00813265"/>
    <w:rsid w:val="00813368"/>
    <w:rsid w:val="00813B58"/>
    <w:rsid w:val="00813C25"/>
    <w:rsid w:val="00813DC7"/>
    <w:rsid w:val="00813DED"/>
    <w:rsid w:val="0081402F"/>
    <w:rsid w:val="00814205"/>
    <w:rsid w:val="00814369"/>
    <w:rsid w:val="008144FF"/>
    <w:rsid w:val="00814960"/>
    <w:rsid w:val="008149C4"/>
    <w:rsid w:val="00814BE7"/>
    <w:rsid w:val="00815118"/>
    <w:rsid w:val="008151A9"/>
    <w:rsid w:val="00815324"/>
    <w:rsid w:val="008153CF"/>
    <w:rsid w:val="00815738"/>
    <w:rsid w:val="0081578F"/>
    <w:rsid w:val="0081599F"/>
    <w:rsid w:val="00815B4B"/>
    <w:rsid w:val="00815C18"/>
    <w:rsid w:val="00815DC9"/>
    <w:rsid w:val="00815DE4"/>
    <w:rsid w:val="0081611F"/>
    <w:rsid w:val="00816482"/>
    <w:rsid w:val="00816565"/>
    <w:rsid w:val="00816823"/>
    <w:rsid w:val="00816ADE"/>
    <w:rsid w:val="00816C98"/>
    <w:rsid w:val="0081702A"/>
    <w:rsid w:val="0081722B"/>
    <w:rsid w:val="00817358"/>
    <w:rsid w:val="00817A94"/>
    <w:rsid w:val="008202A8"/>
    <w:rsid w:val="00820305"/>
    <w:rsid w:val="00820346"/>
    <w:rsid w:val="0082068C"/>
    <w:rsid w:val="00821078"/>
    <w:rsid w:val="00821473"/>
    <w:rsid w:val="0082155C"/>
    <w:rsid w:val="008218AF"/>
    <w:rsid w:val="00821A2C"/>
    <w:rsid w:val="00821F64"/>
    <w:rsid w:val="00821FEB"/>
    <w:rsid w:val="0082215D"/>
    <w:rsid w:val="008224FC"/>
    <w:rsid w:val="008225DB"/>
    <w:rsid w:val="00822CDF"/>
    <w:rsid w:val="00823148"/>
    <w:rsid w:val="0082380B"/>
    <w:rsid w:val="008238A8"/>
    <w:rsid w:val="008239C3"/>
    <w:rsid w:val="00823A45"/>
    <w:rsid w:val="00823A95"/>
    <w:rsid w:val="00823B56"/>
    <w:rsid w:val="00823E7D"/>
    <w:rsid w:val="00823F6A"/>
    <w:rsid w:val="00824182"/>
    <w:rsid w:val="00824516"/>
    <w:rsid w:val="008247E9"/>
    <w:rsid w:val="008248AD"/>
    <w:rsid w:val="00824A46"/>
    <w:rsid w:val="00824F7C"/>
    <w:rsid w:val="008250A7"/>
    <w:rsid w:val="008250F8"/>
    <w:rsid w:val="00825603"/>
    <w:rsid w:val="00825894"/>
    <w:rsid w:val="00825A95"/>
    <w:rsid w:val="008260E0"/>
    <w:rsid w:val="00826379"/>
    <w:rsid w:val="0082641E"/>
    <w:rsid w:val="0082647B"/>
    <w:rsid w:val="00826614"/>
    <w:rsid w:val="0082698E"/>
    <w:rsid w:val="00826E4D"/>
    <w:rsid w:val="00826E51"/>
    <w:rsid w:val="00827092"/>
    <w:rsid w:val="008271E1"/>
    <w:rsid w:val="00827511"/>
    <w:rsid w:val="00827545"/>
    <w:rsid w:val="00827590"/>
    <w:rsid w:val="00827621"/>
    <w:rsid w:val="00827BDF"/>
    <w:rsid w:val="00827D4C"/>
    <w:rsid w:val="00830034"/>
    <w:rsid w:val="0083063C"/>
    <w:rsid w:val="0083079E"/>
    <w:rsid w:val="00830857"/>
    <w:rsid w:val="0083100B"/>
    <w:rsid w:val="0083101F"/>
    <w:rsid w:val="0083123D"/>
    <w:rsid w:val="00831541"/>
    <w:rsid w:val="00831653"/>
    <w:rsid w:val="0083188E"/>
    <w:rsid w:val="00831894"/>
    <w:rsid w:val="008319A1"/>
    <w:rsid w:val="00831C81"/>
    <w:rsid w:val="00831E44"/>
    <w:rsid w:val="00832057"/>
    <w:rsid w:val="00832839"/>
    <w:rsid w:val="00832CBB"/>
    <w:rsid w:val="008334FA"/>
    <w:rsid w:val="00833777"/>
    <w:rsid w:val="008337F1"/>
    <w:rsid w:val="00833FFD"/>
    <w:rsid w:val="00834322"/>
    <w:rsid w:val="0083497D"/>
    <w:rsid w:val="00834E5B"/>
    <w:rsid w:val="00834F53"/>
    <w:rsid w:val="00834FE4"/>
    <w:rsid w:val="00834FED"/>
    <w:rsid w:val="0083522C"/>
    <w:rsid w:val="0083535B"/>
    <w:rsid w:val="008355BE"/>
    <w:rsid w:val="0083586C"/>
    <w:rsid w:val="0083607E"/>
    <w:rsid w:val="0083608E"/>
    <w:rsid w:val="0083613A"/>
    <w:rsid w:val="0083625C"/>
    <w:rsid w:val="008363E0"/>
    <w:rsid w:val="0083640F"/>
    <w:rsid w:val="0083659A"/>
    <w:rsid w:val="0083675B"/>
    <w:rsid w:val="008368EC"/>
    <w:rsid w:val="00836A27"/>
    <w:rsid w:val="00836CE4"/>
    <w:rsid w:val="00836E51"/>
    <w:rsid w:val="00836E79"/>
    <w:rsid w:val="00836F6C"/>
    <w:rsid w:val="008374A0"/>
    <w:rsid w:val="008377AD"/>
    <w:rsid w:val="00837EA9"/>
    <w:rsid w:val="008404AE"/>
    <w:rsid w:val="0084063F"/>
    <w:rsid w:val="0084064A"/>
    <w:rsid w:val="00840D86"/>
    <w:rsid w:val="008412C4"/>
    <w:rsid w:val="008412D6"/>
    <w:rsid w:val="008413A5"/>
    <w:rsid w:val="00841D1D"/>
    <w:rsid w:val="00841E9E"/>
    <w:rsid w:val="00841F6A"/>
    <w:rsid w:val="008424E3"/>
    <w:rsid w:val="00842504"/>
    <w:rsid w:val="00842934"/>
    <w:rsid w:val="00842D29"/>
    <w:rsid w:val="008431D6"/>
    <w:rsid w:val="008433EC"/>
    <w:rsid w:val="00843F40"/>
    <w:rsid w:val="0084411D"/>
    <w:rsid w:val="008441E2"/>
    <w:rsid w:val="008450B8"/>
    <w:rsid w:val="00845345"/>
    <w:rsid w:val="00845376"/>
    <w:rsid w:val="008456E4"/>
    <w:rsid w:val="00845702"/>
    <w:rsid w:val="00845AD0"/>
    <w:rsid w:val="008462E6"/>
    <w:rsid w:val="00846D3E"/>
    <w:rsid w:val="00846DCC"/>
    <w:rsid w:val="00846EF8"/>
    <w:rsid w:val="0084759C"/>
    <w:rsid w:val="008477F1"/>
    <w:rsid w:val="00847896"/>
    <w:rsid w:val="00847AAE"/>
    <w:rsid w:val="00847B12"/>
    <w:rsid w:val="00847C15"/>
    <w:rsid w:val="0084DEE8"/>
    <w:rsid w:val="0085027D"/>
    <w:rsid w:val="00850480"/>
    <w:rsid w:val="00850574"/>
    <w:rsid w:val="0085069A"/>
    <w:rsid w:val="00850974"/>
    <w:rsid w:val="008511A7"/>
    <w:rsid w:val="008513EA"/>
    <w:rsid w:val="00851593"/>
    <w:rsid w:val="0085160E"/>
    <w:rsid w:val="0085169F"/>
    <w:rsid w:val="0085183C"/>
    <w:rsid w:val="00851A18"/>
    <w:rsid w:val="00852293"/>
    <w:rsid w:val="00852698"/>
    <w:rsid w:val="008526DC"/>
    <w:rsid w:val="008530E1"/>
    <w:rsid w:val="0085344C"/>
    <w:rsid w:val="008534AA"/>
    <w:rsid w:val="008534B0"/>
    <w:rsid w:val="008536B4"/>
    <w:rsid w:val="00853843"/>
    <w:rsid w:val="00853C54"/>
    <w:rsid w:val="00853E27"/>
    <w:rsid w:val="00853FED"/>
    <w:rsid w:val="008541D5"/>
    <w:rsid w:val="008542FB"/>
    <w:rsid w:val="00854304"/>
    <w:rsid w:val="008543B6"/>
    <w:rsid w:val="008543ED"/>
    <w:rsid w:val="0085470B"/>
    <w:rsid w:val="00854855"/>
    <w:rsid w:val="00854A9F"/>
    <w:rsid w:val="008550C9"/>
    <w:rsid w:val="00855FF7"/>
    <w:rsid w:val="00856251"/>
    <w:rsid w:val="008564E4"/>
    <w:rsid w:val="008568E3"/>
    <w:rsid w:val="008569FE"/>
    <w:rsid w:val="00856A21"/>
    <w:rsid w:val="00856BD4"/>
    <w:rsid w:val="00856C8A"/>
    <w:rsid w:val="00856CB8"/>
    <w:rsid w:val="00857446"/>
    <w:rsid w:val="00857656"/>
    <w:rsid w:val="0085768A"/>
    <w:rsid w:val="0085776D"/>
    <w:rsid w:val="00857812"/>
    <w:rsid w:val="00857C24"/>
    <w:rsid w:val="00857C41"/>
    <w:rsid w:val="00857FAF"/>
    <w:rsid w:val="00860185"/>
    <w:rsid w:val="008603AF"/>
    <w:rsid w:val="00860421"/>
    <w:rsid w:val="0086058F"/>
    <w:rsid w:val="008609B6"/>
    <w:rsid w:val="00860B34"/>
    <w:rsid w:val="00860CAA"/>
    <w:rsid w:val="008614FE"/>
    <w:rsid w:val="0086177D"/>
    <w:rsid w:val="008617BF"/>
    <w:rsid w:val="0086185C"/>
    <w:rsid w:val="00861BE3"/>
    <w:rsid w:val="00861D90"/>
    <w:rsid w:val="00861EA1"/>
    <w:rsid w:val="00861F32"/>
    <w:rsid w:val="00861F5A"/>
    <w:rsid w:val="008620A6"/>
    <w:rsid w:val="00862115"/>
    <w:rsid w:val="0086234B"/>
    <w:rsid w:val="00862443"/>
    <w:rsid w:val="00862DC5"/>
    <w:rsid w:val="00862DF6"/>
    <w:rsid w:val="008631C1"/>
    <w:rsid w:val="00863222"/>
    <w:rsid w:val="008632E2"/>
    <w:rsid w:val="008633C9"/>
    <w:rsid w:val="0086376F"/>
    <w:rsid w:val="00863AFB"/>
    <w:rsid w:val="00863DDF"/>
    <w:rsid w:val="00863FDF"/>
    <w:rsid w:val="00864406"/>
    <w:rsid w:val="00864653"/>
    <w:rsid w:val="00864951"/>
    <w:rsid w:val="00864A25"/>
    <w:rsid w:val="00864A33"/>
    <w:rsid w:val="00864ABF"/>
    <w:rsid w:val="00864E6F"/>
    <w:rsid w:val="00864F19"/>
    <w:rsid w:val="008657C7"/>
    <w:rsid w:val="008657F6"/>
    <w:rsid w:val="00865FA4"/>
    <w:rsid w:val="00866231"/>
    <w:rsid w:val="008662DB"/>
    <w:rsid w:val="00866FF7"/>
    <w:rsid w:val="008675A4"/>
    <w:rsid w:val="0086767C"/>
    <w:rsid w:val="008678AC"/>
    <w:rsid w:val="0086792E"/>
    <w:rsid w:val="00867EDB"/>
    <w:rsid w:val="0087001D"/>
    <w:rsid w:val="00870227"/>
    <w:rsid w:val="00870355"/>
    <w:rsid w:val="00870A1A"/>
    <w:rsid w:val="00870B40"/>
    <w:rsid w:val="00870B7F"/>
    <w:rsid w:val="00870CEB"/>
    <w:rsid w:val="00871634"/>
    <w:rsid w:val="0087174E"/>
    <w:rsid w:val="008719CF"/>
    <w:rsid w:val="00871F58"/>
    <w:rsid w:val="0087265B"/>
    <w:rsid w:val="0087279E"/>
    <w:rsid w:val="008727FB"/>
    <w:rsid w:val="008729FE"/>
    <w:rsid w:val="00872E26"/>
    <w:rsid w:val="00873335"/>
    <w:rsid w:val="0087340A"/>
    <w:rsid w:val="008735B3"/>
    <w:rsid w:val="0087377D"/>
    <w:rsid w:val="00873A97"/>
    <w:rsid w:val="00873B1F"/>
    <w:rsid w:val="00874091"/>
    <w:rsid w:val="008740B5"/>
    <w:rsid w:val="008742ED"/>
    <w:rsid w:val="00874690"/>
    <w:rsid w:val="008746FA"/>
    <w:rsid w:val="0087480E"/>
    <w:rsid w:val="00874C4F"/>
    <w:rsid w:val="00874CC3"/>
    <w:rsid w:val="00874D22"/>
    <w:rsid w:val="00874D3D"/>
    <w:rsid w:val="008755D2"/>
    <w:rsid w:val="008755E3"/>
    <w:rsid w:val="0087563C"/>
    <w:rsid w:val="00875A52"/>
    <w:rsid w:val="00876172"/>
    <w:rsid w:val="008763B6"/>
    <w:rsid w:val="00876677"/>
    <w:rsid w:val="008766BB"/>
    <w:rsid w:val="00876831"/>
    <w:rsid w:val="008768D1"/>
    <w:rsid w:val="00876AFB"/>
    <w:rsid w:val="00876E01"/>
    <w:rsid w:val="00876E62"/>
    <w:rsid w:val="008772C2"/>
    <w:rsid w:val="0087744F"/>
    <w:rsid w:val="00877ADA"/>
    <w:rsid w:val="00877DB7"/>
    <w:rsid w:val="00877DCA"/>
    <w:rsid w:val="00877E56"/>
    <w:rsid w:val="00880058"/>
    <w:rsid w:val="00880097"/>
    <w:rsid w:val="0088019C"/>
    <w:rsid w:val="008802CD"/>
    <w:rsid w:val="00880422"/>
    <w:rsid w:val="00880624"/>
    <w:rsid w:val="00880887"/>
    <w:rsid w:val="00880BCD"/>
    <w:rsid w:val="00880DCC"/>
    <w:rsid w:val="008812CC"/>
    <w:rsid w:val="0088135E"/>
    <w:rsid w:val="00881363"/>
    <w:rsid w:val="008815E7"/>
    <w:rsid w:val="00881951"/>
    <w:rsid w:val="00881D3A"/>
    <w:rsid w:val="00881E07"/>
    <w:rsid w:val="00881F4F"/>
    <w:rsid w:val="00881FEE"/>
    <w:rsid w:val="008821EE"/>
    <w:rsid w:val="00882388"/>
    <w:rsid w:val="008823A4"/>
    <w:rsid w:val="008824A6"/>
    <w:rsid w:val="00882D1B"/>
    <w:rsid w:val="00882DD6"/>
    <w:rsid w:val="00882DEB"/>
    <w:rsid w:val="00882F3F"/>
    <w:rsid w:val="00883636"/>
    <w:rsid w:val="0088363C"/>
    <w:rsid w:val="00883F73"/>
    <w:rsid w:val="008841FE"/>
    <w:rsid w:val="00884347"/>
    <w:rsid w:val="0088435E"/>
    <w:rsid w:val="00884B4A"/>
    <w:rsid w:val="00885457"/>
    <w:rsid w:val="0088547F"/>
    <w:rsid w:val="008856C6"/>
    <w:rsid w:val="00885978"/>
    <w:rsid w:val="00885E06"/>
    <w:rsid w:val="00885E39"/>
    <w:rsid w:val="00885EE9"/>
    <w:rsid w:val="008865D1"/>
    <w:rsid w:val="008866B6"/>
    <w:rsid w:val="0088687A"/>
    <w:rsid w:val="008869C9"/>
    <w:rsid w:val="00886D57"/>
    <w:rsid w:val="00886F5C"/>
    <w:rsid w:val="00886F5F"/>
    <w:rsid w:val="0088782B"/>
    <w:rsid w:val="00887C18"/>
    <w:rsid w:val="00887D04"/>
    <w:rsid w:val="008900A7"/>
    <w:rsid w:val="00890154"/>
    <w:rsid w:val="008905A4"/>
    <w:rsid w:val="0089093F"/>
    <w:rsid w:val="00890ADF"/>
    <w:rsid w:val="00890BA4"/>
    <w:rsid w:val="00891504"/>
    <w:rsid w:val="008917BE"/>
    <w:rsid w:val="00891DC7"/>
    <w:rsid w:val="00891EB0"/>
    <w:rsid w:val="00892054"/>
    <w:rsid w:val="0089272E"/>
    <w:rsid w:val="00892945"/>
    <w:rsid w:val="00892A61"/>
    <w:rsid w:val="00892AE5"/>
    <w:rsid w:val="00892E7E"/>
    <w:rsid w:val="0089311A"/>
    <w:rsid w:val="00893916"/>
    <w:rsid w:val="00893D5A"/>
    <w:rsid w:val="00893D9D"/>
    <w:rsid w:val="00893E75"/>
    <w:rsid w:val="00894127"/>
    <w:rsid w:val="008944E6"/>
    <w:rsid w:val="0089454A"/>
    <w:rsid w:val="00894723"/>
    <w:rsid w:val="00895224"/>
    <w:rsid w:val="00895700"/>
    <w:rsid w:val="00895C21"/>
    <w:rsid w:val="00895C3A"/>
    <w:rsid w:val="00895C5A"/>
    <w:rsid w:val="00895F91"/>
    <w:rsid w:val="00896643"/>
    <w:rsid w:val="00896817"/>
    <w:rsid w:val="00896902"/>
    <w:rsid w:val="00896C6C"/>
    <w:rsid w:val="0089711A"/>
    <w:rsid w:val="00897177"/>
    <w:rsid w:val="00897678"/>
    <w:rsid w:val="00897952"/>
    <w:rsid w:val="00897D23"/>
    <w:rsid w:val="00897D3D"/>
    <w:rsid w:val="0089F6BF"/>
    <w:rsid w:val="008A0231"/>
    <w:rsid w:val="008A0246"/>
    <w:rsid w:val="008A0464"/>
    <w:rsid w:val="008A0694"/>
    <w:rsid w:val="008A075C"/>
    <w:rsid w:val="008A09DE"/>
    <w:rsid w:val="008A0CD0"/>
    <w:rsid w:val="008A1290"/>
    <w:rsid w:val="008A1573"/>
    <w:rsid w:val="008A17FD"/>
    <w:rsid w:val="008A1C7E"/>
    <w:rsid w:val="008A1E91"/>
    <w:rsid w:val="008A1F5A"/>
    <w:rsid w:val="008A1FC2"/>
    <w:rsid w:val="008A20C4"/>
    <w:rsid w:val="008A228E"/>
    <w:rsid w:val="008A22B1"/>
    <w:rsid w:val="008A25FF"/>
    <w:rsid w:val="008A28E9"/>
    <w:rsid w:val="008A2914"/>
    <w:rsid w:val="008A2BBC"/>
    <w:rsid w:val="008A2BE2"/>
    <w:rsid w:val="008A3231"/>
    <w:rsid w:val="008A3B70"/>
    <w:rsid w:val="008A4133"/>
    <w:rsid w:val="008A4406"/>
    <w:rsid w:val="008A4D85"/>
    <w:rsid w:val="008A5071"/>
    <w:rsid w:val="008A5604"/>
    <w:rsid w:val="008A5606"/>
    <w:rsid w:val="008A5CCD"/>
    <w:rsid w:val="008A5E60"/>
    <w:rsid w:val="008A5FF9"/>
    <w:rsid w:val="008A6169"/>
    <w:rsid w:val="008A653F"/>
    <w:rsid w:val="008A6651"/>
    <w:rsid w:val="008A6680"/>
    <w:rsid w:val="008A6700"/>
    <w:rsid w:val="008A6C43"/>
    <w:rsid w:val="008A6D73"/>
    <w:rsid w:val="008A6F7D"/>
    <w:rsid w:val="008A722D"/>
    <w:rsid w:val="008A7230"/>
    <w:rsid w:val="008A72C8"/>
    <w:rsid w:val="008A731C"/>
    <w:rsid w:val="008A768B"/>
    <w:rsid w:val="008A7755"/>
    <w:rsid w:val="008A77C4"/>
    <w:rsid w:val="008A7827"/>
    <w:rsid w:val="008A78E2"/>
    <w:rsid w:val="008A7B15"/>
    <w:rsid w:val="008B0011"/>
    <w:rsid w:val="008B047F"/>
    <w:rsid w:val="008B10C2"/>
    <w:rsid w:val="008B1A93"/>
    <w:rsid w:val="008B1AF3"/>
    <w:rsid w:val="008B1C33"/>
    <w:rsid w:val="008B1CFB"/>
    <w:rsid w:val="008B227F"/>
    <w:rsid w:val="008B24DE"/>
    <w:rsid w:val="008B29D7"/>
    <w:rsid w:val="008B2AF2"/>
    <w:rsid w:val="008B2BF7"/>
    <w:rsid w:val="008B2DCE"/>
    <w:rsid w:val="008B30D3"/>
    <w:rsid w:val="008B3517"/>
    <w:rsid w:val="008B35DB"/>
    <w:rsid w:val="008B36E2"/>
    <w:rsid w:val="008B37FB"/>
    <w:rsid w:val="008B3A25"/>
    <w:rsid w:val="008B3C35"/>
    <w:rsid w:val="008B3E72"/>
    <w:rsid w:val="008B402B"/>
    <w:rsid w:val="008B43B5"/>
    <w:rsid w:val="008B46BE"/>
    <w:rsid w:val="008B4923"/>
    <w:rsid w:val="008B4B64"/>
    <w:rsid w:val="008B4B85"/>
    <w:rsid w:val="008B4D06"/>
    <w:rsid w:val="008B4D54"/>
    <w:rsid w:val="008B4E16"/>
    <w:rsid w:val="008B5399"/>
    <w:rsid w:val="008B53C0"/>
    <w:rsid w:val="008B55D6"/>
    <w:rsid w:val="008B5601"/>
    <w:rsid w:val="008B573C"/>
    <w:rsid w:val="008B59B2"/>
    <w:rsid w:val="008B59F7"/>
    <w:rsid w:val="008B5A3A"/>
    <w:rsid w:val="008B5A83"/>
    <w:rsid w:val="008B5A8B"/>
    <w:rsid w:val="008B5D6A"/>
    <w:rsid w:val="008B5D97"/>
    <w:rsid w:val="008B6329"/>
    <w:rsid w:val="008B684F"/>
    <w:rsid w:val="008B6AD2"/>
    <w:rsid w:val="008B703E"/>
    <w:rsid w:val="008B715E"/>
    <w:rsid w:val="008B7301"/>
    <w:rsid w:val="008B736A"/>
    <w:rsid w:val="008B738D"/>
    <w:rsid w:val="008B74CC"/>
    <w:rsid w:val="008B79E4"/>
    <w:rsid w:val="008B7E1C"/>
    <w:rsid w:val="008C04A2"/>
    <w:rsid w:val="008C082E"/>
    <w:rsid w:val="008C08DE"/>
    <w:rsid w:val="008C098F"/>
    <w:rsid w:val="008C0AAC"/>
    <w:rsid w:val="008C0B3C"/>
    <w:rsid w:val="008C0C2F"/>
    <w:rsid w:val="008C12F5"/>
    <w:rsid w:val="008C16A5"/>
    <w:rsid w:val="008C17DE"/>
    <w:rsid w:val="008C18BD"/>
    <w:rsid w:val="008C18E0"/>
    <w:rsid w:val="008C18EB"/>
    <w:rsid w:val="008C1D12"/>
    <w:rsid w:val="008C2255"/>
    <w:rsid w:val="008C239A"/>
    <w:rsid w:val="008C28A4"/>
    <w:rsid w:val="008C29F6"/>
    <w:rsid w:val="008C2B54"/>
    <w:rsid w:val="008C2B73"/>
    <w:rsid w:val="008C2E56"/>
    <w:rsid w:val="008C2ECC"/>
    <w:rsid w:val="008C32F1"/>
    <w:rsid w:val="008C32FD"/>
    <w:rsid w:val="008C3350"/>
    <w:rsid w:val="008C3828"/>
    <w:rsid w:val="008C38ED"/>
    <w:rsid w:val="008C3919"/>
    <w:rsid w:val="008C40F5"/>
    <w:rsid w:val="008C41C1"/>
    <w:rsid w:val="008C4981"/>
    <w:rsid w:val="008C4E35"/>
    <w:rsid w:val="008C4E4C"/>
    <w:rsid w:val="008C50D3"/>
    <w:rsid w:val="008C5471"/>
    <w:rsid w:val="008C5806"/>
    <w:rsid w:val="008C5BC7"/>
    <w:rsid w:val="008C5CB7"/>
    <w:rsid w:val="008C5E66"/>
    <w:rsid w:val="008C6102"/>
    <w:rsid w:val="008C6601"/>
    <w:rsid w:val="008C6742"/>
    <w:rsid w:val="008C6BCA"/>
    <w:rsid w:val="008C6CC3"/>
    <w:rsid w:val="008C703B"/>
    <w:rsid w:val="008C7130"/>
    <w:rsid w:val="008C71F7"/>
    <w:rsid w:val="008C728A"/>
    <w:rsid w:val="008C765A"/>
    <w:rsid w:val="008C7800"/>
    <w:rsid w:val="008C7CA9"/>
    <w:rsid w:val="008C7E5F"/>
    <w:rsid w:val="008D0399"/>
    <w:rsid w:val="008D066E"/>
    <w:rsid w:val="008D08E0"/>
    <w:rsid w:val="008D0D99"/>
    <w:rsid w:val="008D1492"/>
    <w:rsid w:val="008D15DF"/>
    <w:rsid w:val="008D196D"/>
    <w:rsid w:val="008D1AC0"/>
    <w:rsid w:val="008D1C2B"/>
    <w:rsid w:val="008D1F81"/>
    <w:rsid w:val="008D252D"/>
    <w:rsid w:val="008D26DF"/>
    <w:rsid w:val="008D27B4"/>
    <w:rsid w:val="008D2829"/>
    <w:rsid w:val="008D2BB8"/>
    <w:rsid w:val="008D302A"/>
    <w:rsid w:val="008D3032"/>
    <w:rsid w:val="008D3083"/>
    <w:rsid w:val="008D367D"/>
    <w:rsid w:val="008D4069"/>
    <w:rsid w:val="008D4201"/>
    <w:rsid w:val="008D4253"/>
    <w:rsid w:val="008D425D"/>
    <w:rsid w:val="008D47A4"/>
    <w:rsid w:val="008D4B1C"/>
    <w:rsid w:val="008D506D"/>
    <w:rsid w:val="008D54E1"/>
    <w:rsid w:val="008D5A8D"/>
    <w:rsid w:val="008D5CF1"/>
    <w:rsid w:val="008D6099"/>
    <w:rsid w:val="008D6194"/>
    <w:rsid w:val="008D63C1"/>
    <w:rsid w:val="008D65B0"/>
    <w:rsid w:val="008D6BFD"/>
    <w:rsid w:val="008D6D00"/>
    <w:rsid w:val="008D6ECA"/>
    <w:rsid w:val="008D786F"/>
    <w:rsid w:val="008E00A0"/>
    <w:rsid w:val="008E09B7"/>
    <w:rsid w:val="008E0D92"/>
    <w:rsid w:val="008E1168"/>
    <w:rsid w:val="008E143F"/>
    <w:rsid w:val="008E1533"/>
    <w:rsid w:val="008E1592"/>
    <w:rsid w:val="008E18B6"/>
    <w:rsid w:val="008E1A9F"/>
    <w:rsid w:val="008E1CA0"/>
    <w:rsid w:val="008E1D83"/>
    <w:rsid w:val="008E1DA7"/>
    <w:rsid w:val="008E2338"/>
    <w:rsid w:val="008E24BF"/>
    <w:rsid w:val="008E24C8"/>
    <w:rsid w:val="008E2797"/>
    <w:rsid w:val="008E27BC"/>
    <w:rsid w:val="008E30B5"/>
    <w:rsid w:val="008E39E7"/>
    <w:rsid w:val="008E3A8C"/>
    <w:rsid w:val="008E3ACF"/>
    <w:rsid w:val="008E402F"/>
    <w:rsid w:val="008E4130"/>
    <w:rsid w:val="008E4543"/>
    <w:rsid w:val="008E48E3"/>
    <w:rsid w:val="008E492A"/>
    <w:rsid w:val="008E4C46"/>
    <w:rsid w:val="008E4C85"/>
    <w:rsid w:val="008E4CDA"/>
    <w:rsid w:val="008E4D8E"/>
    <w:rsid w:val="008E50F9"/>
    <w:rsid w:val="008E5141"/>
    <w:rsid w:val="008E57CE"/>
    <w:rsid w:val="008E5ADC"/>
    <w:rsid w:val="008E5C34"/>
    <w:rsid w:val="008E5C4F"/>
    <w:rsid w:val="008E5CCD"/>
    <w:rsid w:val="008E62CF"/>
    <w:rsid w:val="008E6358"/>
    <w:rsid w:val="008E64F3"/>
    <w:rsid w:val="008E6A9A"/>
    <w:rsid w:val="008E6AB9"/>
    <w:rsid w:val="008E7058"/>
    <w:rsid w:val="008E7425"/>
    <w:rsid w:val="008E7828"/>
    <w:rsid w:val="008E7C92"/>
    <w:rsid w:val="008E98CD"/>
    <w:rsid w:val="008F04C3"/>
    <w:rsid w:val="008F0530"/>
    <w:rsid w:val="008F0622"/>
    <w:rsid w:val="008F0A50"/>
    <w:rsid w:val="008F0AFD"/>
    <w:rsid w:val="008F1219"/>
    <w:rsid w:val="008F169F"/>
    <w:rsid w:val="008F17D4"/>
    <w:rsid w:val="008F1D4A"/>
    <w:rsid w:val="008F1DFD"/>
    <w:rsid w:val="008F230F"/>
    <w:rsid w:val="008F2354"/>
    <w:rsid w:val="008F24EF"/>
    <w:rsid w:val="008F29A9"/>
    <w:rsid w:val="008F2A23"/>
    <w:rsid w:val="008F2B19"/>
    <w:rsid w:val="008F2B57"/>
    <w:rsid w:val="008F2D75"/>
    <w:rsid w:val="008F2E08"/>
    <w:rsid w:val="008F2F03"/>
    <w:rsid w:val="008F314E"/>
    <w:rsid w:val="008F318E"/>
    <w:rsid w:val="008F349B"/>
    <w:rsid w:val="008F3738"/>
    <w:rsid w:val="008F3848"/>
    <w:rsid w:val="008F41DD"/>
    <w:rsid w:val="008F4525"/>
    <w:rsid w:val="008F492F"/>
    <w:rsid w:val="008F4F56"/>
    <w:rsid w:val="008F53C3"/>
    <w:rsid w:val="008F58B5"/>
    <w:rsid w:val="008F5C65"/>
    <w:rsid w:val="008F5D47"/>
    <w:rsid w:val="008F61CE"/>
    <w:rsid w:val="008F6759"/>
    <w:rsid w:val="008F6D55"/>
    <w:rsid w:val="008F7084"/>
    <w:rsid w:val="008F7229"/>
    <w:rsid w:val="008F7233"/>
    <w:rsid w:val="008F744E"/>
    <w:rsid w:val="008F75A7"/>
    <w:rsid w:val="008F7652"/>
    <w:rsid w:val="008F782D"/>
    <w:rsid w:val="008F796E"/>
    <w:rsid w:val="008F79C1"/>
    <w:rsid w:val="008F7D26"/>
    <w:rsid w:val="008F7F29"/>
    <w:rsid w:val="009000D5"/>
    <w:rsid w:val="0090016C"/>
    <w:rsid w:val="009001D3"/>
    <w:rsid w:val="009009AD"/>
    <w:rsid w:val="00900C5B"/>
    <w:rsid w:val="0090145C"/>
    <w:rsid w:val="009014A9"/>
    <w:rsid w:val="0090174A"/>
    <w:rsid w:val="00901867"/>
    <w:rsid w:val="00901877"/>
    <w:rsid w:val="0090193C"/>
    <w:rsid w:val="00901ACE"/>
    <w:rsid w:val="00901D61"/>
    <w:rsid w:val="00901EF2"/>
    <w:rsid w:val="00901FA6"/>
    <w:rsid w:val="0090206B"/>
    <w:rsid w:val="00902163"/>
    <w:rsid w:val="009022FF"/>
    <w:rsid w:val="0090264B"/>
    <w:rsid w:val="009026CE"/>
    <w:rsid w:val="0090282B"/>
    <w:rsid w:val="00902ABE"/>
    <w:rsid w:val="00902C51"/>
    <w:rsid w:val="0090308E"/>
    <w:rsid w:val="009030E5"/>
    <w:rsid w:val="009032B9"/>
    <w:rsid w:val="0090342E"/>
    <w:rsid w:val="00903620"/>
    <w:rsid w:val="0090367D"/>
    <w:rsid w:val="009036B2"/>
    <w:rsid w:val="009038A4"/>
    <w:rsid w:val="00903C61"/>
    <w:rsid w:val="00903DCF"/>
    <w:rsid w:val="00903E2E"/>
    <w:rsid w:val="00903FAD"/>
    <w:rsid w:val="00904095"/>
    <w:rsid w:val="009041C4"/>
    <w:rsid w:val="009045B5"/>
    <w:rsid w:val="0090466A"/>
    <w:rsid w:val="00904849"/>
    <w:rsid w:val="00904D42"/>
    <w:rsid w:val="00904E7B"/>
    <w:rsid w:val="00904EDF"/>
    <w:rsid w:val="0090505B"/>
    <w:rsid w:val="0090505E"/>
    <w:rsid w:val="009050BF"/>
    <w:rsid w:val="009055C2"/>
    <w:rsid w:val="009057F6"/>
    <w:rsid w:val="00905A70"/>
    <w:rsid w:val="00905D12"/>
    <w:rsid w:val="00905E4B"/>
    <w:rsid w:val="009062C1"/>
    <w:rsid w:val="009062D3"/>
    <w:rsid w:val="009064C6"/>
    <w:rsid w:val="009066EA"/>
    <w:rsid w:val="00906727"/>
    <w:rsid w:val="00906845"/>
    <w:rsid w:val="00906A23"/>
    <w:rsid w:val="00906B15"/>
    <w:rsid w:val="00906B9A"/>
    <w:rsid w:val="00906D67"/>
    <w:rsid w:val="00906E80"/>
    <w:rsid w:val="00906F89"/>
    <w:rsid w:val="00907030"/>
    <w:rsid w:val="00907313"/>
    <w:rsid w:val="009078D5"/>
    <w:rsid w:val="00907A7B"/>
    <w:rsid w:val="00907E02"/>
    <w:rsid w:val="00907ED4"/>
    <w:rsid w:val="009101F9"/>
    <w:rsid w:val="009102DB"/>
    <w:rsid w:val="00910C5B"/>
    <w:rsid w:val="009112C7"/>
    <w:rsid w:val="00911887"/>
    <w:rsid w:val="009118B8"/>
    <w:rsid w:val="009118E5"/>
    <w:rsid w:val="009119FD"/>
    <w:rsid w:val="00911CD9"/>
    <w:rsid w:val="00911D01"/>
    <w:rsid w:val="009121AC"/>
    <w:rsid w:val="009121E3"/>
    <w:rsid w:val="00912275"/>
    <w:rsid w:val="00912573"/>
    <w:rsid w:val="00912D30"/>
    <w:rsid w:val="00913856"/>
    <w:rsid w:val="009138A5"/>
    <w:rsid w:val="00913981"/>
    <w:rsid w:val="00913A40"/>
    <w:rsid w:val="00913CA0"/>
    <w:rsid w:val="00913CBC"/>
    <w:rsid w:val="009141CE"/>
    <w:rsid w:val="009141F1"/>
    <w:rsid w:val="00914230"/>
    <w:rsid w:val="00914274"/>
    <w:rsid w:val="0091443A"/>
    <w:rsid w:val="00914652"/>
    <w:rsid w:val="009146DA"/>
    <w:rsid w:val="00914837"/>
    <w:rsid w:val="00914DF9"/>
    <w:rsid w:val="00914E6E"/>
    <w:rsid w:val="00914ED2"/>
    <w:rsid w:val="00914FD8"/>
    <w:rsid w:val="00915091"/>
    <w:rsid w:val="00915112"/>
    <w:rsid w:val="00915625"/>
    <w:rsid w:val="009159BF"/>
    <w:rsid w:val="00915BB0"/>
    <w:rsid w:val="00915F53"/>
    <w:rsid w:val="00915FD7"/>
    <w:rsid w:val="00916174"/>
    <w:rsid w:val="00916201"/>
    <w:rsid w:val="0091638A"/>
    <w:rsid w:val="00916826"/>
    <w:rsid w:val="009168D9"/>
    <w:rsid w:val="00916A6F"/>
    <w:rsid w:val="00916F57"/>
    <w:rsid w:val="009170FA"/>
    <w:rsid w:val="009172FA"/>
    <w:rsid w:val="0091733E"/>
    <w:rsid w:val="00917539"/>
    <w:rsid w:val="00917744"/>
    <w:rsid w:val="0091782A"/>
    <w:rsid w:val="00917D0E"/>
    <w:rsid w:val="00920074"/>
    <w:rsid w:val="00920166"/>
    <w:rsid w:val="009209D1"/>
    <w:rsid w:val="00920DF2"/>
    <w:rsid w:val="00920E90"/>
    <w:rsid w:val="0092128E"/>
    <w:rsid w:val="0092130F"/>
    <w:rsid w:val="009214AF"/>
    <w:rsid w:val="00921773"/>
    <w:rsid w:val="009217A0"/>
    <w:rsid w:val="00921B95"/>
    <w:rsid w:val="00921CE8"/>
    <w:rsid w:val="009220AB"/>
    <w:rsid w:val="00922661"/>
    <w:rsid w:val="00922771"/>
    <w:rsid w:val="009227DB"/>
    <w:rsid w:val="009227E2"/>
    <w:rsid w:val="00922AA8"/>
    <w:rsid w:val="00922FA2"/>
    <w:rsid w:val="0092323C"/>
    <w:rsid w:val="00923523"/>
    <w:rsid w:val="0092366B"/>
    <w:rsid w:val="00923A3C"/>
    <w:rsid w:val="00923F12"/>
    <w:rsid w:val="0092470A"/>
    <w:rsid w:val="0092476E"/>
    <w:rsid w:val="00924819"/>
    <w:rsid w:val="00924A24"/>
    <w:rsid w:val="00924B2C"/>
    <w:rsid w:val="00924B97"/>
    <w:rsid w:val="00924E05"/>
    <w:rsid w:val="00924E84"/>
    <w:rsid w:val="009253C5"/>
    <w:rsid w:val="00925582"/>
    <w:rsid w:val="00925978"/>
    <w:rsid w:val="009259E5"/>
    <w:rsid w:val="00925ED1"/>
    <w:rsid w:val="009262B0"/>
    <w:rsid w:val="009262C4"/>
    <w:rsid w:val="009263F7"/>
    <w:rsid w:val="009264CA"/>
    <w:rsid w:val="009264EA"/>
    <w:rsid w:val="00926524"/>
    <w:rsid w:val="0092678D"/>
    <w:rsid w:val="0092692F"/>
    <w:rsid w:val="00926A30"/>
    <w:rsid w:val="00926EFA"/>
    <w:rsid w:val="00926F57"/>
    <w:rsid w:val="00927001"/>
    <w:rsid w:val="00927493"/>
    <w:rsid w:val="00927AB4"/>
    <w:rsid w:val="00929155"/>
    <w:rsid w:val="00930C37"/>
    <w:rsid w:val="00931114"/>
    <w:rsid w:val="00931816"/>
    <w:rsid w:val="00931C8A"/>
    <w:rsid w:val="00931D08"/>
    <w:rsid w:val="00931F68"/>
    <w:rsid w:val="00931FCC"/>
    <w:rsid w:val="0093201B"/>
    <w:rsid w:val="009320D1"/>
    <w:rsid w:val="0093216A"/>
    <w:rsid w:val="0093235C"/>
    <w:rsid w:val="0093245D"/>
    <w:rsid w:val="00932616"/>
    <w:rsid w:val="00932725"/>
    <w:rsid w:val="00932C2F"/>
    <w:rsid w:val="00932D89"/>
    <w:rsid w:val="00932F0C"/>
    <w:rsid w:val="0093309F"/>
    <w:rsid w:val="00933662"/>
    <w:rsid w:val="009336B1"/>
    <w:rsid w:val="00933957"/>
    <w:rsid w:val="00933A90"/>
    <w:rsid w:val="0093428D"/>
    <w:rsid w:val="009349DA"/>
    <w:rsid w:val="00934BE5"/>
    <w:rsid w:val="00934C61"/>
    <w:rsid w:val="00934DFB"/>
    <w:rsid w:val="00934E74"/>
    <w:rsid w:val="00934E93"/>
    <w:rsid w:val="00934F88"/>
    <w:rsid w:val="0093507A"/>
    <w:rsid w:val="00935388"/>
    <w:rsid w:val="00935520"/>
    <w:rsid w:val="0093587E"/>
    <w:rsid w:val="00935DB3"/>
    <w:rsid w:val="00935DC6"/>
    <w:rsid w:val="00935E80"/>
    <w:rsid w:val="0093623D"/>
    <w:rsid w:val="00936477"/>
    <w:rsid w:val="009366ED"/>
    <w:rsid w:val="009367DC"/>
    <w:rsid w:val="00936B76"/>
    <w:rsid w:val="00936E54"/>
    <w:rsid w:val="009372FB"/>
    <w:rsid w:val="00937432"/>
    <w:rsid w:val="0093753F"/>
    <w:rsid w:val="009378E6"/>
    <w:rsid w:val="009379A4"/>
    <w:rsid w:val="00937C58"/>
    <w:rsid w:val="00937D04"/>
    <w:rsid w:val="00940210"/>
    <w:rsid w:val="0094022D"/>
    <w:rsid w:val="00940563"/>
    <w:rsid w:val="00940594"/>
    <w:rsid w:val="009405EC"/>
    <w:rsid w:val="0094063A"/>
    <w:rsid w:val="009406D0"/>
    <w:rsid w:val="00940B34"/>
    <w:rsid w:val="00940DC3"/>
    <w:rsid w:val="00940EAD"/>
    <w:rsid w:val="009410A6"/>
    <w:rsid w:val="009411A8"/>
    <w:rsid w:val="00941479"/>
    <w:rsid w:val="0094148F"/>
    <w:rsid w:val="009414F2"/>
    <w:rsid w:val="009417D0"/>
    <w:rsid w:val="0094180F"/>
    <w:rsid w:val="0094186F"/>
    <w:rsid w:val="009418E2"/>
    <w:rsid w:val="009419A4"/>
    <w:rsid w:val="009419C3"/>
    <w:rsid w:val="0094258E"/>
    <w:rsid w:val="00942A89"/>
    <w:rsid w:val="00942C5C"/>
    <w:rsid w:val="0094303F"/>
    <w:rsid w:val="0094311D"/>
    <w:rsid w:val="00943303"/>
    <w:rsid w:val="009434EC"/>
    <w:rsid w:val="0094351F"/>
    <w:rsid w:val="009436EA"/>
    <w:rsid w:val="009439C0"/>
    <w:rsid w:val="00943B13"/>
    <w:rsid w:val="00943B49"/>
    <w:rsid w:val="00943EA9"/>
    <w:rsid w:val="009441A0"/>
    <w:rsid w:val="00944510"/>
    <w:rsid w:val="00944564"/>
    <w:rsid w:val="0094460B"/>
    <w:rsid w:val="00944C23"/>
    <w:rsid w:val="009451A8"/>
    <w:rsid w:val="00945838"/>
    <w:rsid w:val="00945870"/>
    <w:rsid w:val="00945A59"/>
    <w:rsid w:val="00945FAD"/>
    <w:rsid w:val="009460A1"/>
    <w:rsid w:val="00946559"/>
    <w:rsid w:val="009466C3"/>
    <w:rsid w:val="009466E2"/>
    <w:rsid w:val="0094694C"/>
    <w:rsid w:val="00946B2C"/>
    <w:rsid w:val="00947003"/>
    <w:rsid w:val="00947814"/>
    <w:rsid w:val="009478F1"/>
    <w:rsid w:val="00947A81"/>
    <w:rsid w:val="009503A5"/>
    <w:rsid w:val="0095044B"/>
    <w:rsid w:val="00950734"/>
    <w:rsid w:val="00950B9C"/>
    <w:rsid w:val="00950DDA"/>
    <w:rsid w:val="00950F70"/>
    <w:rsid w:val="009511D5"/>
    <w:rsid w:val="00951547"/>
    <w:rsid w:val="009515A0"/>
    <w:rsid w:val="00951ECA"/>
    <w:rsid w:val="00952254"/>
    <w:rsid w:val="009526E1"/>
    <w:rsid w:val="0095270B"/>
    <w:rsid w:val="00952AB7"/>
    <w:rsid w:val="00952C62"/>
    <w:rsid w:val="00952C67"/>
    <w:rsid w:val="0095320A"/>
    <w:rsid w:val="009533F1"/>
    <w:rsid w:val="009536A6"/>
    <w:rsid w:val="009538C4"/>
    <w:rsid w:val="009539C7"/>
    <w:rsid w:val="00953D40"/>
    <w:rsid w:val="00953E7E"/>
    <w:rsid w:val="00954A11"/>
    <w:rsid w:val="0095521F"/>
    <w:rsid w:val="00955223"/>
    <w:rsid w:val="00955422"/>
    <w:rsid w:val="00955B1B"/>
    <w:rsid w:val="00955B4F"/>
    <w:rsid w:val="00955BB9"/>
    <w:rsid w:val="00955D50"/>
    <w:rsid w:val="00955FBA"/>
    <w:rsid w:val="00955FC6"/>
    <w:rsid w:val="0095612E"/>
    <w:rsid w:val="00956559"/>
    <w:rsid w:val="009569A9"/>
    <w:rsid w:val="00956A09"/>
    <w:rsid w:val="00956A2E"/>
    <w:rsid w:val="00957192"/>
    <w:rsid w:val="009572E1"/>
    <w:rsid w:val="00957795"/>
    <w:rsid w:val="0095789A"/>
    <w:rsid w:val="00957AC5"/>
    <w:rsid w:val="00957D49"/>
    <w:rsid w:val="00957EFB"/>
    <w:rsid w:val="009603D4"/>
    <w:rsid w:val="009607F0"/>
    <w:rsid w:val="00960D37"/>
    <w:rsid w:val="00960DB9"/>
    <w:rsid w:val="00960E5A"/>
    <w:rsid w:val="0096106E"/>
    <w:rsid w:val="00961215"/>
    <w:rsid w:val="00961231"/>
    <w:rsid w:val="009614E8"/>
    <w:rsid w:val="00961851"/>
    <w:rsid w:val="00961974"/>
    <w:rsid w:val="00961A76"/>
    <w:rsid w:val="00961B06"/>
    <w:rsid w:val="00961D2A"/>
    <w:rsid w:val="0096205B"/>
    <w:rsid w:val="009623AC"/>
    <w:rsid w:val="0096251D"/>
    <w:rsid w:val="009625ED"/>
    <w:rsid w:val="00962826"/>
    <w:rsid w:val="00962CE4"/>
    <w:rsid w:val="00962D3E"/>
    <w:rsid w:val="00962E62"/>
    <w:rsid w:val="009632C7"/>
    <w:rsid w:val="00963663"/>
    <w:rsid w:val="00963C3A"/>
    <w:rsid w:val="00963CB3"/>
    <w:rsid w:val="00964057"/>
    <w:rsid w:val="00964150"/>
    <w:rsid w:val="009641A2"/>
    <w:rsid w:val="0096425A"/>
    <w:rsid w:val="00964750"/>
    <w:rsid w:val="009647C5"/>
    <w:rsid w:val="009649DB"/>
    <w:rsid w:val="00964D41"/>
    <w:rsid w:val="00964D6B"/>
    <w:rsid w:val="0096505D"/>
    <w:rsid w:val="009654EC"/>
    <w:rsid w:val="009655B6"/>
    <w:rsid w:val="00965711"/>
    <w:rsid w:val="00965AB0"/>
    <w:rsid w:val="00965C0B"/>
    <w:rsid w:val="00966040"/>
    <w:rsid w:val="009666CD"/>
    <w:rsid w:val="0096671A"/>
    <w:rsid w:val="009668D0"/>
    <w:rsid w:val="00966A31"/>
    <w:rsid w:val="00966F5C"/>
    <w:rsid w:val="00967299"/>
    <w:rsid w:val="009672DD"/>
    <w:rsid w:val="00967405"/>
    <w:rsid w:val="00967DD6"/>
    <w:rsid w:val="009703D7"/>
    <w:rsid w:val="00970496"/>
    <w:rsid w:val="009705CD"/>
    <w:rsid w:val="0097082D"/>
    <w:rsid w:val="009708FB"/>
    <w:rsid w:val="00970BAF"/>
    <w:rsid w:val="00970E5F"/>
    <w:rsid w:val="00970FA4"/>
    <w:rsid w:val="00971048"/>
    <w:rsid w:val="00971401"/>
    <w:rsid w:val="0097148D"/>
    <w:rsid w:val="009717B2"/>
    <w:rsid w:val="00971F3A"/>
    <w:rsid w:val="00971FEE"/>
    <w:rsid w:val="0097204D"/>
    <w:rsid w:val="0097226C"/>
    <w:rsid w:val="009727F7"/>
    <w:rsid w:val="00972824"/>
    <w:rsid w:val="009728EF"/>
    <w:rsid w:val="009729C1"/>
    <w:rsid w:val="00972B0F"/>
    <w:rsid w:val="00973163"/>
    <w:rsid w:val="00973683"/>
    <w:rsid w:val="00973AD6"/>
    <w:rsid w:val="00973B27"/>
    <w:rsid w:val="00973BA1"/>
    <w:rsid w:val="00973E18"/>
    <w:rsid w:val="00973E95"/>
    <w:rsid w:val="00973F66"/>
    <w:rsid w:val="00973F6E"/>
    <w:rsid w:val="00974004"/>
    <w:rsid w:val="00974590"/>
    <w:rsid w:val="00974694"/>
    <w:rsid w:val="0097477E"/>
    <w:rsid w:val="00974991"/>
    <w:rsid w:val="00974C93"/>
    <w:rsid w:val="009755C2"/>
    <w:rsid w:val="00975DAA"/>
    <w:rsid w:val="0097608B"/>
    <w:rsid w:val="00976351"/>
    <w:rsid w:val="009763DE"/>
    <w:rsid w:val="009765BB"/>
    <w:rsid w:val="009766B3"/>
    <w:rsid w:val="00976964"/>
    <w:rsid w:val="00976D4E"/>
    <w:rsid w:val="00976FA1"/>
    <w:rsid w:val="00977165"/>
    <w:rsid w:val="009772D5"/>
    <w:rsid w:val="00977740"/>
    <w:rsid w:val="009778BD"/>
    <w:rsid w:val="0097790D"/>
    <w:rsid w:val="0098023F"/>
    <w:rsid w:val="009807B6"/>
    <w:rsid w:val="00980B39"/>
    <w:rsid w:val="00980BFA"/>
    <w:rsid w:val="00980CC6"/>
    <w:rsid w:val="00981053"/>
    <w:rsid w:val="00981323"/>
    <w:rsid w:val="00981380"/>
    <w:rsid w:val="009814ED"/>
    <w:rsid w:val="009814FB"/>
    <w:rsid w:val="009818D3"/>
    <w:rsid w:val="00981A51"/>
    <w:rsid w:val="009820D1"/>
    <w:rsid w:val="009821B0"/>
    <w:rsid w:val="009821BE"/>
    <w:rsid w:val="009823A6"/>
    <w:rsid w:val="00982541"/>
    <w:rsid w:val="009828F2"/>
    <w:rsid w:val="00982A89"/>
    <w:rsid w:val="00982B09"/>
    <w:rsid w:val="00982F78"/>
    <w:rsid w:val="00983426"/>
    <w:rsid w:val="00983CD6"/>
    <w:rsid w:val="00983F5B"/>
    <w:rsid w:val="0098415F"/>
    <w:rsid w:val="009841BA"/>
    <w:rsid w:val="00984208"/>
    <w:rsid w:val="00984327"/>
    <w:rsid w:val="009846AD"/>
    <w:rsid w:val="00984A9B"/>
    <w:rsid w:val="00984AAA"/>
    <w:rsid w:val="00984F44"/>
    <w:rsid w:val="00984FB8"/>
    <w:rsid w:val="0098556D"/>
    <w:rsid w:val="00985A56"/>
    <w:rsid w:val="00985BC0"/>
    <w:rsid w:val="00985FC5"/>
    <w:rsid w:val="009862D8"/>
    <w:rsid w:val="00986455"/>
    <w:rsid w:val="009864AA"/>
    <w:rsid w:val="009865E7"/>
    <w:rsid w:val="0098697B"/>
    <w:rsid w:val="00986A3E"/>
    <w:rsid w:val="0098705B"/>
    <w:rsid w:val="009875EF"/>
    <w:rsid w:val="009877A2"/>
    <w:rsid w:val="00987902"/>
    <w:rsid w:val="00987975"/>
    <w:rsid w:val="00987B05"/>
    <w:rsid w:val="00987BC1"/>
    <w:rsid w:val="00990511"/>
    <w:rsid w:val="00990BAB"/>
    <w:rsid w:val="00990E0B"/>
    <w:rsid w:val="009912C0"/>
    <w:rsid w:val="009914B0"/>
    <w:rsid w:val="00991573"/>
    <w:rsid w:val="009915BD"/>
    <w:rsid w:val="0099160F"/>
    <w:rsid w:val="00991618"/>
    <w:rsid w:val="0099174C"/>
    <w:rsid w:val="009918A1"/>
    <w:rsid w:val="00991ACB"/>
    <w:rsid w:val="009923CF"/>
    <w:rsid w:val="0099251B"/>
    <w:rsid w:val="00992899"/>
    <w:rsid w:val="009928D9"/>
    <w:rsid w:val="00992916"/>
    <w:rsid w:val="00992BFB"/>
    <w:rsid w:val="00992C15"/>
    <w:rsid w:val="00992E5D"/>
    <w:rsid w:val="00992E69"/>
    <w:rsid w:val="009932A2"/>
    <w:rsid w:val="009933A0"/>
    <w:rsid w:val="00993733"/>
    <w:rsid w:val="0099383B"/>
    <w:rsid w:val="00993D45"/>
    <w:rsid w:val="00993EDF"/>
    <w:rsid w:val="0099432C"/>
    <w:rsid w:val="00994402"/>
    <w:rsid w:val="00994653"/>
    <w:rsid w:val="0099479A"/>
    <w:rsid w:val="00994C4E"/>
    <w:rsid w:val="00994C9A"/>
    <w:rsid w:val="0099508A"/>
    <w:rsid w:val="009957F2"/>
    <w:rsid w:val="009959A8"/>
    <w:rsid w:val="00995A28"/>
    <w:rsid w:val="0099615A"/>
    <w:rsid w:val="00996590"/>
    <w:rsid w:val="009965AB"/>
    <w:rsid w:val="00996977"/>
    <w:rsid w:val="009969F6"/>
    <w:rsid w:val="00996BC7"/>
    <w:rsid w:val="00996D4E"/>
    <w:rsid w:val="00996EFF"/>
    <w:rsid w:val="00997400"/>
    <w:rsid w:val="009974F7"/>
    <w:rsid w:val="00997567"/>
    <w:rsid w:val="009977FE"/>
    <w:rsid w:val="00997938"/>
    <w:rsid w:val="009A01A5"/>
    <w:rsid w:val="009A029F"/>
    <w:rsid w:val="009A02F5"/>
    <w:rsid w:val="009A0853"/>
    <w:rsid w:val="009A0984"/>
    <w:rsid w:val="009A10B5"/>
    <w:rsid w:val="009A10F2"/>
    <w:rsid w:val="009A1163"/>
    <w:rsid w:val="009A135D"/>
    <w:rsid w:val="009A144C"/>
    <w:rsid w:val="009A172D"/>
    <w:rsid w:val="009A180A"/>
    <w:rsid w:val="009A1C3A"/>
    <w:rsid w:val="009A1CBE"/>
    <w:rsid w:val="009A1E07"/>
    <w:rsid w:val="009A2159"/>
    <w:rsid w:val="009A2531"/>
    <w:rsid w:val="009A2565"/>
    <w:rsid w:val="009A2954"/>
    <w:rsid w:val="009A2B91"/>
    <w:rsid w:val="009A2BDA"/>
    <w:rsid w:val="009A3163"/>
    <w:rsid w:val="009A31B0"/>
    <w:rsid w:val="009A3421"/>
    <w:rsid w:val="009A344E"/>
    <w:rsid w:val="009A37B9"/>
    <w:rsid w:val="009A381C"/>
    <w:rsid w:val="009A3B54"/>
    <w:rsid w:val="009A461F"/>
    <w:rsid w:val="009A463B"/>
    <w:rsid w:val="009A4C13"/>
    <w:rsid w:val="009A4ED5"/>
    <w:rsid w:val="009A5036"/>
    <w:rsid w:val="009A50DC"/>
    <w:rsid w:val="009A5492"/>
    <w:rsid w:val="009A5524"/>
    <w:rsid w:val="009A5A0D"/>
    <w:rsid w:val="009A5C9D"/>
    <w:rsid w:val="009A67F3"/>
    <w:rsid w:val="009A693E"/>
    <w:rsid w:val="009A6BA0"/>
    <w:rsid w:val="009A6D17"/>
    <w:rsid w:val="009A6EC5"/>
    <w:rsid w:val="009A7003"/>
    <w:rsid w:val="009A7057"/>
    <w:rsid w:val="009A7349"/>
    <w:rsid w:val="009A7CD2"/>
    <w:rsid w:val="009B027E"/>
    <w:rsid w:val="009B05CB"/>
    <w:rsid w:val="009B1184"/>
    <w:rsid w:val="009B11EA"/>
    <w:rsid w:val="009B12EA"/>
    <w:rsid w:val="009B1762"/>
    <w:rsid w:val="009B18C7"/>
    <w:rsid w:val="009B18D9"/>
    <w:rsid w:val="009B196E"/>
    <w:rsid w:val="009B19CD"/>
    <w:rsid w:val="009B1AB6"/>
    <w:rsid w:val="009B1EF8"/>
    <w:rsid w:val="009B1F33"/>
    <w:rsid w:val="009B2046"/>
    <w:rsid w:val="009B2242"/>
    <w:rsid w:val="009B238F"/>
    <w:rsid w:val="009B275D"/>
    <w:rsid w:val="009B27C8"/>
    <w:rsid w:val="009B2EA1"/>
    <w:rsid w:val="009B2F9D"/>
    <w:rsid w:val="009B35D9"/>
    <w:rsid w:val="009B3A3D"/>
    <w:rsid w:val="009B3DBC"/>
    <w:rsid w:val="009B3E51"/>
    <w:rsid w:val="009B412A"/>
    <w:rsid w:val="009B41BC"/>
    <w:rsid w:val="009B4231"/>
    <w:rsid w:val="009B42F9"/>
    <w:rsid w:val="009B43A9"/>
    <w:rsid w:val="009B481B"/>
    <w:rsid w:val="009B4A04"/>
    <w:rsid w:val="009B4A9A"/>
    <w:rsid w:val="009B4B98"/>
    <w:rsid w:val="009B4D52"/>
    <w:rsid w:val="009B4E37"/>
    <w:rsid w:val="009B4ECD"/>
    <w:rsid w:val="009B522A"/>
    <w:rsid w:val="009B5236"/>
    <w:rsid w:val="009B52E2"/>
    <w:rsid w:val="009B53D7"/>
    <w:rsid w:val="009B55BA"/>
    <w:rsid w:val="009B57B8"/>
    <w:rsid w:val="009B5AE0"/>
    <w:rsid w:val="009B65F3"/>
    <w:rsid w:val="009B6804"/>
    <w:rsid w:val="009B6871"/>
    <w:rsid w:val="009B6D3C"/>
    <w:rsid w:val="009B73E6"/>
    <w:rsid w:val="009B746C"/>
    <w:rsid w:val="009B7702"/>
    <w:rsid w:val="009B78A3"/>
    <w:rsid w:val="009B7B4A"/>
    <w:rsid w:val="009C0055"/>
    <w:rsid w:val="009C038D"/>
    <w:rsid w:val="009C041D"/>
    <w:rsid w:val="009C047E"/>
    <w:rsid w:val="009C05AF"/>
    <w:rsid w:val="009C0D71"/>
    <w:rsid w:val="009C0E0E"/>
    <w:rsid w:val="009C137B"/>
    <w:rsid w:val="009C143A"/>
    <w:rsid w:val="009C19C0"/>
    <w:rsid w:val="009C2596"/>
    <w:rsid w:val="009C26A5"/>
    <w:rsid w:val="009C26BF"/>
    <w:rsid w:val="009C27FE"/>
    <w:rsid w:val="009C2B8B"/>
    <w:rsid w:val="009C2BEA"/>
    <w:rsid w:val="009C2E10"/>
    <w:rsid w:val="009C3062"/>
    <w:rsid w:val="009C3505"/>
    <w:rsid w:val="009C3780"/>
    <w:rsid w:val="009C3B5A"/>
    <w:rsid w:val="009C3C96"/>
    <w:rsid w:val="009C3E10"/>
    <w:rsid w:val="009C3F51"/>
    <w:rsid w:val="009C4368"/>
    <w:rsid w:val="009C4820"/>
    <w:rsid w:val="009C4929"/>
    <w:rsid w:val="009C50CA"/>
    <w:rsid w:val="009C56A9"/>
    <w:rsid w:val="009C5B7C"/>
    <w:rsid w:val="009C6039"/>
    <w:rsid w:val="009C628A"/>
    <w:rsid w:val="009C6444"/>
    <w:rsid w:val="009C68C4"/>
    <w:rsid w:val="009C6B36"/>
    <w:rsid w:val="009C7181"/>
    <w:rsid w:val="009C722D"/>
    <w:rsid w:val="009C740C"/>
    <w:rsid w:val="009C780C"/>
    <w:rsid w:val="009C7D81"/>
    <w:rsid w:val="009C7DA3"/>
    <w:rsid w:val="009C7DD4"/>
    <w:rsid w:val="009D001E"/>
    <w:rsid w:val="009D00E3"/>
    <w:rsid w:val="009D0109"/>
    <w:rsid w:val="009D0526"/>
    <w:rsid w:val="009D05EF"/>
    <w:rsid w:val="009D0683"/>
    <w:rsid w:val="009D07A7"/>
    <w:rsid w:val="009D0BC3"/>
    <w:rsid w:val="009D1149"/>
    <w:rsid w:val="009D18F6"/>
    <w:rsid w:val="009D1B36"/>
    <w:rsid w:val="009D1D05"/>
    <w:rsid w:val="009D2166"/>
    <w:rsid w:val="009D2207"/>
    <w:rsid w:val="009D25C2"/>
    <w:rsid w:val="009D2703"/>
    <w:rsid w:val="009D2712"/>
    <w:rsid w:val="009D2A8B"/>
    <w:rsid w:val="009D317A"/>
    <w:rsid w:val="009D33DB"/>
    <w:rsid w:val="009D35B6"/>
    <w:rsid w:val="009D3880"/>
    <w:rsid w:val="009D3AFD"/>
    <w:rsid w:val="009D3B2C"/>
    <w:rsid w:val="009D3FE0"/>
    <w:rsid w:val="009D44A6"/>
    <w:rsid w:val="009D4777"/>
    <w:rsid w:val="009D4823"/>
    <w:rsid w:val="009D4CB6"/>
    <w:rsid w:val="009D4CFE"/>
    <w:rsid w:val="009D50E0"/>
    <w:rsid w:val="009D5154"/>
    <w:rsid w:val="009D54CC"/>
    <w:rsid w:val="009D5557"/>
    <w:rsid w:val="009D55D8"/>
    <w:rsid w:val="009D6000"/>
    <w:rsid w:val="009D63C2"/>
    <w:rsid w:val="009D6708"/>
    <w:rsid w:val="009D67BF"/>
    <w:rsid w:val="009D68E8"/>
    <w:rsid w:val="009D69C4"/>
    <w:rsid w:val="009D69E6"/>
    <w:rsid w:val="009D6DF1"/>
    <w:rsid w:val="009D6FA6"/>
    <w:rsid w:val="009D717F"/>
    <w:rsid w:val="009D7551"/>
    <w:rsid w:val="009D76E8"/>
    <w:rsid w:val="009D78BF"/>
    <w:rsid w:val="009D7A0B"/>
    <w:rsid w:val="009D7BA9"/>
    <w:rsid w:val="009D7E00"/>
    <w:rsid w:val="009DD364"/>
    <w:rsid w:val="009E001F"/>
    <w:rsid w:val="009E0064"/>
    <w:rsid w:val="009E0580"/>
    <w:rsid w:val="009E08AF"/>
    <w:rsid w:val="009E0A9F"/>
    <w:rsid w:val="009E0B13"/>
    <w:rsid w:val="009E0CA1"/>
    <w:rsid w:val="009E0E3D"/>
    <w:rsid w:val="009E0F9D"/>
    <w:rsid w:val="009E1669"/>
    <w:rsid w:val="009E1A42"/>
    <w:rsid w:val="009E21CE"/>
    <w:rsid w:val="009E228F"/>
    <w:rsid w:val="009E22FA"/>
    <w:rsid w:val="009E2477"/>
    <w:rsid w:val="009E252F"/>
    <w:rsid w:val="009E2714"/>
    <w:rsid w:val="009E27D1"/>
    <w:rsid w:val="009E2A22"/>
    <w:rsid w:val="009E3738"/>
    <w:rsid w:val="009E3794"/>
    <w:rsid w:val="009E392B"/>
    <w:rsid w:val="009E3C94"/>
    <w:rsid w:val="009E3E45"/>
    <w:rsid w:val="009E3F5C"/>
    <w:rsid w:val="009E42B8"/>
    <w:rsid w:val="009E43A5"/>
    <w:rsid w:val="009E4482"/>
    <w:rsid w:val="009E4BCB"/>
    <w:rsid w:val="009E4C58"/>
    <w:rsid w:val="009E4E4B"/>
    <w:rsid w:val="009E579D"/>
    <w:rsid w:val="009E5A72"/>
    <w:rsid w:val="009E5CF8"/>
    <w:rsid w:val="009E605F"/>
    <w:rsid w:val="009E60D5"/>
    <w:rsid w:val="009E60DE"/>
    <w:rsid w:val="009E6153"/>
    <w:rsid w:val="009E61F3"/>
    <w:rsid w:val="009E64E3"/>
    <w:rsid w:val="009E6C33"/>
    <w:rsid w:val="009E6D02"/>
    <w:rsid w:val="009E6DD0"/>
    <w:rsid w:val="009E716D"/>
    <w:rsid w:val="009E77C0"/>
    <w:rsid w:val="009E796F"/>
    <w:rsid w:val="009E7E4E"/>
    <w:rsid w:val="009E7F35"/>
    <w:rsid w:val="009E7FC9"/>
    <w:rsid w:val="009F0180"/>
    <w:rsid w:val="009F03D6"/>
    <w:rsid w:val="009F0814"/>
    <w:rsid w:val="009F081A"/>
    <w:rsid w:val="009F12B5"/>
    <w:rsid w:val="009F153F"/>
    <w:rsid w:val="009F1761"/>
    <w:rsid w:val="009F198F"/>
    <w:rsid w:val="009F1DCB"/>
    <w:rsid w:val="009F1FE7"/>
    <w:rsid w:val="009F2179"/>
    <w:rsid w:val="009F2797"/>
    <w:rsid w:val="009F2921"/>
    <w:rsid w:val="009F2975"/>
    <w:rsid w:val="009F2D3D"/>
    <w:rsid w:val="009F2F0E"/>
    <w:rsid w:val="009F2FE7"/>
    <w:rsid w:val="009F2FEE"/>
    <w:rsid w:val="009F357B"/>
    <w:rsid w:val="009F39C0"/>
    <w:rsid w:val="009F3B6E"/>
    <w:rsid w:val="009F3DF3"/>
    <w:rsid w:val="009F3E2F"/>
    <w:rsid w:val="009F3E37"/>
    <w:rsid w:val="009F4714"/>
    <w:rsid w:val="009F4FA8"/>
    <w:rsid w:val="009F523E"/>
    <w:rsid w:val="009F52B4"/>
    <w:rsid w:val="009F535C"/>
    <w:rsid w:val="009F53FE"/>
    <w:rsid w:val="009F55A7"/>
    <w:rsid w:val="009F55E3"/>
    <w:rsid w:val="009F5624"/>
    <w:rsid w:val="009F592B"/>
    <w:rsid w:val="009F5A56"/>
    <w:rsid w:val="009F5AA5"/>
    <w:rsid w:val="009F5BF4"/>
    <w:rsid w:val="009F5F7A"/>
    <w:rsid w:val="009F63BD"/>
    <w:rsid w:val="009F6405"/>
    <w:rsid w:val="009F6480"/>
    <w:rsid w:val="009F6593"/>
    <w:rsid w:val="009F6C7A"/>
    <w:rsid w:val="009F6E42"/>
    <w:rsid w:val="009F7444"/>
    <w:rsid w:val="009F74FE"/>
    <w:rsid w:val="009F7927"/>
    <w:rsid w:val="009F7A02"/>
    <w:rsid w:val="009F7E4D"/>
    <w:rsid w:val="009F7EE2"/>
    <w:rsid w:val="00A002F0"/>
    <w:rsid w:val="00A0059A"/>
    <w:rsid w:val="00A01270"/>
    <w:rsid w:val="00A013B7"/>
    <w:rsid w:val="00A01B2F"/>
    <w:rsid w:val="00A01C80"/>
    <w:rsid w:val="00A020B0"/>
    <w:rsid w:val="00A0217F"/>
    <w:rsid w:val="00A02346"/>
    <w:rsid w:val="00A0240E"/>
    <w:rsid w:val="00A029AC"/>
    <w:rsid w:val="00A02E03"/>
    <w:rsid w:val="00A03011"/>
    <w:rsid w:val="00A03532"/>
    <w:rsid w:val="00A03543"/>
    <w:rsid w:val="00A039D2"/>
    <w:rsid w:val="00A03A89"/>
    <w:rsid w:val="00A04166"/>
    <w:rsid w:val="00A04241"/>
    <w:rsid w:val="00A042B4"/>
    <w:rsid w:val="00A04396"/>
    <w:rsid w:val="00A044F4"/>
    <w:rsid w:val="00A0479C"/>
    <w:rsid w:val="00A04855"/>
    <w:rsid w:val="00A048E3"/>
    <w:rsid w:val="00A04B66"/>
    <w:rsid w:val="00A04EFA"/>
    <w:rsid w:val="00A05160"/>
    <w:rsid w:val="00A05251"/>
    <w:rsid w:val="00A05542"/>
    <w:rsid w:val="00A055AD"/>
    <w:rsid w:val="00A058F9"/>
    <w:rsid w:val="00A05E77"/>
    <w:rsid w:val="00A0634C"/>
    <w:rsid w:val="00A06786"/>
    <w:rsid w:val="00A06A51"/>
    <w:rsid w:val="00A06B8B"/>
    <w:rsid w:val="00A06E67"/>
    <w:rsid w:val="00A06F70"/>
    <w:rsid w:val="00A0711D"/>
    <w:rsid w:val="00A0729C"/>
    <w:rsid w:val="00A07703"/>
    <w:rsid w:val="00A07FE2"/>
    <w:rsid w:val="00A100A9"/>
    <w:rsid w:val="00A105D7"/>
    <w:rsid w:val="00A105E4"/>
    <w:rsid w:val="00A10B3E"/>
    <w:rsid w:val="00A10E1B"/>
    <w:rsid w:val="00A10F79"/>
    <w:rsid w:val="00A1143C"/>
    <w:rsid w:val="00A11A4E"/>
    <w:rsid w:val="00A11C5F"/>
    <w:rsid w:val="00A11C68"/>
    <w:rsid w:val="00A11EC9"/>
    <w:rsid w:val="00A122FD"/>
    <w:rsid w:val="00A12608"/>
    <w:rsid w:val="00A12F18"/>
    <w:rsid w:val="00A13004"/>
    <w:rsid w:val="00A13795"/>
    <w:rsid w:val="00A13D5E"/>
    <w:rsid w:val="00A14269"/>
    <w:rsid w:val="00A14365"/>
    <w:rsid w:val="00A14A59"/>
    <w:rsid w:val="00A14D0A"/>
    <w:rsid w:val="00A150FA"/>
    <w:rsid w:val="00A151D7"/>
    <w:rsid w:val="00A1520C"/>
    <w:rsid w:val="00A1524D"/>
    <w:rsid w:val="00A15576"/>
    <w:rsid w:val="00A1557B"/>
    <w:rsid w:val="00A1592E"/>
    <w:rsid w:val="00A15C9B"/>
    <w:rsid w:val="00A15CF0"/>
    <w:rsid w:val="00A16245"/>
    <w:rsid w:val="00A16624"/>
    <w:rsid w:val="00A16894"/>
    <w:rsid w:val="00A1695A"/>
    <w:rsid w:val="00A16973"/>
    <w:rsid w:val="00A16DE2"/>
    <w:rsid w:val="00A1736F"/>
    <w:rsid w:val="00A17602"/>
    <w:rsid w:val="00A1769B"/>
    <w:rsid w:val="00A17773"/>
    <w:rsid w:val="00A17847"/>
    <w:rsid w:val="00A1787B"/>
    <w:rsid w:val="00A1791F"/>
    <w:rsid w:val="00A17CC8"/>
    <w:rsid w:val="00A2059B"/>
    <w:rsid w:val="00A2073A"/>
    <w:rsid w:val="00A2077B"/>
    <w:rsid w:val="00A20A85"/>
    <w:rsid w:val="00A2110F"/>
    <w:rsid w:val="00A21679"/>
    <w:rsid w:val="00A2190C"/>
    <w:rsid w:val="00A21C32"/>
    <w:rsid w:val="00A21CEC"/>
    <w:rsid w:val="00A21D00"/>
    <w:rsid w:val="00A21EC6"/>
    <w:rsid w:val="00A21F54"/>
    <w:rsid w:val="00A22099"/>
    <w:rsid w:val="00A221AE"/>
    <w:rsid w:val="00A22470"/>
    <w:rsid w:val="00A224DE"/>
    <w:rsid w:val="00A225C6"/>
    <w:rsid w:val="00A22732"/>
    <w:rsid w:val="00A22973"/>
    <w:rsid w:val="00A22E61"/>
    <w:rsid w:val="00A23461"/>
    <w:rsid w:val="00A23AED"/>
    <w:rsid w:val="00A24D83"/>
    <w:rsid w:val="00A24EEB"/>
    <w:rsid w:val="00A24F7E"/>
    <w:rsid w:val="00A25A62"/>
    <w:rsid w:val="00A25F33"/>
    <w:rsid w:val="00A26197"/>
    <w:rsid w:val="00A26230"/>
    <w:rsid w:val="00A265DB"/>
    <w:rsid w:val="00A268AD"/>
    <w:rsid w:val="00A26EB5"/>
    <w:rsid w:val="00A27144"/>
    <w:rsid w:val="00A272A0"/>
    <w:rsid w:val="00A2777F"/>
    <w:rsid w:val="00A278CC"/>
    <w:rsid w:val="00A27A2D"/>
    <w:rsid w:val="00A27C14"/>
    <w:rsid w:val="00A30298"/>
    <w:rsid w:val="00A30320"/>
    <w:rsid w:val="00A303F3"/>
    <w:rsid w:val="00A304E9"/>
    <w:rsid w:val="00A307F3"/>
    <w:rsid w:val="00A308F1"/>
    <w:rsid w:val="00A30D8C"/>
    <w:rsid w:val="00A30F7E"/>
    <w:rsid w:val="00A31347"/>
    <w:rsid w:val="00A31490"/>
    <w:rsid w:val="00A316DF"/>
    <w:rsid w:val="00A31E22"/>
    <w:rsid w:val="00A32036"/>
    <w:rsid w:val="00A32419"/>
    <w:rsid w:val="00A324A6"/>
    <w:rsid w:val="00A32501"/>
    <w:rsid w:val="00A3286D"/>
    <w:rsid w:val="00A32B0B"/>
    <w:rsid w:val="00A32D9B"/>
    <w:rsid w:val="00A33010"/>
    <w:rsid w:val="00A330FA"/>
    <w:rsid w:val="00A334D2"/>
    <w:rsid w:val="00A337C6"/>
    <w:rsid w:val="00A33CF1"/>
    <w:rsid w:val="00A33DD0"/>
    <w:rsid w:val="00A344CF"/>
    <w:rsid w:val="00A3464B"/>
    <w:rsid w:val="00A34A8F"/>
    <w:rsid w:val="00A34DD4"/>
    <w:rsid w:val="00A34EF5"/>
    <w:rsid w:val="00A3507B"/>
    <w:rsid w:val="00A35087"/>
    <w:rsid w:val="00A35137"/>
    <w:rsid w:val="00A3525A"/>
    <w:rsid w:val="00A352BF"/>
    <w:rsid w:val="00A3577C"/>
    <w:rsid w:val="00A357BA"/>
    <w:rsid w:val="00A35DA9"/>
    <w:rsid w:val="00A35F7B"/>
    <w:rsid w:val="00A36390"/>
    <w:rsid w:val="00A3733A"/>
    <w:rsid w:val="00A3745D"/>
    <w:rsid w:val="00A37689"/>
    <w:rsid w:val="00A376C2"/>
    <w:rsid w:val="00A37787"/>
    <w:rsid w:val="00A379ED"/>
    <w:rsid w:val="00A37A59"/>
    <w:rsid w:val="00A37AB0"/>
    <w:rsid w:val="00A37DE4"/>
    <w:rsid w:val="00A37FED"/>
    <w:rsid w:val="00A40232"/>
    <w:rsid w:val="00A40440"/>
    <w:rsid w:val="00A406E6"/>
    <w:rsid w:val="00A40896"/>
    <w:rsid w:val="00A40DDA"/>
    <w:rsid w:val="00A41178"/>
    <w:rsid w:val="00A413D3"/>
    <w:rsid w:val="00A413D5"/>
    <w:rsid w:val="00A415F8"/>
    <w:rsid w:val="00A41C7D"/>
    <w:rsid w:val="00A42113"/>
    <w:rsid w:val="00A4212F"/>
    <w:rsid w:val="00A4214B"/>
    <w:rsid w:val="00A421CD"/>
    <w:rsid w:val="00A422B2"/>
    <w:rsid w:val="00A42322"/>
    <w:rsid w:val="00A42A7D"/>
    <w:rsid w:val="00A42AA9"/>
    <w:rsid w:val="00A42B74"/>
    <w:rsid w:val="00A42CAE"/>
    <w:rsid w:val="00A43248"/>
    <w:rsid w:val="00A4343A"/>
    <w:rsid w:val="00A43AA8"/>
    <w:rsid w:val="00A43ADC"/>
    <w:rsid w:val="00A43CEF"/>
    <w:rsid w:val="00A43D69"/>
    <w:rsid w:val="00A43D9E"/>
    <w:rsid w:val="00A43DC3"/>
    <w:rsid w:val="00A44391"/>
    <w:rsid w:val="00A445B4"/>
    <w:rsid w:val="00A44756"/>
    <w:rsid w:val="00A44A02"/>
    <w:rsid w:val="00A44B94"/>
    <w:rsid w:val="00A45059"/>
    <w:rsid w:val="00A4559E"/>
    <w:rsid w:val="00A455AC"/>
    <w:rsid w:val="00A455C2"/>
    <w:rsid w:val="00A45753"/>
    <w:rsid w:val="00A457FD"/>
    <w:rsid w:val="00A45BE1"/>
    <w:rsid w:val="00A45F6E"/>
    <w:rsid w:val="00A461E8"/>
    <w:rsid w:val="00A46571"/>
    <w:rsid w:val="00A46C7C"/>
    <w:rsid w:val="00A46DAE"/>
    <w:rsid w:val="00A46E0C"/>
    <w:rsid w:val="00A46F06"/>
    <w:rsid w:val="00A47004"/>
    <w:rsid w:val="00A473A9"/>
    <w:rsid w:val="00A473EA"/>
    <w:rsid w:val="00A47436"/>
    <w:rsid w:val="00A4758B"/>
    <w:rsid w:val="00A476AC"/>
    <w:rsid w:val="00A4779B"/>
    <w:rsid w:val="00A47D11"/>
    <w:rsid w:val="00A47DE2"/>
    <w:rsid w:val="00A50267"/>
    <w:rsid w:val="00A506C6"/>
    <w:rsid w:val="00A5082C"/>
    <w:rsid w:val="00A508F5"/>
    <w:rsid w:val="00A50E2B"/>
    <w:rsid w:val="00A50FE0"/>
    <w:rsid w:val="00A5111D"/>
    <w:rsid w:val="00A5150A"/>
    <w:rsid w:val="00A5184B"/>
    <w:rsid w:val="00A51A06"/>
    <w:rsid w:val="00A51A55"/>
    <w:rsid w:val="00A520FD"/>
    <w:rsid w:val="00A52233"/>
    <w:rsid w:val="00A52379"/>
    <w:rsid w:val="00A5254F"/>
    <w:rsid w:val="00A52974"/>
    <w:rsid w:val="00A52A64"/>
    <w:rsid w:val="00A52D48"/>
    <w:rsid w:val="00A53321"/>
    <w:rsid w:val="00A5340D"/>
    <w:rsid w:val="00A53B3F"/>
    <w:rsid w:val="00A53C2E"/>
    <w:rsid w:val="00A541D8"/>
    <w:rsid w:val="00A54298"/>
    <w:rsid w:val="00A543CA"/>
    <w:rsid w:val="00A54668"/>
    <w:rsid w:val="00A54C46"/>
    <w:rsid w:val="00A54D1E"/>
    <w:rsid w:val="00A54EE8"/>
    <w:rsid w:val="00A55232"/>
    <w:rsid w:val="00A552A9"/>
    <w:rsid w:val="00A55A2D"/>
    <w:rsid w:val="00A55B90"/>
    <w:rsid w:val="00A55B96"/>
    <w:rsid w:val="00A55BA1"/>
    <w:rsid w:val="00A55C6E"/>
    <w:rsid w:val="00A55D50"/>
    <w:rsid w:val="00A55D66"/>
    <w:rsid w:val="00A55F14"/>
    <w:rsid w:val="00A566C9"/>
    <w:rsid w:val="00A56A31"/>
    <w:rsid w:val="00A56A85"/>
    <w:rsid w:val="00A56B5D"/>
    <w:rsid w:val="00A56D5E"/>
    <w:rsid w:val="00A5700A"/>
    <w:rsid w:val="00A570E2"/>
    <w:rsid w:val="00A5749B"/>
    <w:rsid w:val="00A57747"/>
    <w:rsid w:val="00A579A3"/>
    <w:rsid w:val="00A60509"/>
    <w:rsid w:val="00A60838"/>
    <w:rsid w:val="00A60AF1"/>
    <w:rsid w:val="00A60D24"/>
    <w:rsid w:val="00A60EFE"/>
    <w:rsid w:val="00A61081"/>
    <w:rsid w:val="00A61223"/>
    <w:rsid w:val="00A61359"/>
    <w:rsid w:val="00A61377"/>
    <w:rsid w:val="00A61433"/>
    <w:rsid w:val="00A61563"/>
    <w:rsid w:val="00A618FA"/>
    <w:rsid w:val="00A61AD8"/>
    <w:rsid w:val="00A61C2A"/>
    <w:rsid w:val="00A61C75"/>
    <w:rsid w:val="00A61CEA"/>
    <w:rsid w:val="00A61D21"/>
    <w:rsid w:val="00A62009"/>
    <w:rsid w:val="00A620B1"/>
    <w:rsid w:val="00A624BB"/>
    <w:rsid w:val="00A6252F"/>
    <w:rsid w:val="00A62CB1"/>
    <w:rsid w:val="00A62E3D"/>
    <w:rsid w:val="00A63092"/>
    <w:rsid w:val="00A6311E"/>
    <w:rsid w:val="00A63617"/>
    <w:rsid w:val="00A6363B"/>
    <w:rsid w:val="00A63829"/>
    <w:rsid w:val="00A63CC3"/>
    <w:rsid w:val="00A63F1F"/>
    <w:rsid w:val="00A64269"/>
    <w:rsid w:val="00A6455E"/>
    <w:rsid w:val="00A64A53"/>
    <w:rsid w:val="00A64BD2"/>
    <w:rsid w:val="00A64E71"/>
    <w:rsid w:val="00A64EC0"/>
    <w:rsid w:val="00A6520F"/>
    <w:rsid w:val="00A65394"/>
    <w:rsid w:val="00A65777"/>
    <w:rsid w:val="00A65837"/>
    <w:rsid w:val="00A659C5"/>
    <w:rsid w:val="00A65A75"/>
    <w:rsid w:val="00A65B63"/>
    <w:rsid w:val="00A65C0C"/>
    <w:rsid w:val="00A65C4C"/>
    <w:rsid w:val="00A65D1C"/>
    <w:rsid w:val="00A662DF"/>
    <w:rsid w:val="00A668FC"/>
    <w:rsid w:val="00A66E34"/>
    <w:rsid w:val="00A67301"/>
    <w:rsid w:val="00A673A2"/>
    <w:rsid w:val="00A6770B"/>
    <w:rsid w:val="00A679A9"/>
    <w:rsid w:val="00A67CDF"/>
    <w:rsid w:val="00A70071"/>
    <w:rsid w:val="00A70081"/>
    <w:rsid w:val="00A7010D"/>
    <w:rsid w:val="00A7012C"/>
    <w:rsid w:val="00A70227"/>
    <w:rsid w:val="00A709C1"/>
    <w:rsid w:val="00A70F9A"/>
    <w:rsid w:val="00A7107F"/>
    <w:rsid w:val="00A71216"/>
    <w:rsid w:val="00A713D2"/>
    <w:rsid w:val="00A713EC"/>
    <w:rsid w:val="00A7143E"/>
    <w:rsid w:val="00A719DB"/>
    <w:rsid w:val="00A71BCD"/>
    <w:rsid w:val="00A71C61"/>
    <w:rsid w:val="00A71D6D"/>
    <w:rsid w:val="00A71F83"/>
    <w:rsid w:val="00A72127"/>
    <w:rsid w:val="00A7229E"/>
    <w:rsid w:val="00A72360"/>
    <w:rsid w:val="00A72AED"/>
    <w:rsid w:val="00A72CE3"/>
    <w:rsid w:val="00A72E80"/>
    <w:rsid w:val="00A72EAD"/>
    <w:rsid w:val="00A73068"/>
    <w:rsid w:val="00A7362D"/>
    <w:rsid w:val="00A73698"/>
    <w:rsid w:val="00A73775"/>
    <w:rsid w:val="00A73B35"/>
    <w:rsid w:val="00A73B47"/>
    <w:rsid w:val="00A7401E"/>
    <w:rsid w:val="00A74098"/>
    <w:rsid w:val="00A742F6"/>
    <w:rsid w:val="00A74443"/>
    <w:rsid w:val="00A74808"/>
    <w:rsid w:val="00A75158"/>
    <w:rsid w:val="00A752E8"/>
    <w:rsid w:val="00A754B5"/>
    <w:rsid w:val="00A75536"/>
    <w:rsid w:val="00A7583F"/>
    <w:rsid w:val="00A7597B"/>
    <w:rsid w:val="00A75A13"/>
    <w:rsid w:val="00A75B60"/>
    <w:rsid w:val="00A75CEE"/>
    <w:rsid w:val="00A75E87"/>
    <w:rsid w:val="00A76191"/>
    <w:rsid w:val="00A76531"/>
    <w:rsid w:val="00A76903"/>
    <w:rsid w:val="00A76E39"/>
    <w:rsid w:val="00A76ED4"/>
    <w:rsid w:val="00A7716F"/>
    <w:rsid w:val="00A771E5"/>
    <w:rsid w:val="00A7742A"/>
    <w:rsid w:val="00A778B4"/>
    <w:rsid w:val="00A77AF9"/>
    <w:rsid w:val="00A77D6D"/>
    <w:rsid w:val="00A7EFD2"/>
    <w:rsid w:val="00A801B9"/>
    <w:rsid w:val="00A80303"/>
    <w:rsid w:val="00A8058F"/>
    <w:rsid w:val="00A80637"/>
    <w:rsid w:val="00A808C2"/>
    <w:rsid w:val="00A80A63"/>
    <w:rsid w:val="00A80BFC"/>
    <w:rsid w:val="00A80E42"/>
    <w:rsid w:val="00A80EE5"/>
    <w:rsid w:val="00A81095"/>
    <w:rsid w:val="00A81313"/>
    <w:rsid w:val="00A81A9D"/>
    <w:rsid w:val="00A81B67"/>
    <w:rsid w:val="00A821B1"/>
    <w:rsid w:val="00A821F7"/>
    <w:rsid w:val="00A826CB"/>
    <w:rsid w:val="00A82837"/>
    <w:rsid w:val="00A83373"/>
    <w:rsid w:val="00A8351B"/>
    <w:rsid w:val="00A83C31"/>
    <w:rsid w:val="00A83D1A"/>
    <w:rsid w:val="00A84212"/>
    <w:rsid w:val="00A842E4"/>
    <w:rsid w:val="00A84373"/>
    <w:rsid w:val="00A844BC"/>
    <w:rsid w:val="00A84838"/>
    <w:rsid w:val="00A84991"/>
    <w:rsid w:val="00A849B3"/>
    <w:rsid w:val="00A84B0B"/>
    <w:rsid w:val="00A8510F"/>
    <w:rsid w:val="00A85383"/>
    <w:rsid w:val="00A853F4"/>
    <w:rsid w:val="00A85F6D"/>
    <w:rsid w:val="00A86076"/>
    <w:rsid w:val="00A861EE"/>
    <w:rsid w:val="00A863A2"/>
    <w:rsid w:val="00A86520"/>
    <w:rsid w:val="00A86E99"/>
    <w:rsid w:val="00A8711D"/>
    <w:rsid w:val="00A8737B"/>
    <w:rsid w:val="00A87540"/>
    <w:rsid w:val="00A87555"/>
    <w:rsid w:val="00A877EC"/>
    <w:rsid w:val="00A8789F"/>
    <w:rsid w:val="00A8791E"/>
    <w:rsid w:val="00A879BA"/>
    <w:rsid w:val="00A87D91"/>
    <w:rsid w:val="00A87E88"/>
    <w:rsid w:val="00A88BC5"/>
    <w:rsid w:val="00A8FE34"/>
    <w:rsid w:val="00A900B9"/>
    <w:rsid w:val="00A902FB"/>
    <w:rsid w:val="00A90439"/>
    <w:rsid w:val="00A9086A"/>
    <w:rsid w:val="00A909F0"/>
    <w:rsid w:val="00A90ABB"/>
    <w:rsid w:val="00A90D6E"/>
    <w:rsid w:val="00A90DFA"/>
    <w:rsid w:val="00A90E6D"/>
    <w:rsid w:val="00A90FA9"/>
    <w:rsid w:val="00A91030"/>
    <w:rsid w:val="00A911FE"/>
    <w:rsid w:val="00A91258"/>
    <w:rsid w:val="00A91886"/>
    <w:rsid w:val="00A91992"/>
    <w:rsid w:val="00A91A44"/>
    <w:rsid w:val="00A91A7B"/>
    <w:rsid w:val="00A91DE5"/>
    <w:rsid w:val="00A91EA6"/>
    <w:rsid w:val="00A91EBE"/>
    <w:rsid w:val="00A92217"/>
    <w:rsid w:val="00A92336"/>
    <w:rsid w:val="00A924FC"/>
    <w:rsid w:val="00A92554"/>
    <w:rsid w:val="00A92882"/>
    <w:rsid w:val="00A928E9"/>
    <w:rsid w:val="00A92A50"/>
    <w:rsid w:val="00A92B7C"/>
    <w:rsid w:val="00A92E12"/>
    <w:rsid w:val="00A9308A"/>
    <w:rsid w:val="00A93550"/>
    <w:rsid w:val="00A93C92"/>
    <w:rsid w:val="00A944EA"/>
    <w:rsid w:val="00A94575"/>
    <w:rsid w:val="00A9471D"/>
    <w:rsid w:val="00A94E67"/>
    <w:rsid w:val="00A94EE6"/>
    <w:rsid w:val="00A94F27"/>
    <w:rsid w:val="00A950FB"/>
    <w:rsid w:val="00A955C8"/>
    <w:rsid w:val="00A958D0"/>
    <w:rsid w:val="00A95D0F"/>
    <w:rsid w:val="00A95D9B"/>
    <w:rsid w:val="00A96213"/>
    <w:rsid w:val="00A96221"/>
    <w:rsid w:val="00A96255"/>
    <w:rsid w:val="00A9628B"/>
    <w:rsid w:val="00A96440"/>
    <w:rsid w:val="00A965DE"/>
    <w:rsid w:val="00A96AD8"/>
    <w:rsid w:val="00A96C31"/>
    <w:rsid w:val="00A96D10"/>
    <w:rsid w:val="00A96D56"/>
    <w:rsid w:val="00A96E7D"/>
    <w:rsid w:val="00A96E8C"/>
    <w:rsid w:val="00A9716F"/>
    <w:rsid w:val="00A972B9"/>
    <w:rsid w:val="00A9755F"/>
    <w:rsid w:val="00A979DC"/>
    <w:rsid w:val="00A97AD3"/>
    <w:rsid w:val="00A97EFE"/>
    <w:rsid w:val="00AA0083"/>
    <w:rsid w:val="00AA02F9"/>
    <w:rsid w:val="00AA07CC"/>
    <w:rsid w:val="00AA0A6C"/>
    <w:rsid w:val="00AA0F72"/>
    <w:rsid w:val="00AA1306"/>
    <w:rsid w:val="00AA1361"/>
    <w:rsid w:val="00AA1574"/>
    <w:rsid w:val="00AA1845"/>
    <w:rsid w:val="00AA18D2"/>
    <w:rsid w:val="00AA1B46"/>
    <w:rsid w:val="00AA1BA3"/>
    <w:rsid w:val="00AA1C17"/>
    <w:rsid w:val="00AA1CA1"/>
    <w:rsid w:val="00AA1E5E"/>
    <w:rsid w:val="00AA1E78"/>
    <w:rsid w:val="00AA1FD0"/>
    <w:rsid w:val="00AA207F"/>
    <w:rsid w:val="00AA2612"/>
    <w:rsid w:val="00AA2749"/>
    <w:rsid w:val="00AA2948"/>
    <w:rsid w:val="00AA2D79"/>
    <w:rsid w:val="00AA2F57"/>
    <w:rsid w:val="00AA2F81"/>
    <w:rsid w:val="00AA32D3"/>
    <w:rsid w:val="00AA339E"/>
    <w:rsid w:val="00AA3602"/>
    <w:rsid w:val="00AA37A5"/>
    <w:rsid w:val="00AA395C"/>
    <w:rsid w:val="00AA4596"/>
    <w:rsid w:val="00AA4732"/>
    <w:rsid w:val="00AA4AFE"/>
    <w:rsid w:val="00AA4C62"/>
    <w:rsid w:val="00AA50E3"/>
    <w:rsid w:val="00AA527E"/>
    <w:rsid w:val="00AA55E9"/>
    <w:rsid w:val="00AA5C06"/>
    <w:rsid w:val="00AA5D70"/>
    <w:rsid w:val="00AA5EF6"/>
    <w:rsid w:val="00AA6304"/>
    <w:rsid w:val="00AA68ED"/>
    <w:rsid w:val="00AA6A8F"/>
    <w:rsid w:val="00AA6C5D"/>
    <w:rsid w:val="00AA6CE5"/>
    <w:rsid w:val="00AA6ED6"/>
    <w:rsid w:val="00AA71EA"/>
    <w:rsid w:val="00AA73A8"/>
    <w:rsid w:val="00AA74E5"/>
    <w:rsid w:val="00AA74F7"/>
    <w:rsid w:val="00AA7918"/>
    <w:rsid w:val="00AA7995"/>
    <w:rsid w:val="00AA7B7B"/>
    <w:rsid w:val="00AA7C36"/>
    <w:rsid w:val="00AA7E48"/>
    <w:rsid w:val="00AA7F7E"/>
    <w:rsid w:val="00AB0286"/>
    <w:rsid w:val="00AB0B5C"/>
    <w:rsid w:val="00AB0D79"/>
    <w:rsid w:val="00AB11C4"/>
    <w:rsid w:val="00AB128F"/>
    <w:rsid w:val="00AB1439"/>
    <w:rsid w:val="00AB1558"/>
    <w:rsid w:val="00AB19B3"/>
    <w:rsid w:val="00AB1B17"/>
    <w:rsid w:val="00AB1D7D"/>
    <w:rsid w:val="00AB1E7F"/>
    <w:rsid w:val="00AB2018"/>
    <w:rsid w:val="00AB2057"/>
    <w:rsid w:val="00AB20A0"/>
    <w:rsid w:val="00AB20E8"/>
    <w:rsid w:val="00AB22D8"/>
    <w:rsid w:val="00AB2521"/>
    <w:rsid w:val="00AB2973"/>
    <w:rsid w:val="00AB2B87"/>
    <w:rsid w:val="00AB2CBB"/>
    <w:rsid w:val="00AB2F98"/>
    <w:rsid w:val="00AB312E"/>
    <w:rsid w:val="00AB327A"/>
    <w:rsid w:val="00AB3A49"/>
    <w:rsid w:val="00AB3C8D"/>
    <w:rsid w:val="00AB3E7F"/>
    <w:rsid w:val="00AB42F6"/>
    <w:rsid w:val="00AB4368"/>
    <w:rsid w:val="00AB490A"/>
    <w:rsid w:val="00AB4B65"/>
    <w:rsid w:val="00AB4E20"/>
    <w:rsid w:val="00AB4ED7"/>
    <w:rsid w:val="00AB4FCF"/>
    <w:rsid w:val="00AB5160"/>
    <w:rsid w:val="00AB53D1"/>
    <w:rsid w:val="00AB549D"/>
    <w:rsid w:val="00AB575D"/>
    <w:rsid w:val="00AB5AB1"/>
    <w:rsid w:val="00AB5B3D"/>
    <w:rsid w:val="00AB5D3E"/>
    <w:rsid w:val="00AB6036"/>
    <w:rsid w:val="00AB61C9"/>
    <w:rsid w:val="00AB6306"/>
    <w:rsid w:val="00AB647D"/>
    <w:rsid w:val="00AB6541"/>
    <w:rsid w:val="00AB682B"/>
    <w:rsid w:val="00AB6BF9"/>
    <w:rsid w:val="00AB6D87"/>
    <w:rsid w:val="00AB6E09"/>
    <w:rsid w:val="00AB6F81"/>
    <w:rsid w:val="00AB704F"/>
    <w:rsid w:val="00AB796E"/>
    <w:rsid w:val="00AB7991"/>
    <w:rsid w:val="00AB7BF6"/>
    <w:rsid w:val="00AB95CE"/>
    <w:rsid w:val="00AC02F5"/>
    <w:rsid w:val="00AC0524"/>
    <w:rsid w:val="00AC05C8"/>
    <w:rsid w:val="00AC0A6A"/>
    <w:rsid w:val="00AC0C97"/>
    <w:rsid w:val="00AC1005"/>
    <w:rsid w:val="00AC134E"/>
    <w:rsid w:val="00AC15E0"/>
    <w:rsid w:val="00AC1615"/>
    <w:rsid w:val="00AC1999"/>
    <w:rsid w:val="00AC1AC7"/>
    <w:rsid w:val="00AC1EF2"/>
    <w:rsid w:val="00AC2112"/>
    <w:rsid w:val="00AC2329"/>
    <w:rsid w:val="00AC233A"/>
    <w:rsid w:val="00AC24B5"/>
    <w:rsid w:val="00AC2633"/>
    <w:rsid w:val="00AC26FF"/>
    <w:rsid w:val="00AC2954"/>
    <w:rsid w:val="00AC2A1E"/>
    <w:rsid w:val="00AC2DFF"/>
    <w:rsid w:val="00AC2E6D"/>
    <w:rsid w:val="00AC340E"/>
    <w:rsid w:val="00AC3493"/>
    <w:rsid w:val="00AC34D7"/>
    <w:rsid w:val="00AC352D"/>
    <w:rsid w:val="00AC3849"/>
    <w:rsid w:val="00AC3977"/>
    <w:rsid w:val="00AC3AFA"/>
    <w:rsid w:val="00AC3B12"/>
    <w:rsid w:val="00AC3CB1"/>
    <w:rsid w:val="00AC3FF0"/>
    <w:rsid w:val="00AC4041"/>
    <w:rsid w:val="00AC4341"/>
    <w:rsid w:val="00AC44E0"/>
    <w:rsid w:val="00AC466E"/>
    <w:rsid w:val="00AC48F3"/>
    <w:rsid w:val="00AC490C"/>
    <w:rsid w:val="00AC4CDD"/>
    <w:rsid w:val="00AC4DCD"/>
    <w:rsid w:val="00AC4FFF"/>
    <w:rsid w:val="00AC505C"/>
    <w:rsid w:val="00AC513D"/>
    <w:rsid w:val="00AC544E"/>
    <w:rsid w:val="00AC5689"/>
    <w:rsid w:val="00AC5797"/>
    <w:rsid w:val="00AC57C9"/>
    <w:rsid w:val="00AC57E2"/>
    <w:rsid w:val="00AC5A16"/>
    <w:rsid w:val="00AC5B30"/>
    <w:rsid w:val="00AC5BB7"/>
    <w:rsid w:val="00AC5EFD"/>
    <w:rsid w:val="00AC5F36"/>
    <w:rsid w:val="00AC65E9"/>
    <w:rsid w:val="00AC673E"/>
    <w:rsid w:val="00AC6D22"/>
    <w:rsid w:val="00AC71E0"/>
    <w:rsid w:val="00AC74F7"/>
    <w:rsid w:val="00AC76F6"/>
    <w:rsid w:val="00AC78A2"/>
    <w:rsid w:val="00AC79A6"/>
    <w:rsid w:val="00AC7AA9"/>
    <w:rsid w:val="00AD0562"/>
    <w:rsid w:val="00AD09B0"/>
    <w:rsid w:val="00AD09BF"/>
    <w:rsid w:val="00AD0B51"/>
    <w:rsid w:val="00AD153D"/>
    <w:rsid w:val="00AD1842"/>
    <w:rsid w:val="00AD1B04"/>
    <w:rsid w:val="00AD1B29"/>
    <w:rsid w:val="00AD1EA6"/>
    <w:rsid w:val="00AD2026"/>
    <w:rsid w:val="00AD219B"/>
    <w:rsid w:val="00AD2238"/>
    <w:rsid w:val="00AD23AF"/>
    <w:rsid w:val="00AD24AC"/>
    <w:rsid w:val="00AD26C9"/>
    <w:rsid w:val="00AD2C06"/>
    <w:rsid w:val="00AD2FD1"/>
    <w:rsid w:val="00AD3290"/>
    <w:rsid w:val="00AD3DF0"/>
    <w:rsid w:val="00AD3E08"/>
    <w:rsid w:val="00AD4007"/>
    <w:rsid w:val="00AD42CF"/>
    <w:rsid w:val="00AD42E1"/>
    <w:rsid w:val="00AD45D4"/>
    <w:rsid w:val="00AD4C76"/>
    <w:rsid w:val="00AD4E44"/>
    <w:rsid w:val="00AD4EAD"/>
    <w:rsid w:val="00AD52F1"/>
    <w:rsid w:val="00AD579E"/>
    <w:rsid w:val="00AD59C0"/>
    <w:rsid w:val="00AD5AE7"/>
    <w:rsid w:val="00AD5D04"/>
    <w:rsid w:val="00AD60F9"/>
    <w:rsid w:val="00AD6189"/>
    <w:rsid w:val="00AD63A6"/>
    <w:rsid w:val="00AD6656"/>
    <w:rsid w:val="00AD6695"/>
    <w:rsid w:val="00AD68E5"/>
    <w:rsid w:val="00AD6959"/>
    <w:rsid w:val="00AD6DC7"/>
    <w:rsid w:val="00AD6F8D"/>
    <w:rsid w:val="00AD71A4"/>
    <w:rsid w:val="00AD7E75"/>
    <w:rsid w:val="00AD7F39"/>
    <w:rsid w:val="00AE00F8"/>
    <w:rsid w:val="00AE015B"/>
    <w:rsid w:val="00AE062A"/>
    <w:rsid w:val="00AE08C9"/>
    <w:rsid w:val="00AE0A0A"/>
    <w:rsid w:val="00AE0E1A"/>
    <w:rsid w:val="00AE0EEB"/>
    <w:rsid w:val="00AE1701"/>
    <w:rsid w:val="00AE184C"/>
    <w:rsid w:val="00AE186C"/>
    <w:rsid w:val="00AE1C9C"/>
    <w:rsid w:val="00AE1E24"/>
    <w:rsid w:val="00AE1E73"/>
    <w:rsid w:val="00AE2021"/>
    <w:rsid w:val="00AE2412"/>
    <w:rsid w:val="00AE246F"/>
    <w:rsid w:val="00AE249F"/>
    <w:rsid w:val="00AE2615"/>
    <w:rsid w:val="00AE287B"/>
    <w:rsid w:val="00AE29B0"/>
    <w:rsid w:val="00AE2CCD"/>
    <w:rsid w:val="00AE2DDA"/>
    <w:rsid w:val="00AE30D4"/>
    <w:rsid w:val="00AE3351"/>
    <w:rsid w:val="00AE3396"/>
    <w:rsid w:val="00AE3459"/>
    <w:rsid w:val="00AE3625"/>
    <w:rsid w:val="00AE36CF"/>
    <w:rsid w:val="00AE3792"/>
    <w:rsid w:val="00AE3CC7"/>
    <w:rsid w:val="00AE3CF0"/>
    <w:rsid w:val="00AE3E8E"/>
    <w:rsid w:val="00AE40C5"/>
    <w:rsid w:val="00AE41CF"/>
    <w:rsid w:val="00AE47B2"/>
    <w:rsid w:val="00AE48DD"/>
    <w:rsid w:val="00AE4B9A"/>
    <w:rsid w:val="00AE4BA0"/>
    <w:rsid w:val="00AE4BA1"/>
    <w:rsid w:val="00AE4C79"/>
    <w:rsid w:val="00AE4EE8"/>
    <w:rsid w:val="00AE547E"/>
    <w:rsid w:val="00AE567D"/>
    <w:rsid w:val="00AE56A8"/>
    <w:rsid w:val="00AE56F8"/>
    <w:rsid w:val="00AE5792"/>
    <w:rsid w:val="00AE57B2"/>
    <w:rsid w:val="00AE5ACA"/>
    <w:rsid w:val="00AE5F7F"/>
    <w:rsid w:val="00AE5FD8"/>
    <w:rsid w:val="00AE62C8"/>
    <w:rsid w:val="00AE637E"/>
    <w:rsid w:val="00AE63C2"/>
    <w:rsid w:val="00AE6420"/>
    <w:rsid w:val="00AE671B"/>
    <w:rsid w:val="00AE7057"/>
    <w:rsid w:val="00AE7E57"/>
    <w:rsid w:val="00AF026B"/>
    <w:rsid w:val="00AF0476"/>
    <w:rsid w:val="00AF04DB"/>
    <w:rsid w:val="00AF056B"/>
    <w:rsid w:val="00AF0573"/>
    <w:rsid w:val="00AF0797"/>
    <w:rsid w:val="00AF1103"/>
    <w:rsid w:val="00AF12B9"/>
    <w:rsid w:val="00AF14EF"/>
    <w:rsid w:val="00AF150E"/>
    <w:rsid w:val="00AF1514"/>
    <w:rsid w:val="00AF1554"/>
    <w:rsid w:val="00AF1882"/>
    <w:rsid w:val="00AF1AD5"/>
    <w:rsid w:val="00AF1B54"/>
    <w:rsid w:val="00AF1CEB"/>
    <w:rsid w:val="00AF1F77"/>
    <w:rsid w:val="00AF204E"/>
    <w:rsid w:val="00AF23A7"/>
    <w:rsid w:val="00AF24A5"/>
    <w:rsid w:val="00AF24AA"/>
    <w:rsid w:val="00AF2ADF"/>
    <w:rsid w:val="00AF2CF9"/>
    <w:rsid w:val="00AF3455"/>
    <w:rsid w:val="00AF357F"/>
    <w:rsid w:val="00AF3899"/>
    <w:rsid w:val="00AF38A5"/>
    <w:rsid w:val="00AF3AC2"/>
    <w:rsid w:val="00AF3B06"/>
    <w:rsid w:val="00AF3C97"/>
    <w:rsid w:val="00AF3E3E"/>
    <w:rsid w:val="00AF3EC1"/>
    <w:rsid w:val="00AF4235"/>
    <w:rsid w:val="00AF434E"/>
    <w:rsid w:val="00AF4398"/>
    <w:rsid w:val="00AF459F"/>
    <w:rsid w:val="00AF4733"/>
    <w:rsid w:val="00AF4B5C"/>
    <w:rsid w:val="00AF4C74"/>
    <w:rsid w:val="00AF502D"/>
    <w:rsid w:val="00AF5065"/>
    <w:rsid w:val="00AF50DB"/>
    <w:rsid w:val="00AF5299"/>
    <w:rsid w:val="00AF58C1"/>
    <w:rsid w:val="00AF599D"/>
    <w:rsid w:val="00AF5B25"/>
    <w:rsid w:val="00AF5CCB"/>
    <w:rsid w:val="00AF5DBE"/>
    <w:rsid w:val="00AF5DC6"/>
    <w:rsid w:val="00AF5ED1"/>
    <w:rsid w:val="00AF62AD"/>
    <w:rsid w:val="00AF6354"/>
    <w:rsid w:val="00AF654F"/>
    <w:rsid w:val="00AF65B8"/>
    <w:rsid w:val="00AF6642"/>
    <w:rsid w:val="00AF66E4"/>
    <w:rsid w:val="00AF684A"/>
    <w:rsid w:val="00AF7116"/>
    <w:rsid w:val="00AF7309"/>
    <w:rsid w:val="00AF7458"/>
    <w:rsid w:val="00AF7495"/>
    <w:rsid w:val="00AF74A4"/>
    <w:rsid w:val="00AF7647"/>
    <w:rsid w:val="00AF7650"/>
    <w:rsid w:val="00AF78F2"/>
    <w:rsid w:val="00B00769"/>
    <w:rsid w:val="00B0096F"/>
    <w:rsid w:val="00B00C50"/>
    <w:rsid w:val="00B00DAC"/>
    <w:rsid w:val="00B00F45"/>
    <w:rsid w:val="00B014CE"/>
    <w:rsid w:val="00B01698"/>
    <w:rsid w:val="00B01814"/>
    <w:rsid w:val="00B0186D"/>
    <w:rsid w:val="00B018E5"/>
    <w:rsid w:val="00B01F27"/>
    <w:rsid w:val="00B024CE"/>
    <w:rsid w:val="00B024FC"/>
    <w:rsid w:val="00B02865"/>
    <w:rsid w:val="00B03240"/>
    <w:rsid w:val="00B03726"/>
    <w:rsid w:val="00B03D08"/>
    <w:rsid w:val="00B03D92"/>
    <w:rsid w:val="00B03E72"/>
    <w:rsid w:val="00B04195"/>
    <w:rsid w:val="00B041C2"/>
    <w:rsid w:val="00B0447F"/>
    <w:rsid w:val="00B04CFB"/>
    <w:rsid w:val="00B0544C"/>
    <w:rsid w:val="00B058A2"/>
    <w:rsid w:val="00B062DE"/>
    <w:rsid w:val="00B064BF"/>
    <w:rsid w:val="00B0672D"/>
    <w:rsid w:val="00B067B8"/>
    <w:rsid w:val="00B06884"/>
    <w:rsid w:val="00B06A14"/>
    <w:rsid w:val="00B06C96"/>
    <w:rsid w:val="00B06DC6"/>
    <w:rsid w:val="00B076B4"/>
    <w:rsid w:val="00B105E8"/>
    <w:rsid w:val="00B10829"/>
    <w:rsid w:val="00B10AAF"/>
    <w:rsid w:val="00B1120D"/>
    <w:rsid w:val="00B11513"/>
    <w:rsid w:val="00B1179B"/>
    <w:rsid w:val="00B11E55"/>
    <w:rsid w:val="00B121A9"/>
    <w:rsid w:val="00B12374"/>
    <w:rsid w:val="00B12650"/>
    <w:rsid w:val="00B127B5"/>
    <w:rsid w:val="00B1286D"/>
    <w:rsid w:val="00B12CFE"/>
    <w:rsid w:val="00B13374"/>
    <w:rsid w:val="00B13551"/>
    <w:rsid w:val="00B1361A"/>
    <w:rsid w:val="00B13A48"/>
    <w:rsid w:val="00B13FA7"/>
    <w:rsid w:val="00B13FCD"/>
    <w:rsid w:val="00B14147"/>
    <w:rsid w:val="00B1432E"/>
    <w:rsid w:val="00B146E0"/>
    <w:rsid w:val="00B14B67"/>
    <w:rsid w:val="00B14C43"/>
    <w:rsid w:val="00B14F9D"/>
    <w:rsid w:val="00B152C9"/>
    <w:rsid w:val="00B15796"/>
    <w:rsid w:val="00B157DE"/>
    <w:rsid w:val="00B15B49"/>
    <w:rsid w:val="00B15E81"/>
    <w:rsid w:val="00B15FC1"/>
    <w:rsid w:val="00B16224"/>
    <w:rsid w:val="00B16446"/>
    <w:rsid w:val="00B164D3"/>
    <w:rsid w:val="00B16615"/>
    <w:rsid w:val="00B16653"/>
    <w:rsid w:val="00B16B14"/>
    <w:rsid w:val="00B16CB7"/>
    <w:rsid w:val="00B16DF2"/>
    <w:rsid w:val="00B16E63"/>
    <w:rsid w:val="00B173D7"/>
    <w:rsid w:val="00B17CB0"/>
    <w:rsid w:val="00B17D25"/>
    <w:rsid w:val="00B1F8D7"/>
    <w:rsid w:val="00B20018"/>
    <w:rsid w:val="00B200EB"/>
    <w:rsid w:val="00B206D6"/>
    <w:rsid w:val="00B20B99"/>
    <w:rsid w:val="00B20EA4"/>
    <w:rsid w:val="00B20EDA"/>
    <w:rsid w:val="00B21216"/>
    <w:rsid w:val="00B2139B"/>
    <w:rsid w:val="00B213D0"/>
    <w:rsid w:val="00B21741"/>
    <w:rsid w:val="00B21F3E"/>
    <w:rsid w:val="00B21FF3"/>
    <w:rsid w:val="00B2207A"/>
    <w:rsid w:val="00B22152"/>
    <w:rsid w:val="00B23390"/>
    <w:rsid w:val="00B23DA4"/>
    <w:rsid w:val="00B23DBB"/>
    <w:rsid w:val="00B23FAF"/>
    <w:rsid w:val="00B25320"/>
    <w:rsid w:val="00B258AC"/>
    <w:rsid w:val="00B258C4"/>
    <w:rsid w:val="00B2599D"/>
    <w:rsid w:val="00B25DA8"/>
    <w:rsid w:val="00B25F69"/>
    <w:rsid w:val="00B26090"/>
    <w:rsid w:val="00B26164"/>
    <w:rsid w:val="00B261F9"/>
    <w:rsid w:val="00B2621B"/>
    <w:rsid w:val="00B26669"/>
    <w:rsid w:val="00B267EB"/>
    <w:rsid w:val="00B269EA"/>
    <w:rsid w:val="00B26BFA"/>
    <w:rsid w:val="00B26D45"/>
    <w:rsid w:val="00B26DB1"/>
    <w:rsid w:val="00B26E53"/>
    <w:rsid w:val="00B272D7"/>
    <w:rsid w:val="00B2745B"/>
    <w:rsid w:val="00B2790E"/>
    <w:rsid w:val="00B27B00"/>
    <w:rsid w:val="00B3017E"/>
    <w:rsid w:val="00B301D2"/>
    <w:rsid w:val="00B30647"/>
    <w:rsid w:val="00B3079E"/>
    <w:rsid w:val="00B30A4E"/>
    <w:rsid w:val="00B31256"/>
    <w:rsid w:val="00B313E1"/>
    <w:rsid w:val="00B3146E"/>
    <w:rsid w:val="00B317A5"/>
    <w:rsid w:val="00B31AE7"/>
    <w:rsid w:val="00B31E0D"/>
    <w:rsid w:val="00B3255D"/>
    <w:rsid w:val="00B328E1"/>
    <w:rsid w:val="00B329CF"/>
    <w:rsid w:val="00B32D94"/>
    <w:rsid w:val="00B3305F"/>
    <w:rsid w:val="00B3347E"/>
    <w:rsid w:val="00B33537"/>
    <w:rsid w:val="00B335F9"/>
    <w:rsid w:val="00B33729"/>
    <w:rsid w:val="00B339DA"/>
    <w:rsid w:val="00B33D87"/>
    <w:rsid w:val="00B34326"/>
    <w:rsid w:val="00B3454D"/>
    <w:rsid w:val="00B34664"/>
    <w:rsid w:val="00B347E3"/>
    <w:rsid w:val="00B34991"/>
    <w:rsid w:val="00B34BC4"/>
    <w:rsid w:val="00B34E1B"/>
    <w:rsid w:val="00B34E26"/>
    <w:rsid w:val="00B34FCB"/>
    <w:rsid w:val="00B35363"/>
    <w:rsid w:val="00B353C8"/>
    <w:rsid w:val="00B35408"/>
    <w:rsid w:val="00B3547B"/>
    <w:rsid w:val="00B35539"/>
    <w:rsid w:val="00B3563D"/>
    <w:rsid w:val="00B35794"/>
    <w:rsid w:val="00B357B2"/>
    <w:rsid w:val="00B3592A"/>
    <w:rsid w:val="00B35F38"/>
    <w:rsid w:val="00B3603B"/>
    <w:rsid w:val="00B3608C"/>
    <w:rsid w:val="00B363AE"/>
    <w:rsid w:val="00B364C1"/>
    <w:rsid w:val="00B3667B"/>
    <w:rsid w:val="00B36A45"/>
    <w:rsid w:val="00B36B89"/>
    <w:rsid w:val="00B36C71"/>
    <w:rsid w:val="00B37B29"/>
    <w:rsid w:val="00B37F09"/>
    <w:rsid w:val="00B37F53"/>
    <w:rsid w:val="00B4000C"/>
    <w:rsid w:val="00B40331"/>
    <w:rsid w:val="00B4040C"/>
    <w:rsid w:val="00B4050A"/>
    <w:rsid w:val="00B40541"/>
    <w:rsid w:val="00B40568"/>
    <w:rsid w:val="00B40623"/>
    <w:rsid w:val="00B40D36"/>
    <w:rsid w:val="00B41793"/>
    <w:rsid w:val="00B41981"/>
    <w:rsid w:val="00B41C2A"/>
    <w:rsid w:val="00B41F6A"/>
    <w:rsid w:val="00B4243F"/>
    <w:rsid w:val="00B425EF"/>
    <w:rsid w:val="00B4267D"/>
    <w:rsid w:val="00B4296B"/>
    <w:rsid w:val="00B42AE0"/>
    <w:rsid w:val="00B42E79"/>
    <w:rsid w:val="00B42FA2"/>
    <w:rsid w:val="00B431A9"/>
    <w:rsid w:val="00B432B8"/>
    <w:rsid w:val="00B4367A"/>
    <w:rsid w:val="00B43BCB"/>
    <w:rsid w:val="00B43F0E"/>
    <w:rsid w:val="00B43FE7"/>
    <w:rsid w:val="00B443DF"/>
    <w:rsid w:val="00B44571"/>
    <w:rsid w:val="00B445B8"/>
    <w:rsid w:val="00B44637"/>
    <w:rsid w:val="00B449E3"/>
    <w:rsid w:val="00B44CC0"/>
    <w:rsid w:val="00B44FA5"/>
    <w:rsid w:val="00B4511A"/>
    <w:rsid w:val="00B455BF"/>
    <w:rsid w:val="00B45850"/>
    <w:rsid w:val="00B45B9F"/>
    <w:rsid w:val="00B45ED0"/>
    <w:rsid w:val="00B45F89"/>
    <w:rsid w:val="00B4624D"/>
    <w:rsid w:val="00B46253"/>
    <w:rsid w:val="00B46560"/>
    <w:rsid w:val="00B46815"/>
    <w:rsid w:val="00B46C54"/>
    <w:rsid w:val="00B46D18"/>
    <w:rsid w:val="00B46FA3"/>
    <w:rsid w:val="00B472EE"/>
    <w:rsid w:val="00B473A1"/>
    <w:rsid w:val="00B4744F"/>
    <w:rsid w:val="00B4752A"/>
    <w:rsid w:val="00B47620"/>
    <w:rsid w:val="00B4767D"/>
    <w:rsid w:val="00B47709"/>
    <w:rsid w:val="00B47BC8"/>
    <w:rsid w:val="00B502AF"/>
    <w:rsid w:val="00B502DA"/>
    <w:rsid w:val="00B50382"/>
    <w:rsid w:val="00B507FD"/>
    <w:rsid w:val="00B50B7F"/>
    <w:rsid w:val="00B50FC1"/>
    <w:rsid w:val="00B5103E"/>
    <w:rsid w:val="00B514FC"/>
    <w:rsid w:val="00B515C1"/>
    <w:rsid w:val="00B51741"/>
    <w:rsid w:val="00B51A08"/>
    <w:rsid w:val="00B52173"/>
    <w:rsid w:val="00B52D02"/>
    <w:rsid w:val="00B53086"/>
    <w:rsid w:val="00B535CA"/>
    <w:rsid w:val="00B535E3"/>
    <w:rsid w:val="00B539A5"/>
    <w:rsid w:val="00B53D6A"/>
    <w:rsid w:val="00B53E67"/>
    <w:rsid w:val="00B53F8C"/>
    <w:rsid w:val="00B54334"/>
    <w:rsid w:val="00B54466"/>
    <w:rsid w:val="00B54627"/>
    <w:rsid w:val="00B54927"/>
    <w:rsid w:val="00B54953"/>
    <w:rsid w:val="00B54D73"/>
    <w:rsid w:val="00B54E70"/>
    <w:rsid w:val="00B550C3"/>
    <w:rsid w:val="00B555ED"/>
    <w:rsid w:val="00B5560D"/>
    <w:rsid w:val="00B558D5"/>
    <w:rsid w:val="00B55B7C"/>
    <w:rsid w:val="00B5603A"/>
    <w:rsid w:val="00B561C0"/>
    <w:rsid w:val="00B5623E"/>
    <w:rsid w:val="00B563D7"/>
    <w:rsid w:val="00B56422"/>
    <w:rsid w:val="00B567BF"/>
    <w:rsid w:val="00B56FD1"/>
    <w:rsid w:val="00B5748A"/>
    <w:rsid w:val="00B575A6"/>
    <w:rsid w:val="00B575DE"/>
    <w:rsid w:val="00B575EE"/>
    <w:rsid w:val="00B57965"/>
    <w:rsid w:val="00B57A1D"/>
    <w:rsid w:val="00B57B23"/>
    <w:rsid w:val="00B57C68"/>
    <w:rsid w:val="00B57C6E"/>
    <w:rsid w:val="00B57CA8"/>
    <w:rsid w:val="00B57D01"/>
    <w:rsid w:val="00B60007"/>
    <w:rsid w:val="00B60144"/>
    <w:rsid w:val="00B604D1"/>
    <w:rsid w:val="00B60758"/>
    <w:rsid w:val="00B60B2A"/>
    <w:rsid w:val="00B60D04"/>
    <w:rsid w:val="00B60E3F"/>
    <w:rsid w:val="00B612D3"/>
    <w:rsid w:val="00B6144A"/>
    <w:rsid w:val="00B6164F"/>
    <w:rsid w:val="00B616EC"/>
    <w:rsid w:val="00B61760"/>
    <w:rsid w:val="00B61A59"/>
    <w:rsid w:val="00B61BB9"/>
    <w:rsid w:val="00B61E12"/>
    <w:rsid w:val="00B6210C"/>
    <w:rsid w:val="00B6299F"/>
    <w:rsid w:val="00B62ED1"/>
    <w:rsid w:val="00B630DD"/>
    <w:rsid w:val="00B632AA"/>
    <w:rsid w:val="00B63629"/>
    <w:rsid w:val="00B63683"/>
    <w:rsid w:val="00B63B29"/>
    <w:rsid w:val="00B63C70"/>
    <w:rsid w:val="00B640E2"/>
    <w:rsid w:val="00B64B7A"/>
    <w:rsid w:val="00B64DA8"/>
    <w:rsid w:val="00B64EA2"/>
    <w:rsid w:val="00B65472"/>
    <w:rsid w:val="00B65BA8"/>
    <w:rsid w:val="00B65BB2"/>
    <w:rsid w:val="00B66691"/>
    <w:rsid w:val="00B666DE"/>
    <w:rsid w:val="00B67679"/>
    <w:rsid w:val="00B67ADE"/>
    <w:rsid w:val="00B67CFD"/>
    <w:rsid w:val="00B70060"/>
    <w:rsid w:val="00B701DD"/>
    <w:rsid w:val="00B704BD"/>
    <w:rsid w:val="00B70A29"/>
    <w:rsid w:val="00B70A3C"/>
    <w:rsid w:val="00B70EC3"/>
    <w:rsid w:val="00B71089"/>
    <w:rsid w:val="00B7110E"/>
    <w:rsid w:val="00B7132C"/>
    <w:rsid w:val="00B713E2"/>
    <w:rsid w:val="00B71D8B"/>
    <w:rsid w:val="00B71E1C"/>
    <w:rsid w:val="00B71ED5"/>
    <w:rsid w:val="00B71F49"/>
    <w:rsid w:val="00B72151"/>
    <w:rsid w:val="00B72EE8"/>
    <w:rsid w:val="00B73020"/>
    <w:rsid w:val="00B73A3C"/>
    <w:rsid w:val="00B74237"/>
    <w:rsid w:val="00B742AE"/>
    <w:rsid w:val="00B746A4"/>
    <w:rsid w:val="00B74FF3"/>
    <w:rsid w:val="00B751AB"/>
    <w:rsid w:val="00B75281"/>
    <w:rsid w:val="00B755E4"/>
    <w:rsid w:val="00B7587B"/>
    <w:rsid w:val="00B75C3A"/>
    <w:rsid w:val="00B75CFA"/>
    <w:rsid w:val="00B75DAD"/>
    <w:rsid w:val="00B75DBD"/>
    <w:rsid w:val="00B76382"/>
    <w:rsid w:val="00B763FB"/>
    <w:rsid w:val="00B7697B"/>
    <w:rsid w:val="00B769F6"/>
    <w:rsid w:val="00B76A94"/>
    <w:rsid w:val="00B76B45"/>
    <w:rsid w:val="00B76BE8"/>
    <w:rsid w:val="00B76CA4"/>
    <w:rsid w:val="00B76CFA"/>
    <w:rsid w:val="00B76E5B"/>
    <w:rsid w:val="00B76F32"/>
    <w:rsid w:val="00B7779D"/>
    <w:rsid w:val="00B778F2"/>
    <w:rsid w:val="00B779D2"/>
    <w:rsid w:val="00B77BD3"/>
    <w:rsid w:val="00B77D74"/>
    <w:rsid w:val="00B77FA4"/>
    <w:rsid w:val="00B804A7"/>
    <w:rsid w:val="00B80673"/>
    <w:rsid w:val="00B8127A"/>
    <w:rsid w:val="00B81280"/>
    <w:rsid w:val="00B813CC"/>
    <w:rsid w:val="00B814E4"/>
    <w:rsid w:val="00B81570"/>
    <w:rsid w:val="00B8168C"/>
    <w:rsid w:val="00B81A85"/>
    <w:rsid w:val="00B81B8F"/>
    <w:rsid w:val="00B81ECB"/>
    <w:rsid w:val="00B822D1"/>
    <w:rsid w:val="00B8298A"/>
    <w:rsid w:val="00B829F8"/>
    <w:rsid w:val="00B82ED1"/>
    <w:rsid w:val="00B830F6"/>
    <w:rsid w:val="00B83496"/>
    <w:rsid w:val="00B8371F"/>
    <w:rsid w:val="00B83859"/>
    <w:rsid w:val="00B83ABF"/>
    <w:rsid w:val="00B83AD2"/>
    <w:rsid w:val="00B83FEB"/>
    <w:rsid w:val="00B84198"/>
    <w:rsid w:val="00B841CE"/>
    <w:rsid w:val="00B84274"/>
    <w:rsid w:val="00B844FC"/>
    <w:rsid w:val="00B84676"/>
    <w:rsid w:val="00B846F5"/>
    <w:rsid w:val="00B84AD9"/>
    <w:rsid w:val="00B84C1E"/>
    <w:rsid w:val="00B84FAC"/>
    <w:rsid w:val="00B85269"/>
    <w:rsid w:val="00B8533F"/>
    <w:rsid w:val="00B853B7"/>
    <w:rsid w:val="00B8542A"/>
    <w:rsid w:val="00B85438"/>
    <w:rsid w:val="00B854AB"/>
    <w:rsid w:val="00B8584C"/>
    <w:rsid w:val="00B85AD1"/>
    <w:rsid w:val="00B85BCF"/>
    <w:rsid w:val="00B86334"/>
    <w:rsid w:val="00B86424"/>
    <w:rsid w:val="00B867E1"/>
    <w:rsid w:val="00B86864"/>
    <w:rsid w:val="00B870FE"/>
    <w:rsid w:val="00B87335"/>
    <w:rsid w:val="00B8746B"/>
    <w:rsid w:val="00B878F3"/>
    <w:rsid w:val="00B879BE"/>
    <w:rsid w:val="00B87B42"/>
    <w:rsid w:val="00B87CAE"/>
    <w:rsid w:val="00B87F6F"/>
    <w:rsid w:val="00B90266"/>
    <w:rsid w:val="00B902A9"/>
    <w:rsid w:val="00B902BA"/>
    <w:rsid w:val="00B904A6"/>
    <w:rsid w:val="00B908EF"/>
    <w:rsid w:val="00B90D9B"/>
    <w:rsid w:val="00B90FC8"/>
    <w:rsid w:val="00B91342"/>
    <w:rsid w:val="00B913FF"/>
    <w:rsid w:val="00B91831"/>
    <w:rsid w:val="00B91B65"/>
    <w:rsid w:val="00B91C30"/>
    <w:rsid w:val="00B91F1F"/>
    <w:rsid w:val="00B91FD8"/>
    <w:rsid w:val="00B920C3"/>
    <w:rsid w:val="00B922A7"/>
    <w:rsid w:val="00B92335"/>
    <w:rsid w:val="00B928E8"/>
    <w:rsid w:val="00B930EC"/>
    <w:rsid w:val="00B9349D"/>
    <w:rsid w:val="00B93613"/>
    <w:rsid w:val="00B938C9"/>
    <w:rsid w:val="00B93C8F"/>
    <w:rsid w:val="00B93DD8"/>
    <w:rsid w:val="00B93EB3"/>
    <w:rsid w:val="00B93EE0"/>
    <w:rsid w:val="00B93FFD"/>
    <w:rsid w:val="00B94186"/>
    <w:rsid w:val="00B94377"/>
    <w:rsid w:val="00B94556"/>
    <w:rsid w:val="00B9455D"/>
    <w:rsid w:val="00B946E5"/>
    <w:rsid w:val="00B94783"/>
    <w:rsid w:val="00B95811"/>
    <w:rsid w:val="00B95988"/>
    <w:rsid w:val="00B95B23"/>
    <w:rsid w:val="00B95DE4"/>
    <w:rsid w:val="00B95E62"/>
    <w:rsid w:val="00B95F76"/>
    <w:rsid w:val="00B96223"/>
    <w:rsid w:val="00B96A01"/>
    <w:rsid w:val="00B96BEB"/>
    <w:rsid w:val="00B96C9F"/>
    <w:rsid w:val="00B96D07"/>
    <w:rsid w:val="00B96D1E"/>
    <w:rsid w:val="00B97114"/>
    <w:rsid w:val="00B972D8"/>
    <w:rsid w:val="00B9738D"/>
    <w:rsid w:val="00B9750C"/>
    <w:rsid w:val="00B976BF"/>
    <w:rsid w:val="00B979C6"/>
    <w:rsid w:val="00B97A2E"/>
    <w:rsid w:val="00B97E13"/>
    <w:rsid w:val="00BA00C0"/>
    <w:rsid w:val="00BA0118"/>
    <w:rsid w:val="00BA0253"/>
    <w:rsid w:val="00BA04EC"/>
    <w:rsid w:val="00BA0696"/>
    <w:rsid w:val="00BA0E3C"/>
    <w:rsid w:val="00BA0E49"/>
    <w:rsid w:val="00BA0FB8"/>
    <w:rsid w:val="00BA101E"/>
    <w:rsid w:val="00BA1938"/>
    <w:rsid w:val="00BA1C7E"/>
    <w:rsid w:val="00BA2096"/>
    <w:rsid w:val="00BA2683"/>
    <w:rsid w:val="00BA300C"/>
    <w:rsid w:val="00BA3A27"/>
    <w:rsid w:val="00BA425F"/>
    <w:rsid w:val="00BA447E"/>
    <w:rsid w:val="00BA4573"/>
    <w:rsid w:val="00BA4796"/>
    <w:rsid w:val="00BA4A73"/>
    <w:rsid w:val="00BA4D09"/>
    <w:rsid w:val="00BA4DAC"/>
    <w:rsid w:val="00BA50D4"/>
    <w:rsid w:val="00BA54C3"/>
    <w:rsid w:val="00BA5642"/>
    <w:rsid w:val="00BA597D"/>
    <w:rsid w:val="00BA5BA7"/>
    <w:rsid w:val="00BA5C9F"/>
    <w:rsid w:val="00BA6040"/>
    <w:rsid w:val="00BA660C"/>
    <w:rsid w:val="00BA6AB6"/>
    <w:rsid w:val="00BA6BA8"/>
    <w:rsid w:val="00BA6F59"/>
    <w:rsid w:val="00BA729D"/>
    <w:rsid w:val="00BA74AB"/>
    <w:rsid w:val="00BA74B5"/>
    <w:rsid w:val="00BA799D"/>
    <w:rsid w:val="00BA79CA"/>
    <w:rsid w:val="00BA79F5"/>
    <w:rsid w:val="00BA7A0E"/>
    <w:rsid w:val="00BB00FA"/>
    <w:rsid w:val="00BB0184"/>
    <w:rsid w:val="00BB059A"/>
    <w:rsid w:val="00BB064A"/>
    <w:rsid w:val="00BB0824"/>
    <w:rsid w:val="00BB0A2A"/>
    <w:rsid w:val="00BB0DD9"/>
    <w:rsid w:val="00BB11D0"/>
    <w:rsid w:val="00BB1326"/>
    <w:rsid w:val="00BB1483"/>
    <w:rsid w:val="00BB15DA"/>
    <w:rsid w:val="00BB244E"/>
    <w:rsid w:val="00BB2515"/>
    <w:rsid w:val="00BB2A6D"/>
    <w:rsid w:val="00BB2A76"/>
    <w:rsid w:val="00BB2B36"/>
    <w:rsid w:val="00BB2C6A"/>
    <w:rsid w:val="00BB2CFA"/>
    <w:rsid w:val="00BB34D7"/>
    <w:rsid w:val="00BB384A"/>
    <w:rsid w:val="00BB3BC5"/>
    <w:rsid w:val="00BB3C0C"/>
    <w:rsid w:val="00BB3FCD"/>
    <w:rsid w:val="00BB4802"/>
    <w:rsid w:val="00BB4894"/>
    <w:rsid w:val="00BB4EA4"/>
    <w:rsid w:val="00BB4EFA"/>
    <w:rsid w:val="00BB520F"/>
    <w:rsid w:val="00BB5512"/>
    <w:rsid w:val="00BB5A7F"/>
    <w:rsid w:val="00BB5F99"/>
    <w:rsid w:val="00BB6494"/>
    <w:rsid w:val="00BB68BF"/>
    <w:rsid w:val="00BB6ACD"/>
    <w:rsid w:val="00BB6B7B"/>
    <w:rsid w:val="00BB6BB2"/>
    <w:rsid w:val="00BB7195"/>
    <w:rsid w:val="00BB7198"/>
    <w:rsid w:val="00BB7274"/>
    <w:rsid w:val="00BB7406"/>
    <w:rsid w:val="00BB7537"/>
    <w:rsid w:val="00BB7689"/>
    <w:rsid w:val="00BB76C2"/>
    <w:rsid w:val="00BB79B2"/>
    <w:rsid w:val="00BB7A66"/>
    <w:rsid w:val="00BB7D8D"/>
    <w:rsid w:val="00BC05CA"/>
    <w:rsid w:val="00BC0EB2"/>
    <w:rsid w:val="00BC1063"/>
    <w:rsid w:val="00BC10D6"/>
    <w:rsid w:val="00BC13E3"/>
    <w:rsid w:val="00BC1418"/>
    <w:rsid w:val="00BC16F1"/>
    <w:rsid w:val="00BC1B8F"/>
    <w:rsid w:val="00BC1BC0"/>
    <w:rsid w:val="00BC1E81"/>
    <w:rsid w:val="00BC2166"/>
    <w:rsid w:val="00BC2623"/>
    <w:rsid w:val="00BC2D66"/>
    <w:rsid w:val="00BC2F33"/>
    <w:rsid w:val="00BC3036"/>
    <w:rsid w:val="00BC30D9"/>
    <w:rsid w:val="00BC31B2"/>
    <w:rsid w:val="00BC3283"/>
    <w:rsid w:val="00BC3798"/>
    <w:rsid w:val="00BC37AF"/>
    <w:rsid w:val="00BC3ACD"/>
    <w:rsid w:val="00BC3F40"/>
    <w:rsid w:val="00BC410E"/>
    <w:rsid w:val="00BC42D2"/>
    <w:rsid w:val="00BC4451"/>
    <w:rsid w:val="00BC4993"/>
    <w:rsid w:val="00BC4D34"/>
    <w:rsid w:val="00BC5016"/>
    <w:rsid w:val="00BC5736"/>
    <w:rsid w:val="00BC592A"/>
    <w:rsid w:val="00BC5A15"/>
    <w:rsid w:val="00BC5D2F"/>
    <w:rsid w:val="00BC5E62"/>
    <w:rsid w:val="00BC6077"/>
    <w:rsid w:val="00BC6546"/>
    <w:rsid w:val="00BC67A5"/>
    <w:rsid w:val="00BC6933"/>
    <w:rsid w:val="00BC6B59"/>
    <w:rsid w:val="00BC6EEF"/>
    <w:rsid w:val="00BC6F0C"/>
    <w:rsid w:val="00BC6FB0"/>
    <w:rsid w:val="00BC72D8"/>
    <w:rsid w:val="00BC743A"/>
    <w:rsid w:val="00BC79CD"/>
    <w:rsid w:val="00BC7DB3"/>
    <w:rsid w:val="00BC7F83"/>
    <w:rsid w:val="00BD007A"/>
    <w:rsid w:val="00BD01AF"/>
    <w:rsid w:val="00BD06FA"/>
    <w:rsid w:val="00BD0E43"/>
    <w:rsid w:val="00BD0F3B"/>
    <w:rsid w:val="00BD13C3"/>
    <w:rsid w:val="00BD1855"/>
    <w:rsid w:val="00BD1872"/>
    <w:rsid w:val="00BD1910"/>
    <w:rsid w:val="00BD1969"/>
    <w:rsid w:val="00BD2238"/>
    <w:rsid w:val="00BD235D"/>
    <w:rsid w:val="00BD2661"/>
    <w:rsid w:val="00BD26CA"/>
    <w:rsid w:val="00BD2790"/>
    <w:rsid w:val="00BD28B0"/>
    <w:rsid w:val="00BD2EDF"/>
    <w:rsid w:val="00BD35B1"/>
    <w:rsid w:val="00BD372D"/>
    <w:rsid w:val="00BD373A"/>
    <w:rsid w:val="00BD3822"/>
    <w:rsid w:val="00BD39F9"/>
    <w:rsid w:val="00BD3DDC"/>
    <w:rsid w:val="00BD4119"/>
    <w:rsid w:val="00BD4449"/>
    <w:rsid w:val="00BD4468"/>
    <w:rsid w:val="00BD4564"/>
    <w:rsid w:val="00BD4AD9"/>
    <w:rsid w:val="00BD4BB5"/>
    <w:rsid w:val="00BD4BBB"/>
    <w:rsid w:val="00BD4F2E"/>
    <w:rsid w:val="00BD52BE"/>
    <w:rsid w:val="00BD5568"/>
    <w:rsid w:val="00BD55F1"/>
    <w:rsid w:val="00BD56E3"/>
    <w:rsid w:val="00BD57CF"/>
    <w:rsid w:val="00BD5818"/>
    <w:rsid w:val="00BD5AE0"/>
    <w:rsid w:val="00BD5B6D"/>
    <w:rsid w:val="00BD5C02"/>
    <w:rsid w:val="00BD5CC6"/>
    <w:rsid w:val="00BD6143"/>
    <w:rsid w:val="00BD61E9"/>
    <w:rsid w:val="00BD6717"/>
    <w:rsid w:val="00BD6962"/>
    <w:rsid w:val="00BD6991"/>
    <w:rsid w:val="00BD69F5"/>
    <w:rsid w:val="00BD6B9F"/>
    <w:rsid w:val="00BD6D4F"/>
    <w:rsid w:val="00BD6F6C"/>
    <w:rsid w:val="00BD702F"/>
    <w:rsid w:val="00BD7BB4"/>
    <w:rsid w:val="00BD7C4F"/>
    <w:rsid w:val="00BE0208"/>
    <w:rsid w:val="00BE065F"/>
    <w:rsid w:val="00BE0C1C"/>
    <w:rsid w:val="00BE1053"/>
    <w:rsid w:val="00BE1071"/>
    <w:rsid w:val="00BE11AB"/>
    <w:rsid w:val="00BE122F"/>
    <w:rsid w:val="00BE137A"/>
    <w:rsid w:val="00BE1482"/>
    <w:rsid w:val="00BE165A"/>
    <w:rsid w:val="00BE18D1"/>
    <w:rsid w:val="00BE19CA"/>
    <w:rsid w:val="00BE1B65"/>
    <w:rsid w:val="00BE1C02"/>
    <w:rsid w:val="00BE1C5E"/>
    <w:rsid w:val="00BE1EF2"/>
    <w:rsid w:val="00BE1F83"/>
    <w:rsid w:val="00BE2422"/>
    <w:rsid w:val="00BE2620"/>
    <w:rsid w:val="00BE28F6"/>
    <w:rsid w:val="00BE2943"/>
    <w:rsid w:val="00BE2D07"/>
    <w:rsid w:val="00BE2D58"/>
    <w:rsid w:val="00BE2E15"/>
    <w:rsid w:val="00BE2F39"/>
    <w:rsid w:val="00BE32B5"/>
    <w:rsid w:val="00BE33E3"/>
    <w:rsid w:val="00BE34EC"/>
    <w:rsid w:val="00BE3A10"/>
    <w:rsid w:val="00BE3AB8"/>
    <w:rsid w:val="00BE3D6F"/>
    <w:rsid w:val="00BE3EEB"/>
    <w:rsid w:val="00BE43FC"/>
    <w:rsid w:val="00BE4423"/>
    <w:rsid w:val="00BE44AA"/>
    <w:rsid w:val="00BE4569"/>
    <w:rsid w:val="00BE45C4"/>
    <w:rsid w:val="00BE47D7"/>
    <w:rsid w:val="00BE4859"/>
    <w:rsid w:val="00BE4A99"/>
    <w:rsid w:val="00BE4E4C"/>
    <w:rsid w:val="00BE50E0"/>
    <w:rsid w:val="00BE5162"/>
    <w:rsid w:val="00BE51FF"/>
    <w:rsid w:val="00BE543F"/>
    <w:rsid w:val="00BE5B48"/>
    <w:rsid w:val="00BE5BD6"/>
    <w:rsid w:val="00BE5BDE"/>
    <w:rsid w:val="00BE5CBD"/>
    <w:rsid w:val="00BE5CF6"/>
    <w:rsid w:val="00BE6675"/>
    <w:rsid w:val="00BE67A0"/>
    <w:rsid w:val="00BE6ABE"/>
    <w:rsid w:val="00BE6CC6"/>
    <w:rsid w:val="00BE6D10"/>
    <w:rsid w:val="00BE6E07"/>
    <w:rsid w:val="00BE6E87"/>
    <w:rsid w:val="00BE73F4"/>
    <w:rsid w:val="00BE770A"/>
    <w:rsid w:val="00BE7980"/>
    <w:rsid w:val="00BE7E59"/>
    <w:rsid w:val="00BE7FCD"/>
    <w:rsid w:val="00BF027B"/>
    <w:rsid w:val="00BF02F5"/>
    <w:rsid w:val="00BF034B"/>
    <w:rsid w:val="00BF0449"/>
    <w:rsid w:val="00BF0469"/>
    <w:rsid w:val="00BF0961"/>
    <w:rsid w:val="00BF0ACE"/>
    <w:rsid w:val="00BF0C80"/>
    <w:rsid w:val="00BF0DE5"/>
    <w:rsid w:val="00BF1368"/>
    <w:rsid w:val="00BF15BB"/>
    <w:rsid w:val="00BF1B47"/>
    <w:rsid w:val="00BF1BC5"/>
    <w:rsid w:val="00BF1D2E"/>
    <w:rsid w:val="00BF1DE6"/>
    <w:rsid w:val="00BF1FB7"/>
    <w:rsid w:val="00BF2349"/>
    <w:rsid w:val="00BF256A"/>
    <w:rsid w:val="00BF26AA"/>
    <w:rsid w:val="00BF274F"/>
    <w:rsid w:val="00BF2775"/>
    <w:rsid w:val="00BF2972"/>
    <w:rsid w:val="00BF2AAF"/>
    <w:rsid w:val="00BF2B68"/>
    <w:rsid w:val="00BF2CA5"/>
    <w:rsid w:val="00BF2CF9"/>
    <w:rsid w:val="00BF358D"/>
    <w:rsid w:val="00BF3743"/>
    <w:rsid w:val="00BF3A9B"/>
    <w:rsid w:val="00BF3CC5"/>
    <w:rsid w:val="00BF4801"/>
    <w:rsid w:val="00BF487E"/>
    <w:rsid w:val="00BF4B35"/>
    <w:rsid w:val="00BF5049"/>
    <w:rsid w:val="00BF57D4"/>
    <w:rsid w:val="00BF5AB5"/>
    <w:rsid w:val="00BF5AE5"/>
    <w:rsid w:val="00BF5BB1"/>
    <w:rsid w:val="00BF5D07"/>
    <w:rsid w:val="00BF5FC9"/>
    <w:rsid w:val="00BF651E"/>
    <w:rsid w:val="00BF65DB"/>
    <w:rsid w:val="00BF6A49"/>
    <w:rsid w:val="00BF6A6D"/>
    <w:rsid w:val="00BF6C78"/>
    <w:rsid w:val="00BF6E4A"/>
    <w:rsid w:val="00BF714F"/>
    <w:rsid w:val="00BF7292"/>
    <w:rsid w:val="00BF740E"/>
    <w:rsid w:val="00BF748C"/>
    <w:rsid w:val="00BF76A4"/>
    <w:rsid w:val="00BF7A8C"/>
    <w:rsid w:val="00C00565"/>
    <w:rsid w:val="00C0071A"/>
    <w:rsid w:val="00C00E26"/>
    <w:rsid w:val="00C00E70"/>
    <w:rsid w:val="00C010E1"/>
    <w:rsid w:val="00C0128D"/>
    <w:rsid w:val="00C0141A"/>
    <w:rsid w:val="00C015DB"/>
    <w:rsid w:val="00C015E6"/>
    <w:rsid w:val="00C0172C"/>
    <w:rsid w:val="00C01B3D"/>
    <w:rsid w:val="00C01C8F"/>
    <w:rsid w:val="00C02138"/>
    <w:rsid w:val="00C02D8B"/>
    <w:rsid w:val="00C02E86"/>
    <w:rsid w:val="00C030E8"/>
    <w:rsid w:val="00C03270"/>
    <w:rsid w:val="00C03608"/>
    <w:rsid w:val="00C038B3"/>
    <w:rsid w:val="00C045DF"/>
    <w:rsid w:val="00C048DA"/>
    <w:rsid w:val="00C05073"/>
    <w:rsid w:val="00C051F9"/>
    <w:rsid w:val="00C05639"/>
    <w:rsid w:val="00C05DD9"/>
    <w:rsid w:val="00C0667E"/>
    <w:rsid w:val="00C067EE"/>
    <w:rsid w:val="00C06D58"/>
    <w:rsid w:val="00C07062"/>
    <w:rsid w:val="00C0735A"/>
    <w:rsid w:val="00C074D8"/>
    <w:rsid w:val="00C076CA"/>
    <w:rsid w:val="00C077FF"/>
    <w:rsid w:val="00C078F3"/>
    <w:rsid w:val="00C07A0D"/>
    <w:rsid w:val="00C07D58"/>
    <w:rsid w:val="00C101A1"/>
    <w:rsid w:val="00C104E6"/>
    <w:rsid w:val="00C10535"/>
    <w:rsid w:val="00C1067A"/>
    <w:rsid w:val="00C1071C"/>
    <w:rsid w:val="00C10C3F"/>
    <w:rsid w:val="00C10CCF"/>
    <w:rsid w:val="00C10D51"/>
    <w:rsid w:val="00C10F23"/>
    <w:rsid w:val="00C10F43"/>
    <w:rsid w:val="00C11046"/>
    <w:rsid w:val="00C110CA"/>
    <w:rsid w:val="00C1138B"/>
    <w:rsid w:val="00C114AB"/>
    <w:rsid w:val="00C114D7"/>
    <w:rsid w:val="00C11B88"/>
    <w:rsid w:val="00C11C47"/>
    <w:rsid w:val="00C11C95"/>
    <w:rsid w:val="00C11CE5"/>
    <w:rsid w:val="00C12226"/>
    <w:rsid w:val="00C12301"/>
    <w:rsid w:val="00C123E9"/>
    <w:rsid w:val="00C124A5"/>
    <w:rsid w:val="00C12605"/>
    <w:rsid w:val="00C128D7"/>
    <w:rsid w:val="00C129A8"/>
    <w:rsid w:val="00C1331E"/>
    <w:rsid w:val="00C13750"/>
    <w:rsid w:val="00C137BF"/>
    <w:rsid w:val="00C138D6"/>
    <w:rsid w:val="00C13E80"/>
    <w:rsid w:val="00C13FFC"/>
    <w:rsid w:val="00C14036"/>
    <w:rsid w:val="00C1421A"/>
    <w:rsid w:val="00C142E6"/>
    <w:rsid w:val="00C14582"/>
    <w:rsid w:val="00C145A2"/>
    <w:rsid w:val="00C14744"/>
    <w:rsid w:val="00C14A1C"/>
    <w:rsid w:val="00C14BBE"/>
    <w:rsid w:val="00C14D90"/>
    <w:rsid w:val="00C1514B"/>
    <w:rsid w:val="00C157BD"/>
    <w:rsid w:val="00C15B06"/>
    <w:rsid w:val="00C15B29"/>
    <w:rsid w:val="00C15FFC"/>
    <w:rsid w:val="00C160C1"/>
    <w:rsid w:val="00C1619B"/>
    <w:rsid w:val="00C168DD"/>
    <w:rsid w:val="00C16C45"/>
    <w:rsid w:val="00C16F53"/>
    <w:rsid w:val="00C1716A"/>
    <w:rsid w:val="00C17739"/>
    <w:rsid w:val="00C17983"/>
    <w:rsid w:val="00C17CC8"/>
    <w:rsid w:val="00C17EEB"/>
    <w:rsid w:val="00C2025E"/>
    <w:rsid w:val="00C2040C"/>
    <w:rsid w:val="00C20558"/>
    <w:rsid w:val="00C20AC2"/>
    <w:rsid w:val="00C20B1F"/>
    <w:rsid w:val="00C21403"/>
    <w:rsid w:val="00C216B2"/>
    <w:rsid w:val="00C21940"/>
    <w:rsid w:val="00C21B2E"/>
    <w:rsid w:val="00C21C2A"/>
    <w:rsid w:val="00C21CBF"/>
    <w:rsid w:val="00C222EF"/>
    <w:rsid w:val="00C223F3"/>
    <w:rsid w:val="00C224AE"/>
    <w:rsid w:val="00C22701"/>
    <w:rsid w:val="00C22747"/>
    <w:rsid w:val="00C22771"/>
    <w:rsid w:val="00C227E5"/>
    <w:rsid w:val="00C22A8F"/>
    <w:rsid w:val="00C230C1"/>
    <w:rsid w:val="00C23364"/>
    <w:rsid w:val="00C2341F"/>
    <w:rsid w:val="00C23673"/>
    <w:rsid w:val="00C2371C"/>
    <w:rsid w:val="00C237E1"/>
    <w:rsid w:val="00C23809"/>
    <w:rsid w:val="00C239A7"/>
    <w:rsid w:val="00C23B53"/>
    <w:rsid w:val="00C241EB"/>
    <w:rsid w:val="00C245C6"/>
    <w:rsid w:val="00C2471F"/>
    <w:rsid w:val="00C247F2"/>
    <w:rsid w:val="00C24860"/>
    <w:rsid w:val="00C24DB2"/>
    <w:rsid w:val="00C25149"/>
    <w:rsid w:val="00C254FE"/>
    <w:rsid w:val="00C258A3"/>
    <w:rsid w:val="00C258C8"/>
    <w:rsid w:val="00C25C2D"/>
    <w:rsid w:val="00C26193"/>
    <w:rsid w:val="00C2624C"/>
    <w:rsid w:val="00C2626D"/>
    <w:rsid w:val="00C2629A"/>
    <w:rsid w:val="00C26835"/>
    <w:rsid w:val="00C26892"/>
    <w:rsid w:val="00C26AF3"/>
    <w:rsid w:val="00C271F7"/>
    <w:rsid w:val="00C275FB"/>
    <w:rsid w:val="00C278FF"/>
    <w:rsid w:val="00C27A30"/>
    <w:rsid w:val="00C27CD2"/>
    <w:rsid w:val="00C27E98"/>
    <w:rsid w:val="00C2A472"/>
    <w:rsid w:val="00C30335"/>
    <w:rsid w:val="00C30449"/>
    <w:rsid w:val="00C3052F"/>
    <w:rsid w:val="00C3076B"/>
    <w:rsid w:val="00C3081B"/>
    <w:rsid w:val="00C308D0"/>
    <w:rsid w:val="00C316A0"/>
    <w:rsid w:val="00C3192D"/>
    <w:rsid w:val="00C31F25"/>
    <w:rsid w:val="00C32107"/>
    <w:rsid w:val="00C323B1"/>
    <w:rsid w:val="00C3284C"/>
    <w:rsid w:val="00C32DD3"/>
    <w:rsid w:val="00C32DE2"/>
    <w:rsid w:val="00C32E72"/>
    <w:rsid w:val="00C32E81"/>
    <w:rsid w:val="00C330D5"/>
    <w:rsid w:val="00C331BE"/>
    <w:rsid w:val="00C33320"/>
    <w:rsid w:val="00C33427"/>
    <w:rsid w:val="00C33487"/>
    <w:rsid w:val="00C337DF"/>
    <w:rsid w:val="00C3391E"/>
    <w:rsid w:val="00C33935"/>
    <w:rsid w:val="00C33D05"/>
    <w:rsid w:val="00C33F94"/>
    <w:rsid w:val="00C33FD8"/>
    <w:rsid w:val="00C34835"/>
    <w:rsid w:val="00C34A42"/>
    <w:rsid w:val="00C34AFE"/>
    <w:rsid w:val="00C34F39"/>
    <w:rsid w:val="00C35521"/>
    <w:rsid w:val="00C356EB"/>
    <w:rsid w:val="00C357EB"/>
    <w:rsid w:val="00C35D68"/>
    <w:rsid w:val="00C35E1E"/>
    <w:rsid w:val="00C35E31"/>
    <w:rsid w:val="00C35EC1"/>
    <w:rsid w:val="00C36035"/>
    <w:rsid w:val="00C3631D"/>
    <w:rsid w:val="00C365EE"/>
    <w:rsid w:val="00C36820"/>
    <w:rsid w:val="00C36BB8"/>
    <w:rsid w:val="00C36BFF"/>
    <w:rsid w:val="00C36D24"/>
    <w:rsid w:val="00C370F5"/>
    <w:rsid w:val="00C37463"/>
    <w:rsid w:val="00C37870"/>
    <w:rsid w:val="00C40029"/>
    <w:rsid w:val="00C40778"/>
    <w:rsid w:val="00C408B4"/>
    <w:rsid w:val="00C409A7"/>
    <w:rsid w:val="00C410B4"/>
    <w:rsid w:val="00C411A7"/>
    <w:rsid w:val="00C41AF0"/>
    <w:rsid w:val="00C42309"/>
    <w:rsid w:val="00C424C3"/>
    <w:rsid w:val="00C425F1"/>
    <w:rsid w:val="00C4290F"/>
    <w:rsid w:val="00C43024"/>
    <w:rsid w:val="00C4306A"/>
    <w:rsid w:val="00C43252"/>
    <w:rsid w:val="00C436BE"/>
    <w:rsid w:val="00C4372F"/>
    <w:rsid w:val="00C43C4A"/>
    <w:rsid w:val="00C43C4C"/>
    <w:rsid w:val="00C43D02"/>
    <w:rsid w:val="00C43E17"/>
    <w:rsid w:val="00C440B3"/>
    <w:rsid w:val="00C441BD"/>
    <w:rsid w:val="00C4455D"/>
    <w:rsid w:val="00C44953"/>
    <w:rsid w:val="00C449FF"/>
    <w:rsid w:val="00C44ABE"/>
    <w:rsid w:val="00C44BBF"/>
    <w:rsid w:val="00C44BC7"/>
    <w:rsid w:val="00C44CAE"/>
    <w:rsid w:val="00C44F2F"/>
    <w:rsid w:val="00C45060"/>
    <w:rsid w:val="00C45564"/>
    <w:rsid w:val="00C45B22"/>
    <w:rsid w:val="00C45CD4"/>
    <w:rsid w:val="00C45F2F"/>
    <w:rsid w:val="00C45F39"/>
    <w:rsid w:val="00C46248"/>
    <w:rsid w:val="00C4642F"/>
    <w:rsid w:val="00C46769"/>
    <w:rsid w:val="00C46AAD"/>
    <w:rsid w:val="00C46EA1"/>
    <w:rsid w:val="00C4701F"/>
    <w:rsid w:val="00C4741C"/>
    <w:rsid w:val="00C47663"/>
    <w:rsid w:val="00C47666"/>
    <w:rsid w:val="00C476E8"/>
    <w:rsid w:val="00C477A7"/>
    <w:rsid w:val="00C47B52"/>
    <w:rsid w:val="00C50192"/>
    <w:rsid w:val="00C503C8"/>
    <w:rsid w:val="00C5068E"/>
    <w:rsid w:val="00C506FD"/>
    <w:rsid w:val="00C509F7"/>
    <w:rsid w:val="00C50BCA"/>
    <w:rsid w:val="00C50ED9"/>
    <w:rsid w:val="00C51114"/>
    <w:rsid w:val="00C51358"/>
    <w:rsid w:val="00C513F2"/>
    <w:rsid w:val="00C5151A"/>
    <w:rsid w:val="00C51A83"/>
    <w:rsid w:val="00C51B3B"/>
    <w:rsid w:val="00C51C0F"/>
    <w:rsid w:val="00C51DA4"/>
    <w:rsid w:val="00C51DCB"/>
    <w:rsid w:val="00C52047"/>
    <w:rsid w:val="00C520BE"/>
    <w:rsid w:val="00C52248"/>
    <w:rsid w:val="00C52330"/>
    <w:rsid w:val="00C52580"/>
    <w:rsid w:val="00C52CF4"/>
    <w:rsid w:val="00C52D27"/>
    <w:rsid w:val="00C52DEA"/>
    <w:rsid w:val="00C52EF6"/>
    <w:rsid w:val="00C534C1"/>
    <w:rsid w:val="00C53621"/>
    <w:rsid w:val="00C53B0F"/>
    <w:rsid w:val="00C53EDD"/>
    <w:rsid w:val="00C5435F"/>
    <w:rsid w:val="00C54458"/>
    <w:rsid w:val="00C54BFC"/>
    <w:rsid w:val="00C54FF6"/>
    <w:rsid w:val="00C551AF"/>
    <w:rsid w:val="00C556FD"/>
    <w:rsid w:val="00C55D61"/>
    <w:rsid w:val="00C566BB"/>
    <w:rsid w:val="00C5689F"/>
    <w:rsid w:val="00C569AB"/>
    <w:rsid w:val="00C56AC6"/>
    <w:rsid w:val="00C56F86"/>
    <w:rsid w:val="00C57246"/>
    <w:rsid w:val="00C575A4"/>
    <w:rsid w:val="00C575AF"/>
    <w:rsid w:val="00C5772F"/>
    <w:rsid w:val="00C57823"/>
    <w:rsid w:val="00C57DAA"/>
    <w:rsid w:val="00C57E87"/>
    <w:rsid w:val="00C602F7"/>
    <w:rsid w:val="00C603B0"/>
    <w:rsid w:val="00C604F5"/>
    <w:rsid w:val="00C606E7"/>
    <w:rsid w:val="00C60F26"/>
    <w:rsid w:val="00C6101C"/>
    <w:rsid w:val="00C61046"/>
    <w:rsid w:val="00C6129D"/>
    <w:rsid w:val="00C6152B"/>
    <w:rsid w:val="00C6153F"/>
    <w:rsid w:val="00C6170F"/>
    <w:rsid w:val="00C62793"/>
    <w:rsid w:val="00C627A8"/>
    <w:rsid w:val="00C62DF4"/>
    <w:rsid w:val="00C6323A"/>
    <w:rsid w:val="00C63291"/>
    <w:rsid w:val="00C6370F"/>
    <w:rsid w:val="00C63E23"/>
    <w:rsid w:val="00C63E88"/>
    <w:rsid w:val="00C63EF1"/>
    <w:rsid w:val="00C63F4B"/>
    <w:rsid w:val="00C63FA0"/>
    <w:rsid w:val="00C640AD"/>
    <w:rsid w:val="00C64130"/>
    <w:rsid w:val="00C641C0"/>
    <w:rsid w:val="00C641C2"/>
    <w:rsid w:val="00C642B4"/>
    <w:rsid w:val="00C645AE"/>
    <w:rsid w:val="00C646F5"/>
    <w:rsid w:val="00C6478D"/>
    <w:rsid w:val="00C64A4C"/>
    <w:rsid w:val="00C64E4D"/>
    <w:rsid w:val="00C65178"/>
    <w:rsid w:val="00C65424"/>
    <w:rsid w:val="00C65764"/>
    <w:rsid w:val="00C65886"/>
    <w:rsid w:val="00C658D6"/>
    <w:rsid w:val="00C65C59"/>
    <w:rsid w:val="00C6631E"/>
    <w:rsid w:val="00C6633F"/>
    <w:rsid w:val="00C6661B"/>
    <w:rsid w:val="00C6662A"/>
    <w:rsid w:val="00C666DE"/>
    <w:rsid w:val="00C668A6"/>
    <w:rsid w:val="00C6695A"/>
    <w:rsid w:val="00C66BE9"/>
    <w:rsid w:val="00C66C9B"/>
    <w:rsid w:val="00C66E66"/>
    <w:rsid w:val="00C6736C"/>
    <w:rsid w:val="00C6738F"/>
    <w:rsid w:val="00C6764F"/>
    <w:rsid w:val="00C67AE9"/>
    <w:rsid w:val="00C70740"/>
    <w:rsid w:val="00C70810"/>
    <w:rsid w:val="00C70D3E"/>
    <w:rsid w:val="00C7154F"/>
    <w:rsid w:val="00C716F2"/>
    <w:rsid w:val="00C72014"/>
    <w:rsid w:val="00C728D2"/>
    <w:rsid w:val="00C72FC0"/>
    <w:rsid w:val="00C733AD"/>
    <w:rsid w:val="00C736C0"/>
    <w:rsid w:val="00C737F0"/>
    <w:rsid w:val="00C73853"/>
    <w:rsid w:val="00C73DF4"/>
    <w:rsid w:val="00C73E05"/>
    <w:rsid w:val="00C74123"/>
    <w:rsid w:val="00C74271"/>
    <w:rsid w:val="00C743E4"/>
    <w:rsid w:val="00C74497"/>
    <w:rsid w:val="00C749FA"/>
    <w:rsid w:val="00C74E58"/>
    <w:rsid w:val="00C75398"/>
    <w:rsid w:val="00C753F4"/>
    <w:rsid w:val="00C75B3D"/>
    <w:rsid w:val="00C75C87"/>
    <w:rsid w:val="00C761D9"/>
    <w:rsid w:val="00C76347"/>
    <w:rsid w:val="00C7649B"/>
    <w:rsid w:val="00C765ED"/>
    <w:rsid w:val="00C76749"/>
    <w:rsid w:val="00C767E9"/>
    <w:rsid w:val="00C76821"/>
    <w:rsid w:val="00C76873"/>
    <w:rsid w:val="00C76E32"/>
    <w:rsid w:val="00C776B4"/>
    <w:rsid w:val="00C77928"/>
    <w:rsid w:val="00C779D2"/>
    <w:rsid w:val="00C77B98"/>
    <w:rsid w:val="00C77E0D"/>
    <w:rsid w:val="00C80166"/>
    <w:rsid w:val="00C8018B"/>
    <w:rsid w:val="00C8046A"/>
    <w:rsid w:val="00C80554"/>
    <w:rsid w:val="00C80821"/>
    <w:rsid w:val="00C80857"/>
    <w:rsid w:val="00C80FC8"/>
    <w:rsid w:val="00C8134A"/>
    <w:rsid w:val="00C817B6"/>
    <w:rsid w:val="00C817E1"/>
    <w:rsid w:val="00C81C71"/>
    <w:rsid w:val="00C81F21"/>
    <w:rsid w:val="00C82011"/>
    <w:rsid w:val="00C82090"/>
    <w:rsid w:val="00C82274"/>
    <w:rsid w:val="00C825DE"/>
    <w:rsid w:val="00C82786"/>
    <w:rsid w:val="00C82B50"/>
    <w:rsid w:val="00C82BA9"/>
    <w:rsid w:val="00C82BCA"/>
    <w:rsid w:val="00C82D5D"/>
    <w:rsid w:val="00C82E9F"/>
    <w:rsid w:val="00C832F3"/>
    <w:rsid w:val="00C83347"/>
    <w:rsid w:val="00C83607"/>
    <w:rsid w:val="00C83657"/>
    <w:rsid w:val="00C84057"/>
    <w:rsid w:val="00C84223"/>
    <w:rsid w:val="00C84357"/>
    <w:rsid w:val="00C84A29"/>
    <w:rsid w:val="00C84D7F"/>
    <w:rsid w:val="00C853D1"/>
    <w:rsid w:val="00C85739"/>
    <w:rsid w:val="00C85997"/>
    <w:rsid w:val="00C85A05"/>
    <w:rsid w:val="00C85AEA"/>
    <w:rsid w:val="00C85B36"/>
    <w:rsid w:val="00C8600F"/>
    <w:rsid w:val="00C860F1"/>
    <w:rsid w:val="00C861AB"/>
    <w:rsid w:val="00C86293"/>
    <w:rsid w:val="00C8645A"/>
    <w:rsid w:val="00C866C2"/>
    <w:rsid w:val="00C86C24"/>
    <w:rsid w:val="00C86E30"/>
    <w:rsid w:val="00C876A0"/>
    <w:rsid w:val="00C87830"/>
    <w:rsid w:val="00C87A44"/>
    <w:rsid w:val="00C87A5D"/>
    <w:rsid w:val="00C87BB0"/>
    <w:rsid w:val="00C87C21"/>
    <w:rsid w:val="00C87CED"/>
    <w:rsid w:val="00C900D1"/>
    <w:rsid w:val="00C9018E"/>
    <w:rsid w:val="00C9043D"/>
    <w:rsid w:val="00C909B3"/>
    <w:rsid w:val="00C90AF5"/>
    <w:rsid w:val="00C90C4C"/>
    <w:rsid w:val="00C90C5C"/>
    <w:rsid w:val="00C910CA"/>
    <w:rsid w:val="00C91733"/>
    <w:rsid w:val="00C92074"/>
    <w:rsid w:val="00C92274"/>
    <w:rsid w:val="00C92545"/>
    <w:rsid w:val="00C928D1"/>
    <w:rsid w:val="00C9295B"/>
    <w:rsid w:val="00C92C97"/>
    <w:rsid w:val="00C9319E"/>
    <w:rsid w:val="00C9336F"/>
    <w:rsid w:val="00C93754"/>
    <w:rsid w:val="00C93A87"/>
    <w:rsid w:val="00C93B6F"/>
    <w:rsid w:val="00C93BD3"/>
    <w:rsid w:val="00C94582"/>
    <w:rsid w:val="00C9472A"/>
    <w:rsid w:val="00C94767"/>
    <w:rsid w:val="00C9476F"/>
    <w:rsid w:val="00C947EE"/>
    <w:rsid w:val="00C94A44"/>
    <w:rsid w:val="00C94E8D"/>
    <w:rsid w:val="00C950CF"/>
    <w:rsid w:val="00C950F4"/>
    <w:rsid w:val="00C95A03"/>
    <w:rsid w:val="00C95D68"/>
    <w:rsid w:val="00C95E20"/>
    <w:rsid w:val="00C961E3"/>
    <w:rsid w:val="00C96229"/>
    <w:rsid w:val="00C96A80"/>
    <w:rsid w:val="00C975DE"/>
    <w:rsid w:val="00C97784"/>
    <w:rsid w:val="00C97B09"/>
    <w:rsid w:val="00C97ED6"/>
    <w:rsid w:val="00CA02C4"/>
    <w:rsid w:val="00CA0570"/>
    <w:rsid w:val="00CA05BD"/>
    <w:rsid w:val="00CA06A1"/>
    <w:rsid w:val="00CA0969"/>
    <w:rsid w:val="00CA0B6A"/>
    <w:rsid w:val="00CA0CFA"/>
    <w:rsid w:val="00CA0DEE"/>
    <w:rsid w:val="00CA0EF1"/>
    <w:rsid w:val="00CA16C1"/>
    <w:rsid w:val="00CA1975"/>
    <w:rsid w:val="00CA206B"/>
    <w:rsid w:val="00CA2260"/>
    <w:rsid w:val="00CA2494"/>
    <w:rsid w:val="00CA2903"/>
    <w:rsid w:val="00CA3122"/>
    <w:rsid w:val="00CA3964"/>
    <w:rsid w:val="00CA3C32"/>
    <w:rsid w:val="00CA3E5F"/>
    <w:rsid w:val="00CA403A"/>
    <w:rsid w:val="00CA4299"/>
    <w:rsid w:val="00CA42F8"/>
    <w:rsid w:val="00CA4919"/>
    <w:rsid w:val="00CA4971"/>
    <w:rsid w:val="00CA4A34"/>
    <w:rsid w:val="00CA4E09"/>
    <w:rsid w:val="00CA51D8"/>
    <w:rsid w:val="00CA5394"/>
    <w:rsid w:val="00CA5464"/>
    <w:rsid w:val="00CA546A"/>
    <w:rsid w:val="00CA57A9"/>
    <w:rsid w:val="00CA5866"/>
    <w:rsid w:val="00CA5BEC"/>
    <w:rsid w:val="00CA5EF1"/>
    <w:rsid w:val="00CA6051"/>
    <w:rsid w:val="00CA612C"/>
    <w:rsid w:val="00CA6570"/>
    <w:rsid w:val="00CA6807"/>
    <w:rsid w:val="00CA6BC2"/>
    <w:rsid w:val="00CA6D32"/>
    <w:rsid w:val="00CA7183"/>
    <w:rsid w:val="00CA731E"/>
    <w:rsid w:val="00CA73AC"/>
    <w:rsid w:val="00CA746D"/>
    <w:rsid w:val="00CA750B"/>
    <w:rsid w:val="00CA752F"/>
    <w:rsid w:val="00CA7648"/>
    <w:rsid w:val="00CA765F"/>
    <w:rsid w:val="00CA7A6C"/>
    <w:rsid w:val="00CA7B39"/>
    <w:rsid w:val="00CB0005"/>
    <w:rsid w:val="00CB02D6"/>
    <w:rsid w:val="00CB04E1"/>
    <w:rsid w:val="00CB091F"/>
    <w:rsid w:val="00CB0DDA"/>
    <w:rsid w:val="00CB1062"/>
    <w:rsid w:val="00CB1068"/>
    <w:rsid w:val="00CB11B4"/>
    <w:rsid w:val="00CB140B"/>
    <w:rsid w:val="00CB1597"/>
    <w:rsid w:val="00CB1818"/>
    <w:rsid w:val="00CB1937"/>
    <w:rsid w:val="00CB1F63"/>
    <w:rsid w:val="00CB25F2"/>
    <w:rsid w:val="00CB262A"/>
    <w:rsid w:val="00CB2E26"/>
    <w:rsid w:val="00CB3578"/>
    <w:rsid w:val="00CB3FE1"/>
    <w:rsid w:val="00CB4088"/>
    <w:rsid w:val="00CB4306"/>
    <w:rsid w:val="00CB43A7"/>
    <w:rsid w:val="00CB48AD"/>
    <w:rsid w:val="00CB4B16"/>
    <w:rsid w:val="00CB4C27"/>
    <w:rsid w:val="00CB4DF9"/>
    <w:rsid w:val="00CB4ECF"/>
    <w:rsid w:val="00CB5056"/>
    <w:rsid w:val="00CB5F17"/>
    <w:rsid w:val="00CB5F47"/>
    <w:rsid w:val="00CB6633"/>
    <w:rsid w:val="00CB67A8"/>
    <w:rsid w:val="00CB6834"/>
    <w:rsid w:val="00CB6DDD"/>
    <w:rsid w:val="00CB78A0"/>
    <w:rsid w:val="00CB7964"/>
    <w:rsid w:val="00CB7975"/>
    <w:rsid w:val="00CB79CA"/>
    <w:rsid w:val="00CB7E3D"/>
    <w:rsid w:val="00CC03F0"/>
    <w:rsid w:val="00CC05BD"/>
    <w:rsid w:val="00CC0696"/>
    <w:rsid w:val="00CC06EF"/>
    <w:rsid w:val="00CC0FAC"/>
    <w:rsid w:val="00CC10BA"/>
    <w:rsid w:val="00CC1396"/>
    <w:rsid w:val="00CC195D"/>
    <w:rsid w:val="00CC1AF7"/>
    <w:rsid w:val="00CC1D0F"/>
    <w:rsid w:val="00CC1E4E"/>
    <w:rsid w:val="00CC1F1F"/>
    <w:rsid w:val="00CC1F6F"/>
    <w:rsid w:val="00CC213F"/>
    <w:rsid w:val="00CC2192"/>
    <w:rsid w:val="00CC2301"/>
    <w:rsid w:val="00CC2871"/>
    <w:rsid w:val="00CC28D8"/>
    <w:rsid w:val="00CC2996"/>
    <w:rsid w:val="00CC29BE"/>
    <w:rsid w:val="00CC2FCE"/>
    <w:rsid w:val="00CC3147"/>
    <w:rsid w:val="00CC3171"/>
    <w:rsid w:val="00CC3399"/>
    <w:rsid w:val="00CC33A3"/>
    <w:rsid w:val="00CC36FC"/>
    <w:rsid w:val="00CC3918"/>
    <w:rsid w:val="00CC3BC4"/>
    <w:rsid w:val="00CC3F55"/>
    <w:rsid w:val="00CC40A0"/>
    <w:rsid w:val="00CC4183"/>
    <w:rsid w:val="00CC41CC"/>
    <w:rsid w:val="00CC47A5"/>
    <w:rsid w:val="00CC4A30"/>
    <w:rsid w:val="00CC4B5F"/>
    <w:rsid w:val="00CC4C21"/>
    <w:rsid w:val="00CC4E2B"/>
    <w:rsid w:val="00CC4EA0"/>
    <w:rsid w:val="00CC4FB6"/>
    <w:rsid w:val="00CC52DE"/>
    <w:rsid w:val="00CC597E"/>
    <w:rsid w:val="00CC5CC6"/>
    <w:rsid w:val="00CC5CF0"/>
    <w:rsid w:val="00CC64BC"/>
    <w:rsid w:val="00CC6543"/>
    <w:rsid w:val="00CC6A72"/>
    <w:rsid w:val="00CC7A1B"/>
    <w:rsid w:val="00CC7D62"/>
    <w:rsid w:val="00CC7EB0"/>
    <w:rsid w:val="00CD04EE"/>
    <w:rsid w:val="00CD0534"/>
    <w:rsid w:val="00CD0692"/>
    <w:rsid w:val="00CD06C2"/>
    <w:rsid w:val="00CD077B"/>
    <w:rsid w:val="00CD09AB"/>
    <w:rsid w:val="00CD0B97"/>
    <w:rsid w:val="00CD0DE4"/>
    <w:rsid w:val="00CD126E"/>
    <w:rsid w:val="00CD148E"/>
    <w:rsid w:val="00CD1592"/>
    <w:rsid w:val="00CD1613"/>
    <w:rsid w:val="00CD1BA8"/>
    <w:rsid w:val="00CD1C95"/>
    <w:rsid w:val="00CD1C9B"/>
    <w:rsid w:val="00CD1DDE"/>
    <w:rsid w:val="00CD20C5"/>
    <w:rsid w:val="00CD2136"/>
    <w:rsid w:val="00CD233F"/>
    <w:rsid w:val="00CD245A"/>
    <w:rsid w:val="00CD25A2"/>
    <w:rsid w:val="00CD29FF"/>
    <w:rsid w:val="00CD2A64"/>
    <w:rsid w:val="00CD2B2A"/>
    <w:rsid w:val="00CD2C16"/>
    <w:rsid w:val="00CD30CE"/>
    <w:rsid w:val="00CD32F8"/>
    <w:rsid w:val="00CD39B3"/>
    <w:rsid w:val="00CD3A32"/>
    <w:rsid w:val="00CD3A57"/>
    <w:rsid w:val="00CD3FFD"/>
    <w:rsid w:val="00CD4200"/>
    <w:rsid w:val="00CD4262"/>
    <w:rsid w:val="00CD43E1"/>
    <w:rsid w:val="00CD4453"/>
    <w:rsid w:val="00CD4507"/>
    <w:rsid w:val="00CD4859"/>
    <w:rsid w:val="00CD4BD4"/>
    <w:rsid w:val="00CD4CAE"/>
    <w:rsid w:val="00CD5442"/>
    <w:rsid w:val="00CD5580"/>
    <w:rsid w:val="00CD571F"/>
    <w:rsid w:val="00CD57D1"/>
    <w:rsid w:val="00CD610C"/>
    <w:rsid w:val="00CD652B"/>
    <w:rsid w:val="00CD6666"/>
    <w:rsid w:val="00CD66B4"/>
    <w:rsid w:val="00CD6987"/>
    <w:rsid w:val="00CD6C5A"/>
    <w:rsid w:val="00CD6C73"/>
    <w:rsid w:val="00CD6D43"/>
    <w:rsid w:val="00CD6DF9"/>
    <w:rsid w:val="00CD6E5D"/>
    <w:rsid w:val="00CD6E69"/>
    <w:rsid w:val="00CD717C"/>
    <w:rsid w:val="00CD77E2"/>
    <w:rsid w:val="00CD7835"/>
    <w:rsid w:val="00CD7950"/>
    <w:rsid w:val="00CD7990"/>
    <w:rsid w:val="00CD79C4"/>
    <w:rsid w:val="00CD7C77"/>
    <w:rsid w:val="00CE0044"/>
    <w:rsid w:val="00CE0151"/>
    <w:rsid w:val="00CE018E"/>
    <w:rsid w:val="00CE0335"/>
    <w:rsid w:val="00CE0515"/>
    <w:rsid w:val="00CE0637"/>
    <w:rsid w:val="00CE10D1"/>
    <w:rsid w:val="00CE1399"/>
    <w:rsid w:val="00CE13E2"/>
    <w:rsid w:val="00CE1B1F"/>
    <w:rsid w:val="00CE1B39"/>
    <w:rsid w:val="00CE1EB6"/>
    <w:rsid w:val="00CE1ECB"/>
    <w:rsid w:val="00CE208F"/>
    <w:rsid w:val="00CE2608"/>
    <w:rsid w:val="00CE2708"/>
    <w:rsid w:val="00CE27D3"/>
    <w:rsid w:val="00CE2910"/>
    <w:rsid w:val="00CE2EA3"/>
    <w:rsid w:val="00CE3071"/>
    <w:rsid w:val="00CE31D4"/>
    <w:rsid w:val="00CE3419"/>
    <w:rsid w:val="00CE3A8F"/>
    <w:rsid w:val="00CE3ECC"/>
    <w:rsid w:val="00CE3FDE"/>
    <w:rsid w:val="00CE42C3"/>
    <w:rsid w:val="00CE431E"/>
    <w:rsid w:val="00CE4891"/>
    <w:rsid w:val="00CE4905"/>
    <w:rsid w:val="00CE4A9A"/>
    <w:rsid w:val="00CE4AE7"/>
    <w:rsid w:val="00CE4B12"/>
    <w:rsid w:val="00CE4B1B"/>
    <w:rsid w:val="00CE4E1B"/>
    <w:rsid w:val="00CE5096"/>
    <w:rsid w:val="00CE5180"/>
    <w:rsid w:val="00CE51C6"/>
    <w:rsid w:val="00CE53DD"/>
    <w:rsid w:val="00CE5856"/>
    <w:rsid w:val="00CE596B"/>
    <w:rsid w:val="00CE5A30"/>
    <w:rsid w:val="00CE5BB3"/>
    <w:rsid w:val="00CE6252"/>
    <w:rsid w:val="00CE638E"/>
    <w:rsid w:val="00CE66E3"/>
    <w:rsid w:val="00CE6973"/>
    <w:rsid w:val="00CE69C7"/>
    <w:rsid w:val="00CE6E05"/>
    <w:rsid w:val="00CE7327"/>
    <w:rsid w:val="00CE73A3"/>
    <w:rsid w:val="00CE742A"/>
    <w:rsid w:val="00CE7A47"/>
    <w:rsid w:val="00CE7BC4"/>
    <w:rsid w:val="00CE7D55"/>
    <w:rsid w:val="00CE7FBF"/>
    <w:rsid w:val="00CF04BF"/>
    <w:rsid w:val="00CF0637"/>
    <w:rsid w:val="00CF06DB"/>
    <w:rsid w:val="00CF09A5"/>
    <w:rsid w:val="00CF0D40"/>
    <w:rsid w:val="00CF1157"/>
    <w:rsid w:val="00CF1194"/>
    <w:rsid w:val="00CF11D2"/>
    <w:rsid w:val="00CF11F7"/>
    <w:rsid w:val="00CF132E"/>
    <w:rsid w:val="00CF146F"/>
    <w:rsid w:val="00CF14F8"/>
    <w:rsid w:val="00CF1617"/>
    <w:rsid w:val="00CF16B5"/>
    <w:rsid w:val="00CF185B"/>
    <w:rsid w:val="00CF1988"/>
    <w:rsid w:val="00CF1FA9"/>
    <w:rsid w:val="00CF22C0"/>
    <w:rsid w:val="00CF259F"/>
    <w:rsid w:val="00CF2A76"/>
    <w:rsid w:val="00CF2F1A"/>
    <w:rsid w:val="00CF3027"/>
    <w:rsid w:val="00CF3116"/>
    <w:rsid w:val="00CF32BE"/>
    <w:rsid w:val="00CF3575"/>
    <w:rsid w:val="00CF35CC"/>
    <w:rsid w:val="00CF3B28"/>
    <w:rsid w:val="00CF3BC0"/>
    <w:rsid w:val="00CF3DDE"/>
    <w:rsid w:val="00CF3F7C"/>
    <w:rsid w:val="00CF4007"/>
    <w:rsid w:val="00CF4077"/>
    <w:rsid w:val="00CF490E"/>
    <w:rsid w:val="00CF49D0"/>
    <w:rsid w:val="00CF4AD6"/>
    <w:rsid w:val="00CF4EBD"/>
    <w:rsid w:val="00CF4F3D"/>
    <w:rsid w:val="00CF51C1"/>
    <w:rsid w:val="00CF52CB"/>
    <w:rsid w:val="00CF539F"/>
    <w:rsid w:val="00CF53E1"/>
    <w:rsid w:val="00CF5E76"/>
    <w:rsid w:val="00CF5F52"/>
    <w:rsid w:val="00CF60E3"/>
    <w:rsid w:val="00CF614E"/>
    <w:rsid w:val="00CF64EE"/>
    <w:rsid w:val="00CF6975"/>
    <w:rsid w:val="00CF6B36"/>
    <w:rsid w:val="00CF6E57"/>
    <w:rsid w:val="00CF71B6"/>
    <w:rsid w:val="00CF75BA"/>
    <w:rsid w:val="00CF7831"/>
    <w:rsid w:val="00CF7934"/>
    <w:rsid w:val="00CF797F"/>
    <w:rsid w:val="00CF7A1D"/>
    <w:rsid w:val="00D000D0"/>
    <w:rsid w:val="00D0029D"/>
    <w:rsid w:val="00D00BD6"/>
    <w:rsid w:val="00D011C6"/>
    <w:rsid w:val="00D0128C"/>
    <w:rsid w:val="00D01385"/>
    <w:rsid w:val="00D0153C"/>
    <w:rsid w:val="00D01548"/>
    <w:rsid w:val="00D017FC"/>
    <w:rsid w:val="00D0186A"/>
    <w:rsid w:val="00D01E81"/>
    <w:rsid w:val="00D020F6"/>
    <w:rsid w:val="00D0210E"/>
    <w:rsid w:val="00D02122"/>
    <w:rsid w:val="00D023D9"/>
    <w:rsid w:val="00D02412"/>
    <w:rsid w:val="00D0259B"/>
    <w:rsid w:val="00D02608"/>
    <w:rsid w:val="00D02BEE"/>
    <w:rsid w:val="00D02E1C"/>
    <w:rsid w:val="00D02E37"/>
    <w:rsid w:val="00D02E6D"/>
    <w:rsid w:val="00D037AD"/>
    <w:rsid w:val="00D03AB0"/>
    <w:rsid w:val="00D03D82"/>
    <w:rsid w:val="00D04356"/>
    <w:rsid w:val="00D04620"/>
    <w:rsid w:val="00D0468F"/>
    <w:rsid w:val="00D04738"/>
    <w:rsid w:val="00D04759"/>
    <w:rsid w:val="00D0479A"/>
    <w:rsid w:val="00D04DE3"/>
    <w:rsid w:val="00D053BF"/>
    <w:rsid w:val="00D054A1"/>
    <w:rsid w:val="00D054D6"/>
    <w:rsid w:val="00D05506"/>
    <w:rsid w:val="00D05790"/>
    <w:rsid w:val="00D05A53"/>
    <w:rsid w:val="00D05B3C"/>
    <w:rsid w:val="00D06081"/>
    <w:rsid w:val="00D062F7"/>
    <w:rsid w:val="00D06A20"/>
    <w:rsid w:val="00D06A27"/>
    <w:rsid w:val="00D06B03"/>
    <w:rsid w:val="00D06B86"/>
    <w:rsid w:val="00D06D69"/>
    <w:rsid w:val="00D07181"/>
    <w:rsid w:val="00D071B7"/>
    <w:rsid w:val="00D072D9"/>
    <w:rsid w:val="00D07307"/>
    <w:rsid w:val="00D07BB2"/>
    <w:rsid w:val="00D07F81"/>
    <w:rsid w:val="00D10259"/>
    <w:rsid w:val="00D10314"/>
    <w:rsid w:val="00D106EB"/>
    <w:rsid w:val="00D108F1"/>
    <w:rsid w:val="00D10F33"/>
    <w:rsid w:val="00D10F83"/>
    <w:rsid w:val="00D11137"/>
    <w:rsid w:val="00D11AF8"/>
    <w:rsid w:val="00D11CEE"/>
    <w:rsid w:val="00D120C7"/>
    <w:rsid w:val="00D1248D"/>
    <w:rsid w:val="00D12569"/>
    <w:rsid w:val="00D129D0"/>
    <w:rsid w:val="00D12D7D"/>
    <w:rsid w:val="00D13080"/>
    <w:rsid w:val="00D1318F"/>
    <w:rsid w:val="00D137E9"/>
    <w:rsid w:val="00D13A36"/>
    <w:rsid w:val="00D13BD5"/>
    <w:rsid w:val="00D141DB"/>
    <w:rsid w:val="00D14380"/>
    <w:rsid w:val="00D14B30"/>
    <w:rsid w:val="00D14E0F"/>
    <w:rsid w:val="00D14F45"/>
    <w:rsid w:val="00D1502F"/>
    <w:rsid w:val="00D1561D"/>
    <w:rsid w:val="00D156D7"/>
    <w:rsid w:val="00D15A70"/>
    <w:rsid w:val="00D15B61"/>
    <w:rsid w:val="00D15E1A"/>
    <w:rsid w:val="00D16114"/>
    <w:rsid w:val="00D16138"/>
    <w:rsid w:val="00D161D3"/>
    <w:rsid w:val="00D1641F"/>
    <w:rsid w:val="00D1661A"/>
    <w:rsid w:val="00D16622"/>
    <w:rsid w:val="00D167CE"/>
    <w:rsid w:val="00D169F3"/>
    <w:rsid w:val="00D16EAD"/>
    <w:rsid w:val="00D16F3C"/>
    <w:rsid w:val="00D173EB"/>
    <w:rsid w:val="00D1747C"/>
    <w:rsid w:val="00D1788C"/>
    <w:rsid w:val="00D17F02"/>
    <w:rsid w:val="00D17FCA"/>
    <w:rsid w:val="00D20301"/>
    <w:rsid w:val="00D20381"/>
    <w:rsid w:val="00D2088A"/>
    <w:rsid w:val="00D208D7"/>
    <w:rsid w:val="00D20EA6"/>
    <w:rsid w:val="00D21106"/>
    <w:rsid w:val="00D2147E"/>
    <w:rsid w:val="00D21937"/>
    <w:rsid w:val="00D21A18"/>
    <w:rsid w:val="00D21F32"/>
    <w:rsid w:val="00D221A0"/>
    <w:rsid w:val="00D2259E"/>
    <w:rsid w:val="00D225C5"/>
    <w:rsid w:val="00D225DF"/>
    <w:rsid w:val="00D2275D"/>
    <w:rsid w:val="00D228D6"/>
    <w:rsid w:val="00D22AE7"/>
    <w:rsid w:val="00D22BDC"/>
    <w:rsid w:val="00D2342F"/>
    <w:rsid w:val="00D236AE"/>
    <w:rsid w:val="00D23AA6"/>
    <w:rsid w:val="00D23B02"/>
    <w:rsid w:val="00D24025"/>
    <w:rsid w:val="00D241DF"/>
    <w:rsid w:val="00D24232"/>
    <w:rsid w:val="00D24324"/>
    <w:rsid w:val="00D2458D"/>
    <w:rsid w:val="00D24B72"/>
    <w:rsid w:val="00D24C1A"/>
    <w:rsid w:val="00D25213"/>
    <w:rsid w:val="00D25597"/>
    <w:rsid w:val="00D256C9"/>
    <w:rsid w:val="00D25789"/>
    <w:rsid w:val="00D259AA"/>
    <w:rsid w:val="00D25EAE"/>
    <w:rsid w:val="00D26158"/>
    <w:rsid w:val="00D261AB"/>
    <w:rsid w:val="00D26921"/>
    <w:rsid w:val="00D26934"/>
    <w:rsid w:val="00D26F9A"/>
    <w:rsid w:val="00D27262"/>
    <w:rsid w:val="00D273C5"/>
    <w:rsid w:val="00D273E3"/>
    <w:rsid w:val="00D276FA"/>
    <w:rsid w:val="00D2798B"/>
    <w:rsid w:val="00D27C6E"/>
    <w:rsid w:val="00D282DC"/>
    <w:rsid w:val="00D2E008"/>
    <w:rsid w:val="00D3002A"/>
    <w:rsid w:val="00D301FB"/>
    <w:rsid w:val="00D3047A"/>
    <w:rsid w:val="00D3083A"/>
    <w:rsid w:val="00D308A3"/>
    <w:rsid w:val="00D30A10"/>
    <w:rsid w:val="00D30B84"/>
    <w:rsid w:val="00D3105D"/>
    <w:rsid w:val="00D3113C"/>
    <w:rsid w:val="00D31190"/>
    <w:rsid w:val="00D314F2"/>
    <w:rsid w:val="00D3184B"/>
    <w:rsid w:val="00D31914"/>
    <w:rsid w:val="00D31C64"/>
    <w:rsid w:val="00D31ED5"/>
    <w:rsid w:val="00D322B4"/>
    <w:rsid w:val="00D3230D"/>
    <w:rsid w:val="00D32332"/>
    <w:rsid w:val="00D323AA"/>
    <w:rsid w:val="00D328D4"/>
    <w:rsid w:val="00D3299B"/>
    <w:rsid w:val="00D329CC"/>
    <w:rsid w:val="00D32DF4"/>
    <w:rsid w:val="00D331DE"/>
    <w:rsid w:val="00D3364E"/>
    <w:rsid w:val="00D339A4"/>
    <w:rsid w:val="00D33E77"/>
    <w:rsid w:val="00D33EFF"/>
    <w:rsid w:val="00D3405A"/>
    <w:rsid w:val="00D342CA"/>
    <w:rsid w:val="00D342DA"/>
    <w:rsid w:val="00D344C7"/>
    <w:rsid w:val="00D345E8"/>
    <w:rsid w:val="00D34780"/>
    <w:rsid w:val="00D34B7B"/>
    <w:rsid w:val="00D34CA8"/>
    <w:rsid w:val="00D34E2F"/>
    <w:rsid w:val="00D35319"/>
    <w:rsid w:val="00D35350"/>
    <w:rsid w:val="00D355EC"/>
    <w:rsid w:val="00D3575F"/>
    <w:rsid w:val="00D35791"/>
    <w:rsid w:val="00D35A2F"/>
    <w:rsid w:val="00D35D80"/>
    <w:rsid w:val="00D36126"/>
    <w:rsid w:val="00D363CA"/>
    <w:rsid w:val="00D3655C"/>
    <w:rsid w:val="00D366F0"/>
    <w:rsid w:val="00D36A0E"/>
    <w:rsid w:val="00D36B16"/>
    <w:rsid w:val="00D37388"/>
    <w:rsid w:val="00D3777A"/>
    <w:rsid w:val="00D377C0"/>
    <w:rsid w:val="00D37A30"/>
    <w:rsid w:val="00D37AE9"/>
    <w:rsid w:val="00D3EA1E"/>
    <w:rsid w:val="00D40173"/>
    <w:rsid w:val="00D404BF"/>
    <w:rsid w:val="00D40A09"/>
    <w:rsid w:val="00D40AD3"/>
    <w:rsid w:val="00D4103D"/>
    <w:rsid w:val="00D410AF"/>
    <w:rsid w:val="00D41978"/>
    <w:rsid w:val="00D41C50"/>
    <w:rsid w:val="00D4231F"/>
    <w:rsid w:val="00D42929"/>
    <w:rsid w:val="00D429F8"/>
    <w:rsid w:val="00D42A4E"/>
    <w:rsid w:val="00D42B60"/>
    <w:rsid w:val="00D42FEC"/>
    <w:rsid w:val="00D43147"/>
    <w:rsid w:val="00D433B1"/>
    <w:rsid w:val="00D4341E"/>
    <w:rsid w:val="00D4362A"/>
    <w:rsid w:val="00D43824"/>
    <w:rsid w:val="00D43B21"/>
    <w:rsid w:val="00D43D55"/>
    <w:rsid w:val="00D43F53"/>
    <w:rsid w:val="00D43FEB"/>
    <w:rsid w:val="00D444A3"/>
    <w:rsid w:val="00D4478B"/>
    <w:rsid w:val="00D44A16"/>
    <w:rsid w:val="00D44C42"/>
    <w:rsid w:val="00D44CE4"/>
    <w:rsid w:val="00D451E8"/>
    <w:rsid w:val="00D451F4"/>
    <w:rsid w:val="00D455F2"/>
    <w:rsid w:val="00D45910"/>
    <w:rsid w:val="00D45C67"/>
    <w:rsid w:val="00D45E08"/>
    <w:rsid w:val="00D45E6E"/>
    <w:rsid w:val="00D45ED3"/>
    <w:rsid w:val="00D45FFB"/>
    <w:rsid w:val="00D460C4"/>
    <w:rsid w:val="00D461E0"/>
    <w:rsid w:val="00D463FF"/>
    <w:rsid w:val="00D467EB"/>
    <w:rsid w:val="00D46846"/>
    <w:rsid w:val="00D46F33"/>
    <w:rsid w:val="00D4718F"/>
    <w:rsid w:val="00D475E1"/>
    <w:rsid w:val="00D4762B"/>
    <w:rsid w:val="00D478C3"/>
    <w:rsid w:val="00D478DA"/>
    <w:rsid w:val="00D4796C"/>
    <w:rsid w:val="00D47BAF"/>
    <w:rsid w:val="00D50EA6"/>
    <w:rsid w:val="00D510D0"/>
    <w:rsid w:val="00D51487"/>
    <w:rsid w:val="00D51945"/>
    <w:rsid w:val="00D51FAA"/>
    <w:rsid w:val="00D5205D"/>
    <w:rsid w:val="00D52067"/>
    <w:rsid w:val="00D52189"/>
    <w:rsid w:val="00D528EA"/>
    <w:rsid w:val="00D52B4C"/>
    <w:rsid w:val="00D52B67"/>
    <w:rsid w:val="00D52C33"/>
    <w:rsid w:val="00D52CE6"/>
    <w:rsid w:val="00D530A9"/>
    <w:rsid w:val="00D533EE"/>
    <w:rsid w:val="00D534D4"/>
    <w:rsid w:val="00D53599"/>
    <w:rsid w:val="00D537FB"/>
    <w:rsid w:val="00D53ADD"/>
    <w:rsid w:val="00D53F60"/>
    <w:rsid w:val="00D54392"/>
    <w:rsid w:val="00D54B13"/>
    <w:rsid w:val="00D54C7B"/>
    <w:rsid w:val="00D54D85"/>
    <w:rsid w:val="00D55113"/>
    <w:rsid w:val="00D55130"/>
    <w:rsid w:val="00D551F3"/>
    <w:rsid w:val="00D558B9"/>
    <w:rsid w:val="00D55F96"/>
    <w:rsid w:val="00D5612C"/>
    <w:rsid w:val="00D56832"/>
    <w:rsid w:val="00D56A27"/>
    <w:rsid w:val="00D56ADC"/>
    <w:rsid w:val="00D56C29"/>
    <w:rsid w:val="00D57006"/>
    <w:rsid w:val="00D570EA"/>
    <w:rsid w:val="00D5781C"/>
    <w:rsid w:val="00D579D5"/>
    <w:rsid w:val="00D57B43"/>
    <w:rsid w:val="00D57CB5"/>
    <w:rsid w:val="00D60173"/>
    <w:rsid w:val="00D607BE"/>
    <w:rsid w:val="00D612C4"/>
    <w:rsid w:val="00D61321"/>
    <w:rsid w:val="00D61532"/>
    <w:rsid w:val="00D616C0"/>
    <w:rsid w:val="00D617A5"/>
    <w:rsid w:val="00D617D7"/>
    <w:rsid w:val="00D61EF4"/>
    <w:rsid w:val="00D61FBB"/>
    <w:rsid w:val="00D62407"/>
    <w:rsid w:val="00D6252A"/>
    <w:rsid w:val="00D6254B"/>
    <w:rsid w:val="00D62570"/>
    <w:rsid w:val="00D6312C"/>
    <w:rsid w:val="00D63414"/>
    <w:rsid w:val="00D63541"/>
    <w:rsid w:val="00D636C9"/>
    <w:rsid w:val="00D637C2"/>
    <w:rsid w:val="00D63A04"/>
    <w:rsid w:val="00D63BAF"/>
    <w:rsid w:val="00D63CE4"/>
    <w:rsid w:val="00D63D1E"/>
    <w:rsid w:val="00D6412C"/>
    <w:rsid w:val="00D642D9"/>
    <w:rsid w:val="00D6430B"/>
    <w:rsid w:val="00D64716"/>
    <w:rsid w:val="00D64779"/>
    <w:rsid w:val="00D64947"/>
    <w:rsid w:val="00D64B2B"/>
    <w:rsid w:val="00D64DE3"/>
    <w:rsid w:val="00D64F7F"/>
    <w:rsid w:val="00D65032"/>
    <w:rsid w:val="00D65332"/>
    <w:rsid w:val="00D654A0"/>
    <w:rsid w:val="00D65A4C"/>
    <w:rsid w:val="00D65D2B"/>
    <w:rsid w:val="00D660BE"/>
    <w:rsid w:val="00D664AA"/>
    <w:rsid w:val="00D664E2"/>
    <w:rsid w:val="00D66521"/>
    <w:rsid w:val="00D668F2"/>
    <w:rsid w:val="00D66978"/>
    <w:rsid w:val="00D66B2C"/>
    <w:rsid w:val="00D66BB3"/>
    <w:rsid w:val="00D66C2E"/>
    <w:rsid w:val="00D66D79"/>
    <w:rsid w:val="00D67142"/>
    <w:rsid w:val="00D67177"/>
    <w:rsid w:val="00D6746C"/>
    <w:rsid w:val="00D67892"/>
    <w:rsid w:val="00D67931"/>
    <w:rsid w:val="00D67962"/>
    <w:rsid w:val="00D67A72"/>
    <w:rsid w:val="00D67CDB"/>
    <w:rsid w:val="00D703CE"/>
    <w:rsid w:val="00D70498"/>
    <w:rsid w:val="00D7140B"/>
    <w:rsid w:val="00D7147C"/>
    <w:rsid w:val="00D71868"/>
    <w:rsid w:val="00D71981"/>
    <w:rsid w:val="00D7205D"/>
    <w:rsid w:val="00D720E0"/>
    <w:rsid w:val="00D72356"/>
    <w:rsid w:val="00D72450"/>
    <w:rsid w:val="00D724D7"/>
    <w:rsid w:val="00D72C87"/>
    <w:rsid w:val="00D7303F"/>
    <w:rsid w:val="00D73073"/>
    <w:rsid w:val="00D7334B"/>
    <w:rsid w:val="00D735BE"/>
    <w:rsid w:val="00D73764"/>
    <w:rsid w:val="00D737E4"/>
    <w:rsid w:val="00D73B8B"/>
    <w:rsid w:val="00D73C0E"/>
    <w:rsid w:val="00D73C91"/>
    <w:rsid w:val="00D740EF"/>
    <w:rsid w:val="00D7431B"/>
    <w:rsid w:val="00D7461C"/>
    <w:rsid w:val="00D746EA"/>
    <w:rsid w:val="00D7482E"/>
    <w:rsid w:val="00D74E1D"/>
    <w:rsid w:val="00D74F7C"/>
    <w:rsid w:val="00D751B2"/>
    <w:rsid w:val="00D75392"/>
    <w:rsid w:val="00D75500"/>
    <w:rsid w:val="00D7552F"/>
    <w:rsid w:val="00D755DE"/>
    <w:rsid w:val="00D75939"/>
    <w:rsid w:val="00D75A66"/>
    <w:rsid w:val="00D76095"/>
    <w:rsid w:val="00D760C0"/>
    <w:rsid w:val="00D76340"/>
    <w:rsid w:val="00D7649F"/>
    <w:rsid w:val="00D764EC"/>
    <w:rsid w:val="00D76750"/>
    <w:rsid w:val="00D76B58"/>
    <w:rsid w:val="00D77281"/>
    <w:rsid w:val="00D77F55"/>
    <w:rsid w:val="00D77FD6"/>
    <w:rsid w:val="00D80108"/>
    <w:rsid w:val="00D8013A"/>
    <w:rsid w:val="00D80361"/>
    <w:rsid w:val="00D80965"/>
    <w:rsid w:val="00D80A1F"/>
    <w:rsid w:val="00D80C6B"/>
    <w:rsid w:val="00D80F87"/>
    <w:rsid w:val="00D80FEB"/>
    <w:rsid w:val="00D8100C"/>
    <w:rsid w:val="00D811AC"/>
    <w:rsid w:val="00D8122F"/>
    <w:rsid w:val="00D814FC"/>
    <w:rsid w:val="00D815FE"/>
    <w:rsid w:val="00D81FA3"/>
    <w:rsid w:val="00D82189"/>
    <w:rsid w:val="00D822C9"/>
    <w:rsid w:val="00D8287E"/>
    <w:rsid w:val="00D82919"/>
    <w:rsid w:val="00D82AD2"/>
    <w:rsid w:val="00D82E57"/>
    <w:rsid w:val="00D82E81"/>
    <w:rsid w:val="00D82F91"/>
    <w:rsid w:val="00D833D5"/>
    <w:rsid w:val="00D8360E"/>
    <w:rsid w:val="00D83645"/>
    <w:rsid w:val="00D838A8"/>
    <w:rsid w:val="00D83F78"/>
    <w:rsid w:val="00D84068"/>
    <w:rsid w:val="00D84084"/>
    <w:rsid w:val="00D8408A"/>
    <w:rsid w:val="00D841C5"/>
    <w:rsid w:val="00D84411"/>
    <w:rsid w:val="00D8448A"/>
    <w:rsid w:val="00D848DC"/>
    <w:rsid w:val="00D84AB9"/>
    <w:rsid w:val="00D84D8C"/>
    <w:rsid w:val="00D84E44"/>
    <w:rsid w:val="00D853DD"/>
    <w:rsid w:val="00D85DDE"/>
    <w:rsid w:val="00D862E4"/>
    <w:rsid w:val="00D86A8B"/>
    <w:rsid w:val="00D86F6A"/>
    <w:rsid w:val="00D87123"/>
    <w:rsid w:val="00D87509"/>
    <w:rsid w:val="00D87535"/>
    <w:rsid w:val="00D87817"/>
    <w:rsid w:val="00D878A9"/>
    <w:rsid w:val="00D87975"/>
    <w:rsid w:val="00D87B15"/>
    <w:rsid w:val="00D87F1E"/>
    <w:rsid w:val="00D8F602"/>
    <w:rsid w:val="00D90367"/>
    <w:rsid w:val="00D9038F"/>
    <w:rsid w:val="00D90688"/>
    <w:rsid w:val="00D907A3"/>
    <w:rsid w:val="00D909BE"/>
    <w:rsid w:val="00D90AE4"/>
    <w:rsid w:val="00D911B5"/>
    <w:rsid w:val="00D911B6"/>
    <w:rsid w:val="00D91561"/>
    <w:rsid w:val="00D91632"/>
    <w:rsid w:val="00D91C46"/>
    <w:rsid w:val="00D91E04"/>
    <w:rsid w:val="00D91F66"/>
    <w:rsid w:val="00D92085"/>
    <w:rsid w:val="00D921EC"/>
    <w:rsid w:val="00D92261"/>
    <w:rsid w:val="00D929CE"/>
    <w:rsid w:val="00D92B89"/>
    <w:rsid w:val="00D931A0"/>
    <w:rsid w:val="00D931C3"/>
    <w:rsid w:val="00D935F5"/>
    <w:rsid w:val="00D9397B"/>
    <w:rsid w:val="00D93AB6"/>
    <w:rsid w:val="00D93C42"/>
    <w:rsid w:val="00D93C74"/>
    <w:rsid w:val="00D93E83"/>
    <w:rsid w:val="00D94084"/>
    <w:rsid w:val="00D941B6"/>
    <w:rsid w:val="00D942AA"/>
    <w:rsid w:val="00D944F8"/>
    <w:rsid w:val="00D9546D"/>
    <w:rsid w:val="00D95CB8"/>
    <w:rsid w:val="00D95E9F"/>
    <w:rsid w:val="00D961CA"/>
    <w:rsid w:val="00D9621D"/>
    <w:rsid w:val="00D964BD"/>
    <w:rsid w:val="00D9652D"/>
    <w:rsid w:val="00D96B86"/>
    <w:rsid w:val="00D96C4C"/>
    <w:rsid w:val="00D96F54"/>
    <w:rsid w:val="00D96FBC"/>
    <w:rsid w:val="00D970CE"/>
    <w:rsid w:val="00D97788"/>
    <w:rsid w:val="00D97E9B"/>
    <w:rsid w:val="00D97F5D"/>
    <w:rsid w:val="00DA00E2"/>
    <w:rsid w:val="00DA014D"/>
    <w:rsid w:val="00DA056C"/>
    <w:rsid w:val="00DA0D4C"/>
    <w:rsid w:val="00DA1215"/>
    <w:rsid w:val="00DA138A"/>
    <w:rsid w:val="00DA14CE"/>
    <w:rsid w:val="00DA16FD"/>
    <w:rsid w:val="00DA18CF"/>
    <w:rsid w:val="00DA1905"/>
    <w:rsid w:val="00DA1BC7"/>
    <w:rsid w:val="00DA1BFE"/>
    <w:rsid w:val="00DA25E2"/>
    <w:rsid w:val="00DA2656"/>
    <w:rsid w:val="00DA28AC"/>
    <w:rsid w:val="00DA2ED1"/>
    <w:rsid w:val="00DA300A"/>
    <w:rsid w:val="00DA321E"/>
    <w:rsid w:val="00DA32DF"/>
    <w:rsid w:val="00DA3D17"/>
    <w:rsid w:val="00DA3E6E"/>
    <w:rsid w:val="00DA3F78"/>
    <w:rsid w:val="00DA42EF"/>
    <w:rsid w:val="00DA4385"/>
    <w:rsid w:val="00DA473B"/>
    <w:rsid w:val="00DA49E3"/>
    <w:rsid w:val="00DA4F7B"/>
    <w:rsid w:val="00DA52D2"/>
    <w:rsid w:val="00DA5405"/>
    <w:rsid w:val="00DA61F8"/>
    <w:rsid w:val="00DA705E"/>
    <w:rsid w:val="00DA70C4"/>
    <w:rsid w:val="00DA70EB"/>
    <w:rsid w:val="00DA7391"/>
    <w:rsid w:val="00DA7AD4"/>
    <w:rsid w:val="00DB091D"/>
    <w:rsid w:val="00DB0B41"/>
    <w:rsid w:val="00DB0C25"/>
    <w:rsid w:val="00DB1C22"/>
    <w:rsid w:val="00DB1F42"/>
    <w:rsid w:val="00DB27E1"/>
    <w:rsid w:val="00DB282D"/>
    <w:rsid w:val="00DB2ABF"/>
    <w:rsid w:val="00DB2FC6"/>
    <w:rsid w:val="00DB31A4"/>
    <w:rsid w:val="00DB3246"/>
    <w:rsid w:val="00DB3331"/>
    <w:rsid w:val="00DB3378"/>
    <w:rsid w:val="00DB34AC"/>
    <w:rsid w:val="00DB3647"/>
    <w:rsid w:val="00DB37A6"/>
    <w:rsid w:val="00DB391B"/>
    <w:rsid w:val="00DB4082"/>
    <w:rsid w:val="00DB486A"/>
    <w:rsid w:val="00DB4B79"/>
    <w:rsid w:val="00DB4C6E"/>
    <w:rsid w:val="00DB51DE"/>
    <w:rsid w:val="00DB59E5"/>
    <w:rsid w:val="00DB5D4D"/>
    <w:rsid w:val="00DB622A"/>
    <w:rsid w:val="00DB668D"/>
    <w:rsid w:val="00DB6AA4"/>
    <w:rsid w:val="00DB6F31"/>
    <w:rsid w:val="00DB70CE"/>
    <w:rsid w:val="00DB724F"/>
    <w:rsid w:val="00DB7813"/>
    <w:rsid w:val="00DB790B"/>
    <w:rsid w:val="00DB795E"/>
    <w:rsid w:val="00DB79C3"/>
    <w:rsid w:val="00DC003E"/>
    <w:rsid w:val="00DC0070"/>
    <w:rsid w:val="00DC01B5"/>
    <w:rsid w:val="00DC02F5"/>
    <w:rsid w:val="00DC0512"/>
    <w:rsid w:val="00DC093B"/>
    <w:rsid w:val="00DC102F"/>
    <w:rsid w:val="00DC10E5"/>
    <w:rsid w:val="00DC13A9"/>
    <w:rsid w:val="00DC1407"/>
    <w:rsid w:val="00DC1491"/>
    <w:rsid w:val="00DC174E"/>
    <w:rsid w:val="00DC18B5"/>
    <w:rsid w:val="00DC1B58"/>
    <w:rsid w:val="00DC1BF1"/>
    <w:rsid w:val="00DC1EDE"/>
    <w:rsid w:val="00DC20F1"/>
    <w:rsid w:val="00DC216B"/>
    <w:rsid w:val="00DC231E"/>
    <w:rsid w:val="00DC2380"/>
    <w:rsid w:val="00DC24C4"/>
    <w:rsid w:val="00DC2732"/>
    <w:rsid w:val="00DC29BC"/>
    <w:rsid w:val="00DC2AD0"/>
    <w:rsid w:val="00DC2CA9"/>
    <w:rsid w:val="00DC2E8B"/>
    <w:rsid w:val="00DC304A"/>
    <w:rsid w:val="00DC309E"/>
    <w:rsid w:val="00DC32E1"/>
    <w:rsid w:val="00DC3361"/>
    <w:rsid w:val="00DC3578"/>
    <w:rsid w:val="00DC360A"/>
    <w:rsid w:val="00DC37BC"/>
    <w:rsid w:val="00DC38A5"/>
    <w:rsid w:val="00DC3AB3"/>
    <w:rsid w:val="00DC3D86"/>
    <w:rsid w:val="00DC3E32"/>
    <w:rsid w:val="00DC3F13"/>
    <w:rsid w:val="00DC4098"/>
    <w:rsid w:val="00DC415E"/>
    <w:rsid w:val="00DC45A4"/>
    <w:rsid w:val="00DC4642"/>
    <w:rsid w:val="00DC4A38"/>
    <w:rsid w:val="00DC4A78"/>
    <w:rsid w:val="00DC4B71"/>
    <w:rsid w:val="00DC4D8C"/>
    <w:rsid w:val="00DC4E52"/>
    <w:rsid w:val="00DC50EC"/>
    <w:rsid w:val="00DC5246"/>
    <w:rsid w:val="00DC54D8"/>
    <w:rsid w:val="00DC57D1"/>
    <w:rsid w:val="00DC58C8"/>
    <w:rsid w:val="00DC5D07"/>
    <w:rsid w:val="00DC5D16"/>
    <w:rsid w:val="00DC5DAD"/>
    <w:rsid w:val="00DC5FF9"/>
    <w:rsid w:val="00DC62E0"/>
    <w:rsid w:val="00DC6560"/>
    <w:rsid w:val="00DC69C2"/>
    <w:rsid w:val="00DC6AB6"/>
    <w:rsid w:val="00DC6E77"/>
    <w:rsid w:val="00DC6F18"/>
    <w:rsid w:val="00DC7032"/>
    <w:rsid w:val="00DC71C0"/>
    <w:rsid w:val="00DC73D0"/>
    <w:rsid w:val="00DC7AC1"/>
    <w:rsid w:val="00DD04D3"/>
    <w:rsid w:val="00DD0815"/>
    <w:rsid w:val="00DD0A14"/>
    <w:rsid w:val="00DD0ACE"/>
    <w:rsid w:val="00DD0DFB"/>
    <w:rsid w:val="00DD19AB"/>
    <w:rsid w:val="00DD1AAD"/>
    <w:rsid w:val="00DD1D88"/>
    <w:rsid w:val="00DD2191"/>
    <w:rsid w:val="00DD2207"/>
    <w:rsid w:val="00DD2270"/>
    <w:rsid w:val="00DD234F"/>
    <w:rsid w:val="00DD2420"/>
    <w:rsid w:val="00DD242E"/>
    <w:rsid w:val="00DD2506"/>
    <w:rsid w:val="00DD272F"/>
    <w:rsid w:val="00DD29BB"/>
    <w:rsid w:val="00DD2B10"/>
    <w:rsid w:val="00DD3049"/>
    <w:rsid w:val="00DD3072"/>
    <w:rsid w:val="00DD3502"/>
    <w:rsid w:val="00DD3CB3"/>
    <w:rsid w:val="00DD3EC3"/>
    <w:rsid w:val="00DD3FC2"/>
    <w:rsid w:val="00DD3FDC"/>
    <w:rsid w:val="00DD414D"/>
    <w:rsid w:val="00DD444A"/>
    <w:rsid w:val="00DD46F4"/>
    <w:rsid w:val="00DD470E"/>
    <w:rsid w:val="00DD4A99"/>
    <w:rsid w:val="00DD4BCD"/>
    <w:rsid w:val="00DD4FD9"/>
    <w:rsid w:val="00DD50B4"/>
    <w:rsid w:val="00DD535E"/>
    <w:rsid w:val="00DD53D5"/>
    <w:rsid w:val="00DD5567"/>
    <w:rsid w:val="00DD55A7"/>
    <w:rsid w:val="00DD587A"/>
    <w:rsid w:val="00DD60B0"/>
    <w:rsid w:val="00DD6545"/>
    <w:rsid w:val="00DD65DC"/>
    <w:rsid w:val="00DD6945"/>
    <w:rsid w:val="00DD69D8"/>
    <w:rsid w:val="00DD69F0"/>
    <w:rsid w:val="00DD6ACF"/>
    <w:rsid w:val="00DD6B2E"/>
    <w:rsid w:val="00DD6E68"/>
    <w:rsid w:val="00DD7346"/>
    <w:rsid w:val="00DD73B3"/>
    <w:rsid w:val="00DD7449"/>
    <w:rsid w:val="00DD755B"/>
    <w:rsid w:val="00DD7CD5"/>
    <w:rsid w:val="00DD7D7D"/>
    <w:rsid w:val="00DDDB58"/>
    <w:rsid w:val="00DE018C"/>
    <w:rsid w:val="00DE01AB"/>
    <w:rsid w:val="00DE02C3"/>
    <w:rsid w:val="00DE0636"/>
    <w:rsid w:val="00DE11D0"/>
    <w:rsid w:val="00DE1327"/>
    <w:rsid w:val="00DE147D"/>
    <w:rsid w:val="00DE1780"/>
    <w:rsid w:val="00DE2187"/>
    <w:rsid w:val="00DE26D4"/>
    <w:rsid w:val="00DE286A"/>
    <w:rsid w:val="00DE348D"/>
    <w:rsid w:val="00DE381E"/>
    <w:rsid w:val="00DE38B8"/>
    <w:rsid w:val="00DE39AC"/>
    <w:rsid w:val="00DE3A18"/>
    <w:rsid w:val="00DE3A2A"/>
    <w:rsid w:val="00DE3E3B"/>
    <w:rsid w:val="00DE40D5"/>
    <w:rsid w:val="00DE412E"/>
    <w:rsid w:val="00DE459F"/>
    <w:rsid w:val="00DE4B9B"/>
    <w:rsid w:val="00DE4C6D"/>
    <w:rsid w:val="00DE503F"/>
    <w:rsid w:val="00DE51BB"/>
    <w:rsid w:val="00DE5350"/>
    <w:rsid w:val="00DE5653"/>
    <w:rsid w:val="00DE61E4"/>
    <w:rsid w:val="00DE6344"/>
    <w:rsid w:val="00DE63FC"/>
    <w:rsid w:val="00DE6549"/>
    <w:rsid w:val="00DE67BE"/>
    <w:rsid w:val="00DE690D"/>
    <w:rsid w:val="00DE6B0D"/>
    <w:rsid w:val="00DE6D01"/>
    <w:rsid w:val="00DE6FFE"/>
    <w:rsid w:val="00DE708B"/>
    <w:rsid w:val="00DE75BE"/>
    <w:rsid w:val="00DE78EC"/>
    <w:rsid w:val="00DE7C1F"/>
    <w:rsid w:val="00DE7C8B"/>
    <w:rsid w:val="00DE7EBA"/>
    <w:rsid w:val="00DE7EDB"/>
    <w:rsid w:val="00DF06A5"/>
    <w:rsid w:val="00DF0DC8"/>
    <w:rsid w:val="00DF0F48"/>
    <w:rsid w:val="00DF0F55"/>
    <w:rsid w:val="00DF1324"/>
    <w:rsid w:val="00DF133A"/>
    <w:rsid w:val="00DF144A"/>
    <w:rsid w:val="00DF1700"/>
    <w:rsid w:val="00DF172F"/>
    <w:rsid w:val="00DF1764"/>
    <w:rsid w:val="00DF1A35"/>
    <w:rsid w:val="00DF23AD"/>
    <w:rsid w:val="00DF2512"/>
    <w:rsid w:val="00DF2772"/>
    <w:rsid w:val="00DF27BC"/>
    <w:rsid w:val="00DF2AFF"/>
    <w:rsid w:val="00DF2DD6"/>
    <w:rsid w:val="00DF2DF8"/>
    <w:rsid w:val="00DF2FAD"/>
    <w:rsid w:val="00DF30B6"/>
    <w:rsid w:val="00DF3377"/>
    <w:rsid w:val="00DF36A2"/>
    <w:rsid w:val="00DF37AD"/>
    <w:rsid w:val="00DF3D40"/>
    <w:rsid w:val="00DF3DC6"/>
    <w:rsid w:val="00DF3F90"/>
    <w:rsid w:val="00DF404A"/>
    <w:rsid w:val="00DF4903"/>
    <w:rsid w:val="00DF4AB3"/>
    <w:rsid w:val="00DF4DFB"/>
    <w:rsid w:val="00DF5336"/>
    <w:rsid w:val="00DF57E9"/>
    <w:rsid w:val="00DF582B"/>
    <w:rsid w:val="00DF636F"/>
    <w:rsid w:val="00DF68E7"/>
    <w:rsid w:val="00DF6D05"/>
    <w:rsid w:val="00DF6DF5"/>
    <w:rsid w:val="00DF6E50"/>
    <w:rsid w:val="00DF700C"/>
    <w:rsid w:val="00DF733A"/>
    <w:rsid w:val="00DF7417"/>
    <w:rsid w:val="00DF774F"/>
    <w:rsid w:val="00DF7C33"/>
    <w:rsid w:val="00DF7D59"/>
    <w:rsid w:val="00DF7E25"/>
    <w:rsid w:val="00E000FC"/>
    <w:rsid w:val="00E00245"/>
    <w:rsid w:val="00E00252"/>
    <w:rsid w:val="00E00268"/>
    <w:rsid w:val="00E0096C"/>
    <w:rsid w:val="00E00F48"/>
    <w:rsid w:val="00E01154"/>
    <w:rsid w:val="00E015DA"/>
    <w:rsid w:val="00E01767"/>
    <w:rsid w:val="00E01E58"/>
    <w:rsid w:val="00E01F06"/>
    <w:rsid w:val="00E020B8"/>
    <w:rsid w:val="00E02194"/>
    <w:rsid w:val="00E02629"/>
    <w:rsid w:val="00E029BE"/>
    <w:rsid w:val="00E02AB0"/>
    <w:rsid w:val="00E0306C"/>
    <w:rsid w:val="00E03185"/>
    <w:rsid w:val="00E03396"/>
    <w:rsid w:val="00E03515"/>
    <w:rsid w:val="00E035E2"/>
    <w:rsid w:val="00E036A0"/>
    <w:rsid w:val="00E03C3A"/>
    <w:rsid w:val="00E03CA3"/>
    <w:rsid w:val="00E0434B"/>
    <w:rsid w:val="00E04532"/>
    <w:rsid w:val="00E045DB"/>
    <w:rsid w:val="00E04758"/>
    <w:rsid w:val="00E049B9"/>
    <w:rsid w:val="00E04CF6"/>
    <w:rsid w:val="00E04D13"/>
    <w:rsid w:val="00E04F8D"/>
    <w:rsid w:val="00E04FDA"/>
    <w:rsid w:val="00E0546D"/>
    <w:rsid w:val="00E0586E"/>
    <w:rsid w:val="00E05C9F"/>
    <w:rsid w:val="00E061A1"/>
    <w:rsid w:val="00E066D5"/>
    <w:rsid w:val="00E069A0"/>
    <w:rsid w:val="00E07609"/>
    <w:rsid w:val="00E07706"/>
    <w:rsid w:val="00E07876"/>
    <w:rsid w:val="00E07AAA"/>
    <w:rsid w:val="00E07AE7"/>
    <w:rsid w:val="00E07B77"/>
    <w:rsid w:val="00E1098E"/>
    <w:rsid w:val="00E109E8"/>
    <w:rsid w:val="00E11309"/>
    <w:rsid w:val="00E11498"/>
    <w:rsid w:val="00E11A7A"/>
    <w:rsid w:val="00E11B08"/>
    <w:rsid w:val="00E11F0F"/>
    <w:rsid w:val="00E12010"/>
    <w:rsid w:val="00E12095"/>
    <w:rsid w:val="00E122A0"/>
    <w:rsid w:val="00E12376"/>
    <w:rsid w:val="00E129D6"/>
    <w:rsid w:val="00E1359B"/>
    <w:rsid w:val="00E13F69"/>
    <w:rsid w:val="00E142A2"/>
    <w:rsid w:val="00E1437C"/>
    <w:rsid w:val="00E144B4"/>
    <w:rsid w:val="00E144C5"/>
    <w:rsid w:val="00E144DD"/>
    <w:rsid w:val="00E14550"/>
    <w:rsid w:val="00E14967"/>
    <w:rsid w:val="00E14B75"/>
    <w:rsid w:val="00E14E95"/>
    <w:rsid w:val="00E15233"/>
    <w:rsid w:val="00E1523B"/>
    <w:rsid w:val="00E152C9"/>
    <w:rsid w:val="00E15533"/>
    <w:rsid w:val="00E15D64"/>
    <w:rsid w:val="00E160FF"/>
    <w:rsid w:val="00E1624E"/>
    <w:rsid w:val="00E16735"/>
    <w:rsid w:val="00E16A10"/>
    <w:rsid w:val="00E16DFA"/>
    <w:rsid w:val="00E17019"/>
    <w:rsid w:val="00E173DB"/>
    <w:rsid w:val="00E179BB"/>
    <w:rsid w:val="00E17BBD"/>
    <w:rsid w:val="00E17F70"/>
    <w:rsid w:val="00E17FFE"/>
    <w:rsid w:val="00E1A1F2"/>
    <w:rsid w:val="00E1F47E"/>
    <w:rsid w:val="00E202A3"/>
    <w:rsid w:val="00E209C7"/>
    <w:rsid w:val="00E20A3F"/>
    <w:rsid w:val="00E20AFD"/>
    <w:rsid w:val="00E20B2A"/>
    <w:rsid w:val="00E20C01"/>
    <w:rsid w:val="00E20C0C"/>
    <w:rsid w:val="00E20FE3"/>
    <w:rsid w:val="00E21089"/>
    <w:rsid w:val="00E2148D"/>
    <w:rsid w:val="00E2152E"/>
    <w:rsid w:val="00E216EB"/>
    <w:rsid w:val="00E218A2"/>
    <w:rsid w:val="00E21C21"/>
    <w:rsid w:val="00E21DD4"/>
    <w:rsid w:val="00E22239"/>
    <w:rsid w:val="00E2291B"/>
    <w:rsid w:val="00E22928"/>
    <w:rsid w:val="00E229FB"/>
    <w:rsid w:val="00E22A6E"/>
    <w:rsid w:val="00E23300"/>
    <w:rsid w:val="00E2331D"/>
    <w:rsid w:val="00E23352"/>
    <w:rsid w:val="00E2335B"/>
    <w:rsid w:val="00E2374C"/>
    <w:rsid w:val="00E23D6A"/>
    <w:rsid w:val="00E23D8C"/>
    <w:rsid w:val="00E23F79"/>
    <w:rsid w:val="00E24080"/>
    <w:rsid w:val="00E240BF"/>
    <w:rsid w:val="00E24883"/>
    <w:rsid w:val="00E24B71"/>
    <w:rsid w:val="00E24E48"/>
    <w:rsid w:val="00E24E72"/>
    <w:rsid w:val="00E24F0F"/>
    <w:rsid w:val="00E254AD"/>
    <w:rsid w:val="00E254DE"/>
    <w:rsid w:val="00E25953"/>
    <w:rsid w:val="00E25A63"/>
    <w:rsid w:val="00E25E2D"/>
    <w:rsid w:val="00E25F54"/>
    <w:rsid w:val="00E26398"/>
    <w:rsid w:val="00E265BC"/>
    <w:rsid w:val="00E26625"/>
    <w:rsid w:val="00E2677C"/>
    <w:rsid w:val="00E268C6"/>
    <w:rsid w:val="00E26E56"/>
    <w:rsid w:val="00E26F05"/>
    <w:rsid w:val="00E27001"/>
    <w:rsid w:val="00E2720F"/>
    <w:rsid w:val="00E272F1"/>
    <w:rsid w:val="00E27926"/>
    <w:rsid w:val="00E27CC4"/>
    <w:rsid w:val="00E27D2F"/>
    <w:rsid w:val="00E27F85"/>
    <w:rsid w:val="00E27FE2"/>
    <w:rsid w:val="00E305C3"/>
    <w:rsid w:val="00E30D50"/>
    <w:rsid w:val="00E30ED0"/>
    <w:rsid w:val="00E313D9"/>
    <w:rsid w:val="00E31AFA"/>
    <w:rsid w:val="00E31DA0"/>
    <w:rsid w:val="00E31DC2"/>
    <w:rsid w:val="00E31F96"/>
    <w:rsid w:val="00E320E8"/>
    <w:rsid w:val="00E323C8"/>
    <w:rsid w:val="00E327D8"/>
    <w:rsid w:val="00E327EA"/>
    <w:rsid w:val="00E32F58"/>
    <w:rsid w:val="00E32F68"/>
    <w:rsid w:val="00E3311A"/>
    <w:rsid w:val="00E33210"/>
    <w:rsid w:val="00E3326F"/>
    <w:rsid w:val="00E33587"/>
    <w:rsid w:val="00E33757"/>
    <w:rsid w:val="00E3375E"/>
    <w:rsid w:val="00E33AF0"/>
    <w:rsid w:val="00E33B6A"/>
    <w:rsid w:val="00E33C3D"/>
    <w:rsid w:val="00E33F04"/>
    <w:rsid w:val="00E3434B"/>
    <w:rsid w:val="00E34467"/>
    <w:rsid w:val="00E344B2"/>
    <w:rsid w:val="00E3481F"/>
    <w:rsid w:val="00E34AD4"/>
    <w:rsid w:val="00E34E66"/>
    <w:rsid w:val="00E34FB8"/>
    <w:rsid w:val="00E350ED"/>
    <w:rsid w:val="00E35112"/>
    <w:rsid w:val="00E351BD"/>
    <w:rsid w:val="00E351FC"/>
    <w:rsid w:val="00E353F9"/>
    <w:rsid w:val="00E35401"/>
    <w:rsid w:val="00E354F2"/>
    <w:rsid w:val="00E3557C"/>
    <w:rsid w:val="00E3564E"/>
    <w:rsid w:val="00E36248"/>
    <w:rsid w:val="00E3626C"/>
    <w:rsid w:val="00E363B4"/>
    <w:rsid w:val="00E363D8"/>
    <w:rsid w:val="00E3646A"/>
    <w:rsid w:val="00E3687C"/>
    <w:rsid w:val="00E36B33"/>
    <w:rsid w:val="00E36D0E"/>
    <w:rsid w:val="00E36FE7"/>
    <w:rsid w:val="00E370AA"/>
    <w:rsid w:val="00E377C7"/>
    <w:rsid w:val="00E378FA"/>
    <w:rsid w:val="00E37BAD"/>
    <w:rsid w:val="00E38471"/>
    <w:rsid w:val="00E40CF6"/>
    <w:rsid w:val="00E4133F"/>
    <w:rsid w:val="00E415A9"/>
    <w:rsid w:val="00E41D22"/>
    <w:rsid w:val="00E41E6A"/>
    <w:rsid w:val="00E42044"/>
    <w:rsid w:val="00E4214A"/>
    <w:rsid w:val="00E42219"/>
    <w:rsid w:val="00E4222A"/>
    <w:rsid w:val="00E424B3"/>
    <w:rsid w:val="00E42780"/>
    <w:rsid w:val="00E427C1"/>
    <w:rsid w:val="00E427EA"/>
    <w:rsid w:val="00E4299F"/>
    <w:rsid w:val="00E42A3D"/>
    <w:rsid w:val="00E42BFB"/>
    <w:rsid w:val="00E42DAC"/>
    <w:rsid w:val="00E42F10"/>
    <w:rsid w:val="00E42F88"/>
    <w:rsid w:val="00E4306F"/>
    <w:rsid w:val="00E433BC"/>
    <w:rsid w:val="00E434FE"/>
    <w:rsid w:val="00E43781"/>
    <w:rsid w:val="00E43A3F"/>
    <w:rsid w:val="00E43B56"/>
    <w:rsid w:val="00E43CDA"/>
    <w:rsid w:val="00E43D76"/>
    <w:rsid w:val="00E4434B"/>
    <w:rsid w:val="00E444BD"/>
    <w:rsid w:val="00E44B42"/>
    <w:rsid w:val="00E44E35"/>
    <w:rsid w:val="00E452DE"/>
    <w:rsid w:val="00E45415"/>
    <w:rsid w:val="00E454AA"/>
    <w:rsid w:val="00E4565F"/>
    <w:rsid w:val="00E457FB"/>
    <w:rsid w:val="00E45C79"/>
    <w:rsid w:val="00E45CF6"/>
    <w:rsid w:val="00E45E4B"/>
    <w:rsid w:val="00E465D4"/>
    <w:rsid w:val="00E466F4"/>
    <w:rsid w:val="00E4670E"/>
    <w:rsid w:val="00E46DC9"/>
    <w:rsid w:val="00E46E9E"/>
    <w:rsid w:val="00E46FD7"/>
    <w:rsid w:val="00E470DA"/>
    <w:rsid w:val="00E4729A"/>
    <w:rsid w:val="00E47383"/>
    <w:rsid w:val="00E474F5"/>
    <w:rsid w:val="00E476B0"/>
    <w:rsid w:val="00E476D4"/>
    <w:rsid w:val="00E476EA"/>
    <w:rsid w:val="00E47B0E"/>
    <w:rsid w:val="00E5044B"/>
    <w:rsid w:val="00E50CC2"/>
    <w:rsid w:val="00E51D6F"/>
    <w:rsid w:val="00E52010"/>
    <w:rsid w:val="00E521CE"/>
    <w:rsid w:val="00E52369"/>
    <w:rsid w:val="00E523D8"/>
    <w:rsid w:val="00E52699"/>
    <w:rsid w:val="00E526F8"/>
    <w:rsid w:val="00E52A76"/>
    <w:rsid w:val="00E52AD0"/>
    <w:rsid w:val="00E52BA8"/>
    <w:rsid w:val="00E52D74"/>
    <w:rsid w:val="00E52E4A"/>
    <w:rsid w:val="00E5305C"/>
    <w:rsid w:val="00E534B8"/>
    <w:rsid w:val="00E535DB"/>
    <w:rsid w:val="00E5377D"/>
    <w:rsid w:val="00E537CA"/>
    <w:rsid w:val="00E53875"/>
    <w:rsid w:val="00E53995"/>
    <w:rsid w:val="00E53B13"/>
    <w:rsid w:val="00E53BE0"/>
    <w:rsid w:val="00E53F22"/>
    <w:rsid w:val="00E5420B"/>
    <w:rsid w:val="00E542A2"/>
    <w:rsid w:val="00E542C3"/>
    <w:rsid w:val="00E543ED"/>
    <w:rsid w:val="00E544A7"/>
    <w:rsid w:val="00E54591"/>
    <w:rsid w:val="00E546A6"/>
    <w:rsid w:val="00E54783"/>
    <w:rsid w:val="00E54A21"/>
    <w:rsid w:val="00E54CE4"/>
    <w:rsid w:val="00E54D07"/>
    <w:rsid w:val="00E54F4D"/>
    <w:rsid w:val="00E54FF9"/>
    <w:rsid w:val="00E550DB"/>
    <w:rsid w:val="00E555D9"/>
    <w:rsid w:val="00E55A1A"/>
    <w:rsid w:val="00E55A7C"/>
    <w:rsid w:val="00E55AAF"/>
    <w:rsid w:val="00E55EB5"/>
    <w:rsid w:val="00E55EBC"/>
    <w:rsid w:val="00E5606A"/>
    <w:rsid w:val="00E560F5"/>
    <w:rsid w:val="00E5618C"/>
    <w:rsid w:val="00E561F5"/>
    <w:rsid w:val="00E565FB"/>
    <w:rsid w:val="00E56686"/>
    <w:rsid w:val="00E566EB"/>
    <w:rsid w:val="00E569EB"/>
    <w:rsid w:val="00E56A5F"/>
    <w:rsid w:val="00E56A6E"/>
    <w:rsid w:val="00E56AC4"/>
    <w:rsid w:val="00E56BD1"/>
    <w:rsid w:val="00E56E26"/>
    <w:rsid w:val="00E56FF2"/>
    <w:rsid w:val="00E573EA"/>
    <w:rsid w:val="00E57483"/>
    <w:rsid w:val="00E574B5"/>
    <w:rsid w:val="00E57511"/>
    <w:rsid w:val="00E57514"/>
    <w:rsid w:val="00E576B0"/>
    <w:rsid w:val="00E57973"/>
    <w:rsid w:val="00E57C06"/>
    <w:rsid w:val="00E57D97"/>
    <w:rsid w:val="00E57E19"/>
    <w:rsid w:val="00E5C618"/>
    <w:rsid w:val="00E603E1"/>
    <w:rsid w:val="00E60590"/>
    <w:rsid w:val="00E60953"/>
    <w:rsid w:val="00E611E2"/>
    <w:rsid w:val="00E6136E"/>
    <w:rsid w:val="00E613C9"/>
    <w:rsid w:val="00E61A1F"/>
    <w:rsid w:val="00E61AEF"/>
    <w:rsid w:val="00E61CA8"/>
    <w:rsid w:val="00E61E44"/>
    <w:rsid w:val="00E620B2"/>
    <w:rsid w:val="00E62488"/>
    <w:rsid w:val="00E62624"/>
    <w:rsid w:val="00E62734"/>
    <w:rsid w:val="00E627E6"/>
    <w:rsid w:val="00E629E0"/>
    <w:rsid w:val="00E62D8B"/>
    <w:rsid w:val="00E62DFC"/>
    <w:rsid w:val="00E62FA0"/>
    <w:rsid w:val="00E6315D"/>
    <w:rsid w:val="00E63502"/>
    <w:rsid w:val="00E6361B"/>
    <w:rsid w:val="00E6380A"/>
    <w:rsid w:val="00E63913"/>
    <w:rsid w:val="00E63A16"/>
    <w:rsid w:val="00E63AF0"/>
    <w:rsid w:val="00E63BC8"/>
    <w:rsid w:val="00E645B8"/>
    <w:rsid w:val="00E6485A"/>
    <w:rsid w:val="00E64940"/>
    <w:rsid w:val="00E649A9"/>
    <w:rsid w:val="00E64AA0"/>
    <w:rsid w:val="00E65093"/>
    <w:rsid w:val="00E653D1"/>
    <w:rsid w:val="00E6579D"/>
    <w:rsid w:val="00E65BB8"/>
    <w:rsid w:val="00E65C6E"/>
    <w:rsid w:val="00E65E01"/>
    <w:rsid w:val="00E65E8F"/>
    <w:rsid w:val="00E660EE"/>
    <w:rsid w:val="00E662A3"/>
    <w:rsid w:val="00E667B2"/>
    <w:rsid w:val="00E66A56"/>
    <w:rsid w:val="00E66C0C"/>
    <w:rsid w:val="00E66E24"/>
    <w:rsid w:val="00E66FEC"/>
    <w:rsid w:val="00E670B9"/>
    <w:rsid w:val="00E675E2"/>
    <w:rsid w:val="00E67D0E"/>
    <w:rsid w:val="00E67F9B"/>
    <w:rsid w:val="00E70028"/>
    <w:rsid w:val="00E702DD"/>
    <w:rsid w:val="00E70404"/>
    <w:rsid w:val="00E71449"/>
    <w:rsid w:val="00E71653"/>
    <w:rsid w:val="00E7168F"/>
    <w:rsid w:val="00E716E4"/>
    <w:rsid w:val="00E719BC"/>
    <w:rsid w:val="00E71A09"/>
    <w:rsid w:val="00E71A28"/>
    <w:rsid w:val="00E71B2A"/>
    <w:rsid w:val="00E71BAA"/>
    <w:rsid w:val="00E71C85"/>
    <w:rsid w:val="00E72235"/>
    <w:rsid w:val="00E72370"/>
    <w:rsid w:val="00E723FC"/>
    <w:rsid w:val="00E72A3C"/>
    <w:rsid w:val="00E72CD9"/>
    <w:rsid w:val="00E72F01"/>
    <w:rsid w:val="00E72F86"/>
    <w:rsid w:val="00E732C7"/>
    <w:rsid w:val="00E73700"/>
    <w:rsid w:val="00E73976"/>
    <w:rsid w:val="00E73E4E"/>
    <w:rsid w:val="00E73F5D"/>
    <w:rsid w:val="00E73FCB"/>
    <w:rsid w:val="00E74400"/>
    <w:rsid w:val="00E74BA4"/>
    <w:rsid w:val="00E74D8D"/>
    <w:rsid w:val="00E74D9C"/>
    <w:rsid w:val="00E74FDD"/>
    <w:rsid w:val="00E75305"/>
    <w:rsid w:val="00E753E5"/>
    <w:rsid w:val="00E75451"/>
    <w:rsid w:val="00E75460"/>
    <w:rsid w:val="00E754FC"/>
    <w:rsid w:val="00E7557C"/>
    <w:rsid w:val="00E75669"/>
    <w:rsid w:val="00E759D2"/>
    <w:rsid w:val="00E75F67"/>
    <w:rsid w:val="00E75FC5"/>
    <w:rsid w:val="00E7660C"/>
    <w:rsid w:val="00E76EF2"/>
    <w:rsid w:val="00E771B2"/>
    <w:rsid w:val="00E771EC"/>
    <w:rsid w:val="00E771F7"/>
    <w:rsid w:val="00E77517"/>
    <w:rsid w:val="00E77943"/>
    <w:rsid w:val="00E77F21"/>
    <w:rsid w:val="00E77FB2"/>
    <w:rsid w:val="00E80099"/>
    <w:rsid w:val="00E804F2"/>
    <w:rsid w:val="00E8060D"/>
    <w:rsid w:val="00E807A5"/>
    <w:rsid w:val="00E80B21"/>
    <w:rsid w:val="00E80F7B"/>
    <w:rsid w:val="00E81EC4"/>
    <w:rsid w:val="00E81EF7"/>
    <w:rsid w:val="00E821A6"/>
    <w:rsid w:val="00E82434"/>
    <w:rsid w:val="00E82477"/>
    <w:rsid w:val="00E826C5"/>
    <w:rsid w:val="00E8276F"/>
    <w:rsid w:val="00E82B03"/>
    <w:rsid w:val="00E82BED"/>
    <w:rsid w:val="00E82C87"/>
    <w:rsid w:val="00E82E13"/>
    <w:rsid w:val="00E82E1F"/>
    <w:rsid w:val="00E8312F"/>
    <w:rsid w:val="00E83255"/>
    <w:rsid w:val="00E83906"/>
    <w:rsid w:val="00E83BA4"/>
    <w:rsid w:val="00E83F56"/>
    <w:rsid w:val="00E840B8"/>
    <w:rsid w:val="00E840D1"/>
    <w:rsid w:val="00E8417C"/>
    <w:rsid w:val="00E841ED"/>
    <w:rsid w:val="00E845FC"/>
    <w:rsid w:val="00E847F3"/>
    <w:rsid w:val="00E84964"/>
    <w:rsid w:val="00E84A02"/>
    <w:rsid w:val="00E84A8B"/>
    <w:rsid w:val="00E84BF0"/>
    <w:rsid w:val="00E84E81"/>
    <w:rsid w:val="00E84EE7"/>
    <w:rsid w:val="00E8526C"/>
    <w:rsid w:val="00E8584D"/>
    <w:rsid w:val="00E85F51"/>
    <w:rsid w:val="00E86061"/>
    <w:rsid w:val="00E86104"/>
    <w:rsid w:val="00E86957"/>
    <w:rsid w:val="00E869A4"/>
    <w:rsid w:val="00E86B93"/>
    <w:rsid w:val="00E86C64"/>
    <w:rsid w:val="00E86E35"/>
    <w:rsid w:val="00E86F81"/>
    <w:rsid w:val="00E8705D"/>
    <w:rsid w:val="00E8743A"/>
    <w:rsid w:val="00E874ED"/>
    <w:rsid w:val="00E87515"/>
    <w:rsid w:val="00E876E7"/>
    <w:rsid w:val="00E8774F"/>
    <w:rsid w:val="00E87810"/>
    <w:rsid w:val="00E8782E"/>
    <w:rsid w:val="00E9029F"/>
    <w:rsid w:val="00E90442"/>
    <w:rsid w:val="00E90AFF"/>
    <w:rsid w:val="00E90DCF"/>
    <w:rsid w:val="00E91840"/>
    <w:rsid w:val="00E91C23"/>
    <w:rsid w:val="00E93221"/>
    <w:rsid w:val="00E93680"/>
    <w:rsid w:val="00E93748"/>
    <w:rsid w:val="00E939CA"/>
    <w:rsid w:val="00E93E5A"/>
    <w:rsid w:val="00E93E62"/>
    <w:rsid w:val="00E9412B"/>
    <w:rsid w:val="00E9422E"/>
    <w:rsid w:val="00E9423E"/>
    <w:rsid w:val="00E9451B"/>
    <w:rsid w:val="00E94557"/>
    <w:rsid w:val="00E94702"/>
    <w:rsid w:val="00E94A09"/>
    <w:rsid w:val="00E95B1C"/>
    <w:rsid w:val="00E95C1B"/>
    <w:rsid w:val="00E9618A"/>
    <w:rsid w:val="00E9626F"/>
    <w:rsid w:val="00E9633F"/>
    <w:rsid w:val="00E9667B"/>
    <w:rsid w:val="00E96743"/>
    <w:rsid w:val="00E967E4"/>
    <w:rsid w:val="00E96D38"/>
    <w:rsid w:val="00E96F50"/>
    <w:rsid w:val="00E96FBC"/>
    <w:rsid w:val="00E972E9"/>
    <w:rsid w:val="00E97836"/>
    <w:rsid w:val="00E97B5F"/>
    <w:rsid w:val="00E97C19"/>
    <w:rsid w:val="00E97FFE"/>
    <w:rsid w:val="00EA00F8"/>
    <w:rsid w:val="00EA031B"/>
    <w:rsid w:val="00EA053F"/>
    <w:rsid w:val="00EA05E8"/>
    <w:rsid w:val="00EA0792"/>
    <w:rsid w:val="00EA09A0"/>
    <w:rsid w:val="00EA0C91"/>
    <w:rsid w:val="00EA0D43"/>
    <w:rsid w:val="00EA115F"/>
    <w:rsid w:val="00EA13D5"/>
    <w:rsid w:val="00EA1409"/>
    <w:rsid w:val="00EA1450"/>
    <w:rsid w:val="00EA157F"/>
    <w:rsid w:val="00EA1661"/>
    <w:rsid w:val="00EA18A5"/>
    <w:rsid w:val="00EA197B"/>
    <w:rsid w:val="00EA1AC9"/>
    <w:rsid w:val="00EA1CCD"/>
    <w:rsid w:val="00EA2383"/>
    <w:rsid w:val="00EA23FA"/>
    <w:rsid w:val="00EA25FE"/>
    <w:rsid w:val="00EA2A57"/>
    <w:rsid w:val="00EA2AC2"/>
    <w:rsid w:val="00EA2D8D"/>
    <w:rsid w:val="00EA2DC0"/>
    <w:rsid w:val="00EA3179"/>
    <w:rsid w:val="00EA3483"/>
    <w:rsid w:val="00EA34EC"/>
    <w:rsid w:val="00EA35CC"/>
    <w:rsid w:val="00EA3605"/>
    <w:rsid w:val="00EA394D"/>
    <w:rsid w:val="00EA397D"/>
    <w:rsid w:val="00EA3D2F"/>
    <w:rsid w:val="00EA42A4"/>
    <w:rsid w:val="00EA45A3"/>
    <w:rsid w:val="00EA4653"/>
    <w:rsid w:val="00EA4846"/>
    <w:rsid w:val="00EA4C34"/>
    <w:rsid w:val="00EA4C96"/>
    <w:rsid w:val="00EA505F"/>
    <w:rsid w:val="00EA523B"/>
    <w:rsid w:val="00EA5409"/>
    <w:rsid w:val="00EA590B"/>
    <w:rsid w:val="00EA61CB"/>
    <w:rsid w:val="00EA62C0"/>
    <w:rsid w:val="00EA6376"/>
    <w:rsid w:val="00EA6568"/>
    <w:rsid w:val="00EA657D"/>
    <w:rsid w:val="00EA668F"/>
    <w:rsid w:val="00EA67EF"/>
    <w:rsid w:val="00EA6A56"/>
    <w:rsid w:val="00EA6AB7"/>
    <w:rsid w:val="00EA6BCD"/>
    <w:rsid w:val="00EA6F78"/>
    <w:rsid w:val="00EA7141"/>
    <w:rsid w:val="00EA783A"/>
    <w:rsid w:val="00EA7900"/>
    <w:rsid w:val="00EA7A4B"/>
    <w:rsid w:val="00EA7E8E"/>
    <w:rsid w:val="00EA7F96"/>
    <w:rsid w:val="00EA7FFE"/>
    <w:rsid w:val="00EB025F"/>
    <w:rsid w:val="00EB0AA1"/>
    <w:rsid w:val="00EB0C94"/>
    <w:rsid w:val="00EB0C9D"/>
    <w:rsid w:val="00EB148E"/>
    <w:rsid w:val="00EB1BE7"/>
    <w:rsid w:val="00EB1F1E"/>
    <w:rsid w:val="00EB20BC"/>
    <w:rsid w:val="00EB2469"/>
    <w:rsid w:val="00EB2526"/>
    <w:rsid w:val="00EB299A"/>
    <w:rsid w:val="00EB2A4A"/>
    <w:rsid w:val="00EB2B8E"/>
    <w:rsid w:val="00EB2BD5"/>
    <w:rsid w:val="00EB30A5"/>
    <w:rsid w:val="00EB3533"/>
    <w:rsid w:val="00EB367B"/>
    <w:rsid w:val="00EB3902"/>
    <w:rsid w:val="00EB3A3F"/>
    <w:rsid w:val="00EB3A5F"/>
    <w:rsid w:val="00EB3ACE"/>
    <w:rsid w:val="00EB3FFF"/>
    <w:rsid w:val="00EB4090"/>
    <w:rsid w:val="00EB41B0"/>
    <w:rsid w:val="00EB4326"/>
    <w:rsid w:val="00EB466A"/>
    <w:rsid w:val="00EB4AE4"/>
    <w:rsid w:val="00EB4C8C"/>
    <w:rsid w:val="00EB4D5E"/>
    <w:rsid w:val="00EB4DDA"/>
    <w:rsid w:val="00EB5253"/>
    <w:rsid w:val="00EB562D"/>
    <w:rsid w:val="00EB619E"/>
    <w:rsid w:val="00EB6258"/>
    <w:rsid w:val="00EB625F"/>
    <w:rsid w:val="00EB65C3"/>
    <w:rsid w:val="00EB694A"/>
    <w:rsid w:val="00EB6A5C"/>
    <w:rsid w:val="00EB6D12"/>
    <w:rsid w:val="00EB6E20"/>
    <w:rsid w:val="00EB6ECB"/>
    <w:rsid w:val="00EB725D"/>
    <w:rsid w:val="00EB7336"/>
    <w:rsid w:val="00EB74DC"/>
    <w:rsid w:val="00EB773F"/>
    <w:rsid w:val="00EB776C"/>
    <w:rsid w:val="00EB79EA"/>
    <w:rsid w:val="00EC0175"/>
    <w:rsid w:val="00EC01C9"/>
    <w:rsid w:val="00EC01EB"/>
    <w:rsid w:val="00EC025D"/>
    <w:rsid w:val="00EC0775"/>
    <w:rsid w:val="00EC07A5"/>
    <w:rsid w:val="00EC0829"/>
    <w:rsid w:val="00EC0BE0"/>
    <w:rsid w:val="00EC0C07"/>
    <w:rsid w:val="00EC0D0D"/>
    <w:rsid w:val="00EC12A2"/>
    <w:rsid w:val="00EC14EF"/>
    <w:rsid w:val="00EC1B04"/>
    <w:rsid w:val="00EC1E7E"/>
    <w:rsid w:val="00EC2467"/>
    <w:rsid w:val="00EC294A"/>
    <w:rsid w:val="00EC294F"/>
    <w:rsid w:val="00EC2995"/>
    <w:rsid w:val="00EC2D43"/>
    <w:rsid w:val="00EC2D61"/>
    <w:rsid w:val="00EC347C"/>
    <w:rsid w:val="00EC354A"/>
    <w:rsid w:val="00EC3832"/>
    <w:rsid w:val="00EC3A0F"/>
    <w:rsid w:val="00EC3A8A"/>
    <w:rsid w:val="00EC3C17"/>
    <w:rsid w:val="00EC3E79"/>
    <w:rsid w:val="00EC3FAC"/>
    <w:rsid w:val="00EC4103"/>
    <w:rsid w:val="00EC41CF"/>
    <w:rsid w:val="00EC434B"/>
    <w:rsid w:val="00EC511C"/>
    <w:rsid w:val="00EC5165"/>
    <w:rsid w:val="00EC53E4"/>
    <w:rsid w:val="00EC5505"/>
    <w:rsid w:val="00EC56E4"/>
    <w:rsid w:val="00EC6431"/>
    <w:rsid w:val="00EC6652"/>
    <w:rsid w:val="00EC6A81"/>
    <w:rsid w:val="00EC6C54"/>
    <w:rsid w:val="00EC6DB2"/>
    <w:rsid w:val="00EC6EA1"/>
    <w:rsid w:val="00EC732A"/>
    <w:rsid w:val="00EC78A2"/>
    <w:rsid w:val="00EC797B"/>
    <w:rsid w:val="00EC7BFE"/>
    <w:rsid w:val="00EC7FF4"/>
    <w:rsid w:val="00ED043C"/>
    <w:rsid w:val="00ED0517"/>
    <w:rsid w:val="00ED0528"/>
    <w:rsid w:val="00ED0A37"/>
    <w:rsid w:val="00ED0AB2"/>
    <w:rsid w:val="00ED0DCC"/>
    <w:rsid w:val="00ED0FE5"/>
    <w:rsid w:val="00ED1523"/>
    <w:rsid w:val="00ED1821"/>
    <w:rsid w:val="00ED188B"/>
    <w:rsid w:val="00ED1938"/>
    <w:rsid w:val="00ED2084"/>
    <w:rsid w:val="00ED252E"/>
    <w:rsid w:val="00ED2691"/>
    <w:rsid w:val="00ED27AA"/>
    <w:rsid w:val="00ED27EF"/>
    <w:rsid w:val="00ED288D"/>
    <w:rsid w:val="00ED2AA5"/>
    <w:rsid w:val="00ED3118"/>
    <w:rsid w:val="00ED3237"/>
    <w:rsid w:val="00ED35D1"/>
    <w:rsid w:val="00ED3A09"/>
    <w:rsid w:val="00ED3C1D"/>
    <w:rsid w:val="00ED3D2C"/>
    <w:rsid w:val="00ED458A"/>
    <w:rsid w:val="00ED46BD"/>
    <w:rsid w:val="00ED4B7B"/>
    <w:rsid w:val="00ED4E16"/>
    <w:rsid w:val="00ED5092"/>
    <w:rsid w:val="00ED5273"/>
    <w:rsid w:val="00ED5276"/>
    <w:rsid w:val="00ED5422"/>
    <w:rsid w:val="00ED54E9"/>
    <w:rsid w:val="00ED556D"/>
    <w:rsid w:val="00ED5620"/>
    <w:rsid w:val="00ED56B6"/>
    <w:rsid w:val="00ED5AE8"/>
    <w:rsid w:val="00ED5BB7"/>
    <w:rsid w:val="00ED5D5B"/>
    <w:rsid w:val="00ED5F04"/>
    <w:rsid w:val="00ED5F71"/>
    <w:rsid w:val="00ED6537"/>
    <w:rsid w:val="00ED659E"/>
    <w:rsid w:val="00ED6675"/>
    <w:rsid w:val="00ED6A86"/>
    <w:rsid w:val="00ED6D26"/>
    <w:rsid w:val="00ED6E95"/>
    <w:rsid w:val="00ED723C"/>
    <w:rsid w:val="00ED7683"/>
    <w:rsid w:val="00ED7A67"/>
    <w:rsid w:val="00ED7B3B"/>
    <w:rsid w:val="00ED7CBA"/>
    <w:rsid w:val="00ED7F5C"/>
    <w:rsid w:val="00EE01C8"/>
    <w:rsid w:val="00EE0533"/>
    <w:rsid w:val="00EE0592"/>
    <w:rsid w:val="00EE0721"/>
    <w:rsid w:val="00EE07A2"/>
    <w:rsid w:val="00EE0AFD"/>
    <w:rsid w:val="00EE0EA1"/>
    <w:rsid w:val="00EE0EC4"/>
    <w:rsid w:val="00EE11B4"/>
    <w:rsid w:val="00EE17DD"/>
    <w:rsid w:val="00EE1BD3"/>
    <w:rsid w:val="00EE1FF5"/>
    <w:rsid w:val="00EE231F"/>
    <w:rsid w:val="00EE23F6"/>
    <w:rsid w:val="00EE25B0"/>
    <w:rsid w:val="00EE2750"/>
    <w:rsid w:val="00EE29C0"/>
    <w:rsid w:val="00EE2B17"/>
    <w:rsid w:val="00EE321C"/>
    <w:rsid w:val="00EE3233"/>
    <w:rsid w:val="00EE329C"/>
    <w:rsid w:val="00EE35E1"/>
    <w:rsid w:val="00EE3681"/>
    <w:rsid w:val="00EE390B"/>
    <w:rsid w:val="00EE3BDB"/>
    <w:rsid w:val="00EE4A60"/>
    <w:rsid w:val="00EE4A69"/>
    <w:rsid w:val="00EE4C39"/>
    <w:rsid w:val="00EE4DCA"/>
    <w:rsid w:val="00EE4FED"/>
    <w:rsid w:val="00EE5208"/>
    <w:rsid w:val="00EE53BE"/>
    <w:rsid w:val="00EE5585"/>
    <w:rsid w:val="00EE5675"/>
    <w:rsid w:val="00EE56BD"/>
    <w:rsid w:val="00EE5AA0"/>
    <w:rsid w:val="00EE5BAC"/>
    <w:rsid w:val="00EE5CC0"/>
    <w:rsid w:val="00EE5DFA"/>
    <w:rsid w:val="00EE6092"/>
    <w:rsid w:val="00EE63C3"/>
    <w:rsid w:val="00EE63DD"/>
    <w:rsid w:val="00EE6412"/>
    <w:rsid w:val="00EE67CD"/>
    <w:rsid w:val="00EE6E16"/>
    <w:rsid w:val="00EE6E4B"/>
    <w:rsid w:val="00EE7104"/>
    <w:rsid w:val="00EE721A"/>
    <w:rsid w:val="00EE7371"/>
    <w:rsid w:val="00EE7C56"/>
    <w:rsid w:val="00EE7D30"/>
    <w:rsid w:val="00EE9056"/>
    <w:rsid w:val="00EF0767"/>
    <w:rsid w:val="00EF14BF"/>
    <w:rsid w:val="00EF15EA"/>
    <w:rsid w:val="00EF19DF"/>
    <w:rsid w:val="00EF1AB3"/>
    <w:rsid w:val="00EF2188"/>
    <w:rsid w:val="00EF23CD"/>
    <w:rsid w:val="00EF28EA"/>
    <w:rsid w:val="00EF2E71"/>
    <w:rsid w:val="00EF3252"/>
    <w:rsid w:val="00EF336E"/>
    <w:rsid w:val="00EF3395"/>
    <w:rsid w:val="00EF365F"/>
    <w:rsid w:val="00EF3A18"/>
    <w:rsid w:val="00EF3A26"/>
    <w:rsid w:val="00EF3D0D"/>
    <w:rsid w:val="00EF3E88"/>
    <w:rsid w:val="00EF4078"/>
    <w:rsid w:val="00EF4536"/>
    <w:rsid w:val="00EF4954"/>
    <w:rsid w:val="00EF4A7F"/>
    <w:rsid w:val="00EF4B41"/>
    <w:rsid w:val="00EF4D25"/>
    <w:rsid w:val="00EF5409"/>
    <w:rsid w:val="00EF5610"/>
    <w:rsid w:val="00EF5A56"/>
    <w:rsid w:val="00EF5A84"/>
    <w:rsid w:val="00EF5CCA"/>
    <w:rsid w:val="00EF5E51"/>
    <w:rsid w:val="00EF5ECA"/>
    <w:rsid w:val="00EF6086"/>
    <w:rsid w:val="00EF628E"/>
    <w:rsid w:val="00EF6A91"/>
    <w:rsid w:val="00EF6EAF"/>
    <w:rsid w:val="00EF7655"/>
    <w:rsid w:val="00EF7843"/>
    <w:rsid w:val="00EF7A22"/>
    <w:rsid w:val="00EF7A5B"/>
    <w:rsid w:val="00EF7B6F"/>
    <w:rsid w:val="00F000DF"/>
    <w:rsid w:val="00F0014F"/>
    <w:rsid w:val="00F0072D"/>
    <w:rsid w:val="00F00C1F"/>
    <w:rsid w:val="00F00FF9"/>
    <w:rsid w:val="00F01087"/>
    <w:rsid w:val="00F01B81"/>
    <w:rsid w:val="00F01BD4"/>
    <w:rsid w:val="00F01D4B"/>
    <w:rsid w:val="00F01D53"/>
    <w:rsid w:val="00F01F01"/>
    <w:rsid w:val="00F0223E"/>
    <w:rsid w:val="00F02332"/>
    <w:rsid w:val="00F02542"/>
    <w:rsid w:val="00F02632"/>
    <w:rsid w:val="00F02A48"/>
    <w:rsid w:val="00F02AD9"/>
    <w:rsid w:val="00F02D57"/>
    <w:rsid w:val="00F02DAB"/>
    <w:rsid w:val="00F0351C"/>
    <w:rsid w:val="00F03883"/>
    <w:rsid w:val="00F038F4"/>
    <w:rsid w:val="00F03A82"/>
    <w:rsid w:val="00F03DC0"/>
    <w:rsid w:val="00F041EA"/>
    <w:rsid w:val="00F04377"/>
    <w:rsid w:val="00F04505"/>
    <w:rsid w:val="00F045BD"/>
    <w:rsid w:val="00F04E6F"/>
    <w:rsid w:val="00F04FD9"/>
    <w:rsid w:val="00F04FDF"/>
    <w:rsid w:val="00F05410"/>
    <w:rsid w:val="00F0541B"/>
    <w:rsid w:val="00F05598"/>
    <w:rsid w:val="00F05685"/>
    <w:rsid w:val="00F05744"/>
    <w:rsid w:val="00F05861"/>
    <w:rsid w:val="00F05BC0"/>
    <w:rsid w:val="00F05D44"/>
    <w:rsid w:val="00F06108"/>
    <w:rsid w:val="00F06458"/>
    <w:rsid w:val="00F06487"/>
    <w:rsid w:val="00F06554"/>
    <w:rsid w:val="00F06760"/>
    <w:rsid w:val="00F06805"/>
    <w:rsid w:val="00F069F7"/>
    <w:rsid w:val="00F06B61"/>
    <w:rsid w:val="00F06C17"/>
    <w:rsid w:val="00F06C5A"/>
    <w:rsid w:val="00F06DD0"/>
    <w:rsid w:val="00F06E17"/>
    <w:rsid w:val="00F06E44"/>
    <w:rsid w:val="00F07057"/>
    <w:rsid w:val="00F07227"/>
    <w:rsid w:val="00F0732D"/>
    <w:rsid w:val="00F077BB"/>
    <w:rsid w:val="00F077D9"/>
    <w:rsid w:val="00F07981"/>
    <w:rsid w:val="00F07C38"/>
    <w:rsid w:val="00F07CCC"/>
    <w:rsid w:val="00F07DF4"/>
    <w:rsid w:val="00F10187"/>
    <w:rsid w:val="00F104A6"/>
    <w:rsid w:val="00F104CC"/>
    <w:rsid w:val="00F10593"/>
    <w:rsid w:val="00F1086D"/>
    <w:rsid w:val="00F10CFC"/>
    <w:rsid w:val="00F10EAC"/>
    <w:rsid w:val="00F10EE8"/>
    <w:rsid w:val="00F10F58"/>
    <w:rsid w:val="00F11560"/>
    <w:rsid w:val="00F1179D"/>
    <w:rsid w:val="00F1195A"/>
    <w:rsid w:val="00F119CE"/>
    <w:rsid w:val="00F11A3E"/>
    <w:rsid w:val="00F11AFE"/>
    <w:rsid w:val="00F11F7F"/>
    <w:rsid w:val="00F12644"/>
    <w:rsid w:val="00F12AAA"/>
    <w:rsid w:val="00F12DF1"/>
    <w:rsid w:val="00F12E03"/>
    <w:rsid w:val="00F1315B"/>
    <w:rsid w:val="00F139AC"/>
    <w:rsid w:val="00F139E3"/>
    <w:rsid w:val="00F141DB"/>
    <w:rsid w:val="00F142CB"/>
    <w:rsid w:val="00F14311"/>
    <w:rsid w:val="00F14389"/>
    <w:rsid w:val="00F143CF"/>
    <w:rsid w:val="00F14579"/>
    <w:rsid w:val="00F14659"/>
    <w:rsid w:val="00F148BE"/>
    <w:rsid w:val="00F14BA2"/>
    <w:rsid w:val="00F14BF9"/>
    <w:rsid w:val="00F14FA3"/>
    <w:rsid w:val="00F153E7"/>
    <w:rsid w:val="00F1553A"/>
    <w:rsid w:val="00F1571A"/>
    <w:rsid w:val="00F1577A"/>
    <w:rsid w:val="00F157FD"/>
    <w:rsid w:val="00F158D9"/>
    <w:rsid w:val="00F16841"/>
    <w:rsid w:val="00F16A0C"/>
    <w:rsid w:val="00F16C0E"/>
    <w:rsid w:val="00F16E1B"/>
    <w:rsid w:val="00F16E5A"/>
    <w:rsid w:val="00F16EBA"/>
    <w:rsid w:val="00F17415"/>
    <w:rsid w:val="00F175E5"/>
    <w:rsid w:val="00F17A8D"/>
    <w:rsid w:val="00F17A9B"/>
    <w:rsid w:val="00F17B08"/>
    <w:rsid w:val="00F17CBF"/>
    <w:rsid w:val="00F17EDC"/>
    <w:rsid w:val="00F17F36"/>
    <w:rsid w:val="00F202E0"/>
    <w:rsid w:val="00F202F1"/>
    <w:rsid w:val="00F203F1"/>
    <w:rsid w:val="00F2057F"/>
    <w:rsid w:val="00F209C2"/>
    <w:rsid w:val="00F20C6F"/>
    <w:rsid w:val="00F214FE"/>
    <w:rsid w:val="00F21561"/>
    <w:rsid w:val="00F219F7"/>
    <w:rsid w:val="00F21C27"/>
    <w:rsid w:val="00F21C9F"/>
    <w:rsid w:val="00F21F93"/>
    <w:rsid w:val="00F220AC"/>
    <w:rsid w:val="00F220FB"/>
    <w:rsid w:val="00F22216"/>
    <w:rsid w:val="00F22BAD"/>
    <w:rsid w:val="00F22BF3"/>
    <w:rsid w:val="00F23020"/>
    <w:rsid w:val="00F2305B"/>
    <w:rsid w:val="00F2308A"/>
    <w:rsid w:val="00F2316E"/>
    <w:rsid w:val="00F23406"/>
    <w:rsid w:val="00F23BB1"/>
    <w:rsid w:val="00F23CB3"/>
    <w:rsid w:val="00F23F72"/>
    <w:rsid w:val="00F240CE"/>
    <w:rsid w:val="00F24AFD"/>
    <w:rsid w:val="00F24C14"/>
    <w:rsid w:val="00F24E43"/>
    <w:rsid w:val="00F24E67"/>
    <w:rsid w:val="00F253E0"/>
    <w:rsid w:val="00F257CF"/>
    <w:rsid w:val="00F2611D"/>
    <w:rsid w:val="00F26196"/>
    <w:rsid w:val="00F261C1"/>
    <w:rsid w:val="00F2623E"/>
    <w:rsid w:val="00F267F6"/>
    <w:rsid w:val="00F26DA7"/>
    <w:rsid w:val="00F26EBE"/>
    <w:rsid w:val="00F26F54"/>
    <w:rsid w:val="00F26F59"/>
    <w:rsid w:val="00F270F2"/>
    <w:rsid w:val="00F2715E"/>
    <w:rsid w:val="00F273B1"/>
    <w:rsid w:val="00F2788E"/>
    <w:rsid w:val="00F27B34"/>
    <w:rsid w:val="00F27B36"/>
    <w:rsid w:val="00F27E6F"/>
    <w:rsid w:val="00F3043E"/>
    <w:rsid w:val="00F305A4"/>
    <w:rsid w:val="00F306B1"/>
    <w:rsid w:val="00F30860"/>
    <w:rsid w:val="00F30CAD"/>
    <w:rsid w:val="00F30CAF"/>
    <w:rsid w:val="00F30F5E"/>
    <w:rsid w:val="00F31069"/>
    <w:rsid w:val="00F3119F"/>
    <w:rsid w:val="00F319CC"/>
    <w:rsid w:val="00F323BF"/>
    <w:rsid w:val="00F324CE"/>
    <w:rsid w:val="00F3274E"/>
    <w:rsid w:val="00F32E89"/>
    <w:rsid w:val="00F330E3"/>
    <w:rsid w:val="00F337A7"/>
    <w:rsid w:val="00F33AED"/>
    <w:rsid w:val="00F33DDB"/>
    <w:rsid w:val="00F33E9D"/>
    <w:rsid w:val="00F340D9"/>
    <w:rsid w:val="00F34115"/>
    <w:rsid w:val="00F3433F"/>
    <w:rsid w:val="00F34577"/>
    <w:rsid w:val="00F3468E"/>
    <w:rsid w:val="00F34817"/>
    <w:rsid w:val="00F348A6"/>
    <w:rsid w:val="00F3497C"/>
    <w:rsid w:val="00F34A1D"/>
    <w:rsid w:val="00F34B21"/>
    <w:rsid w:val="00F34CE6"/>
    <w:rsid w:val="00F34EDC"/>
    <w:rsid w:val="00F34FCB"/>
    <w:rsid w:val="00F3578D"/>
    <w:rsid w:val="00F35876"/>
    <w:rsid w:val="00F35CF5"/>
    <w:rsid w:val="00F3673A"/>
    <w:rsid w:val="00F373FD"/>
    <w:rsid w:val="00F37443"/>
    <w:rsid w:val="00F37849"/>
    <w:rsid w:val="00F37B15"/>
    <w:rsid w:val="00F37CA8"/>
    <w:rsid w:val="00F37E98"/>
    <w:rsid w:val="00F4022F"/>
    <w:rsid w:val="00F403F5"/>
    <w:rsid w:val="00F4095B"/>
    <w:rsid w:val="00F40C2D"/>
    <w:rsid w:val="00F40C74"/>
    <w:rsid w:val="00F412D4"/>
    <w:rsid w:val="00F4147B"/>
    <w:rsid w:val="00F41D25"/>
    <w:rsid w:val="00F420A3"/>
    <w:rsid w:val="00F42239"/>
    <w:rsid w:val="00F42C5C"/>
    <w:rsid w:val="00F434B9"/>
    <w:rsid w:val="00F439E0"/>
    <w:rsid w:val="00F43AA9"/>
    <w:rsid w:val="00F43B05"/>
    <w:rsid w:val="00F43DBD"/>
    <w:rsid w:val="00F43F47"/>
    <w:rsid w:val="00F44002"/>
    <w:rsid w:val="00F44031"/>
    <w:rsid w:val="00F4467F"/>
    <w:rsid w:val="00F44978"/>
    <w:rsid w:val="00F44EBA"/>
    <w:rsid w:val="00F4518B"/>
    <w:rsid w:val="00F4525A"/>
    <w:rsid w:val="00F45397"/>
    <w:rsid w:val="00F45529"/>
    <w:rsid w:val="00F4565E"/>
    <w:rsid w:val="00F46244"/>
    <w:rsid w:val="00F464F3"/>
    <w:rsid w:val="00F469EC"/>
    <w:rsid w:val="00F46A1E"/>
    <w:rsid w:val="00F47220"/>
    <w:rsid w:val="00F47507"/>
    <w:rsid w:val="00F47574"/>
    <w:rsid w:val="00F47B1D"/>
    <w:rsid w:val="00F47D90"/>
    <w:rsid w:val="00F47DFC"/>
    <w:rsid w:val="00F50517"/>
    <w:rsid w:val="00F5055F"/>
    <w:rsid w:val="00F5065D"/>
    <w:rsid w:val="00F506B6"/>
    <w:rsid w:val="00F50BFC"/>
    <w:rsid w:val="00F50DB6"/>
    <w:rsid w:val="00F50E0F"/>
    <w:rsid w:val="00F50EA2"/>
    <w:rsid w:val="00F50FB3"/>
    <w:rsid w:val="00F51696"/>
    <w:rsid w:val="00F516C2"/>
    <w:rsid w:val="00F51A25"/>
    <w:rsid w:val="00F51D98"/>
    <w:rsid w:val="00F51ECF"/>
    <w:rsid w:val="00F52032"/>
    <w:rsid w:val="00F52353"/>
    <w:rsid w:val="00F523A1"/>
    <w:rsid w:val="00F524E5"/>
    <w:rsid w:val="00F52A38"/>
    <w:rsid w:val="00F52D09"/>
    <w:rsid w:val="00F52FC3"/>
    <w:rsid w:val="00F53D8D"/>
    <w:rsid w:val="00F543B0"/>
    <w:rsid w:val="00F54625"/>
    <w:rsid w:val="00F54C92"/>
    <w:rsid w:val="00F54E5B"/>
    <w:rsid w:val="00F55489"/>
    <w:rsid w:val="00F5580D"/>
    <w:rsid w:val="00F55B77"/>
    <w:rsid w:val="00F55D9A"/>
    <w:rsid w:val="00F56A80"/>
    <w:rsid w:val="00F56FB3"/>
    <w:rsid w:val="00F57260"/>
    <w:rsid w:val="00F57413"/>
    <w:rsid w:val="00F57430"/>
    <w:rsid w:val="00F57DD0"/>
    <w:rsid w:val="00F60B04"/>
    <w:rsid w:val="00F60D5E"/>
    <w:rsid w:val="00F611D0"/>
    <w:rsid w:val="00F6156D"/>
    <w:rsid w:val="00F615F5"/>
    <w:rsid w:val="00F616D7"/>
    <w:rsid w:val="00F6184B"/>
    <w:rsid w:val="00F61AB1"/>
    <w:rsid w:val="00F61D4C"/>
    <w:rsid w:val="00F61D85"/>
    <w:rsid w:val="00F61EB0"/>
    <w:rsid w:val="00F61EC2"/>
    <w:rsid w:val="00F6202F"/>
    <w:rsid w:val="00F62036"/>
    <w:rsid w:val="00F621F1"/>
    <w:rsid w:val="00F625AD"/>
    <w:rsid w:val="00F62B24"/>
    <w:rsid w:val="00F62BE7"/>
    <w:rsid w:val="00F62D8F"/>
    <w:rsid w:val="00F62E91"/>
    <w:rsid w:val="00F62F49"/>
    <w:rsid w:val="00F632C5"/>
    <w:rsid w:val="00F6368E"/>
    <w:rsid w:val="00F63735"/>
    <w:rsid w:val="00F63B06"/>
    <w:rsid w:val="00F63B65"/>
    <w:rsid w:val="00F63CEC"/>
    <w:rsid w:val="00F63D2A"/>
    <w:rsid w:val="00F6433D"/>
    <w:rsid w:val="00F6438E"/>
    <w:rsid w:val="00F6460D"/>
    <w:rsid w:val="00F64F5B"/>
    <w:rsid w:val="00F64FA8"/>
    <w:rsid w:val="00F65759"/>
    <w:rsid w:val="00F65E19"/>
    <w:rsid w:val="00F65E92"/>
    <w:rsid w:val="00F65F6F"/>
    <w:rsid w:val="00F66208"/>
    <w:rsid w:val="00F66490"/>
    <w:rsid w:val="00F666BE"/>
    <w:rsid w:val="00F666D4"/>
    <w:rsid w:val="00F6695B"/>
    <w:rsid w:val="00F66B29"/>
    <w:rsid w:val="00F66B68"/>
    <w:rsid w:val="00F66F73"/>
    <w:rsid w:val="00F66F9D"/>
    <w:rsid w:val="00F66FC2"/>
    <w:rsid w:val="00F67414"/>
    <w:rsid w:val="00F67CDE"/>
    <w:rsid w:val="00F67D1F"/>
    <w:rsid w:val="00F67D68"/>
    <w:rsid w:val="00F67E22"/>
    <w:rsid w:val="00F67E93"/>
    <w:rsid w:val="00F7009C"/>
    <w:rsid w:val="00F70B3C"/>
    <w:rsid w:val="00F70FA3"/>
    <w:rsid w:val="00F710A8"/>
    <w:rsid w:val="00F710ED"/>
    <w:rsid w:val="00F713A2"/>
    <w:rsid w:val="00F719D0"/>
    <w:rsid w:val="00F719D8"/>
    <w:rsid w:val="00F71A9A"/>
    <w:rsid w:val="00F71BEC"/>
    <w:rsid w:val="00F71F0A"/>
    <w:rsid w:val="00F71F24"/>
    <w:rsid w:val="00F72122"/>
    <w:rsid w:val="00F722DB"/>
    <w:rsid w:val="00F725C0"/>
    <w:rsid w:val="00F7270D"/>
    <w:rsid w:val="00F72995"/>
    <w:rsid w:val="00F72A51"/>
    <w:rsid w:val="00F72B2C"/>
    <w:rsid w:val="00F72B40"/>
    <w:rsid w:val="00F72CEE"/>
    <w:rsid w:val="00F731E1"/>
    <w:rsid w:val="00F735EC"/>
    <w:rsid w:val="00F73601"/>
    <w:rsid w:val="00F736C0"/>
    <w:rsid w:val="00F73851"/>
    <w:rsid w:val="00F73AFB"/>
    <w:rsid w:val="00F73CC3"/>
    <w:rsid w:val="00F73CD5"/>
    <w:rsid w:val="00F73DCF"/>
    <w:rsid w:val="00F7456B"/>
    <w:rsid w:val="00F745AB"/>
    <w:rsid w:val="00F74A16"/>
    <w:rsid w:val="00F74D36"/>
    <w:rsid w:val="00F75007"/>
    <w:rsid w:val="00F75413"/>
    <w:rsid w:val="00F75460"/>
    <w:rsid w:val="00F7590E"/>
    <w:rsid w:val="00F75924"/>
    <w:rsid w:val="00F75970"/>
    <w:rsid w:val="00F75ABB"/>
    <w:rsid w:val="00F75E95"/>
    <w:rsid w:val="00F76139"/>
    <w:rsid w:val="00F76525"/>
    <w:rsid w:val="00F76D92"/>
    <w:rsid w:val="00F76E88"/>
    <w:rsid w:val="00F7741B"/>
    <w:rsid w:val="00F77968"/>
    <w:rsid w:val="00F77D6A"/>
    <w:rsid w:val="00F77E1B"/>
    <w:rsid w:val="00F77F76"/>
    <w:rsid w:val="00F801E5"/>
    <w:rsid w:val="00F80CAE"/>
    <w:rsid w:val="00F80D7C"/>
    <w:rsid w:val="00F818CF"/>
    <w:rsid w:val="00F8215B"/>
    <w:rsid w:val="00F82412"/>
    <w:rsid w:val="00F82732"/>
    <w:rsid w:val="00F82A6B"/>
    <w:rsid w:val="00F82C7D"/>
    <w:rsid w:val="00F82D07"/>
    <w:rsid w:val="00F82EAE"/>
    <w:rsid w:val="00F82F99"/>
    <w:rsid w:val="00F8309E"/>
    <w:rsid w:val="00F83128"/>
    <w:rsid w:val="00F83216"/>
    <w:rsid w:val="00F832C7"/>
    <w:rsid w:val="00F83470"/>
    <w:rsid w:val="00F8363A"/>
    <w:rsid w:val="00F83854"/>
    <w:rsid w:val="00F83C71"/>
    <w:rsid w:val="00F83DE0"/>
    <w:rsid w:val="00F83FE6"/>
    <w:rsid w:val="00F84167"/>
    <w:rsid w:val="00F84265"/>
    <w:rsid w:val="00F845F9"/>
    <w:rsid w:val="00F8465B"/>
    <w:rsid w:val="00F84BAD"/>
    <w:rsid w:val="00F84E80"/>
    <w:rsid w:val="00F84F0F"/>
    <w:rsid w:val="00F851D4"/>
    <w:rsid w:val="00F85403"/>
    <w:rsid w:val="00F85781"/>
    <w:rsid w:val="00F858F6"/>
    <w:rsid w:val="00F85A3C"/>
    <w:rsid w:val="00F85A46"/>
    <w:rsid w:val="00F85B66"/>
    <w:rsid w:val="00F85CC8"/>
    <w:rsid w:val="00F85D43"/>
    <w:rsid w:val="00F85EA4"/>
    <w:rsid w:val="00F86423"/>
    <w:rsid w:val="00F8649A"/>
    <w:rsid w:val="00F8664C"/>
    <w:rsid w:val="00F869CF"/>
    <w:rsid w:val="00F86C19"/>
    <w:rsid w:val="00F86C24"/>
    <w:rsid w:val="00F8786B"/>
    <w:rsid w:val="00F879A3"/>
    <w:rsid w:val="00F87A7C"/>
    <w:rsid w:val="00F87B66"/>
    <w:rsid w:val="00F87BAC"/>
    <w:rsid w:val="00F87F56"/>
    <w:rsid w:val="00F8FFFC"/>
    <w:rsid w:val="00F90147"/>
    <w:rsid w:val="00F901BB"/>
    <w:rsid w:val="00F901C8"/>
    <w:rsid w:val="00F9048B"/>
    <w:rsid w:val="00F906D6"/>
    <w:rsid w:val="00F90BC9"/>
    <w:rsid w:val="00F90D11"/>
    <w:rsid w:val="00F90D26"/>
    <w:rsid w:val="00F911A9"/>
    <w:rsid w:val="00F9191D"/>
    <w:rsid w:val="00F91DD0"/>
    <w:rsid w:val="00F91E82"/>
    <w:rsid w:val="00F91F16"/>
    <w:rsid w:val="00F92730"/>
    <w:rsid w:val="00F92A9C"/>
    <w:rsid w:val="00F92AD0"/>
    <w:rsid w:val="00F92E14"/>
    <w:rsid w:val="00F93253"/>
    <w:rsid w:val="00F933FE"/>
    <w:rsid w:val="00F9373A"/>
    <w:rsid w:val="00F93851"/>
    <w:rsid w:val="00F9395B"/>
    <w:rsid w:val="00F941AE"/>
    <w:rsid w:val="00F941FA"/>
    <w:rsid w:val="00F94AE8"/>
    <w:rsid w:val="00F94B2E"/>
    <w:rsid w:val="00F94C08"/>
    <w:rsid w:val="00F95210"/>
    <w:rsid w:val="00F9561B"/>
    <w:rsid w:val="00F95C06"/>
    <w:rsid w:val="00F95D31"/>
    <w:rsid w:val="00F95EBA"/>
    <w:rsid w:val="00F9607D"/>
    <w:rsid w:val="00F9699D"/>
    <w:rsid w:val="00F96B1A"/>
    <w:rsid w:val="00F96C59"/>
    <w:rsid w:val="00F96F9E"/>
    <w:rsid w:val="00F97476"/>
    <w:rsid w:val="00F97A56"/>
    <w:rsid w:val="00F97C74"/>
    <w:rsid w:val="00FA0334"/>
    <w:rsid w:val="00FA0941"/>
    <w:rsid w:val="00FA0BE9"/>
    <w:rsid w:val="00FA0CC5"/>
    <w:rsid w:val="00FA13D0"/>
    <w:rsid w:val="00FA1846"/>
    <w:rsid w:val="00FA19F5"/>
    <w:rsid w:val="00FA1A17"/>
    <w:rsid w:val="00FA1C54"/>
    <w:rsid w:val="00FA1CB5"/>
    <w:rsid w:val="00FA1E5E"/>
    <w:rsid w:val="00FA1FEE"/>
    <w:rsid w:val="00FA2355"/>
    <w:rsid w:val="00FA2396"/>
    <w:rsid w:val="00FA24D0"/>
    <w:rsid w:val="00FA2500"/>
    <w:rsid w:val="00FA2855"/>
    <w:rsid w:val="00FA2BF0"/>
    <w:rsid w:val="00FA2C5D"/>
    <w:rsid w:val="00FA2C89"/>
    <w:rsid w:val="00FA2F91"/>
    <w:rsid w:val="00FA3417"/>
    <w:rsid w:val="00FA3634"/>
    <w:rsid w:val="00FA3711"/>
    <w:rsid w:val="00FA3D61"/>
    <w:rsid w:val="00FA3DD7"/>
    <w:rsid w:val="00FA4160"/>
    <w:rsid w:val="00FA43ED"/>
    <w:rsid w:val="00FA446F"/>
    <w:rsid w:val="00FA45AF"/>
    <w:rsid w:val="00FA46D3"/>
    <w:rsid w:val="00FA4BC1"/>
    <w:rsid w:val="00FA4C3D"/>
    <w:rsid w:val="00FA505D"/>
    <w:rsid w:val="00FA5100"/>
    <w:rsid w:val="00FA529A"/>
    <w:rsid w:val="00FA5615"/>
    <w:rsid w:val="00FA5680"/>
    <w:rsid w:val="00FA56D9"/>
    <w:rsid w:val="00FA5763"/>
    <w:rsid w:val="00FA5E4D"/>
    <w:rsid w:val="00FA6648"/>
    <w:rsid w:val="00FA6651"/>
    <w:rsid w:val="00FA7490"/>
    <w:rsid w:val="00FA7539"/>
    <w:rsid w:val="00FA7756"/>
    <w:rsid w:val="00FA7AD7"/>
    <w:rsid w:val="00FA7D6D"/>
    <w:rsid w:val="00FA7FEC"/>
    <w:rsid w:val="00FB0051"/>
    <w:rsid w:val="00FB00D3"/>
    <w:rsid w:val="00FB07F8"/>
    <w:rsid w:val="00FB0C62"/>
    <w:rsid w:val="00FB0D2F"/>
    <w:rsid w:val="00FB0E61"/>
    <w:rsid w:val="00FB1029"/>
    <w:rsid w:val="00FB1356"/>
    <w:rsid w:val="00FB1572"/>
    <w:rsid w:val="00FB160D"/>
    <w:rsid w:val="00FB1A0A"/>
    <w:rsid w:val="00FB20A5"/>
    <w:rsid w:val="00FB2242"/>
    <w:rsid w:val="00FB3841"/>
    <w:rsid w:val="00FB3872"/>
    <w:rsid w:val="00FB3896"/>
    <w:rsid w:val="00FB3AD7"/>
    <w:rsid w:val="00FB3B06"/>
    <w:rsid w:val="00FB3BA5"/>
    <w:rsid w:val="00FB3C67"/>
    <w:rsid w:val="00FB3CDC"/>
    <w:rsid w:val="00FB3EDD"/>
    <w:rsid w:val="00FB3EE7"/>
    <w:rsid w:val="00FB494B"/>
    <w:rsid w:val="00FB4991"/>
    <w:rsid w:val="00FB5201"/>
    <w:rsid w:val="00FB527A"/>
    <w:rsid w:val="00FB56BF"/>
    <w:rsid w:val="00FB59B4"/>
    <w:rsid w:val="00FB59EB"/>
    <w:rsid w:val="00FB5A08"/>
    <w:rsid w:val="00FB5A1A"/>
    <w:rsid w:val="00FB6031"/>
    <w:rsid w:val="00FB60B2"/>
    <w:rsid w:val="00FB637A"/>
    <w:rsid w:val="00FB6699"/>
    <w:rsid w:val="00FB6B66"/>
    <w:rsid w:val="00FB6D77"/>
    <w:rsid w:val="00FB6F0E"/>
    <w:rsid w:val="00FB6FDA"/>
    <w:rsid w:val="00FB711C"/>
    <w:rsid w:val="00FB734A"/>
    <w:rsid w:val="00FB77EB"/>
    <w:rsid w:val="00FB7AD9"/>
    <w:rsid w:val="00FB7C80"/>
    <w:rsid w:val="00FB7D24"/>
    <w:rsid w:val="00FB7DDD"/>
    <w:rsid w:val="00FB7F7C"/>
    <w:rsid w:val="00FC010B"/>
    <w:rsid w:val="00FC019B"/>
    <w:rsid w:val="00FC01DE"/>
    <w:rsid w:val="00FC0657"/>
    <w:rsid w:val="00FC0A2F"/>
    <w:rsid w:val="00FC0F52"/>
    <w:rsid w:val="00FC1794"/>
    <w:rsid w:val="00FC1D78"/>
    <w:rsid w:val="00FC224B"/>
    <w:rsid w:val="00FC283A"/>
    <w:rsid w:val="00FC2902"/>
    <w:rsid w:val="00FC2A0F"/>
    <w:rsid w:val="00FC2E7B"/>
    <w:rsid w:val="00FC3043"/>
    <w:rsid w:val="00FC33C2"/>
    <w:rsid w:val="00FC38F8"/>
    <w:rsid w:val="00FC3C89"/>
    <w:rsid w:val="00FC3CB0"/>
    <w:rsid w:val="00FC3FB1"/>
    <w:rsid w:val="00FC46A9"/>
    <w:rsid w:val="00FC48E9"/>
    <w:rsid w:val="00FC4A6F"/>
    <w:rsid w:val="00FC4B42"/>
    <w:rsid w:val="00FC4E52"/>
    <w:rsid w:val="00FC5078"/>
    <w:rsid w:val="00FC54E3"/>
    <w:rsid w:val="00FC570F"/>
    <w:rsid w:val="00FC577F"/>
    <w:rsid w:val="00FC65D3"/>
    <w:rsid w:val="00FC65EC"/>
    <w:rsid w:val="00FC65FC"/>
    <w:rsid w:val="00FC67A4"/>
    <w:rsid w:val="00FC67F1"/>
    <w:rsid w:val="00FC6A1D"/>
    <w:rsid w:val="00FC74E8"/>
    <w:rsid w:val="00FD0423"/>
    <w:rsid w:val="00FD0804"/>
    <w:rsid w:val="00FD0DDB"/>
    <w:rsid w:val="00FD0F2E"/>
    <w:rsid w:val="00FD14B6"/>
    <w:rsid w:val="00FD1508"/>
    <w:rsid w:val="00FD1A7A"/>
    <w:rsid w:val="00FD1B49"/>
    <w:rsid w:val="00FD1BB8"/>
    <w:rsid w:val="00FD1BDF"/>
    <w:rsid w:val="00FD1C88"/>
    <w:rsid w:val="00FD1DDC"/>
    <w:rsid w:val="00FD1EC4"/>
    <w:rsid w:val="00FD1F55"/>
    <w:rsid w:val="00FD201D"/>
    <w:rsid w:val="00FD20A2"/>
    <w:rsid w:val="00FD227C"/>
    <w:rsid w:val="00FD2286"/>
    <w:rsid w:val="00FD280F"/>
    <w:rsid w:val="00FD2898"/>
    <w:rsid w:val="00FD28CB"/>
    <w:rsid w:val="00FD2924"/>
    <w:rsid w:val="00FD2B4B"/>
    <w:rsid w:val="00FD2D3F"/>
    <w:rsid w:val="00FD2F59"/>
    <w:rsid w:val="00FD3118"/>
    <w:rsid w:val="00FD32D7"/>
    <w:rsid w:val="00FD34DB"/>
    <w:rsid w:val="00FD351E"/>
    <w:rsid w:val="00FD3C10"/>
    <w:rsid w:val="00FD3E56"/>
    <w:rsid w:val="00FD3EE5"/>
    <w:rsid w:val="00FD419C"/>
    <w:rsid w:val="00FD4A2F"/>
    <w:rsid w:val="00FD5282"/>
    <w:rsid w:val="00FD543A"/>
    <w:rsid w:val="00FD5440"/>
    <w:rsid w:val="00FD55D1"/>
    <w:rsid w:val="00FD57DA"/>
    <w:rsid w:val="00FD59BE"/>
    <w:rsid w:val="00FD5E56"/>
    <w:rsid w:val="00FD60DA"/>
    <w:rsid w:val="00FD658A"/>
    <w:rsid w:val="00FD6889"/>
    <w:rsid w:val="00FD6E9A"/>
    <w:rsid w:val="00FD6F3D"/>
    <w:rsid w:val="00FD7105"/>
    <w:rsid w:val="00FD74A4"/>
    <w:rsid w:val="00FD7A8E"/>
    <w:rsid w:val="00FD7C65"/>
    <w:rsid w:val="00FE0076"/>
    <w:rsid w:val="00FE01E8"/>
    <w:rsid w:val="00FE052B"/>
    <w:rsid w:val="00FE0687"/>
    <w:rsid w:val="00FE0955"/>
    <w:rsid w:val="00FE0A14"/>
    <w:rsid w:val="00FE13A9"/>
    <w:rsid w:val="00FE1499"/>
    <w:rsid w:val="00FE1A81"/>
    <w:rsid w:val="00FE1BAE"/>
    <w:rsid w:val="00FE22BE"/>
    <w:rsid w:val="00FE23B5"/>
    <w:rsid w:val="00FE26FB"/>
    <w:rsid w:val="00FE271D"/>
    <w:rsid w:val="00FE2BC4"/>
    <w:rsid w:val="00FE2E37"/>
    <w:rsid w:val="00FE2F02"/>
    <w:rsid w:val="00FE2F89"/>
    <w:rsid w:val="00FE3128"/>
    <w:rsid w:val="00FE32B5"/>
    <w:rsid w:val="00FE3724"/>
    <w:rsid w:val="00FE3B1B"/>
    <w:rsid w:val="00FE3BE0"/>
    <w:rsid w:val="00FE4232"/>
    <w:rsid w:val="00FE4B6E"/>
    <w:rsid w:val="00FE4BC0"/>
    <w:rsid w:val="00FE4CBA"/>
    <w:rsid w:val="00FE4E0B"/>
    <w:rsid w:val="00FE4EAD"/>
    <w:rsid w:val="00FE52F0"/>
    <w:rsid w:val="00FE58F9"/>
    <w:rsid w:val="00FE5B9F"/>
    <w:rsid w:val="00FE5D84"/>
    <w:rsid w:val="00FE607B"/>
    <w:rsid w:val="00FE615B"/>
    <w:rsid w:val="00FE66E5"/>
    <w:rsid w:val="00FE67AB"/>
    <w:rsid w:val="00FE6CF4"/>
    <w:rsid w:val="00FE6D96"/>
    <w:rsid w:val="00FE71D7"/>
    <w:rsid w:val="00FE724B"/>
    <w:rsid w:val="00FE7511"/>
    <w:rsid w:val="00FE76DF"/>
    <w:rsid w:val="00FE7B28"/>
    <w:rsid w:val="00FE7BB3"/>
    <w:rsid w:val="00FF0066"/>
    <w:rsid w:val="00FF0086"/>
    <w:rsid w:val="00FF015A"/>
    <w:rsid w:val="00FF03E6"/>
    <w:rsid w:val="00FF0743"/>
    <w:rsid w:val="00FF0805"/>
    <w:rsid w:val="00FF0966"/>
    <w:rsid w:val="00FF0AA2"/>
    <w:rsid w:val="00FF0B3A"/>
    <w:rsid w:val="00FF0E75"/>
    <w:rsid w:val="00FF1296"/>
    <w:rsid w:val="00FF1673"/>
    <w:rsid w:val="00FF19F3"/>
    <w:rsid w:val="00FF1C9A"/>
    <w:rsid w:val="00FF1D42"/>
    <w:rsid w:val="00FF1FBD"/>
    <w:rsid w:val="00FF2028"/>
    <w:rsid w:val="00FF2195"/>
    <w:rsid w:val="00FF2A0A"/>
    <w:rsid w:val="00FF2CCF"/>
    <w:rsid w:val="00FF30AC"/>
    <w:rsid w:val="00FF3304"/>
    <w:rsid w:val="00FF3445"/>
    <w:rsid w:val="00FF355E"/>
    <w:rsid w:val="00FF386E"/>
    <w:rsid w:val="00FF3B03"/>
    <w:rsid w:val="00FF442F"/>
    <w:rsid w:val="00FF47C6"/>
    <w:rsid w:val="00FF48D5"/>
    <w:rsid w:val="00FF4A74"/>
    <w:rsid w:val="00FF4B03"/>
    <w:rsid w:val="00FF4C5F"/>
    <w:rsid w:val="00FF4D9D"/>
    <w:rsid w:val="00FF4F70"/>
    <w:rsid w:val="00FF4FB4"/>
    <w:rsid w:val="00FF53AC"/>
    <w:rsid w:val="00FF59FE"/>
    <w:rsid w:val="00FF5ECF"/>
    <w:rsid w:val="00FF6887"/>
    <w:rsid w:val="00FF69E1"/>
    <w:rsid w:val="00FF6AAB"/>
    <w:rsid w:val="00FF6B8F"/>
    <w:rsid w:val="00FF6EBB"/>
    <w:rsid w:val="00FF6EFE"/>
    <w:rsid w:val="00FF6F4F"/>
    <w:rsid w:val="00FF6F96"/>
    <w:rsid w:val="00FF7377"/>
    <w:rsid w:val="00FF7437"/>
    <w:rsid w:val="00FF77B4"/>
    <w:rsid w:val="00FF7C73"/>
    <w:rsid w:val="00FF7E7A"/>
    <w:rsid w:val="01057B1B"/>
    <w:rsid w:val="01081BAC"/>
    <w:rsid w:val="010B5AB6"/>
    <w:rsid w:val="01137163"/>
    <w:rsid w:val="01183B8E"/>
    <w:rsid w:val="011D8769"/>
    <w:rsid w:val="01239677"/>
    <w:rsid w:val="012762FC"/>
    <w:rsid w:val="0130403D"/>
    <w:rsid w:val="0135DC10"/>
    <w:rsid w:val="013A14AB"/>
    <w:rsid w:val="013CD187"/>
    <w:rsid w:val="013E6DF1"/>
    <w:rsid w:val="0141979E"/>
    <w:rsid w:val="0141BEDB"/>
    <w:rsid w:val="01454949"/>
    <w:rsid w:val="014D562C"/>
    <w:rsid w:val="015377AB"/>
    <w:rsid w:val="015D4610"/>
    <w:rsid w:val="0166F0B5"/>
    <w:rsid w:val="0167E26E"/>
    <w:rsid w:val="01686F46"/>
    <w:rsid w:val="016DF142"/>
    <w:rsid w:val="016E4718"/>
    <w:rsid w:val="0172C287"/>
    <w:rsid w:val="01741C79"/>
    <w:rsid w:val="017863A2"/>
    <w:rsid w:val="0179DA38"/>
    <w:rsid w:val="0181B24A"/>
    <w:rsid w:val="01852ECD"/>
    <w:rsid w:val="0187120B"/>
    <w:rsid w:val="01875098"/>
    <w:rsid w:val="018A4F24"/>
    <w:rsid w:val="018AE9F8"/>
    <w:rsid w:val="0191BA9F"/>
    <w:rsid w:val="0194623C"/>
    <w:rsid w:val="019C72B1"/>
    <w:rsid w:val="019E96EE"/>
    <w:rsid w:val="01A0AAB1"/>
    <w:rsid w:val="01A51434"/>
    <w:rsid w:val="01AC2582"/>
    <w:rsid w:val="01AD1F6E"/>
    <w:rsid w:val="01AECF69"/>
    <w:rsid w:val="01AEFDFA"/>
    <w:rsid w:val="01B0A8A3"/>
    <w:rsid w:val="01B31D7D"/>
    <w:rsid w:val="01B3EA6E"/>
    <w:rsid w:val="01B519F4"/>
    <w:rsid w:val="01B71336"/>
    <w:rsid w:val="01CAAACE"/>
    <w:rsid w:val="01CB3E7E"/>
    <w:rsid w:val="01CE84A3"/>
    <w:rsid w:val="01D6E917"/>
    <w:rsid w:val="01DE99D4"/>
    <w:rsid w:val="01DEB4E1"/>
    <w:rsid w:val="01DF3193"/>
    <w:rsid w:val="01E74C97"/>
    <w:rsid w:val="01EAB6C7"/>
    <w:rsid w:val="01ECCE91"/>
    <w:rsid w:val="01ED6A14"/>
    <w:rsid w:val="01F45B58"/>
    <w:rsid w:val="01F4BEDF"/>
    <w:rsid w:val="01F7D23E"/>
    <w:rsid w:val="01F8AB42"/>
    <w:rsid w:val="01FA14A6"/>
    <w:rsid w:val="01FC7B84"/>
    <w:rsid w:val="01FDF38C"/>
    <w:rsid w:val="020263E3"/>
    <w:rsid w:val="0202AD84"/>
    <w:rsid w:val="0205CA6A"/>
    <w:rsid w:val="0206C057"/>
    <w:rsid w:val="020A75F4"/>
    <w:rsid w:val="020C3640"/>
    <w:rsid w:val="0210F10D"/>
    <w:rsid w:val="02112D23"/>
    <w:rsid w:val="02117C84"/>
    <w:rsid w:val="021369F9"/>
    <w:rsid w:val="0217AEC2"/>
    <w:rsid w:val="0219CBCA"/>
    <w:rsid w:val="021CEA54"/>
    <w:rsid w:val="0221C737"/>
    <w:rsid w:val="0221F91A"/>
    <w:rsid w:val="022860B0"/>
    <w:rsid w:val="022AB77D"/>
    <w:rsid w:val="022CEAE1"/>
    <w:rsid w:val="0231C4E2"/>
    <w:rsid w:val="023D8586"/>
    <w:rsid w:val="024017AB"/>
    <w:rsid w:val="02435538"/>
    <w:rsid w:val="02441D82"/>
    <w:rsid w:val="0245B1C6"/>
    <w:rsid w:val="0246E711"/>
    <w:rsid w:val="024A2A19"/>
    <w:rsid w:val="024AE100"/>
    <w:rsid w:val="024EBE25"/>
    <w:rsid w:val="024EE33C"/>
    <w:rsid w:val="0252236B"/>
    <w:rsid w:val="025D9B69"/>
    <w:rsid w:val="025EADBD"/>
    <w:rsid w:val="025F73C9"/>
    <w:rsid w:val="0260AB85"/>
    <w:rsid w:val="0269DD1D"/>
    <w:rsid w:val="026B9994"/>
    <w:rsid w:val="026C7C1E"/>
    <w:rsid w:val="026CCEAB"/>
    <w:rsid w:val="026F8DEC"/>
    <w:rsid w:val="0270FBCE"/>
    <w:rsid w:val="0274757C"/>
    <w:rsid w:val="027604C1"/>
    <w:rsid w:val="027B4259"/>
    <w:rsid w:val="027B5404"/>
    <w:rsid w:val="027C8E9D"/>
    <w:rsid w:val="027E1CEB"/>
    <w:rsid w:val="02814CFD"/>
    <w:rsid w:val="0281F30A"/>
    <w:rsid w:val="02835C2C"/>
    <w:rsid w:val="0283D1EA"/>
    <w:rsid w:val="028582CA"/>
    <w:rsid w:val="0289559E"/>
    <w:rsid w:val="028B2499"/>
    <w:rsid w:val="0292479F"/>
    <w:rsid w:val="0294E82B"/>
    <w:rsid w:val="029BE2B9"/>
    <w:rsid w:val="029C7FD3"/>
    <w:rsid w:val="02A4AD8D"/>
    <w:rsid w:val="02B67966"/>
    <w:rsid w:val="02B9D94B"/>
    <w:rsid w:val="02C2D25F"/>
    <w:rsid w:val="02C48D73"/>
    <w:rsid w:val="02C5AACB"/>
    <w:rsid w:val="02C8B5E4"/>
    <w:rsid w:val="02CCE1E6"/>
    <w:rsid w:val="02D1069B"/>
    <w:rsid w:val="02D59FB0"/>
    <w:rsid w:val="02D77E84"/>
    <w:rsid w:val="02DB3D75"/>
    <w:rsid w:val="02DED3C5"/>
    <w:rsid w:val="02E2B742"/>
    <w:rsid w:val="02E46706"/>
    <w:rsid w:val="02F11466"/>
    <w:rsid w:val="02F7850A"/>
    <w:rsid w:val="02F8E17D"/>
    <w:rsid w:val="02F9279D"/>
    <w:rsid w:val="02F941F8"/>
    <w:rsid w:val="02FC5701"/>
    <w:rsid w:val="02FDEE80"/>
    <w:rsid w:val="02FE3667"/>
    <w:rsid w:val="0302F689"/>
    <w:rsid w:val="030313DC"/>
    <w:rsid w:val="030D5E9A"/>
    <w:rsid w:val="031527EC"/>
    <w:rsid w:val="03181D71"/>
    <w:rsid w:val="031B816D"/>
    <w:rsid w:val="031BD222"/>
    <w:rsid w:val="032563DE"/>
    <w:rsid w:val="03277247"/>
    <w:rsid w:val="0329D49F"/>
    <w:rsid w:val="03386BF5"/>
    <w:rsid w:val="0339DD2D"/>
    <w:rsid w:val="033D604F"/>
    <w:rsid w:val="0344C718"/>
    <w:rsid w:val="0345D9EA"/>
    <w:rsid w:val="03464985"/>
    <w:rsid w:val="0348AE40"/>
    <w:rsid w:val="0354F054"/>
    <w:rsid w:val="03553EC3"/>
    <w:rsid w:val="035A3B64"/>
    <w:rsid w:val="035B8C4C"/>
    <w:rsid w:val="03639E89"/>
    <w:rsid w:val="0366F2E4"/>
    <w:rsid w:val="03691F5D"/>
    <w:rsid w:val="036A9E2F"/>
    <w:rsid w:val="036B6758"/>
    <w:rsid w:val="036E7759"/>
    <w:rsid w:val="036EF24B"/>
    <w:rsid w:val="036F32E2"/>
    <w:rsid w:val="0378D866"/>
    <w:rsid w:val="037C8B0C"/>
    <w:rsid w:val="037C8B7F"/>
    <w:rsid w:val="038531CD"/>
    <w:rsid w:val="0387424B"/>
    <w:rsid w:val="038C16CC"/>
    <w:rsid w:val="0390CFA8"/>
    <w:rsid w:val="03963E50"/>
    <w:rsid w:val="039B185D"/>
    <w:rsid w:val="03A1C299"/>
    <w:rsid w:val="03A379C2"/>
    <w:rsid w:val="03A7CAB9"/>
    <w:rsid w:val="03A83019"/>
    <w:rsid w:val="03A88189"/>
    <w:rsid w:val="03AE154E"/>
    <w:rsid w:val="03B52013"/>
    <w:rsid w:val="03B66AE6"/>
    <w:rsid w:val="03B72A71"/>
    <w:rsid w:val="03B7FE34"/>
    <w:rsid w:val="03B8BC67"/>
    <w:rsid w:val="03BB7634"/>
    <w:rsid w:val="03C658C3"/>
    <w:rsid w:val="03C728B1"/>
    <w:rsid w:val="03CB214D"/>
    <w:rsid w:val="03CFC2ED"/>
    <w:rsid w:val="03D384E5"/>
    <w:rsid w:val="03D8FC16"/>
    <w:rsid w:val="03DDF921"/>
    <w:rsid w:val="03E4EF99"/>
    <w:rsid w:val="03E66928"/>
    <w:rsid w:val="03E7AEA0"/>
    <w:rsid w:val="03EA453C"/>
    <w:rsid w:val="03EE3179"/>
    <w:rsid w:val="03F11A9D"/>
    <w:rsid w:val="03F436CC"/>
    <w:rsid w:val="03F785ED"/>
    <w:rsid w:val="03F86F09"/>
    <w:rsid w:val="03FB21E9"/>
    <w:rsid w:val="03FE7492"/>
    <w:rsid w:val="03FE7D07"/>
    <w:rsid w:val="04009B42"/>
    <w:rsid w:val="0402AE1C"/>
    <w:rsid w:val="0404B456"/>
    <w:rsid w:val="0407E622"/>
    <w:rsid w:val="04105682"/>
    <w:rsid w:val="0413825B"/>
    <w:rsid w:val="0416E6C6"/>
    <w:rsid w:val="041B9835"/>
    <w:rsid w:val="041D881F"/>
    <w:rsid w:val="0420F8E7"/>
    <w:rsid w:val="042A644B"/>
    <w:rsid w:val="0436064D"/>
    <w:rsid w:val="043935E4"/>
    <w:rsid w:val="04396863"/>
    <w:rsid w:val="043A0F2B"/>
    <w:rsid w:val="043EB17C"/>
    <w:rsid w:val="044B07DE"/>
    <w:rsid w:val="04599BCB"/>
    <w:rsid w:val="0465AE5F"/>
    <w:rsid w:val="046A9F9C"/>
    <w:rsid w:val="0471EA2F"/>
    <w:rsid w:val="0473F87A"/>
    <w:rsid w:val="04763F83"/>
    <w:rsid w:val="047A7045"/>
    <w:rsid w:val="04809C84"/>
    <w:rsid w:val="0482A8B4"/>
    <w:rsid w:val="04862A80"/>
    <w:rsid w:val="04892A19"/>
    <w:rsid w:val="048B6C47"/>
    <w:rsid w:val="048CCF9D"/>
    <w:rsid w:val="04930284"/>
    <w:rsid w:val="0495E87B"/>
    <w:rsid w:val="04961EB7"/>
    <w:rsid w:val="04980651"/>
    <w:rsid w:val="049B37BF"/>
    <w:rsid w:val="049FDB53"/>
    <w:rsid w:val="04A2B718"/>
    <w:rsid w:val="04AF6D4D"/>
    <w:rsid w:val="04B1C781"/>
    <w:rsid w:val="04B89007"/>
    <w:rsid w:val="04BA053C"/>
    <w:rsid w:val="04BB1610"/>
    <w:rsid w:val="04BFB644"/>
    <w:rsid w:val="04C0825A"/>
    <w:rsid w:val="04C1BEDD"/>
    <w:rsid w:val="04C3B559"/>
    <w:rsid w:val="04D443AE"/>
    <w:rsid w:val="04D6E544"/>
    <w:rsid w:val="04DABD45"/>
    <w:rsid w:val="04E29E5F"/>
    <w:rsid w:val="04E6555A"/>
    <w:rsid w:val="04EB68B0"/>
    <w:rsid w:val="04EBBD9D"/>
    <w:rsid w:val="04F23BB2"/>
    <w:rsid w:val="04F29488"/>
    <w:rsid w:val="04F59987"/>
    <w:rsid w:val="04F715DD"/>
    <w:rsid w:val="04F8AD18"/>
    <w:rsid w:val="04FA201D"/>
    <w:rsid w:val="04FDEE3D"/>
    <w:rsid w:val="0507CCE4"/>
    <w:rsid w:val="0509E6BC"/>
    <w:rsid w:val="050EA339"/>
    <w:rsid w:val="050ED6AE"/>
    <w:rsid w:val="05153FE3"/>
    <w:rsid w:val="0519FAC5"/>
    <w:rsid w:val="051B63AE"/>
    <w:rsid w:val="051D6964"/>
    <w:rsid w:val="051E33ED"/>
    <w:rsid w:val="05229495"/>
    <w:rsid w:val="05230AA2"/>
    <w:rsid w:val="0526F9B1"/>
    <w:rsid w:val="0527611C"/>
    <w:rsid w:val="052A1EBC"/>
    <w:rsid w:val="052B77B3"/>
    <w:rsid w:val="052BA3BC"/>
    <w:rsid w:val="052D220C"/>
    <w:rsid w:val="05310E27"/>
    <w:rsid w:val="053970E0"/>
    <w:rsid w:val="053E000D"/>
    <w:rsid w:val="053EAC55"/>
    <w:rsid w:val="0548D61B"/>
    <w:rsid w:val="054D7BC5"/>
    <w:rsid w:val="054F8054"/>
    <w:rsid w:val="05500A8D"/>
    <w:rsid w:val="05515F20"/>
    <w:rsid w:val="0551A453"/>
    <w:rsid w:val="0559DA1D"/>
    <w:rsid w:val="055B17AD"/>
    <w:rsid w:val="05614085"/>
    <w:rsid w:val="05641CFC"/>
    <w:rsid w:val="05642EBD"/>
    <w:rsid w:val="05733312"/>
    <w:rsid w:val="0575B920"/>
    <w:rsid w:val="057B083D"/>
    <w:rsid w:val="0581C759"/>
    <w:rsid w:val="0582FBB0"/>
    <w:rsid w:val="058646CE"/>
    <w:rsid w:val="0589E1D8"/>
    <w:rsid w:val="058ABFBE"/>
    <w:rsid w:val="058F4E65"/>
    <w:rsid w:val="05961DE0"/>
    <w:rsid w:val="05A0EBE5"/>
    <w:rsid w:val="05ABF7AB"/>
    <w:rsid w:val="05ADCF87"/>
    <w:rsid w:val="05B360A3"/>
    <w:rsid w:val="05B49DC3"/>
    <w:rsid w:val="05B5CC51"/>
    <w:rsid w:val="05B7D59F"/>
    <w:rsid w:val="05BE5D3C"/>
    <w:rsid w:val="05C504EE"/>
    <w:rsid w:val="05CCDAF8"/>
    <w:rsid w:val="05CE8C2D"/>
    <w:rsid w:val="05D36A0D"/>
    <w:rsid w:val="05D80ED7"/>
    <w:rsid w:val="05D94DA8"/>
    <w:rsid w:val="05DDFBDF"/>
    <w:rsid w:val="05F0D989"/>
    <w:rsid w:val="05F15F4D"/>
    <w:rsid w:val="05F7A711"/>
    <w:rsid w:val="05F7F80D"/>
    <w:rsid w:val="05F877ED"/>
    <w:rsid w:val="05FCAD8E"/>
    <w:rsid w:val="0600D734"/>
    <w:rsid w:val="0600E7BD"/>
    <w:rsid w:val="06043346"/>
    <w:rsid w:val="0605F703"/>
    <w:rsid w:val="06085387"/>
    <w:rsid w:val="060C7FA1"/>
    <w:rsid w:val="060F9B7B"/>
    <w:rsid w:val="0613700F"/>
    <w:rsid w:val="06168302"/>
    <w:rsid w:val="061AD820"/>
    <w:rsid w:val="061DA447"/>
    <w:rsid w:val="061E997F"/>
    <w:rsid w:val="061F117D"/>
    <w:rsid w:val="06219281"/>
    <w:rsid w:val="06227F81"/>
    <w:rsid w:val="0627463B"/>
    <w:rsid w:val="0629C7DB"/>
    <w:rsid w:val="062A78C3"/>
    <w:rsid w:val="062B0FF3"/>
    <w:rsid w:val="0631137B"/>
    <w:rsid w:val="0631CF31"/>
    <w:rsid w:val="06366BC1"/>
    <w:rsid w:val="06478029"/>
    <w:rsid w:val="0648D42B"/>
    <w:rsid w:val="064EAD2A"/>
    <w:rsid w:val="064FBA1A"/>
    <w:rsid w:val="0662369B"/>
    <w:rsid w:val="06625E31"/>
    <w:rsid w:val="0664E1E4"/>
    <w:rsid w:val="06659D37"/>
    <w:rsid w:val="066B230B"/>
    <w:rsid w:val="066DBC8C"/>
    <w:rsid w:val="06715553"/>
    <w:rsid w:val="0671A62B"/>
    <w:rsid w:val="0681D192"/>
    <w:rsid w:val="068788BB"/>
    <w:rsid w:val="068F1CCC"/>
    <w:rsid w:val="069467DE"/>
    <w:rsid w:val="06996792"/>
    <w:rsid w:val="0699FCF6"/>
    <w:rsid w:val="069BDE06"/>
    <w:rsid w:val="06A1AA6B"/>
    <w:rsid w:val="06A28E2D"/>
    <w:rsid w:val="06A35C6A"/>
    <w:rsid w:val="06A565C3"/>
    <w:rsid w:val="06AD1C95"/>
    <w:rsid w:val="06ADC191"/>
    <w:rsid w:val="06AF9FE4"/>
    <w:rsid w:val="06B41309"/>
    <w:rsid w:val="06C48EA1"/>
    <w:rsid w:val="06D17FDB"/>
    <w:rsid w:val="06D19B35"/>
    <w:rsid w:val="06D38EFF"/>
    <w:rsid w:val="06D55CC0"/>
    <w:rsid w:val="06D61B34"/>
    <w:rsid w:val="06DABEE5"/>
    <w:rsid w:val="06DB770C"/>
    <w:rsid w:val="06DBB103"/>
    <w:rsid w:val="06DDE3ED"/>
    <w:rsid w:val="06DE25CE"/>
    <w:rsid w:val="06DFE5B4"/>
    <w:rsid w:val="06E05AC0"/>
    <w:rsid w:val="06E45032"/>
    <w:rsid w:val="06E74397"/>
    <w:rsid w:val="06E74B0A"/>
    <w:rsid w:val="06EA2E03"/>
    <w:rsid w:val="06EAA328"/>
    <w:rsid w:val="06EAE43F"/>
    <w:rsid w:val="06EB7EB6"/>
    <w:rsid w:val="06F2149F"/>
    <w:rsid w:val="06F27DA8"/>
    <w:rsid w:val="06FCD71A"/>
    <w:rsid w:val="06FF34B8"/>
    <w:rsid w:val="07023775"/>
    <w:rsid w:val="0704D62E"/>
    <w:rsid w:val="0707B127"/>
    <w:rsid w:val="0708D8AD"/>
    <w:rsid w:val="0709696B"/>
    <w:rsid w:val="07097A8F"/>
    <w:rsid w:val="070BD739"/>
    <w:rsid w:val="070F9862"/>
    <w:rsid w:val="07104E46"/>
    <w:rsid w:val="071067EC"/>
    <w:rsid w:val="0711DB70"/>
    <w:rsid w:val="07149892"/>
    <w:rsid w:val="071C2EDC"/>
    <w:rsid w:val="072003A5"/>
    <w:rsid w:val="07201690"/>
    <w:rsid w:val="07281F2D"/>
    <w:rsid w:val="072AB9DB"/>
    <w:rsid w:val="072DFE14"/>
    <w:rsid w:val="073D2FC9"/>
    <w:rsid w:val="073E3B06"/>
    <w:rsid w:val="074487A8"/>
    <w:rsid w:val="0746E013"/>
    <w:rsid w:val="07471618"/>
    <w:rsid w:val="074728DE"/>
    <w:rsid w:val="074A913C"/>
    <w:rsid w:val="074E6508"/>
    <w:rsid w:val="074FDF4F"/>
    <w:rsid w:val="0750A7DD"/>
    <w:rsid w:val="0750AEF4"/>
    <w:rsid w:val="0754A060"/>
    <w:rsid w:val="07552601"/>
    <w:rsid w:val="07552D44"/>
    <w:rsid w:val="075A018B"/>
    <w:rsid w:val="075A3F6E"/>
    <w:rsid w:val="075DA2A6"/>
    <w:rsid w:val="075F0848"/>
    <w:rsid w:val="07659333"/>
    <w:rsid w:val="076615E8"/>
    <w:rsid w:val="07695CB6"/>
    <w:rsid w:val="076B225C"/>
    <w:rsid w:val="076CAFAF"/>
    <w:rsid w:val="0770AC2B"/>
    <w:rsid w:val="0771E5D3"/>
    <w:rsid w:val="077AA19C"/>
    <w:rsid w:val="077ECAF2"/>
    <w:rsid w:val="07800C3F"/>
    <w:rsid w:val="078282A3"/>
    <w:rsid w:val="07884BC8"/>
    <w:rsid w:val="078AE7ED"/>
    <w:rsid w:val="078D879A"/>
    <w:rsid w:val="079742F5"/>
    <w:rsid w:val="07A1684F"/>
    <w:rsid w:val="07A2BAF2"/>
    <w:rsid w:val="07B079ED"/>
    <w:rsid w:val="07B394EE"/>
    <w:rsid w:val="07B4FCED"/>
    <w:rsid w:val="07B9B4B2"/>
    <w:rsid w:val="07BC411E"/>
    <w:rsid w:val="07BDFCD4"/>
    <w:rsid w:val="07BF9380"/>
    <w:rsid w:val="07C8F941"/>
    <w:rsid w:val="07C93C5C"/>
    <w:rsid w:val="07D38721"/>
    <w:rsid w:val="07D454EC"/>
    <w:rsid w:val="07E0168B"/>
    <w:rsid w:val="07E0425A"/>
    <w:rsid w:val="07E4E8A5"/>
    <w:rsid w:val="07E52F3D"/>
    <w:rsid w:val="07E66030"/>
    <w:rsid w:val="07E97CA8"/>
    <w:rsid w:val="07EA6F6F"/>
    <w:rsid w:val="07F03061"/>
    <w:rsid w:val="07F6E5B6"/>
    <w:rsid w:val="07FA9002"/>
    <w:rsid w:val="08001793"/>
    <w:rsid w:val="08095E7A"/>
    <w:rsid w:val="080972BB"/>
    <w:rsid w:val="080EC420"/>
    <w:rsid w:val="080F6568"/>
    <w:rsid w:val="08165131"/>
    <w:rsid w:val="0818F9FC"/>
    <w:rsid w:val="081B13BB"/>
    <w:rsid w:val="0820FCC8"/>
    <w:rsid w:val="082508CD"/>
    <w:rsid w:val="08274A78"/>
    <w:rsid w:val="0830938E"/>
    <w:rsid w:val="0831EB2E"/>
    <w:rsid w:val="0838DF0B"/>
    <w:rsid w:val="083FC70D"/>
    <w:rsid w:val="084182ED"/>
    <w:rsid w:val="08441693"/>
    <w:rsid w:val="0845077B"/>
    <w:rsid w:val="0848A7D6"/>
    <w:rsid w:val="0850511C"/>
    <w:rsid w:val="0851F944"/>
    <w:rsid w:val="0853DCA5"/>
    <w:rsid w:val="0855432A"/>
    <w:rsid w:val="085F3136"/>
    <w:rsid w:val="0862779B"/>
    <w:rsid w:val="08690E3D"/>
    <w:rsid w:val="08700307"/>
    <w:rsid w:val="08721F67"/>
    <w:rsid w:val="0876AC70"/>
    <w:rsid w:val="0879B18C"/>
    <w:rsid w:val="087B5BFF"/>
    <w:rsid w:val="0888CD7D"/>
    <w:rsid w:val="088999D8"/>
    <w:rsid w:val="088E8407"/>
    <w:rsid w:val="0890CE7C"/>
    <w:rsid w:val="089265AE"/>
    <w:rsid w:val="08963F89"/>
    <w:rsid w:val="08AFB5C8"/>
    <w:rsid w:val="08B1DCAC"/>
    <w:rsid w:val="08B4ECF1"/>
    <w:rsid w:val="08B99FD4"/>
    <w:rsid w:val="08C82B21"/>
    <w:rsid w:val="08CCAC9D"/>
    <w:rsid w:val="08CD8E7C"/>
    <w:rsid w:val="08D12863"/>
    <w:rsid w:val="08D27F18"/>
    <w:rsid w:val="08E4636C"/>
    <w:rsid w:val="08E75A7A"/>
    <w:rsid w:val="08F39545"/>
    <w:rsid w:val="08FB50E2"/>
    <w:rsid w:val="090108F0"/>
    <w:rsid w:val="0908D882"/>
    <w:rsid w:val="090AF69A"/>
    <w:rsid w:val="090FC75A"/>
    <w:rsid w:val="09138B37"/>
    <w:rsid w:val="0914C296"/>
    <w:rsid w:val="0916E1DA"/>
    <w:rsid w:val="09181D12"/>
    <w:rsid w:val="0919456F"/>
    <w:rsid w:val="091F3917"/>
    <w:rsid w:val="091F63BF"/>
    <w:rsid w:val="092074E2"/>
    <w:rsid w:val="09208946"/>
    <w:rsid w:val="09309274"/>
    <w:rsid w:val="0936D25C"/>
    <w:rsid w:val="0938C814"/>
    <w:rsid w:val="0938E4E5"/>
    <w:rsid w:val="09406485"/>
    <w:rsid w:val="0944CF41"/>
    <w:rsid w:val="094644DA"/>
    <w:rsid w:val="0950DEC7"/>
    <w:rsid w:val="09564DCD"/>
    <w:rsid w:val="095BE4A9"/>
    <w:rsid w:val="095D8B35"/>
    <w:rsid w:val="0966A491"/>
    <w:rsid w:val="0966E9A9"/>
    <w:rsid w:val="096C46BA"/>
    <w:rsid w:val="09731BAC"/>
    <w:rsid w:val="097AB7BB"/>
    <w:rsid w:val="09826034"/>
    <w:rsid w:val="09838973"/>
    <w:rsid w:val="098512C9"/>
    <w:rsid w:val="0989D64A"/>
    <w:rsid w:val="098EE603"/>
    <w:rsid w:val="09929258"/>
    <w:rsid w:val="0995C177"/>
    <w:rsid w:val="0999CFED"/>
    <w:rsid w:val="099B8759"/>
    <w:rsid w:val="099DB2E7"/>
    <w:rsid w:val="09A0811C"/>
    <w:rsid w:val="09A15AAE"/>
    <w:rsid w:val="09A49552"/>
    <w:rsid w:val="09ADCCFD"/>
    <w:rsid w:val="09B0477F"/>
    <w:rsid w:val="09B1E433"/>
    <w:rsid w:val="09B527DA"/>
    <w:rsid w:val="09B5E8DA"/>
    <w:rsid w:val="09BAFFEE"/>
    <w:rsid w:val="09C71091"/>
    <w:rsid w:val="09CF29A4"/>
    <w:rsid w:val="09D1F1F7"/>
    <w:rsid w:val="09D38B34"/>
    <w:rsid w:val="09D4E75F"/>
    <w:rsid w:val="09D536DB"/>
    <w:rsid w:val="09DD4317"/>
    <w:rsid w:val="09DDE875"/>
    <w:rsid w:val="09E845E1"/>
    <w:rsid w:val="09E8945A"/>
    <w:rsid w:val="09EA872E"/>
    <w:rsid w:val="09EA9668"/>
    <w:rsid w:val="09EE0AA2"/>
    <w:rsid w:val="09EE1F9B"/>
    <w:rsid w:val="09F2F583"/>
    <w:rsid w:val="09F384E3"/>
    <w:rsid w:val="09F58BD6"/>
    <w:rsid w:val="09F72F5F"/>
    <w:rsid w:val="09FEBE09"/>
    <w:rsid w:val="09FF068E"/>
    <w:rsid w:val="0A003ED2"/>
    <w:rsid w:val="0A0321ED"/>
    <w:rsid w:val="0A094FC9"/>
    <w:rsid w:val="0A09B269"/>
    <w:rsid w:val="0A0A7618"/>
    <w:rsid w:val="0A0D1A4F"/>
    <w:rsid w:val="0A13A3CD"/>
    <w:rsid w:val="0A15252F"/>
    <w:rsid w:val="0A2A5000"/>
    <w:rsid w:val="0A2D60F0"/>
    <w:rsid w:val="0A303D1A"/>
    <w:rsid w:val="0A31E72D"/>
    <w:rsid w:val="0A331A02"/>
    <w:rsid w:val="0A360AB0"/>
    <w:rsid w:val="0A37F005"/>
    <w:rsid w:val="0A3A21D7"/>
    <w:rsid w:val="0A3CA238"/>
    <w:rsid w:val="0A46CF8A"/>
    <w:rsid w:val="0A483593"/>
    <w:rsid w:val="0A526BF7"/>
    <w:rsid w:val="0A5A96DB"/>
    <w:rsid w:val="0A5FEDBE"/>
    <w:rsid w:val="0A7294B4"/>
    <w:rsid w:val="0A730C51"/>
    <w:rsid w:val="0A7448CB"/>
    <w:rsid w:val="0A756B1A"/>
    <w:rsid w:val="0A799955"/>
    <w:rsid w:val="0A7D44A7"/>
    <w:rsid w:val="0A7FA9FA"/>
    <w:rsid w:val="0A8187F0"/>
    <w:rsid w:val="0A8189BE"/>
    <w:rsid w:val="0A86A304"/>
    <w:rsid w:val="0A8929C8"/>
    <w:rsid w:val="0A8A2236"/>
    <w:rsid w:val="0A8C57E9"/>
    <w:rsid w:val="0A8E7434"/>
    <w:rsid w:val="0A91937B"/>
    <w:rsid w:val="0A91D12B"/>
    <w:rsid w:val="0A939D2A"/>
    <w:rsid w:val="0A943F18"/>
    <w:rsid w:val="0A944443"/>
    <w:rsid w:val="0A9A4558"/>
    <w:rsid w:val="0A9C175C"/>
    <w:rsid w:val="0AA52CB6"/>
    <w:rsid w:val="0AA5AD7D"/>
    <w:rsid w:val="0AAAE863"/>
    <w:rsid w:val="0AAF3AA3"/>
    <w:rsid w:val="0AB19BC5"/>
    <w:rsid w:val="0AB3A300"/>
    <w:rsid w:val="0AB8D9DC"/>
    <w:rsid w:val="0AB8DCF2"/>
    <w:rsid w:val="0AB963D1"/>
    <w:rsid w:val="0AC09948"/>
    <w:rsid w:val="0AC1B9AE"/>
    <w:rsid w:val="0AC88725"/>
    <w:rsid w:val="0ACA3B8A"/>
    <w:rsid w:val="0ACC0289"/>
    <w:rsid w:val="0AE42D7F"/>
    <w:rsid w:val="0AED525B"/>
    <w:rsid w:val="0AF44807"/>
    <w:rsid w:val="0AF951B8"/>
    <w:rsid w:val="0AFA4208"/>
    <w:rsid w:val="0AFCC9F8"/>
    <w:rsid w:val="0B0097C4"/>
    <w:rsid w:val="0B0C6637"/>
    <w:rsid w:val="0B0EE543"/>
    <w:rsid w:val="0B10208F"/>
    <w:rsid w:val="0B129691"/>
    <w:rsid w:val="0B1AC333"/>
    <w:rsid w:val="0B1B066C"/>
    <w:rsid w:val="0B1BAF36"/>
    <w:rsid w:val="0B1FDF05"/>
    <w:rsid w:val="0B201D40"/>
    <w:rsid w:val="0B209779"/>
    <w:rsid w:val="0B223A8D"/>
    <w:rsid w:val="0B25A912"/>
    <w:rsid w:val="0B27381E"/>
    <w:rsid w:val="0B277AEA"/>
    <w:rsid w:val="0B2DA47E"/>
    <w:rsid w:val="0B318F17"/>
    <w:rsid w:val="0B361497"/>
    <w:rsid w:val="0B3D5477"/>
    <w:rsid w:val="0B433648"/>
    <w:rsid w:val="0B45B2B0"/>
    <w:rsid w:val="0B481F2C"/>
    <w:rsid w:val="0B4A9F70"/>
    <w:rsid w:val="0B53AAD5"/>
    <w:rsid w:val="0B56C1B7"/>
    <w:rsid w:val="0B5761D7"/>
    <w:rsid w:val="0B576AE4"/>
    <w:rsid w:val="0B64ED7E"/>
    <w:rsid w:val="0B697910"/>
    <w:rsid w:val="0B6F1FEA"/>
    <w:rsid w:val="0B77AFB4"/>
    <w:rsid w:val="0B783511"/>
    <w:rsid w:val="0B79C193"/>
    <w:rsid w:val="0B8985BB"/>
    <w:rsid w:val="0B8C1246"/>
    <w:rsid w:val="0B8DCDB5"/>
    <w:rsid w:val="0B8F9C65"/>
    <w:rsid w:val="0B95735E"/>
    <w:rsid w:val="0B9B357B"/>
    <w:rsid w:val="0B9DA7D2"/>
    <w:rsid w:val="0B9E9025"/>
    <w:rsid w:val="0BA09207"/>
    <w:rsid w:val="0BA4F1B7"/>
    <w:rsid w:val="0BA7D309"/>
    <w:rsid w:val="0BA9CDDE"/>
    <w:rsid w:val="0BAAD27D"/>
    <w:rsid w:val="0BACFF0D"/>
    <w:rsid w:val="0BB1E355"/>
    <w:rsid w:val="0BC19A05"/>
    <w:rsid w:val="0BC70FA5"/>
    <w:rsid w:val="0BCA8BF0"/>
    <w:rsid w:val="0BD412B4"/>
    <w:rsid w:val="0BDF84B0"/>
    <w:rsid w:val="0BE1E005"/>
    <w:rsid w:val="0BE21960"/>
    <w:rsid w:val="0BE6C7CF"/>
    <w:rsid w:val="0BEA24AE"/>
    <w:rsid w:val="0BEC976F"/>
    <w:rsid w:val="0BEF7618"/>
    <w:rsid w:val="0BF06D63"/>
    <w:rsid w:val="0BF0764F"/>
    <w:rsid w:val="0BF3390B"/>
    <w:rsid w:val="0BF36912"/>
    <w:rsid w:val="0BF46032"/>
    <w:rsid w:val="0C051768"/>
    <w:rsid w:val="0C070CF8"/>
    <w:rsid w:val="0C0D3174"/>
    <w:rsid w:val="0C0FB705"/>
    <w:rsid w:val="0C1D0853"/>
    <w:rsid w:val="0C21E579"/>
    <w:rsid w:val="0C2A4AC9"/>
    <w:rsid w:val="0C2B4747"/>
    <w:rsid w:val="0C2DA05D"/>
    <w:rsid w:val="0C307D59"/>
    <w:rsid w:val="0C30997B"/>
    <w:rsid w:val="0C30CD3C"/>
    <w:rsid w:val="0C37AC0D"/>
    <w:rsid w:val="0C380FB9"/>
    <w:rsid w:val="0C3EAE49"/>
    <w:rsid w:val="0C40A271"/>
    <w:rsid w:val="0C49059D"/>
    <w:rsid w:val="0C4A0A2A"/>
    <w:rsid w:val="0C4E04D5"/>
    <w:rsid w:val="0C4E70C8"/>
    <w:rsid w:val="0C4ED609"/>
    <w:rsid w:val="0C4EED33"/>
    <w:rsid w:val="0C5169D8"/>
    <w:rsid w:val="0C520338"/>
    <w:rsid w:val="0C576AF7"/>
    <w:rsid w:val="0C587C8F"/>
    <w:rsid w:val="0C5AA3F5"/>
    <w:rsid w:val="0C5BE233"/>
    <w:rsid w:val="0C5CA66C"/>
    <w:rsid w:val="0C63EA11"/>
    <w:rsid w:val="0C688532"/>
    <w:rsid w:val="0C6F61B3"/>
    <w:rsid w:val="0C78B7CF"/>
    <w:rsid w:val="0C7AE35C"/>
    <w:rsid w:val="0C8571B8"/>
    <w:rsid w:val="0C87D79B"/>
    <w:rsid w:val="0C89CAC8"/>
    <w:rsid w:val="0C8ABE30"/>
    <w:rsid w:val="0C8D1EDB"/>
    <w:rsid w:val="0C90567E"/>
    <w:rsid w:val="0C93FFE4"/>
    <w:rsid w:val="0C9843DF"/>
    <w:rsid w:val="0C9AEDF0"/>
    <w:rsid w:val="0CA2F05E"/>
    <w:rsid w:val="0CA3954C"/>
    <w:rsid w:val="0CA60385"/>
    <w:rsid w:val="0CA8C20D"/>
    <w:rsid w:val="0CAA9896"/>
    <w:rsid w:val="0CAE4B42"/>
    <w:rsid w:val="0CAFBF9C"/>
    <w:rsid w:val="0CB12D70"/>
    <w:rsid w:val="0CB4EF19"/>
    <w:rsid w:val="0CB6CDC8"/>
    <w:rsid w:val="0CB90BC7"/>
    <w:rsid w:val="0CB960A1"/>
    <w:rsid w:val="0CBCA703"/>
    <w:rsid w:val="0CBD7F10"/>
    <w:rsid w:val="0CC06C91"/>
    <w:rsid w:val="0CC7FD61"/>
    <w:rsid w:val="0CC830F2"/>
    <w:rsid w:val="0CC8B151"/>
    <w:rsid w:val="0CCB0624"/>
    <w:rsid w:val="0CCB06A7"/>
    <w:rsid w:val="0CCE561B"/>
    <w:rsid w:val="0CD17F2E"/>
    <w:rsid w:val="0CD42431"/>
    <w:rsid w:val="0CDD3128"/>
    <w:rsid w:val="0CDE9E64"/>
    <w:rsid w:val="0CE0300F"/>
    <w:rsid w:val="0CE1AE02"/>
    <w:rsid w:val="0CE5AB23"/>
    <w:rsid w:val="0CEB6F49"/>
    <w:rsid w:val="0CEF4731"/>
    <w:rsid w:val="0CEFF073"/>
    <w:rsid w:val="0CF10FED"/>
    <w:rsid w:val="0CF2F8FE"/>
    <w:rsid w:val="0CFB6016"/>
    <w:rsid w:val="0CFF2BF8"/>
    <w:rsid w:val="0CFF5716"/>
    <w:rsid w:val="0D00D93F"/>
    <w:rsid w:val="0D02A96E"/>
    <w:rsid w:val="0D04EB02"/>
    <w:rsid w:val="0D05400C"/>
    <w:rsid w:val="0D07FCAB"/>
    <w:rsid w:val="0D0B3FC3"/>
    <w:rsid w:val="0D0D31B7"/>
    <w:rsid w:val="0D13BFFA"/>
    <w:rsid w:val="0D14A6D3"/>
    <w:rsid w:val="0D193CE9"/>
    <w:rsid w:val="0D1A62FA"/>
    <w:rsid w:val="0D1C46B3"/>
    <w:rsid w:val="0D1F9655"/>
    <w:rsid w:val="0D24601C"/>
    <w:rsid w:val="0D292CF4"/>
    <w:rsid w:val="0D29D304"/>
    <w:rsid w:val="0D2A6110"/>
    <w:rsid w:val="0D2AE531"/>
    <w:rsid w:val="0D2FF195"/>
    <w:rsid w:val="0D3056DC"/>
    <w:rsid w:val="0D327AE0"/>
    <w:rsid w:val="0D32CF42"/>
    <w:rsid w:val="0D3390AA"/>
    <w:rsid w:val="0D33DB33"/>
    <w:rsid w:val="0D33E854"/>
    <w:rsid w:val="0D381D0E"/>
    <w:rsid w:val="0D3F21B5"/>
    <w:rsid w:val="0D42948A"/>
    <w:rsid w:val="0D43A549"/>
    <w:rsid w:val="0D4606CF"/>
    <w:rsid w:val="0D4BD2B9"/>
    <w:rsid w:val="0D50FD4E"/>
    <w:rsid w:val="0D531709"/>
    <w:rsid w:val="0D55318A"/>
    <w:rsid w:val="0D561697"/>
    <w:rsid w:val="0D5714CC"/>
    <w:rsid w:val="0D590044"/>
    <w:rsid w:val="0D591299"/>
    <w:rsid w:val="0D5A424F"/>
    <w:rsid w:val="0D5B2AF6"/>
    <w:rsid w:val="0D671C24"/>
    <w:rsid w:val="0D6BBB98"/>
    <w:rsid w:val="0D6BE80B"/>
    <w:rsid w:val="0D6F39EC"/>
    <w:rsid w:val="0D734393"/>
    <w:rsid w:val="0D747332"/>
    <w:rsid w:val="0D74A4A9"/>
    <w:rsid w:val="0D81D3EE"/>
    <w:rsid w:val="0D89B062"/>
    <w:rsid w:val="0D8A474B"/>
    <w:rsid w:val="0D8B21CD"/>
    <w:rsid w:val="0D9175D1"/>
    <w:rsid w:val="0D94D767"/>
    <w:rsid w:val="0D962806"/>
    <w:rsid w:val="0D9E6E3B"/>
    <w:rsid w:val="0D9FFA84"/>
    <w:rsid w:val="0DA81495"/>
    <w:rsid w:val="0DAD0568"/>
    <w:rsid w:val="0DB234AB"/>
    <w:rsid w:val="0DB40681"/>
    <w:rsid w:val="0DB7401A"/>
    <w:rsid w:val="0DB84515"/>
    <w:rsid w:val="0DBC82F1"/>
    <w:rsid w:val="0DC2478A"/>
    <w:rsid w:val="0DC4D3EA"/>
    <w:rsid w:val="0DC51B2B"/>
    <w:rsid w:val="0DC74241"/>
    <w:rsid w:val="0DC8E49B"/>
    <w:rsid w:val="0DCBAAD7"/>
    <w:rsid w:val="0DD2F571"/>
    <w:rsid w:val="0DD69CA3"/>
    <w:rsid w:val="0DDC418E"/>
    <w:rsid w:val="0DE3BE75"/>
    <w:rsid w:val="0DE95AAD"/>
    <w:rsid w:val="0DEC7A05"/>
    <w:rsid w:val="0DEE67FB"/>
    <w:rsid w:val="0DF3A046"/>
    <w:rsid w:val="0DFBB500"/>
    <w:rsid w:val="0DFD4AC7"/>
    <w:rsid w:val="0DFE1917"/>
    <w:rsid w:val="0E037612"/>
    <w:rsid w:val="0E0A3AA6"/>
    <w:rsid w:val="0E0D2FC5"/>
    <w:rsid w:val="0E1427FA"/>
    <w:rsid w:val="0E16EEA7"/>
    <w:rsid w:val="0E178EE9"/>
    <w:rsid w:val="0E1BD371"/>
    <w:rsid w:val="0E1D9328"/>
    <w:rsid w:val="0E2063D5"/>
    <w:rsid w:val="0E20FBD9"/>
    <w:rsid w:val="0E21CF09"/>
    <w:rsid w:val="0E252870"/>
    <w:rsid w:val="0E28419B"/>
    <w:rsid w:val="0E2CFD32"/>
    <w:rsid w:val="0E303A0C"/>
    <w:rsid w:val="0E3046F3"/>
    <w:rsid w:val="0E347CBD"/>
    <w:rsid w:val="0E38482B"/>
    <w:rsid w:val="0E40A281"/>
    <w:rsid w:val="0E467997"/>
    <w:rsid w:val="0E47218B"/>
    <w:rsid w:val="0E47848D"/>
    <w:rsid w:val="0E47A1F4"/>
    <w:rsid w:val="0E494A17"/>
    <w:rsid w:val="0E4D3D86"/>
    <w:rsid w:val="0E4EDA02"/>
    <w:rsid w:val="0E5053E5"/>
    <w:rsid w:val="0E5AC865"/>
    <w:rsid w:val="0E5B33A0"/>
    <w:rsid w:val="0E5FE049"/>
    <w:rsid w:val="0E660EF4"/>
    <w:rsid w:val="0E681D3B"/>
    <w:rsid w:val="0E69F757"/>
    <w:rsid w:val="0E6CF251"/>
    <w:rsid w:val="0E74EC84"/>
    <w:rsid w:val="0E78A669"/>
    <w:rsid w:val="0E799529"/>
    <w:rsid w:val="0E7C14BF"/>
    <w:rsid w:val="0E7F70DE"/>
    <w:rsid w:val="0E7F789F"/>
    <w:rsid w:val="0E7FE42E"/>
    <w:rsid w:val="0E85EF93"/>
    <w:rsid w:val="0E864623"/>
    <w:rsid w:val="0E86B57A"/>
    <w:rsid w:val="0E87CE9C"/>
    <w:rsid w:val="0E8EC65E"/>
    <w:rsid w:val="0E91415C"/>
    <w:rsid w:val="0E93D536"/>
    <w:rsid w:val="0E97D978"/>
    <w:rsid w:val="0E9BBBD2"/>
    <w:rsid w:val="0E9FD8C8"/>
    <w:rsid w:val="0EA32378"/>
    <w:rsid w:val="0EA72EB4"/>
    <w:rsid w:val="0EAB66CC"/>
    <w:rsid w:val="0EAD03CB"/>
    <w:rsid w:val="0EADE709"/>
    <w:rsid w:val="0EAF957F"/>
    <w:rsid w:val="0EAFC9FE"/>
    <w:rsid w:val="0EB3707B"/>
    <w:rsid w:val="0EB51511"/>
    <w:rsid w:val="0EB91C66"/>
    <w:rsid w:val="0EB9B8ED"/>
    <w:rsid w:val="0EBBC6DB"/>
    <w:rsid w:val="0EC260BF"/>
    <w:rsid w:val="0ECC7F05"/>
    <w:rsid w:val="0ECEC756"/>
    <w:rsid w:val="0ECF36D1"/>
    <w:rsid w:val="0ED20794"/>
    <w:rsid w:val="0ED2C82A"/>
    <w:rsid w:val="0ED59182"/>
    <w:rsid w:val="0ED6E6EF"/>
    <w:rsid w:val="0ED6EB23"/>
    <w:rsid w:val="0ED7E4F2"/>
    <w:rsid w:val="0EDE08A6"/>
    <w:rsid w:val="0EE0B02F"/>
    <w:rsid w:val="0EE27714"/>
    <w:rsid w:val="0EE85A58"/>
    <w:rsid w:val="0EE8D4AF"/>
    <w:rsid w:val="0EE98DCE"/>
    <w:rsid w:val="0EEB30FD"/>
    <w:rsid w:val="0EEE5F7D"/>
    <w:rsid w:val="0EEF8010"/>
    <w:rsid w:val="0EF3265C"/>
    <w:rsid w:val="0EF53B36"/>
    <w:rsid w:val="0EFA562B"/>
    <w:rsid w:val="0EFA9F66"/>
    <w:rsid w:val="0EFBF408"/>
    <w:rsid w:val="0EFFBF76"/>
    <w:rsid w:val="0F0084CD"/>
    <w:rsid w:val="0F02EA69"/>
    <w:rsid w:val="0F055141"/>
    <w:rsid w:val="0F062AA5"/>
    <w:rsid w:val="0F087C29"/>
    <w:rsid w:val="0F141427"/>
    <w:rsid w:val="0F162017"/>
    <w:rsid w:val="0F16E237"/>
    <w:rsid w:val="0F1B8FAA"/>
    <w:rsid w:val="0F26405C"/>
    <w:rsid w:val="0F26E011"/>
    <w:rsid w:val="0F27FDE7"/>
    <w:rsid w:val="0F2C2F2F"/>
    <w:rsid w:val="0F2F504F"/>
    <w:rsid w:val="0F343B3F"/>
    <w:rsid w:val="0F34B65F"/>
    <w:rsid w:val="0F34F361"/>
    <w:rsid w:val="0F3A15D9"/>
    <w:rsid w:val="0F3A26F8"/>
    <w:rsid w:val="0F3AC9EB"/>
    <w:rsid w:val="0F3EA2F1"/>
    <w:rsid w:val="0F3F1E94"/>
    <w:rsid w:val="0F4C6A59"/>
    <w:rsid w:val="0F50F25F"/>
    <w:rsid w:val="0F53C473"/>
    <w:rsid w:val="0F5B3268"/>
    <w:rsid w:val="0F5C215A"/>
    <w:rsid w:val="0F5DB02A"/>
    <w:rsid w:val="0F60AF9D"/>
    <w:rsid w:val="0F62F9BE"/>
    <w:rsid w:val="0F64AB8D"/>
    <w:rsid w:val="0F6590E9"/>
    <w:rsid w:val="0F6E3A94"/>
    <w:rsid w:val="0F7084C5"/>
    <w:rsid w:val="0F79FB81"/>
    <w:rsid w:val="0F7D633D"/>
    <w:rsid w:val="0F82DA38"/>
    <w:rsid w:val="0F84E407"/>
    <w:rsid w:val="0F85341B"/>
    <w:rsid w:val="0F8C6D50"/>
    <w:rsid w:val="0F8DCAB7"/>
    <w:rsid w:val="0F8E9EC9"/>
    <w:rsid w:val="0F924D6E"/>
    <w:rsid w:val="0F944563"/>
    <w:rsid w:val="0F95D738"/>
    <w:rsid w:val="0F96DB5F"/>
    <w:rsid w:val="0F9ABCE1"/>
    <w:rsid w:val="0F9B4F5D"/>
    <w:rsid w:val="0FA1FE75"/>
    <w:rsid w:val="0FAE17AF"/>
    <w:rsid w:val="0FB3AF9E"/>
    <w:rsid w:val="0FB3C6E7"/>
    <w:rsid w:val="0FB54A6F"/>
    <w:rsid w:val="0FBB9487"/>
    <w:rsid w:val="0FC10684"/>
    <w:rsid w:val="0FC3A5E8"/>
    <w:rsid w:val="0FCF4912"/>
    <w:rsid w:val="0FD2E283"/>
    <w:rsid w:val="0FD7F031"/>
    <w:rsid w:val="0FD80FE2"/>
    <w:rsid w:val="0FDDB067"/>
    <w:rsid w:val="0FDE3DA3"/>
    <w:rsid w:val="0FE1B14C"/>
    <w:rsid w:val="0FE487B0"/>
    <w:rsid w:val="0FE56E2C"/>
    <w:rsid w:val="0FEFA589"/>
    <w:rsid w:val="0FF223B9"/>
    <w:rsid w:val="0FF3A42E"/>
    <w:rsid w:val="0FF4DD52"/>
    <w:rsid w:val="0FF695CE"/>
    <w:rsid w:val="0FF904AF"/>
    <w:rsid w:val="0FFD7CF8"/>
    <w:rsid w:val="1002E947"/>
    <w:rsid w:val="1008849E"/>
    <w:rsid w:val="10096B4E"/>
    <w:rsid w:val="100E2C57"/>
    <w:rsid w:val="1032216D"/>
    <w:rsid w:val="1040A985"/>
    <w:rsid w:val="104125BA"/>
    <w:rsid w:val="1041D8CF"/>
    <w:rsid w:val="1044979B"/>
    <w:rsid w:val="1045E866"/>
    <w:rsid w:val="104C3CE1"/>
    <w:rsid w:val="104C8C27"/>
    <w:rsid w:val="10502A25"/>
    <w:rsid w:val="1057E0F6"/>
    <w:rsid w:val="105800FA"/>
    <w:rsid w:val="10602572"/>
    <w:rsid w:val="1065E78F"/>
    <w:rsid w:val="10660C18"/>
    <w:rsid w:val="106EE6F1"/>
    <w:rsid w:val="10712D88"/>
    <w:rsid w:val="107FECA1"/>
    <w:rsid w:val="108461A9"/>
    <w:rsid w:val="108BE058"/>
    <w:rsid w:val="10960555"/>
    <w:rsid w:val="109A51D8"/>
    <w:rsid w:val="109B2121"/>
    <w:rsid w:val="10A27B8D"/>
    <w:rsid w:val="10B3BA05"/>
    <w:rsid w:val="10B7CA90"/>
    <w:rsid w:val="10BDC051"/>
    <w:rsid w:val="10BF887C"/>
    <w:rsid w:val="10C382EE"/>
    <w:rsid w:val="10C5D9D7"/>
    <w:rsid w:val="10CFDFBE"/>
    <w:rsid w:val="10D61741"/>
    <w:rsid w:val="10E26D5E"/>
    <w:rsid w:val="10E443C4"/>
    <w:rsid w:val="10E9C55F"/>
    <w:rsid w:val="10ED7E59"/>
    <w:rsid w:val="10F3643A"/>
    <w:rsid w:val="10F4C300"/>
    <w:rsid w:val="10F5E530"/>
    <w:rsid w:val="10F74CED"/>
    <w:rsid w:val="10F95CC1"/>
    <w:rsid w:val="10FBD11E"/>
    <w:rsid w:val="10FBD723"/>
    <w:rsid w:val="1100F0CD"/>
    <w:rsid w:val="11039590"/>
    <w:rsid w:val="110ABDED"/>
    <w:rsid w:val="110DA6A1"/>
    <w:rsid w:val="11106D0C"/>
    <w:rsid w:val="11107BA1"/>
    <w:rsid w:val="1114B5A7"/>
    <w:rsid w:val="1123413B"/>
    <w:rsid w:val="11235634"/>
    <w:rsid w:val="1127D4F1"/>
    <w:rsid w:val="11284742"/>
    <w:rsid w:val="112B47C0"/>
    <w:rsid w:val="1133473B"/>
    <w:rsid w:val="11341209"/>
    <w:rsid w:val="11366232"/>
    <w:rsid w:val="113732CE"/>
    <w:rsid w:val="11375FF9"/>
    <w:rsid w:val="11385E96"/>
    <w:rsid w:val="113A7FB0"/>
    <w:rsid w:val="11434051"/>
    <w:rsid w:val="11442F3D"/>
    <w:rsid w:val="1147A9EB"/>
    <w:rsid w:val="11499661"/>
    <w:rsid w:val="114E5C30"/>
    <w:rsid w:val="114EE3B3"/>
    <w:rsid w:val="11516626"/>
    <w:rsid w:val="11563DD8"/>
    <w:rsid w:val="1159E028"/>
    <w:rsid w:val="115D6131"/>
    <w:rsid w:val="11625A5E"/>
    <w:rsid w:val="11652EE8"/>
    <w:rsid w:val="1168F9BE"/>
    <w:rsid w:val="1169CAD8"/>
    <w:rsid w:val="116F4FF7"/>
    <w:rsid w:val="1170C869"/>
    <w:rsid w:val="11768877"/>
    <w:rsid w:val="11803451"/>
    <w:rsid w:val="11889BFF"/>
    <w:rsid w:val="118EBB19"/>
    <w:rsid w:val="11938A43"/>
    <w:rsid w:val="11986C03"/>
    <w:rsid w:val="11997861"/>
    <w:rsid w:val="119E903B"/>
    <w:rsid w:val="11A0A7B6"/>
    <w:rsid w:val="11A187C2"/>
    <w:rsid w:val="11A315FE"/>
    <w:rsid w:val="11A7589B"/>
    <w:rsid w:val="11A8E670"/>
    <w:rsid w:val="11AA078C"/>
    <w:rsid w:val="11AA4F8C"/>
    <w:rsid w:val="11AC21CF"/>
    <w:rsid w:val="11B4C997"/>
    <w:rsid w:val="11B576D1"/>
    <w:rsid w:val="11B58746"/>
    <w:rsid w:val="11B696F7"/>
    <w:rsid w:val="11BE9471"/>
    <w:rsid w:val="11C2E553"/>
    <w:rsid w:val="11C6918B"/>
    <w:rsid w:val="11C92938"/>
    <w:rsid w:val="11CF19D6"/>
    <w:rsid w:val="11D0C483"/>
    <w:rsid w:val="11DA9D52"/>
    <w:rsid w:val="11E14E4C"/>
    <w:rsid w:val="11E277A5"/>
    <w:rsid w:val="11EA2166"/>
    <w:rsid w:val="11ED8509"/>
    <w:rsid w:val="11EE872F"/>
    <w:rsid w:val="11F05E23"/>
    <w:rsid w:val="11F1F499"/>
    <w:rsid w:val="11F28C9D"/>
    <w:rsid w:val="11FBFD20"/>
    <w:rsid w:val="11FCE465"/>
    <w:rsid w:val="11FE1E7F"/>
    <w:rsid w:val="11FFE30F"/>
    <w:rsid w:val="12016EE1"/>
    <w:rsid w:val="120DC524"/>
    <w:rsid w:val="1211767C"/>
    <w:rsid w:val="1212A0C0"/>
    <w:rsid w:val="12171228"/>
    <w:rsid w:val="121BF1B2"/>
    <w:rsid w:val="1220DE89"/>
    <w:rsid w:val="1223912C"/>
    <w:rsid w:val="122FA67D"/>
    <w:rsid w:val="1232CBF1"/>
    <w:rsid w:val="12365D01"/>
    <w:rsid w:val="1236D45C"/>
    <w:rsid w:val="12370E69"/>
    <w:rsid w:val="12381149"/>
    <w:rsid w:val="1238149F"/>
    <w:rsid w:val="123C4818"/>
    <w:rsid w:val="123EBEB7"/>
    <w:rsid w:val="12437BEA"/>
    <w:rsid w:val="124BA3DB"/>
    <w:rsid w:val="125096FF"/>
    <w:rsid w:val="12511D12"/>
    <w:rsid w:val="12529CC5"/>
    <w:rsid w:val="1253408F"/>
    <w:rsid w:val="125867CB"/>
    <w:rsid w:val="12597E1C"/>
    <w:rsid w:val="125D68A5"/>
    <w:rsid w:val="125D88CA"/>
    <w:rsid w:val="125EDC46"/>
    <w:rsid w:val="1261FC71"/>
    <w:rsid w:val="12668983"/>
    <w:rsid w:val="126C362B"/>
    <w:rsid w:val="126C6108"/>
    <w:rsid w:val="126E6B94"/>
    <w:rsid w:val="127004BF"/>
    <w:rsid w:val="1273061A"/>
    <w:rsid w:val="12745D91"/>
    <w:rsid w:val="1276F449"/>
    <w:rsid w:val="1282E166"/>
    <w:rsid w:val="1289DF94"/>
    <w:rsid w:val="128EA0E4"/>
    <w:rsid w:val="129652D3"/>
    <w:rsid w:val="1297C2CB"/>
    <w:rsid w:val="129CF0E2"/>
    <w:rsid w:val="12A41CF8"/>
    <w:rsid w:val="12A9589F"/>
    <w:rsid w:val="12ABD5C6"/>
    <w:rsid w:val="12AE6009"/>
    <w:rsid w:val="12B3127D"/>
    <w:rsid w:val="12B7EE40"/>
    <w:rsid w:val="12B98B15"/>
    <w:rsid w:val="12BD6E27"/>
    <w:rsid w:val="12C22BAA"/>
    <w:rsid w:val="12C622F9"/>
    <w:rsid w:val="12CA3677"/>
    <w:rsid w:val="12CA4CF9"/>
    <w:rsid w:val="12CA5C4E"/>
    <w:rsid w:val="12CB93E2"/>
    <w:rsid w:val="12CEBAC9"/>
    <w:rsid w:val="12D39893"/>
    <w:rsid w:val="12D3A27B"/>
    <w:rsid w:val="12D40092"/>
    <w:rsid w:val="12D9597D"/>
    <w:rsid w:val="12DCC9E8"/>
    <w:rsid w:val="12E315AF"/>
    <w:rsid w:val="12ED2642"/>
    <w:rsid w:val="12F14018"/>
    <w:rsid w:val="12F49B1F"/>
    <w:rsid w:val="12F8BDAB"/>
    <w:rsid w:val="12F91E46"/>
    <w:rsid w:val="12F932B9"/>
    <w:rsid w:val="12F9EAF0"/>
    <w:rsid w:val="12FABEC6"/>
    <w:rsid w:val="12FDE831"/>
    <w:rsid w:val="130B5432"/>
    <w:rsid w:val="130EC9D7"/>
    <w:rsid w:val="1310A8AB"/>
    <w:rsid w:val="1311E61C"/>
    <w:rsid w:val="13134985"/>
    <w:rsid w:val="1313E273"/>
    <w:rsid w:val="131709CC"/>
    <w:rsid w:val="131BE6D5"/>
    <w:rsid w:val="13267FF1"/>
    <w:rsid w:val="13272303"/>
    <w:rsid w:val="13292462"/>
    <w:rsid w:val="1329BD1B"/>
    <w:rsid w:val="132E3EC2"/>
    <w:rsid w:val="133022AA"/>
    <w:rsid w:val="1335BF1C"/>
    <w:rsid w:val="133807ED"/>
    <w:rsid w:val="13389670"/>
    <w:rsid w:val="133B447E"/>
    <w:rsid w:val="133DF780"/>
    <w:rsid w:val="13409038"/>
    <w:rsid w:val="13455980"/>
    <w:rsid w:val="13478C9E"/>
    <w:rsid w:val="1348CA33"/>
    <w:rsid w:val="134C61B8"/>
    <w:rsid w:val="1350C923"/>
    <w:rsid w:val="135CC3F1"/>
    <w:rsid w:val="135D31D8"/>
    <w:rsid w:val="135DC72C"/>
    <w:rsid w:val="135DEA61"/>
    <w:rsid w:val="13674564"/>
    <w:rsid w:val="1368A8C1"/>
    <w:rsid w:val="136A54B7"/>
    <w:rsid w:val="136AF0F6"/>
    <w:rsid w:val="136CFA54"/>
    <w:rsid w:val="136DB71A"/>
    <w:rsid w:val="1370CF59"/>
    <w:rsid w:val="1371142D"/>
    <w:rsid w:val="13716039"/>
    <w:rsid w:val="13724973"/>
    <w:rsid w:val="137CF4C6"/>
    <w:rsid w:val="138206CC"/>
    <w:rsid w:val="1383A436"/>
    <w:rsid w:val="1385A0B9"/>
    <w:rsid w:val="1387CDBA"/>
    <w:rsid w:val="138CAC0D"/>
    <w:rsid w:val="138D7824"/>
    <w:rsid w:val="138D87E7"/>
    <w:rsid w:val="1393D356"/>
    <w:rsid w:val="139400EA"/>
    <w:rsid w:val="13980309"/>
    <w:rsid w:val="13A3CDA6"/>
    <w:rsid w:val="13AD2B67"/>
    <w:rsid w:val="13AF8897"/>
    <w:rsid w:val="13B19381"/>
    <w:rsid w:val="13B309EC"/>
    <w:rsid w:val="13B507D5"/>
    <w:rsid w:val="13B5C936"/>
    <w:rsid w:val="13BB9E9A"/>
    <w:rsid w:val="13BFB6E0"/>
    <w:rsid w:val="13C0D35C"/>
    <w:rsid w:val="13C28EB5"/>
    <w:rsid w:val="13C7417E"/>
    <w:rsid w:val="13C966C8"/>
    <w:rsid w:val="13CD3E51"/>
    <w:rsid w:val="13D1BDCA"/>
    <w:rsid w:val="13D8036F"/>
    <w:rsid w:val="13DD3533"/>
    <w:rsid w:val="13DEEE78"/>
    <w:rsid w:val="13E0045D"/>
    <w:rsid w:val="13E5812C"/>
    <w:rsid w:val="13E5A839"/>
    <w:rsid w:val="13EB7571"/>
    <w:rsid w:val="13F006DA"/>
    <w:rsid w:val="13F3F296"/>
    <w:rsid w:val="13F7153F"/>
    <w:rsid w:val="13FF7F01"/>
    <w:rsid w:val="140400B6"/>
    <w:rsid w:val="1404BA99"/>
    <w:rsid w:val="14056C92"/>
    <w:rsid w:val="14063A64"/>
    <w:rsid w:val="14064468"/>
    <w:rsid w:val="1409F347"/>
    <w:rsid w:val="140F4071"/>
    <w:rsid w:val="140FBA46"/>
    <w:rsid w:val="141695B0"/>
    <w:rsid w:val="1418554D"/>
    <w:rsid w:val="1418808F"/>
    <w:rsid w:val="141A7FC8"/>
    <w:rsid w:val="14267826"/>
    <w:rsid w:val="1426C323"/>
    <w:rsid w:val="142798CF"/>
    <w:rsid w:val="1430C2E8"/>
    <w:rsid w:val="1431482B"/>
    <w:rsid w:val="1431C7F7"/>
    <w:rsid w:val="143A493A"/>
    <w:rsid w:val="143AE0F9"/>
    <w:rsid w:val="143B0F45"/>
    <w:rsid w:val="143D03E6"/>
    <w:rsid w:val="144154C3"/>
    <w:rsid w:val="14436F99"/>
    <w:rsid w:val="14443D7C"/>
    <w:rsid w:val="14490EC1"/>
    <w:rsid w:val="144AB4B6"/>
    <w:rsid w:val="144B4BC5"/>
    <w:rsid w:val="144D8F32"/>
    <w:rsid w:val="14588656"/>
    <w:rsid w:val="145FA796"/>
    <w:rsid w:val="14630191"/>
    <w:rsid w:val="14668021"/>
    <w:rsid w:val="146690B7"/>
    <w:rsid w:val="146C0C4E"/>
    <w:rsid w:val="1474D41A"/>
    <w:rsid w:val="1479043F"/>
    <w:rsid w:val="14799A70"/>
    <w:rsid w:val="147B7843"/>
    <w:rsid w:val="14848170"/>
    <w:rsid w:val="1486D3C5"/>
    <w:rsid w:val="1487F47A"/>
    <w:rsid w:val="14891606"/>
    <w:rsid w:val="148E762F"/>
    <w:rsid w:val="1491E03C"/>
    <w:rsid w:val="14964535"/>
    <w:rsid w:val="149785E8"/>
    <w:rsid w:val="14A32311"/>
    <w:rsid w:val="14A7AA22"/>
    <w:rsid w:val="14ADC351"/>
    <w:rsid w:val="14BA4BCC"/>
    <w:rsid w:val="14BB784F"/>
    <w:rsid w:val="14BF8452"/>
    <w:rsid w:val="14C048CE"/>
    <w:rsid w:val="14C1D2C6"/>
    <w:rsid w:val="14C31ADC"/>
    <w:rsid w:val="14C44F63"/>
    <w:rsid w:val="14C45701"/>
    <w:rsid w:val="14C61CF0"/>
    <w:rsid w:val="14CC2B14"/>
    <w:rsid w:val="14CD74D8"/>
    <w:rsid w:val="14D337EA"/>
    <w:rsid w:val="14D4AD05"/>
    <w:rsid w:val="14D97274"/>
    <w:rsid w:val="14DD9A10"/>
    <w:rsid w:val="14E3BACC"/>
    <w:rsid w:val="14E4D55D"/>
    <w:rsid w:val="14E731C3"/>
    <w:rsid w:val="14EBFB5B"/>
    <w:rsid w:val="14F1032E"/>
    <w:rsid w:val="14F6A820"/>
    <w:rsid w:val="14F921B1"/>
    <w:rsid w:val="14FC7301"/>
    <w:rsid w:val="1506E804"/>
    <w:rsid w:val="150AFB57"/>
    <w:rsid w:val="150EDE5C"/>
    <w:rsid w:val="1510370B"/>
    <w:rsid w:val="1511D30E"/>
    <w:rsid w:val="15144401"/>
    <w:rsid w:val="1514A52E"/>
    <w:rsid w:val="1515B702"/>
    <w:rsid w:val="1515E8E3"/>
    <w:rsid w:val="151BB958"/>
    <w:rsid w:val="15224178"/>
    <w:rsid w:val="152AF6D7"/>
    <w:rsid w:val="152C9BD8"/>
    <w:rsid w:val="152FD339"/>
    <w:rsid w:val="1532D593"/>
    <w:rsid w:val="1534C397"/>
    <w:rsid w:val="153C567A"/>
    <w:rsid w:val="15410147"/>
    <w:rsid w:val="1543C4DD"/>
    <w:rsid w:val="1545951B"/>
    <w:rsid w:val="1552F300"/>
    <w:rsid w:val="15536BFA"/>
    <w:rsid w:val="155377AE"/>
    <w:rsid w:val="1557FD61"/>
    <w:rsid w:val="15597CFC"/>
    <w:rsid w:val="15640EB8"/>
    <w:rsid w:val="15654B4A"/>
    <w:rsid w:val="1566E617"/>
    <w:rsid w:val="15699E00"/>
    <w:rsid w:val="156AAC2C"/>
    <w:rsid w:val="15710184"/>
    <w:rsid w:val="1575BBE7"/>
    <w:rsid w:val="157D8CB3"/>
    <w:rsid w:val="1583E826"/>
    <w:rsid w:val="158A8482"/>
    <w:rsid w:val="158F788E"/>
    <w:rsid w:val="15986B5E"/>
    <w:rsid w:val="159C74BD"/>
    <w:rsid w:val="159D3305"/>
    <w:rsid w:val="159DB649"/>
    <w:rsid w:val="15A3892E"/>
    <w:rsid w:val="15A7C105"/>
    <w:rsid w:val="15A990C9"/>
    <w:rsid w:val="15AB5C32"/>
    <w:rsid w:val="15ABD6DD"/>
    <w:rsid w:val="15AF5064"/>
    <w:rsid w:val="15B4B996"/>
    <w:rsid w:val="15BE4B9F"/>
    <w:rsid w:val="15C52404"/>
    <w:rsid w:val="15CE1869"/>
    <w:rsid w:val="15D141E4"/>
    <w:rsid w:val="15D2F991"/>
    <w:rsid w:val="15D9CE82"/>
    <w:rsid w:val="15DB8A32"/>
    <w:rsid w:val="15DBEA68"/>
    <w:rsid w:val="15DE21E3"/>
    <w:rsid w:val="15E72E46"/>
    <w:rsid w:val="15E7D4F1"/>
    <w:rsid w:val="15EB654E"/>
    <w:rsid w:val="15ED56A3"/>
    <w:rsid w:val="15EE4BAD"/>
    <w:rsid w:val="1603D81E"/>
    <w:rsid w:val="16081141"/>
    <w:rsid w:val="160EE42A"/>
    <w:rsid w:val="160FB1B0"/>
    <w:rsid w:val="1612C89F"/>
    <w:rsid w:val="1614728E"/>
    <w:rsid w:val="1618BCCC"/>
    <w:rsid w:val="1620C388"/>
    <w:rsid w:val="1621587C"/>
    <w:rsid w:val="1623A16C"/>
    <w:rsid w:val="16258D03"/>
    <w:rsid w:val="16273ABF"/>
    <w:rsid w:val="1629147E"/>
    <w:rsid w:val="1630CF15"/>
    <w:rsid w:val="1631ADE7"/>
    <w:rsid w:val="1632E9A5"/>
    <w:rsid w:val="1633FE89"/>
    <w:rsid w:val="163720E6"/>
    <w:rsid w:val="16379AFA"/>
    <w:rsid w:val="163A4C71"/>
    <w:rsid w:val="163E9857"/>
    <w:rsid w:val="163F7204"/>
    <w:rsid w:val="164A6730"/>
    <w:rsid w:val="164CC249"/>
    <w:rsid w:val="164E547D"/>
    <w:rsid w:val="1651C4D9"/>
    <w:rsid w:val="1656792E"/>
    <w:rsid w:val="165C17E5"/>
    <w:rsid w:val="165F794F"/>
    <w:rsid w:val="16683B3A"/>
    <w:rsid w:val="166A2DF8"/>
    <w:rsid w:val="167273BC"/>
    <w:rsid w:val="167621BF"/>
    <w:rsid w:val="1676460E"/>
    <w:rsid w:val="167F7196"/>
    <w:rsid w:val="167F7E99"/>
    <w:rsid w:val="16820BFF"/>
    <w:rsid w:val="16859421"/>
    <w:rsid w:val="168C8460"/>
    <w:rsid w:val="1691FFB1"/>
    <w:rsid w:val="169486F9"/>
    <w:rsid w:val="169BC875"/>
    <w:rsid w:val="169BDE0D"/>
    <w:rsid w:val="169C6463"/>
    <w:rsid w:val="169C8781"/>
    <w:rsid w:val="16A0DFC3"/>
    <w:rsid w:val="16A214D5"/>
    <w:rsid w:val="16A298B7"/>
    <w:rsid w:val="16AEB8C2"/>
    <w:rsid w:val="16AECC70"/>
    <w:rsid w:val="16B36990"/>
    <w:rsid w:val="16B97756"/>
    <w:rsid w:val="16BC43E1"/>
    <w:rsid w:val="16C6E22A"/>
    <w:rsid w:val="16CAA58B"/>
    <w:rsid w:val="16D6E8E5"/>
    <w:rsid w:val="16DA0BF7"/>
    <w:rsid w:val="16DA468A"/>
    <w:rsid w:val="16DC95DE"/>
    <w:rsid w:val="16DCA191"/>
    <w:rsid w:val="16E0AADA"/>
    <w:rsid w:val="16EDC200"/>
    <w:rsid w:val="16EE3F85"/>
    <w:rsid w:val="16EE709A"/>
    <w:rsid w:val="16EEF284"/>
    <w:rsid w:val="16F02E17"/>
    <w:rsid w:val="16FF2ED2"/>
    <w:rsid w:val="170010AC"/>
    <w:rsid w:val="1701D449"/>
    <w:rsid w:val="17047EC6"/>
    <w:rsid w:val="17197A46"/>
    <w:rsid w:val="171A482F"/>
    <w:rsid w:val="171DC191"/>
    <w:rsid w:val="1720D7F5"/>
    <w:rsid w:val="17213A39"/>
    <w:rsid w:val="172532C6"/>
    <w:rsid w:val="1725CADB"/>
    <w:rsid w:val="1728F2D9"/>
    <w:rsid w:val="172D38FF"/>
    <w:rsid w:val="173044BA"/>
    <w:rsid w:val="17305594"/>
    <w:rsid w:val="173D15B1"/>
    <w:rsid w:val="173E1682"/>
    <w:rsid w:val="17407F28"/>
    <w:rsid w:val="17461086"/>
    <w:rsid w:val="174732DD"/>
    <w:rsid w:val="17488C86"/>
    <w:rsid w:val="17571C5F"/>
    <w:rsid w:val="1757721C"/>
    <w:rsid w:val="175B1ED2"/>
    <w:rsid w:val="175C2F45"/>
    <w:rsid w:val="17600C91"/>
    <w:rsid w:val="1762BDD3"/>
    <w:rsid w:val="1765ADF5"/>
    <w:rsid w:val="176982DB"/>
    <w:rsid w:val="176A927C"/>
    <w:rsid w:val="176B73CD"/>
    <w:rsid w:val="176C8179"/>
    <w:rsid w:val="17751041"/>
    <w:rsid w:val="177B6C6A"/>
    <w:rsid w:val="177BAB01"/>
    <w:rsid w:val="177E2F64"/>
    <w:rsid w:val="1781200C"/>
    <w:rsid w:val="17830F04"/>
    <w:rsid w:val="17832D38"/>
    <w:rsid w:val="17849952"/>
    <w:rsid w:val="178940AE"/>
    <w:rsid w:val="17896B28"/>
    <w:rsid w:val="1793C276"/>
    <w:rsid w:val="17983693"/>
    <w:rsid w:val="17A00E86"/>
    <w:rsid w:val="17A0C728"/>
    <w:rsid w:val="17A1AC53"/>
    <w:rsid w:val="17AEEC35"/>
    <w:rsid w:val="17AF6449"/>
    <w:rsid w:val="17B4567E"/>
    <w:rsid w:val="17B7518E"/>
    <w:rsid w:val="17C6E186"/>
    <w:rsid w:val="17C7E737"/>
    <w:rsid w:val="17CA60C1"/>
    <w:rsid w:val="17CC4D9B"/>
    <w:rsid w:val="17CCC997"/>
    <w:rsid w:val="17CF30EB"/>
    <w:rsid w:val="17CF9EBD"/>
    <w:rsid w:val="17D25FB6"/>
    <w:rsid w:val="17D2660D"/>
    <w:rsid w:val="17DE3F6E"/>
    <w:rsid w:val="17DEB3D6"/>
    <w:rsid w:val="17E060E7"/>
    <w:rsid w:val="17E55741"/>
    <w:rsid w:val="17E7B9A5"/>
    <w:rsid w:val="17E8DBEA"/>
    <w:rsid w:val="17ECFEDB"/>
    <w:rsid w:val="17F3019A"/>
    <w:rsid w:val="17F3169E"/>
    <w:rsid w:val="17F44E17"/>
    <w:rsid w:val="17F60D26"/>
    <w:rsid w:val="1805A283"/>
    <w:rsid w:val="180947D4"/>
    <w:rsid w:val="1815F1B7"/>
    <w:rsid w:val="181E6D35"/>
    <w:rsid w:val="183413DC"/>
    <w:rsid w:val="1842BE61"/>
    <w:rsid w:val="1843EE1A"/>
    <w:rsid w:val="184B7C8F"/>
    <w:rsid w:val="184CD0EC"/>
    <w:rsid w:val="184DDC03"/>
    <w:rsid w:val="184ED6EA"/>
    <w:rsid w:val="184EF9B2"/>
    <w:rsid w:val="1855E552"/>
    <w:rsid w:val="18563DFF"/>
    <w:rsid w:val="18579267"/>
    <w:rsid w:val="185C3192"/>
    <w:rsid w:val="185CE8A8"/>
    <w:rsid w:val="185F9186"/>
    <w:rsid w:val="186082C1"/>
    <w:rsid w:val="1860BD1D"/>
    <w:rsid w:val="186BC7FE"/>
    <w:rsid w:val="186CB585"/>
    <w:rsid w:val="1870ED34"/>
    <w:rsid w:val="1873D3B8"/>
    <w:rsid w:val="1877BEFD"/>
    <w:rsid w:val="187D59EC"/>
    <w:rsid w:val="1888BC61"/>
    <w:rsid w:val="18A4FE94"/>
    <w:rsid w:val="18A62020"/>
    <w:rsid w:val="18A6D686"/>
    <w:rsid w:val="18A89CA0"/>
    <w:rsid w:val="18AD80D5"/>
    <w:rsid w:val="18B3628C"/>
    <w:rsid w:val="18B39169"/>
    <w:rsid w:val="18B3E0E4"/>
    <w:rsid w:val="18BB3C25"/>
    <w:rsid w:val="18BB577C"/>
    <w:rsid w:val="18C26433"/>
    <w:rsid w:val="18C423B9"/>
    <w:rsid w:val="18C4DA3D"/>
    <w:rsid w:val="18C8F96B"/>
    <w:rsid w:val="18D12289"/>
    <w:rsid w:val="18D336A9"/>
    <w:rsid w:val="18DB48A3"/>
    <w:rsid w:val="18E29E20"/>
    <w:rsid w:val="18F339F0"/>
    <w:rsid w:val="18F64FD4"/>
    <w:rsid w:val="18FDC20B"/>
    <w:rsid w:val="18FF4187"/>
    <w:rsid w:val="18FF6121"/>
    <w:rsid w:val="190251C6"/>
    <w:rsid w:val="1907EB81"/>
    <w:rsid w:val="192024A3"/>
    <w:rsid w:val="19250B56"/>
    <w:rsid w:val="1925A3AB"/>
    <w:rsid w:val="19281C4F"/>
    <w:rsid w:val="192AFADF"/>
    <w:rsid w:val="192C6282"/>
    <w:rsid w:val="19422141"/>
    <w:rsid w:val="1944AACA"/>
    <w:rsid w:val="194858AB"/>
    <w:rsid w:val="1954C99B"/>
    <w:rsid w:val="19564472"/>
    <w:rsid w:val="195826DC"/>
    <w:rsid w:val="195ADF94"/>
    <w:rsid w:val="19609D55"/>
    <w:rsid w:val="1964C2EE"/>
    <w:rsid w:val="196E5E01"/>
    <w:rsid w:val="1972FCE2"/>
    <w:rsid w:val="1981ADE9"/>
    <w:rsid w:val="19820732"/>
    <w:rsid w:val="19829427"/>
    <w:rsid w:val="1985F3A9"/>
    <w:rsid w:val="198AA235"/>
    <w:rsid w:val="198C381D"/>
    <w:rsid w:val="198D526E"/>
    <w:rsid w:val="19915298"/>
    <w:rsid w:val="1993C668"/>
    <w:rsid w:val="19943DF9"/>
    <w:rsid w:val="199B9C2B"/>
    <w:rsid w:val="199C1AB7"/>
    <w:rsid w:val="199EC76B"/>
    <w:rsid w:val="199F57C0"/>
    <w:rsid w:val="199FEB88"/>
    <w:rsid w:val="19A2C9DC"/>
    <w:rsid w:val="19A49FFB"/>
    <w:rsid w:val="19A96CCB"/>
    <w:rsid w:val="19AFF232"/>
    <w:rsid w:val="19BAD356"/>
    <w:rsid w:val="19C24128"/>
    <w:rsid w:val="19CD3B1F"/>
    <w:rsid w:val="19CD51D2"/>
    <w:rsid w:val="19D19481"/>
    <w:rsid w:val="19D86C40"/>
    <w:rsid w:val="19D98615"/>
    <w:rsid w:val="19DED72F"/>
    <w:rsid w:val="19E6A72F"/>
    <w:rsid w:val="19E7EE1B"/>
    <w:rsid w:val="19F4E2D1"/>
    <w:rsid w:val="19F4E5D4"/>
    <w:rsid w:val="19F52C75"/>
    <w:rsid w:val="19F86390"/>
    <w:rsid w:val="19F94C6E"/>
    <w:rsid w:val="19FF3D4D"/>
    <w:rsid w:val="1A0057DC"/>
    <w:rsid w:val="1A0C532F"/>
    <w:rsid w:val="1A121E82"/>
    <w:rsid w:val="1A1294AB"/>
    <w:rsid w:val="1A16AE97"/>
    <w:rsid w:val="1A1A98BC"/>
    <w:rsid w:val="1A1C89A4"/>
    <w:rsid w:val="1A1FF844"/>
    <w:rsid w:val="1A213D66"/>
    <w:rsid w:val="1A22613E"/>
    <w:rsid w:val="1A243D6A"/>
    <w:rsid w:val="1A289395"/>
    <w:rsid w:val="1A292D8D"/>
    <w:rsid w:val="1A2C96F8"/>
    <w:rsid w:val="1A2E9F5A"/>
    <w:rsid w:val="1A351449"/>
    <w:rsid w:val="1A4B08E9"/>
    <w:rsid w:val="1A5433F5"/>
    <w:rsid w:val="1A552168"/>
    <w:rsid w:val="1A56F209"/>
    <w:rsid w:val="1A573F89"/>
    <w:rsid w:val="1A5CFD7F"/>
    <w:rsid w:val="1A62A6E0"/>
    <w:rsid w:val="1A69E3DE"/>
    <w:rsid w:val="1A6B90E0"/>
    <w:rsid w:val="1A720473"/>
    <w:rsid w:val="1A724C3F"/>
    <w:rsid w:val="1A74102A"/>
    <w:rsid w:val="1A7437B0"/>
    <w:rsid w:val="1A79277C"/>
    <w:rsid w:val="1A7A479A"/>
    <w:rsid w:val="1A87726F"/>
    <w:rsid w:val="1A87C8C3"/>
    <w:rsid w:val="1A8EC7B0"/>
    <w:rsid w:val="1A91C07C"/>
    <w:rsid w:val="1A9948AE"/>
    <w:rsid w:val="1A994C0C"/>
    <w:rsid w:val="1A999E7F"/>
    <w:rsid w:val="1A9A6C87"/>
    <w:rsid w:val="1A9A8A00"/>
    <w:rsid w:val="1A9BF00D"/>
    <w:rsid w:val="1A9CCB28"/>
    <w:rsid w:val="1A9F14DA"/>
    <w:rsid w:val="1A9F2E09"/>
    <w:rsid w:val="1A9F401A"/>
    <w:rsid w:val="1AA08D11"/>
    <w:rsid w:val="1AA3379E"/>
    <w:rsid w:val="1AA573CB"/>
    <w:rsid w:val="1AA7708B"/>
    <w:rsid w:val="1AAC5CC8"/>
    <w:rsid w:val="1AAFE116"/>
    <w:rsid w:val="1AB07767"/>
    <w:rsid w:val="1AB0B9EC"/>
    <w:rsid w:val="1AB82128"/>
    <w:rsid w:val="1ABBA2B9"/>
    <w:rsid w:val="1ABD6A8B"/>
    <w:rsid w:val="1AC2F775"/>
    <w:rsid w:val="1AC3132E"/>
    <w:rsid w:val="1AC5A4CE"/>
    <w:rsid w:val="1AC7CEF1"/>
    <w:rsid w:val="1ACF1AA6"/>
    <w:rsid w:val="1AD02C11"/>
    <w:rsid w:val="1AD8D1DF"/>
    <w:rsid w:val="1AE2E711"/>
    <w:rsid w:val="1AE4D677"/>
    <w:rsid w:val="1AE56563"/>
    <w:rsid w:val="1AE65998"/>
    <w:rsid w:val="1AE7233B"/>
    <w:rsid w:val="1AF2D3CB"/>
    <w:rsid w:val="1AF3727B"/>
    <w:rsid w:val="1AF62EF9"/>
    <w:rsid w:val="1AFCAB1B"/>
    <w:rsid w:val="1AFFE3CD"/>
    <w:rsid w:val="1B0933B3"/>
    <w:rsid w:val="1B10C2AC"/>
    <w:rsid w:val="1B126F63"/>
    <w:rsid w:val="1B19E968"/>
    <w:rsid w:val="1B1EEEDB"/>
    <w:rsid w:val="1B21F87B"/>
    <w:rsid w:val="1B245440"/>
    <w:rsid w:val="1B2A709C"/>
    <w:rsid w:val="1B2B9614"/>
    <w:rsid w:val="1B2D942E"/>
    <w:rsid w:val="1B376A88"/>
    <w:rsid w:val="1B38D902"/>
    <w:rsid w:val="1B3B503A"/>
    <w:rsid w:val="1B3CB66D"/>
    <w:rsid w:val="1B46DD98"/>
    <w:rsid w:val="1B493C14"/>
    <w:rsid w:val="1B4C4EDB"/>
    <w:rsid w:val="1B4D79E9"/>
    <w:rsid w:val="1B5050A2"/>
    <w:rsid w:val="1B5438E3"/>
    <w:rsid w:val="1B58FBF9"/>
    <w:rsid w:val="1B5A9A09"/>
    <w:rsid w:val="1B5DB447"/>
    <w:rsid w:val="1B600E6C"/>
    <w:rsid w:val="1B62F476"/>
    <w:rsid w:val="1B6507C8"/>
    <w:rsid w:val="1B687C1D"/>
    <w:rsid w:val="1B6E735A"/>
    <w:rsid w:val="1B726DD8"/>
    <w:rsid w:val="1B729BF9"/>
    <w:rsid w:val="1B7ABFD0"/>
    <w:rsid w:val="1B7AEAC4"/>
    <w:rsid w:val="1B80C37E"/>
    <w:rsid w:val="1B83E93B"/>
    <w:rsid w:val="1B847E23"/>
    <w:rsid w:val="1B86453C"/>
    <w:rsid w:val="1B898C22"/>
    <w:rsid w:val="1B92B503"/>
    <w:rsid w:val="1B960FCC"/>
    <w:rsid w:val="1B96D1B0"/>
    <w:rsid w:val="1B980CDD"/>
    <w:rsid w:val="1B9B581E"/>
    <w:rsid w:val="1B9FACC4"/>
    <w:rsid w:val="1BA1F3EA"/>
    <w:rsid w:val="1BA3554D"/>
    <w:rsid w:val="1BA7C612"/>
    <w:rsid w:val="1BA9D460"/>
    <w:rsid w:val="1BAB5399"/>
    <w:rsid w:val="1BACEB12"/>
    <w:rsid w:val="1BB16587"/>
    <w:rsid w:val="1BB3087B"/>
    <w:rsid w:val="1BBA34D7"/>
    <w:rsid w:val="1BC25A9A"/>
    <w:rsid w:val="1BC8DE38"/>
    <w:rsid w:val="1BCDF180"/>
    <w:rsid w:val="1BCE4BF7"/>
    <w:rsid w:val="1BD0CCFB"/>
    <w:rsid w:val="1BD33A86"/>
    <w:rsid w:val="1BD9C950"/>
    <w:rsid w:val="1BDD1EED"/>
    <w:rsid w:val="1BDD6B08"/>
    <w:rsid w:val="1BE0F13B"/>
    <w:rsid w:val="1BE54118"/>
    <w:rsid w:val="1BE96EBD"/>
    <w:rsid w:val="1BF5F7C7"/>
    <w:rsid w:val="1BF74CA1"/>
    <w:rsid w:val="1C0530E6"/>
    <w:rsid w:val="1C054B89"/>
    <w:rsid w:val="1C1230BE"/>
    <w:rsid w:val="1C1531F1"/>
    <w:rsid w:val="1C15C114"/>
    <w:rsid w:val="1C180D66"/>
    <w:rsid w:val="1C1A60EE"/>
    <w:rsid w:val="1C1B7447"/>
    <w:rsid w:val="1C211702"/>
    <w:rsid w:val="1C2AC4B1"/>
    <w:rsid w:val="1C2B0B85"/>
    <w:rsid w:val="1C2C8C84"/>
    <w:rsid w:val="1C378511"/>
    <w:rsid w:val="1C39C72A"/>
    <w:rsid w:val="1C3E2E27"/>
    <w:rsid w:val="1C46A74D"/>
    <w:rsid w:val="1C484818"/>
    <w:rsid w:val="1C494383"/>
    <w:rsid w:val="1C4C9B1E"/>
    <w:rsid w:val="1C50B5CC"/>
    <w:rsid w:val="1C525BD6"/>
    <w:rsid w:val="1C59FF87"/>
    <w:rsid w:val="1C5B67FC"/>
    <w:rsid w:val="1C615907"/>
    <w:rsid w:val="1C63E31A"/>
    <w:rsid w:val="1C652BFC"/>
    <w:rsid w:val="1C669E3A"/>
    <w:rsid w:val="1C6874D4"/>
    <w:rsid w:val="1C6FDB71"/>
    <w:rsid w:val="1C732169"/>
    <w:rsid w:val="1C81BC9E"/>
    <w:rsid w:val="1C83B0E3"/>
    <w:rsid w:val="1C850790"/>
    <w:rsid w:val="1C870BF3"/>
    <w:rsid w:val="1C8C2A64"/>
    <w:rsid w:val="1C931EA7"/>
    <w:rsid w:val="1C975416"/>
    <w:rsid w:val="1CAB4B9C"/>
    <w:rsid w:val="1CAE9092"/>
    <w:rsid w:val="1CB6A14D"/>
    <w:rsid w:val="1CBC2374"/>
    <w:rsid w:val="1CBE8F22"/>
    <w:rsid w:val="1CC1FD2D"/>
    <w:rsid w:val="1CC44244"/>
    <w:rsid w:val="1CC5156A"/>
    <w:rsid w:val="1CC5237A"/>
    <w:rsid w:val="1CC711C4"/>
    <w:rsid w:val="1CD32EF8"/>
    <w:rsid w:val="1CD65C87"/>
    <w:rsid w:val="1CD7CB34"/>
    <w:rsid w:val="1CD947FE"/>
    <w:rsid w:val="1CDB59DD"/>
    <w:rsid w:val="1CE6D569"/>
    <w:rsid w:val="1CEB1D37"/>
    <w:rsid w:val="1CEB4BB6"/>
    <w:rsid w:val="1CEDEC20"/>
    <w:rsid w:val="1CF00488"/>
    <w:rsid w:val="1CF171C0"/>
    <w:rsid w:val="1D0063DB"/>
    <w:rsid w:val="1D01CEE7"/>
    <w:rsid w:val="1D01E2ED"/>
    <w:rsid w:val="1D03DEA3"/>
    <w:rsid w:val="1D0D8ECE"/>
    <w:rsid w:val="1D0F8114"/>
    <w:rsid w:val="1D13C27F"/>
    <w:rsid w:val="1D14CA03"/>
    <w:rsid w:val="1D1B034A"/>
    <w:rsid w:val="1D1B2AD2"/>
    <w:rsid w:val="1D1F3874"/>
    <w:rsid w:val="1D202E56"/>
    <w:rsid w:val="1D26AA8E"/>
    <w:rsid w:val="1D27426F"/>
    <w:rsid w:val="1D29A757"/>
    <w:rsid w:val="1D33D938"/>
    <w:rsid w:val="1D36B0F1"/>
    <w:rsid w:val="1D37E945"/>
    <w:rsid w:val="1D3BCB28"/>
    <w:rsid w:val="1D3D38A2"/>
    <w:rsid w:val="1D3E9829"/>
    <w:rsid w:val="1D4102AB"/>
    <w:rsid w:val="1D4237F6"/>
    <w:rsid w:val="1D4503DF"/>
    <w:rsid w:val="1D457B0F"/>
    <w:rsid w:val="1D48C1C5"/>
    <w:rsid w:val="1D5086DF"/>
    <w:rsid w:val="1D54E29E"/>
    <w:rsid w:val="1D582DDE"/>
    <w:rsid w:val="1D5CBC97"/>
    <w:rsid w:val="1D699EA0"/>
    <w:rsid w:val="1D6FFD5A"/>
    <w:rsid w:val="1D71D563"/>
    <w:rsid w:val="1D74235B"/>
    <w:rsid w:val="1D7F9F4B"/>
    <w:rsid w:val="1D7FF19F"/>
    <w:rsid w:val="1D8A90B7"/>
    <w:rsid w:val="1D8BB46C"/>
    <w:rsid w:val="1D8DCD9F"/>
    <w:rsid w:val="1D912593"/>
    <w:rsid w:val="1D9167EE"/>
    <w:rsid w:val="1D95FA2F"/>
    <w:rsid w:val="1D967B94"/>
    <w:rsid w:val="1D96D2B5"/>
    <w:rsid w:val="1D992284"/>
    <w:rsid w:val="1DA2D327"/>
    <w:rsid w:val="1DA65DED"/>
    <w:rsid w:val="1DB8FBB2"/>
    <w:rsid w:val="1DBAB49C"/>
    <w:rsid w:val="1DBB1AFE"/>
    <w:rsid w:val="1DBC494F"/>
    <w:rsid w:val="1DC8CA37"/>
    <w:rsid w:val="1DC8CC5B"/>
    <w:rsid w:val="1DCDF64F"/>
    <w:rsid w:val="1DDE7C0F"/>
    <w:rsid w:val="1DE0DCA2"/>
    <w:rsid w:val="1DE828F0"/>
    <w:rsid w:val="1DEEFA49"/>
    <w:rsid w:val="1E07D007"/>
    <w:rsid w:val="1E1243FE"/>
    <w:rsid w:val="1E132003"/>
    <w:rsid w:val="1E133D45"/>
    <w:rsid w:val="1E16B032"/>
    <w:rsid w:val="1E19EC6E"/>
    <w:rsid w:val="1E1DED48"/>
    <w:rsid w:val="1E24CF8D"/>
    <w:rsid w:val="1E266FB6"/>
    <w:rsid w:val="1E2ADB2F"/>
    <w:rsid w:val="1E2B7405"/>
    <w:rsid w:val="1E362278"/>
    <w:rsid w:val="1E392576"/>
    <w:rsid w:val="1E3E38FA"/>
    <w:rsid w:val="1E4025B3"/>
    <w:rsid w:val="1E45172A"/>
    <w:rsid w:val="1E501517"/>
    <w:rsid w:val="1E5502A2"/>
    <w:rsid w:val="1E5513E6"/>
    <w:rsid w:val="1E5CAB67"/>
    <w:rsid w:val="1E638BB9"/>
    <w:rsid w:val="1E670E8E"/>
    <w:rsid w:val="1E686FE3"/>
    <w:rsid w:val="1E69FA5A"/>
    <w:rsid w:val="1E6F8696"/>
    <w:rsid w:val="1E700AEE"/>
    <w:rsid w:val="1E783884"/>
    <w:rsid w:val="1E7D736E"/>
    <w:rsid w:val="1E7EE740"/>
    <w:rsid w:val="1E7FFA17"/>
    <w:rsid w:val="1E85AC46"/>
    <w:rsid w:val="1E85F022"/>
    <w:rsid w:val="1E89E498"/>
    <w:rsid w:val="1E8AE33B"/>
    <w:rsid w:val="1E988BA7"/>
    <w:rsid w:val="1E9FF339"/>
    <w:rsid w:val="1EA1435B"/>
    <w:rsid w:val="1EA878FC"/>
    <w:rsid w:val="1EA88880"/>
    <w:rsid w:val="1EB27E48"/>
    <w:rsid w:val="1EB47AD2"/>
    <w:rsid w:val="1EBA89AE"/>
    <w:rsid w:val="1EBDA04C"/>
    <w:rsid w:val="1EBF3BA4"/>
    <w:rsid w:val="1EC09ABE"/>
    <w:rsid w:val="1EC79892"/>
    <w:rsid w:val="1EC8A07C"/>
    <w:rsid w:val="1ED157CB"/>
    <w:rsid w:val="1ED2C4BA"/>
    <w:rsid w:val="1EDF6EC5"/>
    <w:rsid w:val="1EE6570B"/>
    <w:rsid w:val="1EEF62F5"/>
    <w:rsid w:val="1EF565FA"/>
    <w:rsid w:val="1EF5BAEC"/>
    <w:rsid w:val="1F0582F3"/>
    <w:rsid w:val="1F068DAB"/>
    <w:rsid w:val="1F108882"/>
    <w:rsid w:val="1F12818E"/>
    <w:rsid w:val="1F140E22"/>
    <w:rsid w:val="1F173D0D"/>
    <w:rsid w:val="1F1AF6B3"/>
    <w:rsid w:val="1F1BF501"/>
    <w:rsid w:val="1F26E815"/>
    <w:rsid w:val="1F2A3CB0"/>
    <w:rsid w:val="1F2A8785"/>
    <w:rsid w:val="1F2EB23E"/>
    <w:rsid w:val="1F327260"/>
    <w:rsid w:val="1F3326C1"/>
    <w:rsid w:val="1F3458EF"/>
    <w:rsid w:val="1F3E04B8"/>
    <w:rsid w:val="1F3F2B6D"/>
    <w:rsid w:val="1F41BE8D"/>
    <w:rsid w:val="1F49B9FC"/>
    <w:rsid w:val="1F4E24CD"/>
    <w:rsid w:val="1F569615"/>
    <w:rsid w:val="1F573433"/>
    <w:rsid w:val="1F5A9F64"/>
    <w:rsid w:val="1F5AA7A1"/>
    <w:rsid w:val="1F6007BE"/>
    <w:rsid w:val="1F65E6DC"/>
    <w:rsid w:val="1F724AA6"/>
    <w:rsid w:val="1F7A4422"/>
    <w:rsid w:val="1F7D1D4D"/>
    <w:rsid w:val="1F8019F9"/>
    <w:rsid w:val="1F80C6B4"/>
    <w:rsid w:val="1F818BDA"/>
    <w:rsid w:val="1F81FDB3"/>
    <w:rsid w:val="1F8E7A61"/>
    <w:rsid w:val="1F8F32B1"/>
    <w:rsid w:val="1F8FEDA8"/>
    <w:rsid w:val="1F90214A"/>
    <w:rsid w:val="1F93C1A3"/>
    <w:rsid w:val="1F9639C9"/>
    <w:rsid w:val="1F980072"/>
    <w:rsid w:val="1FABF862"/>
    <w:rsid w:val="1FAD61B7"/>
    <w:rsid w:val="1FB3CFF9"/>
    <w:rsid w:val="1FB576C9"/>
    <w:rsid w:val="1FBA2EA3"/>
    <w:rsid w:val="1FC13502"/>
    <w:rsid w:val="1FC731C3"/>
    <w:rsid w:val="1FC9202E"/>
    <w:rsid w:val="1FCF7C06"/>
    <w:rsid w:val="1FD2C97C"/>
    <w:rsid w:val="1FDD948E"/>
    <w:rsid w:val="1FDDF495"/>
    <w:rsid w:val="1FE3C41A"/>
    <w:rsid w:val="1FE8141E"/>
    <w:rsid w:val="1FEA7DA7"/>
    <w:rsid w:val="1FEFD5CB"/>
    <w:rsid w:val="1FEFF069"/>
    <w:rsid w:val="1FF00BFA"/>
    <w:rsid w:val="1FF3A61B"/>
    <w:rsid w:val="1FFBD35E"/>
    <w:rsid w:val="2008F2BD"/>
    <w:rsid w:val="200B62E9"/>
    <w:rsid w:val="200D0F65"/>
    <w:rsid w:val="200E9AC8"/>
    <w:rsid w:val="2016A6D1"/>
    <w:rsid w:val="2018D313"/>
    <w:rsid w:val="201924BA"/>
    <w:rsid w:val="201A6660"/>
    <w:rsid w:val="2026B37D"/>
    <w:rsid w:val="202903B0"/>
    <w:rsid w:val="202933FA"/>
    <w:rsid w:val="202ABF19"/>
    <w:rsid w:val="203493C0"/>
    <w:rsid w:val="2034F0A7"/>
    <w:rsid w:val="20387140"/>
    <w:rsid w:val="203A9F43"/>
    <w:rsid w:val="203FD4ED"/>
    <w:rsid w:val="20402BA5"/>
    <w:rsid w:val="2040A966"/>
    <w:rsid w:val="204451E3"/>
    <w:rsid w:val="204BAD26"/>
    <w:rsid w:val="2050C050"/>
    <w:rsid w:val="205A3C67"/>
    <w:rsid w:val="205A4DBC"/>
    <w:rsid w:val="205ED5DD"/>
    <w:rsid w:val="2065FD77"/>
    <w:rsid w:val="206C68AD"/>
    <w:rsid w:val="20807D61"/>
    <w:rsid w:val="20828E39"/>
    <w:rsid w:val="2084EAFD"/>
    <w:rsid w:val="2091C49C"/>
    <w:rsid w:val="20925D91"/>
    <w:rsid w:val="2092B98F"/>
    <w:rsid w:val="2092FBB2"/>
    <w:rsid w:val="2095D280"/>
    <w:rsid w:val="20A002B4"/>
    <w:rsid w:val="20A20ACD"/>
    <w:rsid w:val="20A41276"/>
    <w:rsid w:val="20A41F86"/>
    <w:rsid w:val="20A46B8F"/>
    <w:rsid w:val="20A70989"/>
    <w:rsid w:val="20B52981"/>
    <w:rsid w:val="20BA54A3"/>
    <w:rsid w:val="20BDCDE9"/>
    <w:rsid w:val="20C515DA"/>
    <w:rsid w:val="20C7B070"/>
    <w:rsid w:val="20CA4F78"/>
    <w:rsid w:val="20CB54A7"/>
    <w:rsid w:val="20D1AF83"/>
    <w:rsid w:val="20D2D388"/>
    <w:rsid w:val="20D45133"/>
    <w:rsid w:val="20D5102E"/>
    <w:rsid w:val="20DD7D68"/>
    <w:rsid w:val="20E013D1"/>
    <w:rsid w:val="20E0F8DA"/>
    <w:rsid w:val="20E27B15"/>
    <w:rsid w:val="20E45635"/>
    <w:rsid w:val="20EDEEBE"/>
    <w:rsid w:val="20F572B8"/>
    <w:rsid w:val="21014C64"/>
    <w:rsid w:val="21032C27"/>
    <w:rsid w:val="2108BBB6"/>
    <w:rsid w:val="210A3636"/>
    <w:rsid w:val="210C2BA6"/>
    <w:rsid w:val="210D1420"/>
    <w:rsid w:val="210DA9E3"/>
    <w:rsid w:val="211E0A82"/>
    <w:rsid w:val="2122AEFD"/>
    <w:rsid w:val="21250F69"/>
    <w:rsid w:val="21277218"/>
    <w:rsid w:val="212A4B62"/>
    <w:rsid w:val="212FAADC"/>
    <w:rsid w:val="213344A9"/>
    <w:rsid w:val="2134FE47"/>
    <w:rsid w:val="21386A59"/>
    <w:rsid w:val="213A1E64"/>
    <w:rsid w:val="213A1E8D"/>
    <w:rsid w:val="2140BDAA"/>
    <w:rsid w:val="2141900A"/>
    <w:rsid w:val="2142BB0C"/>
    <w:rsid w:val="2143C212"/>
    <w:rsid w:val="21445C94"/>
    <w:rsid w:val="214728B5"/>
    <w:rsid w:val="214C3CA3"/>
    <w:rsid w:val="21504E20"/>
    <w:rsid w:val="21521386"/>
    <w:rsid w:val="21536C13"/>
    <w:rsid w:val="21566B41"/>
    <w:rsid w:val="2156CD4C"/>
    <w:rsid w:val="21637FDD"/>
    <w:rsid w:val="21695D48"/>
    <w:rsid w:val="216979EC"/>
    <w:rsid w:val="216A7600"/>
    <w:rsid w:val="216C171F"/>
    <w:rsid w:val="216ED355"/>
    <w:rsid w:val="2171816F"/>
    <w:rsid w:val="2171E91A"/>
    <w:rsid w:val="21741EFB"/>
    <w:rsid w:val="217B32E4"/>
    <w:rsid w:val="217B70B2"/>
    <w:rsid w:val="217D939E"/>
    <w:rsid w:val="217FDCC0"/>
    <w:rsid w:val="21848479"/>
    <w:rsid w:val="21888090"/>
    <w:rsid w:val="218AE509"/>
    <w:rsid w:val="218BC5EA"/>
    <w:rsid w:val="218BFA4D"/>
    <w:rsid w:val="218D395C"/>
    <w:rsid w:val="218E572D"/>
    <w:rsid w:val="21912A88"/>
    <w:rsid w:val="21922EDB"/>
    <w:rsid w:val="21935319"/>
    <w:rsid w:val="21956389"/>
    <w:rsid w:val="21963E24"/>
    <w:rsid w:val="21983EF2"/>
    <w:rsid w:val="219C614B"/>
    <w:rsid w:val="219D8C62"/>
    <w:rsid w:val="219F1C75"/>
    <w:rsid w:val="21A6BD75"/>
    <w:rsid w:val="21A9C557"/>
    <w:rsid w:val="21AD96F8"/>
    <w:rsid w:val="21B09F51"/>
    <w:rsid w:val="21B8577E"/>
    <w:rsid w:val="21BAA778"/>
    <w:rsid w:val="21BEBFA1"/>
    <w:rsid w:val="21CB744F"/>
    <w:rsid w:val="21CBDEEA"/>
    <w:rsid w:val="21CC7F61"/>
    <w:rsid w:val="21D490EA"/>
    <w:rsid w:val="21D567DE"/>
    <w:rsid w:val="21DD3C3C"/>
    <w:rsid w:val="21E079D9"/>
    <w:rsid w:val="21E65AF0"/>
    <w:rsid w:val="21F2D7E4"/>
    <w:rsid w:val="21F3B7F8"/>
    <w:rsid w:val="21F3EFE1"/>
    <w:rsid w:val="21F7F828"/>
    <w:rsid w:val="21F809EA"/>
    <w:rsid w:val="21F82985"/>
    <w:rsid w:val="21FD7194"/>
    <w:rsid w:val="21FF1B2A"/>
    <w:rsid w:val="22002CA1"/>
    <w:rsid w:val="22014C92"/>
    <w:rsid w:val="22016758"/>
    <w:rsid w:val="2205A322"/>
    <w:rsid w:val="22081D86"/>
    <w:rsid w:val="2208F446"/>
    <w:rsid w:val="220B2277"/>
    <w:rsid w:val="220BD4A0"/>
    <w:rsid w:val="220C0D27"/>
    <w:rsid w:val="220CC0F3"/>
    <w:rsid w:val="220D49CC"/>
    <w:rsid w:val="220DE531"/>
    <w:rsid w:val="2210E1D1"/>
    <w:rsid w:val="2210FF20"/>
    <w:rsid w:val="22130A45"/>
    <w:rsid w:val="2216851C"/>
    <w:rsid w:val="221C4130"/>
    <w:rsid w:val="221E8315"/>
    <w:rsid w:val="2221A361"/>
    <w:rsid w:val="22231419"/>
    <w:rsid w:val="22233493"/>
    <w:rsid w:val="22251096"/>
    <w:rsid w:val="2225B4A3"/>
    <w:rsid w:val="222991E7"/>
    <w:rsid w:val="2229EBB6"/>
    <w:rsid w:val="2230BFD0"/>
    <w:rsid w:val="2231AD7C"/>
    <w:rsid w:val="22321F30"/>
    <w:rsid w:val="2235C38D"/>
    <w:rsid w:val="223B2A07"/>
    <w:rsid w:val="2243697C"/>
    <w:rsid w:val="224810FA"/>
    <w:rsid w:val="2249CB80"/>
    <w:rsid w:val="224A94AC"/>
    <w:rsid w:val="224B20BA"/>
    <w:rsid w:val="224E1BC6"/>
    <w:rsid w:val="22521DE4"/>
    <w:rsid w:val="22574528"/>
    <w:rsid w:val="225991D1"/>
    <w:rsid w:val="225D96FB"/>
    <w:rsid w:val="225ED9B3"/>
    <w:rsid w:val="22663572"/>
    <w:rsid w:val="2273F4C3"/>
    <w:rsid w:val="227B1B8F"/>
    <w:rsid w:val="227B2945"/>
    <w:rsid w:val="227CB1AC"/>
    <w:rsid w:val="227FE066"/>
    <w:rsid w:val="2285E158"/>
    <w:rsid w:val="228912B9"/>
    <w:rsid w:val="228E573E"/>
    <w:rsid w:val="229050D0"/>
    <w:rsid w:val="229062B9"/>
    <w:rsid w:val="22912E15"/>
    <w:rsid w:val="22919EB6"/>
    <w:rsid w:val="2292BECE"/>
    <w:rsid w:val="2293B5C1"/>
    <w:rsid w:val="22A21EDA"/>
    <w:rsid w:val="22A2DA97"/>
    <w:rsid w:val="22A5B0CF"/>
    <w:rsid w:val="22A6D8B4"/>
    <w:rsid w:val="22AA1E15"/>
    <w:rsid w:val="22B03225"/>
    <w:rsid w:val="22B11C17"/>
    <w:rsid w:val="22B4D03D"/>
    <w:rsid w:val="22BB5348"/>
    <w:rsid w:val="22BCD24E"/>
    <w:rsid w:val="22BDA9FA"/>
    <w:rsid w:val="22C10B5C"/>
    <w:rsid w:val="22C3EB09"/>
    <w:rsid w:val="22C4E5E8"/>
    <w:rsid w:val="22C9011E"/>
    <w:rsid w:val="22CB2DDD"/>
    <w:rsid w:val="22CBDA99"/>
    <w:rsid w:val="22CDC277"/>
    <w:rsid w:val="22D42FF1"/>
    <w:rsid w:val="22D64ED1"/>
    <w:rsid w:val="22D65249"/>
    <w:rsid w:val="22DC8E8C"/>
    <w:rsid w:val="22E2FA18"/>
    <w:rsid w:val="22E50CBD"/>
    <w:rsid w:val="22E64E92"/>
    <w:rsid w:val="22E90134"/>
    <w:rsid w:val="22FC52B6"/>
    <w:rsid w:val="2300B883"/>
    <w:rsid w:val="2300EB23"/>
    <w:rsid w:val="23030FFB"/>
    <w:rsid w:val="230F6F33"/>
    <w:rsid w:val="23149E45"/>
    <w:rsid w:val="23172800"/>
    <w:rsid w:val="231F20A3"/>
    <w:rsid w:val="2325DB9F"/>
    <w:rsid w:val="2326AF44"/>
    <w:rsid w:val="232AE508"/>
    <w:rsid w:val="2331EF45"/>
    <w:rsid w:val="233D8634"/>
    <w:rsid w:val="233D8E5D"/>
    <w:rsid w:val="233E8A3C"/>
    <w:rsid w:val="234858B8"/>
    <w:rsid w:val="234E1918"/>
    <w:rsid w:val="234E3E03"/>
    <w:rsid w:val="23539B3A"/>
    <w:rsid w:val="23541C79"/>
    <w:rsid w:val="2354EA59"/>
    <w:rsid w:val="23557138"/>
    <w:rsid w:val="235B0F85"/>
    <w:rsid w:val="235B8177"/>
    <w:rsid w:val="235FBD6C"/>
    <w:rsid w:val="2360131B"/>
    <w:rsid w:val="2361A205"/>
    <w:rsid w:val="2366D59F"/>
    <w:rsid w:val="2367D29D"/>
    <w:rsid w:val="2369142C"/>
    <w:rsid w:val="23691DCC"/>
    <w:rsid w:val="236C28AD"/>
    <w:rsid w:val="236C83C4"/>
    <w:rsid w:val="236E2213"/>
    <w:rsid w:val="236FC44E"/>
    <w:rsid w:val="237092A0"/>
    <w:rsid w:val="2378F587"/>
    <w:rsid w:val="237B6F3C"/>
    <w:rsid w:val="237E4918"/>
    <w:rsid w:val="23817F4E"/>
    <w:rsid w:val="23896142"/>
    <w:rsid w:val="238EA483"/>
    <w:rsid w:val="2390A15F"/>
    <w:rsid w:val="2395D778"/>
    <w:rsid w:val="23965845"/>
    <w:rsid w:val="239A03A2"/>
    <w:rsid w:val="239BC541"/>
    <w:rsid w:val="239C0433"/>
    <w:rsid w:val="239F03D5"/>
    <w:rsid w:val="23A4697D"/>
    <w:rsid w:val="23A5C2DA"/>
    <w:rsid w:val="23B0E7AC"/>
    <w:rsid w:val="23B4AB2D"/>
    <w:rsid w:val="23B90E0D"/>
    <w:rsid w:val="23BAD18D"/>
    <w:rsid w:val="23BFCE1C"/>
    <w:rsid w:val="23C55BAD"/>
    <w:rsid w:val="23C6AD69"/>
    <w:rsid w:val="23CEB490"/>
    <w:rsid w:val="23D07CF7"/>
    <w:rsid w:val="23D12044"/>
    <w:rsid w:val="23D289D1"/>
    <w:rsid w:val="23DA5CC2"/>
    <w:rsid w:val="23DBE7CC"/>
    <w:rsid w:val="23E05CEC"/>
    <w:rsid w:val="23E7CFCA"/>
    <w:rsid w:val="23E80C14"/>
    <w:rsid w:val="23EDFBCC"/>
    <w:rsid w:val="23EE032F"/>
    <w:rsid w:val="23EE9DD8"/>
    <w:rsid w:val="23EEE8FE"/>
    <w:rsid w:val="23EF019D"/>
    <w:rsid w:val="23F2CD85"/>
    <w:rsid w:val="23F683C7"/>
    <w:rsid w:val="23F8B026"/>
    <w:rsid w:val="2400926F"/>
    <w:rsid w:val="24099B57"/>
    <w:rsid w:val="240CADEA"/>
    <w:rsid w:val="240EE9A9"/>
    <w:rsid w:val="2410BF50"/>
    <w:rsid w:val="2411F4C3"/>
    <w:rsid w:val="24157BE4"/>
    <w:rsid w:val="2417FD26"/>
    <w:rsid w:val="241CF147"/>
    <w:rsid w:val="241E6092"/>
    <w:rsid w:val="24232C79"/>
    <w:rsid w:val="2426CC39"/>
    <w:rsid w:val="242C691B"/>
    <w:rsid w:val="2438EB3C"/>
    <w:rsid w:val="243BC811"/>
    <w:rsid w:val="244052FD"/>
    <w:rsid w:val="24412A95"/>
    <w:rsid w:val="24515367"/>
    <w:rsid w:val="24533AB7"/>
    <w:rsid w:val="24538A1E"/>
    <w:rsid w:val="24563C75"/>
    <w:rsid w:val="2459F2F4"/>
    <w:rsid w:val="245D85F2"/>
    <w:rsid w:val="246B2D0B"/>
    <w:rsid w:val="246B816A"/>
    <w:rsid w:val="246DEA0D"/>
    <w:rsid w:val="247229A9"/>
    <w:rsid w:val="2477A1E1"/>
    <w:rsid w:val="247918D4"/>
    <w:rsid w:val="247F527A"/>
    <w:rsid w:val="24850ADA"/>
    <w:rsid w:val="24883A71"/>
    <w:rsid w:val="24890B68"/>
    <w:rsid w:val="248A155F"/>
    <w:rsid w:val="248D702B"/>
    <w:rsid w:val="2496A5DD"/>
    <w:rsid w:val="249935B6"/>
    <w:rsid w:val="24A1A879"/>
    <w:rsid w:val="24A606C6"/>
    <w:rsid w:val="24A85095"/>
    <w:rsid w:val="24ACE9B7"/>
    <w:rsid w:val="24AD1F5A"/>
    <w:rsid w:val="24AD2B43"/>
    <w:rsid w:val="24B07A46"/>
    <w:rsid w:val="24B1CD15"/>
    <w:rsid w:val="24B2CA51"/>
    <w:rsid w:val="24BB0AC3"/>
    <w:rsid w:val="24C0B7D7"/>
    <w:rsid w:val="24C0C210"/>
    <w:rsid w:val="24C44D9A"/>
    <w:rsid w:val="24CCB41B"/>
    <w:rsid w:val="24CD12AF"/>
    <w:rsid w:val="24D173E3"/>
    <w:rsid w:val="24D20A7E"/>
    <w:rsid w:val="24D641AB"/>
    <w:rsid w:val="24D7259F"/>
    <w:rsid w:val="24DD2CFB"/>
    <w:rsid w:val="24E08012"/>
    <w:rsid w:val="24E12F5E"/>
    <w:rsid w:val="24E7A580"/>
    <w:rsid w:val="24ED5158"/>
    <w:rsid w:val="24F7E184"/>
    <w:rsid w:val="24FA3A4F"/>
    <w:rsid w:val="24FB71C3"/>
    <w:rsid w:val="24FBC7BA"/>
    <w:rsid w:val="250F28C1"/>
    <w:rsid w:val="2514872A"/>
    <w:rsid w:val="2515A08C"/>
    <w:rsid w:val="251A4960"/>
    <w:rsid w:val="25206A44"/>
    <w:rsid w:val="25210602"/>
    <w:rsid w:val="25231A1B"/>
    <w:rsid w:val="25278FE3"/>
    <w:rsid w:val="2531073F"/>
    <w:rsid w:val="25387F30"/>
    <w:rsid w:val="25421B11"/>
    <w:rsid w:val="2544E79F"/>
    <w:rsid w:val="2548A1FD"/>
    <w:rsid w:val="254A4206"/>
    <w:rsid w:val="254ADDE1"/>
    <w:rsid w:val="254D7297"/>
    <w:rsid w:val="254E9261"/>
    <w:rsid w:val="254FEC60"/>
    <w:rsid w:val="25551B38"/>
    <w:rsid w:val="25570841"/>
    <w:rsid w:val="25600FDA"/>
    <w:rsid w:val="25637E32"/>
    <w:rsid w:val="2565BA90"/>
    <w:rsid w:val="256C71D6"/>
    <w:rsid w:val="256E5B4D"/>
    <w:rsid w:val="25737FD2"/>
    <w:rsid w:val="25746EE4"/>
    <w:rsid w:val="2578BEC2"/>
    <w:rsid w:val="2579B127"/>
    <w:rsid w:val="257A852F"/>
    <w:rsid w:val="257DA54A"/>
    <w:rsid w:val="257FADBB"/>
    <w:rsid w:val="25807CC0"/>
    <w:rsid w:val="25813182"/>
    <w:rsid w:val="258949F7"/>
    <w:rsid w:val="258E9C5F"/>
    <w:rsid w:val="2596592A"/>
    <w:rsid w:val="259AFE22"/>
    <w:rsid w:val="25A0EC72"/>
    <w:rsid w:val="25A54A02"/>
    <w:rsid w:val="25B81D56"/>
    <w:rsid w:val="25B88D5C"/>
    <w:rsid w:val="25BC582C"/>
    <w:rsid w:val="25C50FBB"/>
    <w:rsid w:val="25C54E76"/>
    <w:rsid w:val="25D05732"/>
    <w:rsid w:val="25D1ACA9"/>
    <w:rsid w:val="25D1EC2F"/>
    <w:rsid w:val="25D2883B"/>
    <w:rsid w:val="25D37AD9"/>
    <w:rsid w:val="25D43EAE"/>
    <w:rsid w:val="25DA855F"/>
    <w:rsid w:val="25DCEE3F"/>
    <w:rsid w:val="25DD0BBB"/>
    <w:rsid w:val="25DDE893"/>
    <w:rsid w:val="25DEEBED"/>
    <w:rsid w:val="25E41BE2"/>
    <w:rsid w:val="25E600C7"/>
    <w:rsid w:val="25E75999"/>
    <w:rsid w:val="25E89EAA"/>
    <w:rsid w:val="25EDC337"/>
    <w:rsid w:val="25F1D20F"/>
    <w:rsid w:val="25FF1670"/>
    <w:rsid w:val="25FFACCF"/>
    <w:rsid w:val="26028AB0"/>
    <w:rsid w:val="2604411F"/>
    <w:rsid w:val="260DDF3B"/>
    <w:rsid w:val="260E8993"/>
    <w:rsid w:val="260F0E07"/>
    <w:rsid w:val="2615BCCB"/>
    <w:rsid w:val="261779F5"/>
    <w:rsid w:val="26196AFF"/>
    <w:rsid w:val="2619D673"/>
    <w:rsid w:val="261CAACA"/>
    <w:rsid w:val="26203278"/>
    <w:rsid w:val="26235626"/>
    <w:rsid w:val="26240497"/>
    <w:rsid w:val="262B9ADA"/>
    <w:rsid w:val="262C0004"/>
    <w:rsid w:val="262DE10A"/>
    <w:rsid w:val="263A6D1B"/>
    <w:rsid w:val="263C70D5"/>
    <w:rsid w:val="263F466D"/>
    <w:rsid w:val="264BE38F"/>
    <w:rsid w:val="264C5DE7"/>
    <w:rsid w:val="26506AC2"/>
    <w:rsid w:val="2651747B"/>
    <w:rsid w:val="265AAB13"/>
    <w:rsid w:val="265C2A3B"/>
    <w:rsid w:val="265D92D1"/>
    <w:rsid w:val="2661FFCA"/>
    <w:rsid w:val="26630921"/>
    <w:rsid w:val="266E7990"/>
    <w:rsid w:val="2676E03E"/>
    <w:rsid w:val="267BC3BC"/>
    <w:rsid w:val="268044DF"/>
    <w:rsid w:val="26827107"/>
    <w:rsid w:val="2689DEEB"/>
    <w:rsid w:val="269AD9AD"/>
    <w:rsid w:val="269B47AD"/>
    <w:rsid w:val="269F9905"/>
    <w:rsid w:val="26A057F3"/>
    <w:rsid w:val="26A1853E"/>
    <w:rsid w:val="26A28061"/>
    <w:rsid w:val="26A658AD"/>
    <w:rsid w:val="26AA08A5"/>
    <w:rsid w:val="26AD0ED8"/>
    <w:rsid w:val="26AD811F"/>
    <w:rsid w:val="26AFF181"/>
    <w:rsid w:val="26B3D376"/>
    <w:rsid w:val="26B497BB"/>
    <w:rsid w:val="26C2363A"/>
    <w:rsid w:val="26C72FA0"/>
    <w:rsid w:val="26CBCADA"/>
    <w:rsid w:val="26CC1F47"/>
    <w:rsid w:val="26CE29FF"/>
    <w:rsid w:val="26D1597E"/>
    <w:rsid w:val="26D18268"/>
    <w:rsid w:val="26D1CD7F"/>
    <w:rsid w:val="26D7A0F2"/>
    <w:rsid w:val="26DAD49F"/>
    <w:rsid w:val="26DD42F8"/>
    <w:rsid w:val="26DE34B0"/>
    <w:rsid w:val="26E38CA6"/>
    <w:rsid w:val="26E76060"/>
    <w:rsid w:val="26E7A1E8"/>
    <w:rsid w:val="26F5B911"/>
    <w:rsid w:val="26F70DC6"/>
    <w:rsid w:val="26FD434E"/>
    <w:rsid w:val="270E9F48"/>
    <w:rsid w:val="270EC9B6"/>
    <w:rsid w:val="2716C91C"/>
    <w:rsid w:val="271CDEA5"/>
    <w:rsid w:val="271DF57F"/>
    <w:rsid w:val="2720AF73"/>
    <w:rsid w:val="27255E5A"/>
    <w:rsid w:val="2727D3F8"/>
    <w:rsid w:val="27294B82"/>
    <w:rsid w:val="272EFE86"/>
    <w:rsid w:val="273090DE"/>
    <w:rsid w:val="27382CC7"/>
    <w:rsid w:val="273D2351"/>
    <w:rsid w:val="2740228C"/>
    <w:rsid w:val="274C36EE"/>
    <w:rsid w:val="274E89ED"/>
    <w:rsid w:val="274FAA6A"/>
    <w:rsid w:val="274FDE2E"/>
    <w:rsid w:val="275163BC"/>
    <w:rsid w:val="27575D2F"/>
    <w:rsid w:val="2757E2E8"/>
    <w:rsid w:val="275D7D6C"/>
    <w:rsid w:val="2760E161"/>
    <w:rsid w:val="276331AE"/>
    <w:rsid w:val="27663FDC"/>
    <w:rsid w:val="276CD491"/>
    <w:rsid w:val="276E7CF7"/>
    <w:rsid w:val="276FC876"/>
    <w:rsid w:val="27752AA8"/>
    <w:rsid w:val="2775883B"/>
    <w:rsid w:val="27768DFE"/>
    <w:rsid w:val="277AC5E7"/>
    <w:rsid w:val="2786535B"/>
    <w:rsid w:val="278DE485"/>
    <w:rsid w:val="278E0580"/>
    <w:rsid w:val="2794CFD7"/>
    <w:rsid w:val="27964C53"/>
    <w:rsid w:val="2797601C"/>
    <w:rsid w:val="279BA084"/>
    <w:rsid w:val="279CF9C4"/>
    <w:rsid w:val="27A3E39E"/>
    <w:rsid w:val="27A6259E"/>
    <w:rsid w:val="27AC6940"/>
    <w:rsid w:val="27AD0393"/>
    <w:rsid w:val="27B64B5D"/>
    <w:rsid w:val="27B70E29"/>
    <w:rsid w:val="27BA4F46"/>
    <w:rsid w:val="27BA5661"/>
    <w:rsid w:val="27BAACBB"/>
    <w:rsid w:val="27BF15FD"/>
    <w:rsid w:val="27BFC268"/>
    <w:rsid w:val="27BFE8E2"/>
    <w:rsid w:val="27C4BDA5"/>
    <w:rsid w:val="27CEA0F8"/>
    <w:rsid w:val="27DE9F96"/>
    <w:rsid w:val="27E181E4"/>
    <w:rsid w:val="27E2A58E"/>
    <w:rsid w:val="27E43647"/>
    <w:rsid w:val="27E65CD3"/>
    <w:rsid w:val="27E74508"/>
    <w:rsid w:val="27F75298"/>
    <w:rsid w:val="27FFDD91"/>
    <w:rsid w:val="2804F671"/>
    <w:rsid w:val="2806E3B7"/>
    <w:rsid w:val="28098CF5"/>
    <w:rsid w:val="28109450"/>
    <w:rsid w:val="2815AA16"/>
    <w:rsid w:val="281B7FAD"/>
    <w:rsid w:val="2827F354"/>
    <w:rsid w:val="282A8F85"/>
    <w:rsid w:val="282BE50C"/>
    <w:rsid w:val="282C35CA"/>
    <w:rsid w:val="282D2E5B"/>
    <w:rsid w:val="282D71CF"/>
    <w:rsid w:val="28300CE5"/>
    <w:rsid w:val="2830C303"/>
    <w:rsid w:val="283196B5"/>
    <w:rsid w:val="28332E4E"/>
    <w:rsid w:val="2835348E"/>
    <w:rsid w:val="2835ED12"/>
    <w:rsid w:val="28427AD6"/>
    <w:rsid w:val="2843B064"/>
    <w:rsid w:val="28457E19"/>
    <w:rsid w:val="2846E7FF"/>
    <w:rsid w:val="2848DCAC"/>
    <w:rsid w:val="284B2283"/>
    <w:rsid w:val="284D64E8"/>
    <w:rsid w:val="284D6E82"/>
    <w:rsid w:val="285088D1"/>
    <w:rsid w:val="28565683"/>
    <w:rsid w:val="2857416F"/>
    <w:rsid w:val="28598467"/>
    <w:rsid w:val="285A771E"/>
    <w:rsid w:val="285AE49F"/>
    <w:rsid w:val="28603964"/>
    <w:rsid w:val="28617F00"/>
    <w:rsid w:val="28723A85"/>
    <w:rsid w:val="2876084B"/>
    <w:rsid w:val="2878AA93"/>
    <w:rsid w:val="287D8C33"/>
    <w:rsid w:val="287FBAA3"/>
    <w:rsid w:val="28868B42"/>
    <w:rsid w:val="288C86E1"/>
    <w:rsid w:val="288FB252"/>
    <w:rsid w:val="2890E740"/>
    <w:rsid w:val="28953430"/>
    <w:rsid w:val="289DC991"/>
    <w:rsid w:val="289DE71D"/>
    <w:rsid w:val="289F3607"/>
    <w:rsid w:val="28A41C24"/>
    <w:rsid w:val="28AA9981"/>
    <w:rsid w:val="28B24E7C"/>
    <w:rsid w:val="28B858E3"/>
    <w:rsid w:val="28B9C5C1"/>
    <w:rsid w:val="28BA10EA"/>
    <w:rsid w:val="28C5FB99"/>
    <w:rsid w:val="28CB16A1"/>
    <w:rsid w:val="28D13C61"/>
    <w:rsid w:val="28D6BFD4"/>
    <w:rsid w:val="28DEECA1"/>
    <w:rsid w:val="28DFDD4B"/>
    <w:rsid w:val="28E6262A"/>
    <w:rsid w:val="28EDB8D1"/>
    <w:rsid w:val="28F0FD16"/>
    <w:rsid w:val="28F25515"/>
    <w:rsid w:val="28F936BA"/>
    <w:rsid w:val="28FEC84D"/>
    <w:rsid w:val="29036D72"/>
    <w:rsid w:val="29083D35"/>
    <w:rsid w:val="2909BAF5"/>
    <w:rsid w:val="2909CCA4"/>
    <w:rsid w:val="290E8B73"/>
    <w:rsid w:val="290F2578"/>
    <w:rsid w:val="29165B5F"/>
    <w:rsid w:val="291750C8"/>
    <w:rsid w:val="29175802"/>
    <w:rsid w:val="291F06FE"/>
    <w:rsid w:val="2929F787"/>
    <w:rsid w:val="292A79BE"/>
    <w:rsid w:val="2933AC6E"/>
    <w:rsid w:val="29367D92"/>
    <w:rsid w:val="293AD1A1"/>
    <w:rsid w:val="293B3B47"/>
    <w:rsid w:val="293E2F1D"/>
    <w:rsid w:val="293E7A7E"/>
    <w:rsid w:val="2940A444"/>
    <w:rsid w:val="2948D01A"/>
    <w:rsid w:val="294A4537"/>
    <w:rsid w:val="294ECE7A"/>
    <w:rsid w:val="295133DE"/>
    <w:rsid w:val="29515D10"/>
    <w:rsid w:val="29599CFB"/>
    <w:rsid w:val="295AFC43"/>
    <w:rsid w:val="295B18E0"/>
    <w:rsid w:val="296186C9"/>
    <w:rsid w:val="29638F3F"/>
    <w:rsid w:val="296D9134"/>
    <w:rsid w:val="29729A25"/>
    <w:rsid w:val="29771E92"/>
    <w:rsid w:val="297B3C11"/>
    <w:rsid w:val="297BCD36"/>
    <w:rsid w:val="297DC045"/>
    <w:rsid w:val="2986A48D"/>
    <w:rsid w:val="2987D757"/>
    <w:rsid w:val="2988977C"/>
    <w:rsid w:val="29929069"/>
    <w:rsid w:val="2997CC5D"/>
    <w:rsid w:val="29A426F8"/>
    <w:rsid w:val="29A6783F"/>
    <w:rsid w:val="29A67B71"/>
    <w:rsid w:val="29AD0533"/>
    <w:rsid w:val="29AFB3A0"/>
    <w:rsid w:val="29B20110"/>
    <w:rsid w:val="29B4C551"/>
    <w:rsid w:val="29B82C63"/>
    <w:rsid w:val="29BAE7DF"/>
    <w:rsid w:val="29BEEF09"/>
    <w:rsid w:val="29D09EF9"/>
    <w:rsid w:val="29D283D2"/>
    <w:rsid w:val="29D2FF5D"/>
    <w:rsid w:val="29E9E421"/>
    <w:rsid w:val="29F0D568"/>
    <w:rsid w:val="29F26263"/>
    <w:rsid w:val="29F92CFD"/>
    <w:rsid w:val="29FA8F62"/>
    <w:rsid w:val="29FA9BCD"/>
    <w:rsid w:val="2A02FE53"/>
    <w:rsid w:val="2A095012"/>
    <w:rsid w:val="2A0BD8E5"/>
    <w:rsid w:val="2A0DCA49"/>
    <w:rsid w:val="2A1012FA"/>
    <w:rsid w:val="2A10EF28"/>
    <w:rsid w:val="2A1126C6"/>
    <w:rsid w:val="2A157DED"/>
    <w:rsid w:val="2A1A5788"/>
    <w:rsid w:val="2A1DB07D"/>
    <w:rsid w:val="2A216230"/>
    <w:rsid w:val="2A21D179"/>
    <w:rsid w:val="2A28518D"/>
    <w:rsid w:val="2A287816"/>
    <w:rsid w:val="2A2B594D"/>
    <w:rsid w:val="2A2C063D"/>
    <w:rsid w:val="2A2E3C89"/>
    <w:rsid w:val="2A2FFF1C"/>
    <w:rsid w:val="2A33F61B"/>
    <w:rsid w:val="2A372659"/>
    <w:rsid w:val="2A405EC8"/>
    <w:rsid w:val="2A448AB0"/>
    <w:rsid w:val="2A4A4710"/>
    <w:rsid w:val="2A5097D6"/>
    <w:rsid w:val="2A53EB5C"/>
    <w:rsid w:val="2A545204"/>
    <w:rsid w:val="2A5580F0"/>
    <w:rsid w:val="2A5A946A"/>
    <w:rsid w:val="2A62373F"/>
    <w:rsid w:val="2A6700BE"/>
    <w:rsid w:val="2A67229D"/>
    <w:rsid w:val="2A74A7E1"/>
    <w:rsid w:val="2A76818E"/>
    <w:rsid w:val="2A773131"/>
    <w:rsid w:val="2A784985"/>
    <w:rsid w:val="2A7D3969"/>
    <w:rsid w:val="2A830B7E"/>
    <w:rsid w:val="2A84D742"/>
    <w:rsid w:val="2A8C2A89"/>
    <w:rsid w:val="2A8CCE1E"/>
    <w:rsid w:val="2A8FF0AD"/>
    <w:rsid w:val="2A9230DE"/>
    <w:rsid w:val="2A945875"/>
    <w:rsid w:val="2A94A993"/>
    <w:rsid w:val="2A94D855"/>
    <w:rsid w:val="2A970B5C"/>
    <w:rsid w:val="2A97B93C"/>
    <w:rsid w:val="2A9C08F2"/>
    <w:rsid w:val="2A9DF1F3"/>
    <w:rsid w:val="2AA36B98"/>
    <w:rsid w:val="2AA4A689"/>
    <w:rsid w:val="2AA74D9D"/>
    <w:rsid w:val="2AA867BD"/>
    <w:rsid w:val="2AA9B0DB"/>
    <w:rsid w:val="2AAB97CC"/>
    <w:rsid w:val="2AB224E0"/>
    <w:rsid w:val="2AB36BF8"/>
    <w:rsid w:val="2AB39B37"/>
    <w:rsid w:val="2AB3A80E"/>
    <w:rsid w:val="2AB3FDAD"/>
    <w:rsid w:val="2AB8963D"/>
    <w:rsid w:val="2ABBB666"/>
    <w:rsid w:val="2ABE88C0"/>
    <w:rsid w:val="2AC31AE9"/>
    <w:rsid w:val="2AC8D4E0"/>
    <w:rsid w:val="2AD66101"/>
    <w:rsid w:val="2AD6CF3A"/>
    <w:rsid w:val="2ADD911B"/>
    <w:rsid w:val="2AE25FF8"/>
    <w:rsid w:val="2AE2A386"/>
    <w:rsid w:val="2AE561CC"/>
    <w:rsid w:val="2AE5C639"/>
    <w:rsid w:val="2AEF346D"/>
    <w:rsid w:val="2AF12F07"/>
    <w:rsid w:val="2B005C3F"/>
    <w:rsid w:val="2B033C7F"/>
    <w:rsid w:val="2B07B633"/>
    <w:rsid w:val="2B0E56B5"/>
    <w:rsid w:val="2B1036C9"/>
    <w:rsid w:val="2B151E1E"/>
    <w:rsid w:val="2B18B4B7"/>
    <w:rsid w:val="2B1C006C"/>
    <w:rsid w:val="2B1C3838"/>
    <w:rsid w:val="2B1D41F2"/>
    <w:rsid w:val="2B1FC665"/>
    <w:rsid w:val="2B2780BE"/>
    <w:rsid w:val="2B2A115B"/>
    <w:rsid w:val="2B2F43E5"/>
    <w:rsid w:val="2B3A7A63"/>
    <w:rsid w:val="2B3DCBAB"/>
    <w:rsid w:val="2B462AE3"/>
    <w:rsid w:val="2B4664FE"/>
    <w:rsid w:val="2B485FE1"/>
    <w:rsid w:val="2B49DCBF"/>
    <w:rsid w:val="2B4A92BC"/>
    <w:rsid w:val="2B51B71C"/>
    <w:rsid w:val="2B5DD35F"/>
    <w:rsid w:val="2B617552"/>
    <w:rsid w:val="2B624289"/>
    <w:rsid w:val="2B6487F1"/>
    <w:rsid w:val="2B6ADF7F"/>
    <w:rsid w:val="2B7050D0"/>
    <w:rsid w:val="2B743397"/>
    <w:rsid w:val="2B7836E6"/>
    <w:rsid w:val="2B79BC14"/>
    <w:rsid w:val="2B7F4D0D"/>
    <w:rsid w:val="2B7F8924"/>
    <w:rsid w:val="2B8061ED"/>
    <w:rsid w:val="2B86C8FC"/>
    <w:rsid w:val="2B87046E"/>
    <w:rsid w:val="2B90A465"/>
    <w:rsid w:val="2B92276A"/>
    <w:rsid w:val="2B9D4A67"/>
    <w:rsid w:val="2B9E3350"/>
    <w:rsid w:val="2B9FDCC5"/>
    <w:rsid w:val="2BA12DE2"/>
    <w:rsid w:val="2BA26657"/>
    <w:rsid w:val="2BAAA968"/>
    <w:rsid w:val="2BAD4F42"/>
    <w:rsid w:val="2BB21BB1"/>
    <w:rsid w:val="2BB37934"/>
    <w:rsid w:val="2BB43BC4"/>
    <w:rsid w:val="2BB603D9"/>
    <w:rsid w:val="2BB90787"/>
    <w:rsid w:val="2BBC3259"/>
    <w:rsid w:val="2BC1CCA0"/>
    <w:rsid w:val="2BC6E6E5"/>
    <w:rsid w:val="2BCD9C3A"/>
    <w:rsid w:val="2BCE93DB"/>
    <w:rsid w:val="2BD02F7A"/>
    <w:rsid w:val="2BD2D835"/>
    <w:rsid w:val="2BD54969"/>
    <w:rsid w:val="2BD71CF4"/>
    <w:rsid w:val="2BD8EAED"/>
    <w:rsid w:val="2BD935AF"/>
    <w:rsid w:val="2BD9C53B"/>
    <w:rsid w:val="2BE0BF73"/>
    <w:rsid w:val="2BE1B3F6"/>
    <w:rsid w:val="2BEE4FBA"/>
    <w:rsid w:val="2BF243EF"/>
    <w:rsid w:val="2BF5F223"/>
    <w:rsid w:val="2BF85363"/>
    <w:rsid w:val="2BF96671"/>
    <w:rsid w:val="2BFA1C0B"/>
    <w:rsid w:val="2BFB35EC"/>
    <w:rsid w:val="2BFCF65F"/>
    <w:rsid w:val="2BFE46C6"/>
    <w:rsid w:val="2C0055C6"/>
    <w:rsid w:val="2C0B29CC"/>
    <w:rsid w:val="2C0C1D88"/>
    <w:rsid w:val="2C0FAB38"/>
    <w:rsid w:val="2C10026B"/>
    <w:rsid w:val="2C15C230"/>
    <w:rsid w:val="2C165E40"/>
    <w:rsid w:val="2C1897F5"/>
    <w:rsid w:val="2C18C3F2"/>
    <w:rsid w:val="2C1A71F1"/>
    <w:rsid w:val="2C1CAB17"/>
    <w:rsid w:val="2C1FF427"/>
    <w:rsid w:val="2C23D30F"/>
    <w:rsid w:val="2C260AC1"/>
    <w:rsid w:val="2C3018A9"/>
    <w:rsid w:val="2C327FFF"/>
    <w:rsid w:val="2C36596C"/>
    <w:rsid w:val="2C3FFF03"/>
    <w:rsid w:val="2C4B0CF2"/>
    <w:rsid w:val="2C4B0EAD"/>
    <w:rsid w:val="2C4D90CB"/>
    <w:rsid w:val="2C51DDE7"/>
    <w:rsid w:val="2C535C58"/>
    <w:rsid w:val="2C5C854C"/>
    <w:rsid w:val="2C5F2ABD"/>
    <w:rsid w:val="2C5FD045"/>
    <w:rsid w:val="2C68F932"/>
    <w:rsid w:val="2C6ABB6C"/>
    <w:rsid w:val="2C6B26C1"/>
    <w:rsid w:val="2C6B961D"/>
    <w:rsid w:val="2C6DD671"/>
    <w:rsid w:val="2C70453F"/>
    <w:rsid w:val="2C726323"/>
    <w:rsid w:val="2C80E74B"/>
    <w:rsid w:val="2C817085"/>
    <w:rsid w:val="2C8B2E3A"/>
    <w:rsid w:val="2C8E47CB"/>
    <w:rsid w:val="2C92F945"/>
    <w:rsid w:val="2C963515"/>
    <w:rsid w:val="2CA53093"/>
    <w:rsid w:val="2CAB6532"/>
    <w:rsid w:val="2CAD91AE"/>
    <w:rsid w:val="2CB19F14"/>
    <w:rsid w:val="2CB31DBF"/>
    <w:rsid w:val="2CBB1C25"/>
    <w:rsid w:val="2CC24E76"/>
    <w:rsid w:val="2CC59A3B"/>
    <w:rsid w:val="2CC72698"/>
    <w:rsid w:val="2CC75FD6"/>
    <w:rsid w:val="2CCACCFF"/>
    <w:rsid w:val="2CCB76D1"/>
    <w:rsid w:val="2CCEEED1"/>
    <w:rsid w:val="2CD7BAC4"/>
    <w:rsid w:val="2CD7BDEA"/>
    <w:rsid w:val="2CDC2F5F"/>
    <w:rsid w:val="2CDEF686"/>
    <w:rsid w:val="2CE1CA90"/>
    <w:rsid w:val="2CE2F30C"/>
    <w:rsid w:val="2CE31CFE"/>
    <w:rsid w:val="2CEB9FA1"/>
    <w:rsid w:val="2CEF8144"/>
    <w:rsid w:val="2CF03903"/>
    <w:rsid w:val="2CF03A71"/>
    <w:rsid w:val="2CF463A9"/>
    <w:rsid w:val="2CF4A30C"/>
    <w:rsid w:val="2CF9E2FF"/>
    <w:rsid w:val="2D01CAB5"/>
    <w:rsid w:val="2D0C1092"/>
    <w:rsid w:val="2D1131DC"/>
    <w:rsid w:val="2D1171D0"/>
    <w:rsid w:val="2D1439A1"/>
    <w:rsid w:val="2D15384A"/>
    <w:rsid w:val="2D1B519D"/>
    <w:rsid w:val="2D1E73B6"/>
    <w:rsid w:val="2D1EE267"/>
    <w:rsid w:val="2D1EED36"/>
    <w:rsid w:val="2D26C448"/>
    <w:rsid w:val="2D28FD0F"/>
    <w:rsid w:val="2D29B26D"/>
    <w:rsid w:val="2D2C92A2"/>
    <w:rsid w:val="2D30CE4B"/>
    <w:rsid w:val="2D35C226"/>
    <w:rsid w:val="2D3D55AF"/>
    <w:rsid w:val="2D3D8236"/>
    <w:rsid w:val="2D3E0B5F"/>
    <w:rsid w:val="2D445CEC"/>
    <w:rsid w:val="2D4BFB92"/>
    <w:rsid w:val="2D4CCCF2"/>
    <w:rsid w:val="2D4DA908"/>
    <w:rsid w:val="2D4F12D6"/>
    <w:rsid w:val="2D506C9E"/>
    <w:rsid w:val="2D51FB5C"/>
    <w:rsid w:val="2D55BC5B"/>
    <w:rsid w:val="2D5B03ED"/>
    <w:rsid w:val="2D5DA47C"/>
    <w:rsid w:val="2D632AE6"/>
    <w:rsid w:val="2D639F20"/>
    <w:rsid w:val="2D65AFEE"/>
    <w:rsid w:val="2D68A350"/>
    <w:rsid w:val="2D6F55FD"/>
    <w:rsid w:val="2D71500A"/>
    <w:rsid w:val="2D73EB68"/>
    <w:rsid w:val="2D741F46"/>
    <w:rsid w:val="2D7AB1B9"/>
    <w:rsid w:val="2D7BD92F"/>
    <w:rsid w:val="2D7C17F9"/>
    <w:rsid w:val="2D8157F3"/>
    <w:rsid w:val="2D8C3D7B"/>
    <w:rsid w:val="2D8DE419"/>
    <w:rsid w:val="2D92F416"/>
    <w:rsid w:val="2DA1159D"/>
    <w:rsid w:val="2DA3FEC6"/>
    <w:rsid w:val="2DA5AD25"/>
    <w:rsid w:val="2DB5CD46"/>
    <w:rsid w:val="2DB69E01"/>
    <w:rsid w:val="2DB72DA3"/>
    <w:rsid w:val="2DB8F078"/>
    <w:rsid w:val="2DBA9018"/>
    <w:rsid w:val="2DC2DF22"/>
    <w:rsid w:val="2DC37DFF"/>
    <w:rsid w:val="2DCD1E80"/>
    <w:rsid w:val="2DCF5216"/>
    <w:rsid w:val="2DD29FA5"/>
    <w:rsid w:val="2DD3283E"/>
    <w:rsid w:val="2DD62E2F"/>
    <w:rsid w:val="2DDBF0BE"/>
    <w:rsid w:val="2DE05A8A"/>
    <w:rsid w:val="2DE94452"/>
    <w:rsid w:val="2DEBA914"/>
    <w:rsid w:val="2DECC148"/>
    <w:rsid w:val="2DF02ED0"/>
    <w:rsid w:val="2DF483E8"/>
    <w:rsid w:val="2DF5339C"/>
    <w:rsid w:val="2DF57713"/>
    <w:rsid w:val="2DF91652"/>
    <w:rsid w:val="2DFB2583"/>
    <w:rsid w:val="2DFC0529"/>
    <w:rsid w:val="2E0568C1"/>
    <w:rsid w:val="2E0B7216"/>
    <w:rsid w:val="2E11FF92"/>
    <w:rsid w:val="2E14DF15"/>
    <w:rsid w:val="2E159AA8"/>
    <w:rsid w:val="2E31477E"/>
    <w:rsid w:val="2E332A45"/>
    <w:rsid w:val="2E33CD1A"/>
    <w:rsid w:val="2E34BB79"/>
    <w:rsid w:val="2E4555A0"/>
    <w:rsid w:val="2E461981"/>
    <w:rsid w:val="2E4B9F3C"/>
    <w:rsid w:val="2E56CB91"/>
    <w:rsid w:val="2E5F89C6"/>
    <w:rsid w:val="2E60D030"/>
    <w:rsid w:val="2E60F439"/>
    <w:rsid w:val="2E6263A5"/>
    <w:rsid w:val="2E67E678"/>
    <w:rsid w:val="2E693F57"/>
    <w:rsid w:val="2E6CDF9A"/>
    <w:rsid w:val="2E71C4CA"/>
    <w:rsid w:val="2E73AAA7"/>
    <w:rsid w:val="2E774AF2"/>
    <w:rsid w:val="2E7AB0F0"/>
    <w:rsid w:val="2E7E9662"/>
    <w:rsid w:val="2E818F76"/>
    <w:rsid w:val="2E81FC15"/>
    <w:rsid w:val="2E841ADF"/>
    <w:rsid w:val="2E89BCCD"/>
    <w:rsid w:val="2E8D7DD8"/>
    <w:rsid w:val="2E8D96B7"/>
    <w:rsid w:val="2E8ED1B9"/>
    <w:rsid w:val="2E8F7EC1"/>
    <w:rsid w:val="2E916F6C"/>
    <w:rsid w:val="2E94004E"/>
    <w:rsid w:val="2E98DBD4"/>
    <w:rsid w:val="2E9E2BA5"/>
    <w:rsid w:val="2EA162D4"/>
    <w:rsid w:val="2EA4719B"/>
    <w:rsid w:val="2EAE567C"/>
    <w:rsid w:val="2EB07E36"/>
    <w:rsid w:val="2EBCB3DA"/>
    <w:rsid w:val="2EC17FE1"/>
    <w:rsid w:val="2EC62AE7"/>
    <w:rsid w:val="2EC788DD"/>
    <w:rsid w:val="2EC97963"/>
    <w:rsid w:val="2EC99150"/>
    <w:rsid w:val="2ECAFCD5"/>
    <w:rsid w:val="2ECE75BC"/>
    <w:rsid w:val="2ED1E2E9"/>
    <w:rsid w:val="2ED21757"/>
    <w:rsid w:val="2ED5F0F5"/>
    <w:rsid w:val="2ED71CFC"/>
    <w:rsid w:val="2EDBFEB4"/>
    <w:rsid w:val="2EDE713E"/>
    <w:rsid w:val="2EE3B3A8"/>
    <w:rsid w:val="2EE957A1"/>
    <w:rsid w:val="2EE96AB4"/>
    <w:rsid w:val="2EEB6802"/>
    <w:rsid w:val="2EF128A1"/>
    <w:rsid w:val="2EF26F44"/>
    <w:rsid w:val="2EF637F7"/>
    <w:rsid w:val="2EF74CF5"/>
    <w:rsid w:val="2EFEDE32"/>
    <w:rsid w:val="2F03D432"/>
    <w:rsid w:val="2F04E292"/>
    <w:rsid w:val="2F07C3C7"/>
    <w:rsid w:val="2F07FB98"/>
    <w:rsid w:val="2F098096"/>
    <w:rsid w:val="2F0B0E18"/>
    <w:rsid w:val="2F0DD267"/>
    <w:rsid w:val="2F135544"/>
    <w:rsid w:val="2F15145B"/>
    <w:rsid w:val="2F1CC4C8"/>
    <w:rsid w:val="2F27648C"/>
    <w:rsid w:val="2F35651E"/>
    <w:rsid w:val="2F362A70"/>
    <w:rsid w:val="2F374F40"/>
    <w:rsid w:val="2F402389"/>
    <w:rsid w:val="2F419812"/>
    <w:rsid w:val="2F45172C"/>
    <w:rsid w:val="2F45CBF0"/>
    <w:rsid w:val="2F47436E"/>
    <w:rsid w:val="2F4A41AD"/>
    <w:rsid w:val="2F518955"/>
    <w:rsid w:val="2F52CA4B"/>
    <w:rsid w:val="2F5CBB05"/>
    <w:rsid w:val="2F6263B7"/>
    <w:rsid w:val="2F633481"/>
    <w:rsid w:val="2F6A9576"/>
    <w:rsid w:val="2F6B37F9"/>
    <w:rsid w:val="2F7020BD"/>
    <w:rsid w:val="2F7046A9"/>
    <w:rsid w:val="2F769958"/>
    <w:rsid w:val="2F78C6F8"/>
    <w:rsid w:val="2F89834E"/>
    <w:rsid w:val="2F95C56D"/>
    <w:rsid w:val="2F9751F6"/>
    <w:rsid w:val="2F983476"/>
    <w:rsid w:val="2F9970A6"/>
    <w:rsid w:val="2F9D8615"/>
    <w:rsid w:val="2FA2675E"/>
    <w:rsid w:val="2FA7201A"/>
    <w:rsid w:val="2FA83444"/>
    <w:rsid w:val="2FAA226F"/>
    <w:rsid w:val="2FAA3B15"/>
    <w:rsid w:val="2FAA9CBF"/>
    <w:rsid w:val="2FAB8ABD"/>
    <w:rsid w:val="2FADB278"/>
    <w:rsid w:val="2FB84EC7"/>
    <w:rsid w:val="2FBD1CED"/>
    <w:rsid w:val="2FBFE927"/>
    <w:rsid w:val="2FC657E0"/>
    <w:rsid w:val="2FC9D257"/>
    <w:rsid w:val="2FCED03C"/>
    <w:rsid w:val="2FD16EC9"/>
    <w:rsid w:val="2FD2BBF7"/>
    <w:rsid w:val="2FD3FB08"/>
    <w:rsid w:val="2FD76437"/>
    <w:rsid w:val="2FDA87A7"/>
    <w:rsid w:val="2FDF98C5"/>
    <w:rsid w:val="2FDFF199"/>
    <w:rsid w:val="2FE66D62"/>
    <w:rsid w:val="2FF25F4D"/>
    <w:rsid w:val="2FF7236B"/>
    <w:rsid w:val="2FFAAC6A"/>
    <w:rsid w:val="2FFDF867"/>
    <w:rsid w:val="2FFE3A0C"/>
    <w:rsid w:val="2FFE9A22"/>
    <w:rsid w:val="3006067F"/>
    <w:rsid w:val="300964E0"/>
    <w:rsid w:val="3009D65D"/>
    <w:rsid w:val="300B5B68"/>
    <w:rsid w:val="300E69C0"/>
    <w:rsid w:val="301BB434"/>
    <w:rsid w:val="3020CEAE"/>
    <w:rsid w:val="3020E72A"/>
    <w:rsid w:val="30219434"/>
    <w:rsid w:val="302B4770"/>
    <w:rsid w:val="302B4B30"/>
    <w:rsid w:val="303036ED"/>
    <w:rsid w:val="30348C8A"/>
    <w:rsid w:val="3034E716"/>
    <w:rsid w:val="303735C4"/>
    <w:rsid w:val="303DF471"/>
    <w:rsid w:val="304002BE"/>
    <w:rsid w:val="304243B6"/>
    <w:rsid w:val="30474FED"/>
    <w:rsid w:val="30488CFF"/>
    <w:rsid w:val="3048E973"/>
    <w:rsid w:val="304B4613"/>
    <w:rsid w:val="3055C155"/>
    <w:rsid w:val="305A04FC"/>
    <w:rsid w:val="305AA880"/>
    <w:rsid w:val="305D9D79"/>
    <w:rsid w:val="305DD0F4"/>
    <w:rsid w:val="306463B7"/>
    <w:rsid w:val="3065C229"/>
    <w:rsid w:val="306781A3"/>
    <w:rsid w:val="306CD7D9"/>
    <w:rsid w:val="306CE89D"/>
    <w:rsid w:val="3070B160"/>
    <w:rsid w:val="3070C8E0"/>
    <w:rsid w:val="3072BB39"/>
    <w:rsid w:val="30742FD6"/>
    <w:rsid w:val="3075BC89"/>
    <w:rsid w:val="30763898"/>
    <w:rsid w:val="30775391"/>
    <w:rsid w:val="30776949"/>
    <w:rsid w:val="3080A8F7"/>
    <w:rsid w:val="30858734"/>
    <w:rsid w:val="30910C85"/>
    <w:rsid w:val="309DE25E"/>
    <w:rsid w:val="30A01913"/>
    <w:rsid w:val="30A318FE"/>
    <w:rsid w:val="30A7126E"/>
    <w:rsid w:val="30AA623F"/>
    <w:rsid w:val="30AECA53"/>
    <w:rsid w:val="30B2637B"/>
    <w:rsid w:val="30B83E51"/>
    <w:rsid w:val="30B959E7"/>
    <w:rsid w:val="30B9F79B"/>
    <w:rsid w:val="30BED327"/>
    <w:rsid w:val="30C36599"/>
    <w:rsid w:val="30CA7FC0"/>
    <w:rsid w:val="30CD63BE"/>
    <w:rsid w:val="30CE8560"/>
    <w:rsid w:val="30D09020"/>
    <w:rsid w:val="30D5B14D"/>
    <w:rsid w:val="30D7DBB4"/>
    <w:rsid w:val="30DA492B"/>
    <w:rsid w:val="30E3A707"/>
    <w:rsid w:val="30E9F54B"/>
    <w:rsid w:val="30EB8141"/>
    <w:rsid w:val="30F27F7F"/>
    <w:rsid w:val="30F3E089"/>
    <w:rsid w:val="30F6B881"/>
    <w:rsid w:val="30F6E141"/>
    <w:rsid w:val="30FED2F5"/>
    <w:rsid w:val="310028B4"/>
    <w:rsid w:val="3102CF80"/>
    <w:rsid w:val="31035F0A"/>
    <w:rsid w:val="3105B2C3"/>
    <w:rsid w:val="3114ABFD"/>
    <w:rsid w:val="311630C3"/>
    <w:rsid w:val="311F8B00"/>
    <w:rsid w:val="3123F993"/>
    <w:rsid w:val="3124F79C"/>
    <w:rsid w:val="3130F5D6"/>
    <w:rsid w:val="3133AC37"/>
    <w:rsid w:val="31351DD9"/>
    <w:rsid w:val="31363309"/>
    <w:rsid w:val="313A2531"/>
    <w:rsid w:val="313C36C3"/>
    <w:rsid w:val="313D8752"/>
    <w:rsid w:val="313F9FC7"/>
    <w:rsid w:val="31411C51"/>
    <w:rsid w:val="315339A8"/>
    <w:rsid w:val="315B9470"/>
    <w:rsid w:val="31615669"/>
    <w:rsid w:val="3162F16E"/>
    <w:rsid w:val="31689746"/>
    <w:rsid w:val="3169378A"/>
    <w:rsid w:val="317279B7"/>
    <w:rsid w:val="317A4E19"/>
    <w:rsid w:val="317A5271"/>
    <w:rsid w:val="317BA3E3"/>
    <w:rsid w:val="317C4819"/>
    <w:rsid w:val="317E74FC"/>
    <w:rsid w:val="318087E9"/>
    <w:rsid w:val="3182F8EF"/>
    <w:rsid w:val="318D12C7"/>
    <w:rsid w:val="3191C790"/>
    <w:rsid w:val="3192A8AF"/>
    <w:rsid w:val="31961F1F"/>
    <w:rsid w:val="3197F4D3"/>
    <w:rsid w:val="3199E2F9"/>
    <w:rsid w:val="319A1C1B"/>
    <w:rsid w:val="31A349DF"/>
    <w:rsid w:val="31A54F6D"/>
    <w:rsid w:val="31A95B31"/>
    <w:rsid w:val="31AAC12D"/>
    <w:rsid w:val="31B12CC7"/>
    <w:rsid w:val="31B285A8"/>
    <w:rsid w:val="31B2A899"/>
    <w:rsid w:val="31B82167"/>
    <w:rsid w:val="31B9DC4C"/>
    <w:rsid w:val="31BB3B15"/>
    <w:rsid w:val="31C35678"/>
    <w:rsid w:val="31C9B7F5"/>
    <w:rsid w:val="31CDAB36"/>
    <w:rsid w:val="31D156DE"/>
    <w:rsid w:val="31D3263E"/>
    <w:rsid w:val="31D5100E"/>
    <w:rsid w:val="31D9A6F5"/>
    <w:rsid w:val="31D9EA46"/>
    <w:rsid w:val="31DA818B"/>
    <w:rsid w:val="31DD9280"/>
    <w:rsid w:val="31E55D2B"/>
    <w:rsid w:val="31E66E2F"/>
    <w:rsid w:val="31E81C56"/>
    <w:rsid w:val="31EAECE6"/>
    <w:rsid w:val="31EC2637"/>
    <w:rsid w:val="31ECA7E2"/>
    <w:rsid w:val="31ED0B56"/>
    <w:rsid w:val="31EEEACF"/>
    <w:rsid w:val="31F34B36"/>
    <w:rsid w:val="31F40C11"/>
    <w:rsid w:val="31F548DB"/>
    <w:rsid w:val="31F7410E"/>
    <w:rsid w:val="31F776EB"/>
    <w:rsid w:val="31FA0160"/>
    <w:rsid w:val="31FA8743"/>
    <w:rsid w:val="31FAC2D1"/>
    <w:rsid w:val="31FE8F09"/>
    <w:rsid w:val="32023711"/>
    <w:rsid w:val="32068994"/>
    <w:rsid w:val="3208E679"/>
    <w:rsid w:val="320D3F21"/>
    <w:rsid w:val="32105BB0"/>
    <w:rsid w:val="321360AE"/>
    <w:rsid w:val="321A96B9"/>
    <w:rsid w:val="32204E8C"/>
    <w:rsid w:val="32263B17"/>
    <w:rsid w:val="322928BC"/>
    <w:rsid w:val="322C843E"/>
    <w:rsid w:val="322DE6B5"/>
    <w:rsid w:val="3231D535"/>
    <w:rsid w:val="32379475"/>
    <w:rsid w:val="323A8F64"/>
    <w:rsid w:val="323DF0B8"/>
    <w:rsid w:val="32429F26"/>
    <w:rsid w:val="32430D69"/>
    <w:rsid w:val="3247024B"/>
    <w:rsid w:val="32482804"/>
    <w:rsid w:val="32507800"/>
    <w:rsid w:val="325274B9"/>
    <w:rsid w:val="325CD248"/>
    <w:rsid w:val="32605963"/>
    <w:rsid w:val="32609D9D"/>
    <w:rsid w:val="32674529"/>
    <w:rsid w:val="326862A2"/>
    <w:rsid w:val="3269220A"/>
    <w:rsid w:val="3269D1F0"/>
    <w:rsid w:val="326BAFA0"/>
    <w:rsid w:val="326FD3BD"/>
    <w:rsid w:val="3272A4B8"/>
    <w:rsid w:val="3275C81D"/>
    <w:rsid w:val="32760203"/>
    <w:rsid w:val="3277ACD7"/>
    <w:rsid w:val="3278C711"/>
    <w:rsid w:val="32869B5D"/>
    <w:rsid w:val="3287EC08"/>
    <w:rsid w:val="3288F6B0"/>
    <w:rsid w:val="328A0809"/>
    <w:rsid w:val="328B65F4"/>
    <w:rsid w:val="328DF32F"/>
    <w:rsid w:val="32901B42"/>
    <w:rsid w:val="329126A1"/>
    <w:rsid w:val="32913FEA"/>
    <w:rsid w:val="3294A2C3"/>
    <w:rsid w:val="32960491"/>
    <w:rsid w:val="3297168F"/>
    <w:rsid w:val="329F7E49"/>
    <w:rsid w:val="32A531C9"/>
    <w:rsid w:val="32ADD69F"/>
    <w:rsid w:val="32B40A5F"/>
    <w:rsid w:val="32B59CC1"/>
    <w:rsid w:val="32BFDE3D"/>
    <w:rsid w:val="32C1CE0B"/>
    <w:rsid w:val="32C26E5B"/>
    <w:rsid w:val="32C6334B"/>
    <w:rsid w:val="32C9C077"/>
    <w:rsid w:val="32CAF44E"/>
    <w:rsid w:val="32CDB082"/>
    <w:rsid w:val="32D0385E"/>
    <w:rsid w:val="32D3D610"/>
    <w:rsid w:val="32D99D89"/>
    <w:rsid w:val="32DA5271"/>
    <w:rsid w:val="32E10E9E"/>
    <w:rsid w:val="32E20BC1"/>
    <w:rsid w:val="32E772E3"/>
    <w:rsid w:val="32E8B672"/>
    <w:rsid w:val="32F383E8"/>
    <w:rsid w:val="32FBF9D6"/>
    <w:rsid w:val="32FE39FE"/>
    <w:rsid w:val="32FFBFFA"/>
    <w:rsid w:val="330D8610"/>
    <w:rsid w:val="331023B3"/>
    <w:rsid w:val="331055BF"/>
    <w:rsid w:val="33150AA2"/>
    <w:rsid w:val="331ADA2E"/>
    <w:rsid w:val="332168D1"/>
    <w:rsid w:val="332B36B0"/>
    <w:rsid w:val="33350D32"/>
    <w:rsid w:val="33399FF4"/>
    <w:rsid w:val="333AEDE9"/>
    <w:rsid w:val="333EB516"/>
    <w:rsid w:val="334A3BBF"/>
    <w:rsid w:val="334F19FB"/>
    <w:rsid w:val="33562D08"/>
    <w:rsid w:val="3359726E"/>
    <w:rsid w:val="3360C74E"/>
    <w:rsid w:val="3365DC78"/>
    <w:rsid w:val="336748A5"/>
    <w:rsid w:val="33684D5E"/>
    <w:rsid w:val="336C08B5"/>
    <w:rsid w:val="3371EE09"/>
    <w:rsid w:val="33778BD0"/>
    <w:rsid w:val="337AF351"/>
    <w:rsid w:val="337B1B19"/>
    <w:rsid w:val="337DB11F"/>
    <w:rsid w:val="33811DC5"/>
    <w:rsid w:val="3383FF7E"/>
    <w:rsid w:val="33846FB3"/>
    <w:rsid w:val="338604D6"/>
    <w:rsid w:val="33861E7A"/>
    <w:rsid w:val="3386414C"/>
    <w:rsid w:val="338B166A"/>
    <w:rsid w:val="338DAC67"/>
    <w:rsid w:val="338DF2FC"/>
    <w:rsid w:val="338E2568"/>
    <w:rsid w:val="338E43A0"/>
    <w:rsid w:val="338E98CF"/>
    <w:rsid w:val="33930564"/>
    <w:rsid w:val="3398E05C"/>
    <w:rsid w:val="339D369D"/>
    <w:rsid w:val="339FCDE3"/>
    <w:rsid w:val="33A02207"/>
    <w:rsid w:val="33A14597"/>
    <w:rsid w:val="33ABB820"/>
    <w:rsid w:val="33AE76DE"/>
    <w:rsid w:val="33B0BAB1"/>
    <w:rsid w:val="33B4D3F9"/>
    <w:rsid w:val="33B943EA"/>
    <w:rsid w:val="33BBE70F"/>
    <w:rsid w:val="33BD4F02"/>
    <w:rsid w:val="33C9A8C8"/>
    <w:rsid w:val="33CB39F4"/>
    <w:rsid w:val="33D30BAD"/>
    <w:rsid w:val="33D90A89"/>
    <w:rsid w:val="33DBDBC0"/>
    <w:rsid w:val="33DE6676"/>
    <w:rsid w:val="33E31E1B"/>
    <w:rsid w:val="33E56F86"/>
    <w:rsid w:val="33E5E4F5"/>
    <w:rsid w:val="33EAF5D9"/>
    <w:rsid w:val="33EF8B8E"/>
    <w:rsid w:val="33F0B01B"/>
    <w:rsid w:val="33F0BBD8"/>
    <w:rsid w:val="33F792C0"/>
    <w:rsid w:val="33F7FE23"/>
    <w:rsid w:val="3404861A"/>
    <w:rsid w:val="34059568"/>
    <w:rsid w:val="3406DB13"/>
    <w:rsid w:val="340A7C66"/>
    <w:rsid w:val="340C1AA2"/>
    <w:rsid w:val="340D6250"/>
    <w:rsid w:val="340F04BD"/>
    <w:rsid w:val="34121E69"/>
    <w:rsid w:val="3414529E"/>
    <w:rsid w:val="3414A61C"/>
    <w:rsid w:val="3415ADC8"/>
    <w:rsid w:val="3415D502"/>
    <w:rsid w:val="341EAD0D"/>
    <w:rsid w:val="342080AF"/>
    <w:rsid w:val="34224E32"/>
    <w:rsid w:val="34284C46"/>
    <w:rsid w:val="342CCB42"/>
    <w:rsid w:val="34361F0A"/>
    <w:rsid w:val="34373DA4"/>
    <w:rsid w:val="343F068E"/>
    <w:rsid w:val="3448A076"/>
    <w:rsid w:val="344EE1AB"/>
    <w:rsid w:val="344F89C7"/>
    <w:rsid w:val="34505F75"/>
    <w:rsid w:val="34507964"/>
    <w:rsid w:val="34566CAD"/>
    <w:rsid w:val="34577500"/>
    <w:rsid w:val="346069FA"/>
    <w:rsid w:val="34611F61"/>
    <w:rsid w:val="34640C64"/>
    <w:rsid w:val="34694FFD"/>
    <w:rsid w:val="347067EA"/>
    <w:rsid w:val="347A8FCE"/>
    <w:rsid w:val="347F8B5F"/>
    <w:rsid w:val="3484B70E"/>
    <w:rsid w:val="3489A5EC"/>
    <w:rsid w:val="34938A07"/>
    <w:rsid w:val="3496718F"/>
    <w:rsid w:val="349869C4"/>
    <w:rsid w:val="34989142"/>
    <w:rsid w:val="34A49E58"/>
    <w:rsid w:val="34AA06E4"/>
    <w:rsid w:val="34AAEE5A"/>
    <w:rsid w:val="34B0DE6C"/>
    <w:rsid w:val="34B49912"/>
    <w:rsid w:val="34B8AAC8"/>
    <w:rsid w:val="34BC54FC"/>
    <w:rsid w:val="34BE40B6"/>
    <w:rsid w:val="34BF31EC"/>
    <w:rsid w:val="34C238AB"/>
    <w:rsid w:val="34C2E833"/>
    <w:rsid w:val="34C75B62"/>
    <w:rsid w:val="34CA3FB6"/>
    <w:rsid w:val="34D7532F"/>
    <w:rsid w:val="34DBBD06"/>
    <w:rsid w:val="34DBF801"/>
    <w:rsid w:val="34E28A30"/>
    <w:rsid w:val="34E94075"/>
    <w:rsid w:val="34EC4A40"/>
    <w:rsid w:val="34F36932"/>
    <w:rsid w:val="34F6F18F"/>
    <w:rsid w:val="34FD909E"/>
    <w:rsid w:val="34FF7B53"/>
    <w:rsid w:val="3502FC4D"/>
    <w:rsid w:val="3503A092"/>
    <w:rsid w:val="350F103C"/>
    <w:rsid w:val="35141DAB"/>
    <w:rsid w:val="35151F60"/>
    <w:rsid w:val="35193A4A"/>
    <w:rsid w:val="35286E97"/>
    <w:rsid w:val="352AC8E3"/>
    <w:rsid w:val="352C73F1"/>
    <w:rsid w:val="3533C379"/>
    <w:rsid w:val="35390655"/>
    <w:rsid w:val="3540C28B"/>
    <w:rsid w:val="35417A8A"/>
    <w:rsid w:val="354241D9"/>
    <w:rsid w:val="354D877F"/>
    <w:rsid w:val="3550D898"/>
    <w:rsid w:val="35522D95"/>
    <w:rsid w:val="35563884"/>
    <w:rsid w:val="35569B48"/>
    <w:rsid w:val="35579043"/>
    <w:rsid w:val="355B64AA"/>
    <w:rsid w:val="355C39E2"/>
    <w:rsid w:val="3567091B"/>
    <w:rsid w:val="356E6B06"/>
    <w:rsid w:val="356F035F"/>
    <w:rsid w:val="3574D788"/>
    <w:rsid w:val="357DDF12"/>
    <w:rsid w:val="3583066F"/>
    <w:rsid w:val="35854BF0"/>
    <w:rsid w:val="358FC6D0"/>
    <w:rsid w:val="35920895"/>
    <w:rsid w:val="3598D930"/>
    <w:rsid w:val="35A21B9F"/>
    <w:rsid w:val="35A5D834"/>
    <w:rsid w:val="35A76CA5"/>
    <w:rsid w:val="35A8294C"/>
    <w:rsid w:val="35AA48B4"/>
    <w:rsid w:val="35AAF653"/>
    <w:rsid w:val="35ACBDE1"/>
    <w:rsid w:val="35AE3B31"/>
    <w:rsid w:val="35B0CAD1"/>
    <w:rsid w:val="35B877CF"/>
    <w:rsid w:val="35BA192A"/>
    <w:rsid w:val="35C70763"/>
    <w:rsid w:val="35C718BA"/>
    <w:rsid w:val="35D112DB"/>
    <w:rsid w:val="35D36329"/>
    <w:rsid w:val="35D5C164"/>
    <w:rsid w:val="35DDF577"/>
    <w:rsid w:val="35DF7663"/>
    <w:rsid w:val="35DFE43A"/>
    <w:rsid w:val="35E119E6"/>
    <w:rsid w:val="35E2260C"/>
    <w:rsid w:val="35E418E7"/>
    <w:rsid w:val="35FA48D5"/>
    <w:rsid w:val="360C73B1"/>
    <w:rsid w:val="360E6468"/>
    <w:rsid w:val="3611A41C"/>
    <w:rsid w:val="361545A6"/>
    <w:rsid w:val="361CA16D"/>
    <w:rsid w:val="361F2841"/>
    <w:rsid w:val="361F6E73"/>
    <w:rsid w:val="36232A36"/>
    <w:rsid w:val="36248982"/>
    <w:rsid w:val="3627CBA1"/>
    <w:rsid w:val="362DC98C"/>
    <w:rsid w:val="362E1C94"/>
    <w:rsid w:val="3639838E"/>
    <w:rsid w:val="363B3571"/>
    <w:rsid w:val="363F5CEA"/>
    <w:rsid w:val="364BD8FB"/>
    <w:rsid w:val="364C6BE8"/>
    <w:rsid w:val="36508956"/>
    <w:rsid w:val="3653F079"/>
    <w:rsid w:val="36579EF9"/>
    <w:rsid w:val="365AE76C"/>
    <w:rsid w:val="365B07E2"/>
    <w:rsid w:val="3660AA97"/>
    <w:rsid w:val="36639BE9"/>
    <w:rsid w:val="36643DCE"/>
    <w:rsid w:val="3664B8F9"/>
    <w:rsid w:val="3668052A"/>
    <w:rsid w:val="3669309B"/>
    <w:rsid w:val="36712BC7"/>
    <w:rsid w:val="367207A6"/>
    <w:rsid w:val="36787601"/>
    <w:rsid w:val="367AD9F8"/>
    <w:rsid w:val="367C4497"/>
    <w:rsid w:val="368A9345"/>
    <w:rsid w:val="368B5749"/>
    <w:rsid w:val="368F41E7"/>
    <w:rsid w:val="369072B8"/>
    <w:rsid w:val="36942BF5"/>
    <w:rsid w:val="36A20835"/>
    <w:rsid w:val="36A4AB9C"/>
    <w:rsid w:val="36A61452"/>
    <w:rsid w:val="36A861F9"/>
    <w:rsid w:val="36B03186"/>
    <w:rsid w:val="36B06C1E"/>
    <w:rsid w:val="36B66070"/>
    <w:rsid w:val="36B76282"/>
    <w:rsid w:val="36BE05E4"/>
    <w:rsid w:val="36C2A362"/>
    <w:rsid w:val="36C97DB8"/>
    <w:rsid w:val="36CF19AD"/>
    <w:rsid w:val="36D05656"/>
    <w:rsid w:val="36D6D469"/>
    <w:rsid w:val="36D93184"/>
    <w:rsid w:val="36D9844E"/>
    <w:rsid w:val="36DCF972"/>
    <w:rsid w:val="36DD3F4C"/>
    <w:rsid w:val="36DFAC54"/>
    <w:rsid w:val="36E19C8C"/>
    <w:rsid w:val="36EBF353"/>
    <w:rsid w:val="36FDBE92"/>
    <w:rsid w:val="37049929"/>
    <w:rsid w:val="37050713"/>
    <w:rsid w:val="3708ABBB"/>
    <w:rsid w:val="3708C944"/>
    <w:rsid w:val="3709C12E"/>
    <w:rsid w:val="370E6421"/>
    <w:rsid w:val="37128362"/>
    <w:rsid w:val="3720484C"/>
    <w:rsid w:val="372B11C8"/>
    <w:rsid w:val="373550B4"/>
    <w:rsid w:val="373C4F64"/>
    <w:rsid w:val="373F5E3B"/>
    <w:rsid w:val="374563CB"/>
    <w:rsid w:val="374BFFE2"/>
    <w:rsid w:val="3751B1F2"/>
    <w:rsid w:val="375712BD"/>
    <w:rsid w:val="375B0860"/>
    <w:rsid w:val="3762CA6C"/>
    <w:rsid w:val="3764BA98"/>
    <w:rsid w:val="376AD69F"/>
    <w:rsid w:val="37782E14"/>
    <w:rsid w:val="377A710E"/>
    <w:rsid w:val="377B94A1"/>
    <w:rsid w:val="377E5C81"/>
    <w:rsid w:val="378129ED"/>
    <w:rsid w:val="3782464C"/>
    <w:rsid w:val="3783E139"/>
    <w:rsid w:val="378ACE64"/>
    <w:rsid w:val="379EA372"/>
    <w:rsid w:val="379F6DC4"/>
    <w:rsid w:val="37A66DDB"/>
    <w:rsid w:val="37A741FA"/>
    <w:rsid w:val="37A74EB9"/>
    <w:rsid w:val="37A924A9"/>
    <w:rsid w:val="37ABAC8B"/>
    <w:rsid w:val="37AE103B"/>
    <w:rsid w:val="37AECEB1"/>
    <w:rsid w:val="37AF05D9"/>
    <w:rsid w:val="37B7A863"/>
    <w:rsid w:val="37BEE124"/>
    <w:rsid w:val="37C17220"/>
    <w:rsid w:val="37C19D6F"/>
    <w:rsid w:val="37C5D0CF"/>
    <w:rsid w:val="37C5D791"/>
    <w:rsid w:val="37CC219D"/>
    <w:rsid w:val="37CFCE45"/>
    <w:rsid w:val="37DDA00F"/>
    <w:rsid w:val="37E038DC"/>
    <w:rsid w:val="37E276BB"/>
    <w:rsid w:val="37F66BAB"/>
    <w:rsid w:val="37F9C266"/>
    <w:rsid w:val="37FDF052"/>
    <w:rsid w:val="3809C3DF"/>
    <w:rsid w:val="3813A891"/>
    <w:rsid w:val="381A720E"/>
    <w:rsid w:val="381ACE46"/>
    <w:rsid w:val="381E38F3"/>
    <w:rsid w:val="381FDC7D"/>
    <w:rsid w:val="3822268F"/>
    <w:rsid w:val="382449D4"/>
    <w:rsid w:val="38300B88"/>
    <w:rsid w:val="38371335"/>
    <w:rsid w:val="3838E66A"/>
    <w:rsid w:val="3839DB55"/>
    <w:rsid w:val="383C9B7C"/>
    <w:rsid w:val="38415899"/>
    <w:rsid w:val="38471824"/>
    <w:rsid w:val="384CFBFC"/>
    <w:rsid w:val="384DC7C1"/>
    <w:rsid w:val="384E130B"/>
    <w:rsid w:val="384F1428"/>
    <w:rsid w:val="384F27B6"/>
    <w:rsid w:val="3850F8B1"/>
    <w:rsid w:val="38517E24"/>
    <w:rsid w:val="3855DBA4"/>
    <w:rsid w:val="38639A42"/>
    <w:rsid w:val="386C6C6C"/>
    <w:rsid w:val="386D8D89"/>
    <w:rsid w:val="3870A766"/>
    <w:rsid w:val="3872848E"/>
    <w:rsid w:val="38758BFB"/>
    <w:rsid w:val="38785E1F"/>
    <w:rsid w:val="387B8296"/>
    <w:rsid w:val="387C6677"/>
    <w:rsid w:val="387E8ED9"/>
    <w:rsid w:val="3880E1F0"/>
    <w:rsid w:val="38815F58"/>
    <w:rsid w:val="388572FE"/>
    <w:rsid w:val="388D0965"/>
    <w:rsid w:val="388D1794"/>
    <w:rsid w:val="38939234"/>
    <w:rsid w:val="38985082"/>
    <w:rsid w:val="389ABB98"/>
    <w:rsid w:val="389C4F5E"/>
    <w:rsid w:val="389EFF99"/>
    <w:rsid w:val="38A2CE1C"/>
    <w:rsid w:val="38A3949F"/>
    <w:rsid w:val="38AB687F"/>
    <w:rsid w:val="38AC0786"/>
    <w:rsid w:val="38AEA97E"/>
    <w:rsid w:val="38AF4DA1"/>
    <w:rsid w:val="38AFAEE6"/>
    <w:rsid w:val="38B19833"/>
    <w:rsid w:val="38B4EEB3"/>
    <w:rsid w:val="38BAE0B0"/>
    <w:rsid w:val="38C3ECDA"/>
    <w:rsid w:val="38C8F0D0"/>
    <w:rsid w:val="38C920B7"/>
    <w:rsid w:val="38D31372"/>
    <w:rsid w:val="38E2DC54"/>
    <w:rsid w:val="38E4E3BE"/>
    <w:rsid w:val="38EA0CD7"/>
    <w:rsid w:val="38EA36D3"/>
    <w:rsid w:val="38EA4E19"/>
    <w:rsid w:val="38EB8E6F"/>
    <w:rsid w:val="38EBEB2B"/>
    <w:rsid w:val="38ECDBBC"/>
    <w:rsid w:val="38F6755A"/>
    <w:rsid w:val="38F72E90"/>
    <w:rsid w:val="38F7FB49"/>
    <w:rsid w:val="38FA9CF1"/>
    <w:rsid w:val="3900CFB5"/>
    <w:rsid w:val="39086CED"/>
    <w:rsid w:val="390DAD5D"/>
    <w:rsid w:val="391192C9"/>
    <w:rsid w:val="39146906"/>
    <w:rsid w:val="3915AF54"/>
    <w:rsid w:val="391D7EAC"/>
    <w:rsid w:val="391DE8DA"/>
    <w:rsid w:val="392036A4"/>
    <w:rsid w:val="39238B9A"/>
    <w:rsid w:val="3927D4E2"/>
    <w:rsid w:val="392C04A7"/>
    <w:rsid w:val="392E68FB"/>
    <w:rsid w:val="392EE439"/>
    <w:rsid w:val="3931EE2C"/>
    <w:rsid w:val="393C1F9E"/>
    <w:rsid w:val="393EE703"/>
    <w:rsid w:val="3940F928"/>
    <w:rsid w:val="3941E7F1"/>
    <w:rsid w:val="39461B6A"/>
    <w:rsid w:val="394A4AA3"/>
    <w:rsid w:val="394C4206"/>
    <w:rsid w:val="394E7040"/>
    <w:rsid w:val="39513696"/>
    <w:rsid w:val="395A9A11"/>
    <w:rsid w:val="395B66A8"/>
    <w:rsid w:val="395B78CE"/>
    <w:rsid w:val="395B877A"/>
    <w:rsid w:val="395E5F35"/>
    <w:rsid w:val="3963FE5B"/>
    <w:rsid w:val="396E2122"/>
    <w:rsid w:val="39706EE2"/>
    <w:rsid w:val="3970FC4F"/>
    <w:rsid w:val="3971F2C7"/>
    <w:rsid w:val="39721337"/>
    <w:rsid w:val="3972D59F"/>
    <w:rsid w:val="39745443"/>
    <w:rsid w:val="397E6A56"/>
    <w:rsid w:val="3983D843"/>
    <w:rsid w:val="3983F3B5"/>
    <w:rsid w:val="398818F7"/>
    <w:rsid w:val="39933994"/>
    <w:rsid w:val="39971312"/>
    <w:rsid w:val="399B28E9"/>
    <w:rsid w:val="399D4117"/>
    <w:rsid w:val="39A461D7"/>
    <w:rsid w:val="39AA6E7E"/>
    <w:rsid w:val="39AAFD77"/>
    <w:rsid w:val="39B103B0"/>
    <w:rsid w:val="39B14FB1"/>
    <w:rsid w:val="39B2CDEE"/>
    <w:rsid w:val="39B32751"/>
    <w:rsid w:val="39BA853E"/>
    <w:rsid w:val="39C25074"/>
    <w:rsid w:val="39C42135"/>
    <w:rsid w:val="39C4C278"/>
    <w:rsid w:val="39C5442A"/>
    <w:rsid w:val="39CA1B0B"/>
    <w:rsid w:val="39CB5976"/>
    <w:rsid w:val="39D646FC"/>
    <w:rsid w:val="39D6A8F2"/>
    <w:rsid w:val="39D754FA"/>
    <w:rsid w:val="39D92EA9"/>
    <w:rsid w:val="39DDA2E4"/>
    <w:rsid w:val="39DF50C9"/>
    <w:rsid w:val="39E11B06"/>
    <w:rsid w:val="39E52105"/>
    <w:rsid w:val="39EA6F2B"/>
    <w:rsid w:val="39ED7A93"/>
    <w:rsid w:val="39F3A269"/>
    <w:rsid w:val="39F3D063"/>
    <w:rsid w:val="39F46D5C"/>
    <w:rsid w:val="39F8B86D"/>
    <w:rsid w:val="39FB57FD"/>
    <w:rsid w:val="3A038005"/>
    <w:rsid w:val="3A0440CB"/>
    <w:rsid w:val="3A05227F"/>
    <w:rsid w:val="3A081517"/>
    <w:rsid w:val="3A0B81FF"/>
    <w:rsid w:val="3A0D38ED"/>
    <w:rsid w:val="3A1014AE"/>
    <w:rsid w:val="3A106AF6"/>
    <w:rsid w:val="3A14CEC6"/>
    <w:rsid w:val="3A1B38DD"/>
    <w:rsid w:val="3A1E56B3"/>
    <w:rsid w:val="3A263485"/>
    <w:rsid w:val="3A28A2E9"/>
    <w:rsid w:val="3A2A21CD"/>
    <w:rsid w:val="3A2B9D3A"/>
    <w:rsid w:val="3A2EB911"/>
    <w:rsid w:val="3A2F739B"/>
    <w:rsid w:val="3A348EB5"/>
    <w:rsid w:val="3A397CF8"/>
    <w:rsid w:val="3A3CCE78"/>
    <w:rsid w:val="3A440E5F"/>
    <w:rsid w:val="3A449903"/>
    <w:rsid w:val="3A46769D"/>
    <w:rsid w:val="3A48AB36"/>
    <w:rsid w:val="3A512D35"/>
    <w:rsid w:val="3A532ACC"/>
    <w:rsid w:val="3A596C1E"/>
    <w:rsid w:val="3A59BBFA"/>
    <w:rsid w:val="3A5A0B71"/>
    <w:rsid w:val="3A5BD8E4"/>
    <w:rsid w:val="3A5C1673"/>
    <w:rsid w:val="3A5E7B46"/>
    <w:rsid w:val="3A5F3C19"/>
    <w:rsid w:val="3A5FB19D"/>
    <w:rsid w:val="3A600A0E"/>
    <w:rsid w:val="3A6012EA"/>
    <w:rsid w:val="3A601B5A"/>
    <w:rsid w:val="3A74294E"/>
    <w:rsid w:val="3A7498BB"/>
    <w:rsid w:val="3A753EED"/>
    <w:rsid w:val="3A758A11"/>
    <w:rsid w:val="3A7598FE"/>
    <w:rsid w:val="3A77492A"/>
    <w:rsid w:val="3A785C88"/>
    <w:rsid w:val="3A792DAE"/>
    <w:rsid w:val="3A7CF667"/>
    <w:rsid w:val="3A80B4B2"/>
    <w:rsid w:val="3A89BA30"/>
    <w:rsid w:val="3A932C2D"/>
    <w:rsid w:val="3A968051"/>
    <w:rsid w:val="3A969171"/>
    <w:rsid w:val="3A98710D"/>
    <w:rsid w:val="3A9884DB"/>
    <w:rsid w:val="3A9902F2"/>
    <w:rsid w:val="3A9AE199"/>
    <w:rsid w:val="3A9D3A74"/>
    <w:rsid w:val="3AAB4C30"/>
    <w:rsid w:val="3AB06447"/>
    <w:rsid w:val="3AB95523"/>
    <w:rsid w:val="3AC4FBF2"/>
    <w:rsid w:val="3AC9C1B8"/>
    <w:rsid w:val="3ACA3D44"/>
    <w:rsid w:val="3ACCE0FD"/>
    <w:rsid w:val="3AD36050"/>
    <w:rsid w:val="3AD52764"/>
    <w:rsid w:val="3AD87256"/>
    <w:rsid w:val="3ADCAD87"/>
    <w:rsid w:val="3ADF3457"/>
    <w:rsid w:val="3AE26709"/>
    <w:rsid w:val="3AE7FF1B"/>
    <w:rsid w:val="3AE85A6B"/>
    <w:rsid w:val="3AECDF02"/>
    <w:rsid w:val="3AEDCA81"/>
    <w:rsid w:val="3AF6A17B"/>
    <w:rsid w:val="3AF8C74D"/>
    <w:rsid w:val="3B01D2C6"/>
    <w:rsid w:val="3B021E4C"/>
    <w:rsid w:val="3B02884B"/>
    <w:rsid w:val="3B0582DB"/>
    <w:rsid w:val="3B0C6994"/>
    <w:rsid w:val="3B11E7CB"/>
    <w:rsid w:val="3B1333E0"/>
    <w:rsid w:val="3B178F43"/>
    <w:rsid w:val="3B1B8766"/>
    <w:rsid w:val="3B1D5F6B"/>
    <w:rsid w:val="3B1FBD19"/>
    <w:rsid w:val="3B239551"/>
    <w:rsid w:val="3B262008"/>
    <w:rsid w:val="3B3434E1"/>
    <w:rsid w:val="3B350553"/>
    <w:rsid w:val="3B35C834"/>
    <w:rsid w:val="3B38869F"/>
    <w:rsid w:val="3B3E1141"/>
    <w:rsid w:val="3B43E46A"/>
    <w:rsid w:val="3B447A8C"/>
    <w:rsid w:val="3B4779DC"/>
    <w:rsid w:val="3B586886"/>
    <w:rsid w:val="3B586C9F"/>
    <w:rsid w:val="3B5911F3"/>
    <w:rsid w:val="3B5D0F23"/>
    <w:rsid w:val="3B614E90"/>
    <w:rsid w:val="3B61C9CC"/>
    <w:rsid w:val="3B641D30"/>
    <w:rsid w:val="3B64CDC3"/>
    <w:rsid w:val="3B64F40C"/>
    <w:rsid w:val="3B682459"/>
    <w:rsid w:val="3B68E7C1"/>
    <w:rsid w:val="3B6C5BF1"/>
    <w:rsid w:val="3B7B7DD5"/>
    <w:rsid w:val="3B7C7495"/>
    <w:rsid w:val="3B8159D6"/>
    <w:rsid w:val="3B817364"/>
    <w:rsid w:val="3B8173B3"/>
    <w:rsid w:val="3B86C679"/>
    <w:rsid w:val="3B86F4B0"/>
    <w:rsid w:val="3B875ECC"/>
    <w:rsid w:val="3B90F146"/>
    <w:rsid w:val="3B91B14D"/>
    <w:rsid w:val="3B998E55"/>
    <w:rsid w:val="3B9A2C09"/>
    <w:rsid w:val="3B9EA008"/>
    <w:rsid w:val="3BA4FA6E"/>
    <w:rsid w:val="3BA56F7B"/>
    <w:rsid w:val="3BA67C4C"/>
    <w:rsid w:val="3BA78320"/>
    <w:rsid w:val="3BAE080A"/>
    <w:rsid w:val="3BBBD69D"/>
    <w:rsid w:val="3BC531CA"/>
    <w:rsid w:val="3BC5A66C"/>
    <w:rsid w:val="3BD23C93"/>
    <w:rsid w:val="3BDB135C"/>
    <w:rsid w:val="3BE047C7"/>
    <w:rsid w:val="3BE6085E"/>
    <w:rsid w:val="3BE7CC85"/>
    <w:rsid w:val="3BE850A2"/>
    <w:rsid w:val="3BEF710A"/>
    <w:rsid w:val="3BF40866"/>
    <w:rsid w:val="3BFFB326"/>
    <w:rsid w:val="3C00D28D"/>
    <w:rsid w:val="3C03066D"/>
    <w:rsid w:val="3C059813"/>
    <w:rsid w:val="3C0826C0"/>
    <w:rsid w:val="3C0F5483"/>
    <w:rsid w:val="3C1165B7"/>
    <w:rsid w:val="3C143290"/>
    <w:rsid w:val="3C19B25A"/>
    <w:rsid w:val="3C1D1704"/>
    <w:rsid w:val="3C1DB1B1"/>
    <w:rsid w:val="3C1FF1A3"/>
    <w:rsid w:val="3C216BFD"/>
    <w:rsid w:val="3C225C14"/>
    <w:rsid w:val="3C23C1C1"/>
    <w:rsid w:val="3C2A207D"/>
    <w:rsid w:val="3C31CED5"/>
    <w:rsid w:val="3C3AFB3B"/>
    <w:rsid w:val="3C3CA04B"/>
    <w:rsid w:val="3C4442BE"/>
    <w:rsid w:val="3C470D4F"/>
    <w:rsid w:val="3C4A564F"/>
    <w:rsid w:val="3C4B388C"/>
    <w:rsid w:val="3C4CA8FA"/>
    <w:rsid w:val="3C4FCA06"/>
    <w:rsid w:val="3C52EAA5"/>
    <w:rsid w:val="3C535C6A"/>
    <w:rsid w:val="3C549E14"/>
    <w:rsid w:val="3C59847A"/>
    <w:rsid w:val="3C5B8606"/>
    <w:rsid w:val="3C62D820"/>
    <w:rsid w:val="3C640ECF"/>
    <w:rsid w:val="3C6673B5"/>
    <w:rsid w:val="3C68B4D2"/>
    <w:rsid w:val="3C696F46"/>
    <w:rsid w:val="3C6BB0BF"/>
    <w:rsid w:val="3C6BB19F"/>
    <w:rsid w:val="3C6EFFA8"/>
    <w:rsid w:val="3C73A0D7"/>
    <w:rsid w:val="3C77E2D8"/>
    <w:rsid w:val="3C7E3DB4"/>
    <w:rsid w:val="3C850693"/>
    <w:rsid w:val="3C88AB01"/>
    <w:rsid w:val="3C8AAB87"/>
    <w:rsid w:val="3C8BC3BE"/>
    <w:rsid w:val="3C8E765E"/>
    <w:rsid w:val="3C8F47AA"/>
    <w:rsid w:val="3C910F73"/>
    <w:rsid w:val="3C988F75"/>
    <w:rsid w:val="3C994F4C"/>
    <w:rsid w:val="3C9BA993"/>
    <w:rsid w:val="3C9F74EC"/>
    <w:rsid w:val="3CA21BE1"/>
    <w:rsid w:val="3CA9C41D"/>
    <w:rsid w:val="3CAE364A"/>
    <w:rsid w:val="3CAE61DE"/>
    <w:rsid w:val="3CAF2192"/>
    <w:rsid w:val="3CBF7F44"/>
    <w:rsid w:val="3CC17FA6"/>
    <w:rsid w:val="3CCA5E81"/>
    <w:rsid w:val="3CCDE4BD"/>
    <w:rsid w:val="3CD58A19"/>
    <w:rsid w:val="3CD994B7"/>
    <w:rsid w:val="3CDB6064"/>
    <w:rsid w:val="3CE60E6E"/>
    <w:rsid w:val="3CE8C426"/>
    <w:rsid w:val="3CEDC28E"/>
    <w:rsid w:val="3CF1FEF7"/>
    <w:rsid w:val="3CF27658"/>
    <w:rsid w:val="3CFA5A1B"/>
    <w:rsid w:val="3CFBC058"/>
    <w:rsid w:val="3CFC90C4"/>
    <w:rsid w:val="3CFE2139"/>
    <w:rsid w:val="3D035538"/>
    <w:rsid w:val="3D03FB62"/>
    <w:rsid w:val="3D0AFAEA"/>
    <w:rsid w:val="3D0B73DC"/>
    <w:rsid w:val="3D111ECD"/>
    <w:rsid w:val="3D15BC4B"/>
    <w:rsid w:val="3D177037"/>
    <w:rsid w:val="3D17F588"/>
    <w:rsid w:val="3D1B0D90"/>
    <w:rsid w:val="3D1C1C6F"/>
    <w:rsid w:val="3D20B8C4"/>
    <w:rsid w:val="3D21C480"/>
    <w:rsid w:val="3D236234"/>
    <w:rsid w:val="3D2D88B5"/>
    <w:rsid w:val="3D2FE282"/>
    <w:rsid w:val="3D369636"/>
    <w:rsid w:val="3D3E4F5C"/>
    <w:rsid w:val="3D429B73"/>
    <w:rsid w:val="3D4D7CA0"/>
    <w:rsid w:val="3D51BED9"/>
    <w:rsid w:val="3D5292CA"/>
    <w:rsid w:val="3D5F5F5C"/>
    <w:rsid w:val="3D631E16"/>
    <w:rsid w:val="3D65B521"/>
    <w:rsid w:val="3D6A8374"/>
    <w:rsid w:val="3D6E2D42"/>
    <w:rsid w:val="3D6F857D"/>
    <w:rsid w:val="3D7A02D3"/>
    <w:rsid w:val="3D7BD055"/>
    <w:rsid w:val="3D822744"/>
    <w:rsid w:val="3D887D96"/>
    <w:rsid w:val="3D8A3B0D"/>
    <w:rsid w:val="3D8A47D8"/>
    <w:rsid w:val="3D8AAF64"/>
    <w:rsid w:val="3D8DC958"/>
    <w:rsid w:val="3D908CAB"/>
    <w:rsid w:val="3D91AF57"/>
    <w:rsid w:val="3D926CB9"/>
    <w:rsid w:val="3D95027D"/>
    <w:rsid w:val="3D9FE620"/>
    <w:rsid w:val="3DA2DC9F"/>
    <w:rsid w:val="3DA664F5"/>
    <w:rsid w:val="3DA6C232"/>
    <w:rsid w:val="3DA7B303"/>
    <w:rsid w:val="3DAB3A25"/>
    <w:rsid w:val="3DB267F9"/>
    <w:rsid w:val="3DC3EDC0"/>
    <w:rsid w:val="3DC4A772"/>
    <w:rsid w:val="3DC50513"/>
    <w:rsid w:val="3DC69680"/>
    <w:rsid w:val="3DC72D52"/>
    <w:rsid w:val="3DC97CDA"/>
    <w:rsid w:val="3DCC935A"/>
    <w:rsid w:val="3DCDFD9B"/>
    <w:rsid w:val="3DD05833"/>
    <w:rsid w:val="3DD1BC8A"/>
    <w:rsid w:val="3DD48376"/>
    <w:rsid w:val="3DD7B503"/>
    <w:rsid w:val="3DDD4CF5"/>
    <w:rsid w:val="3DEA3287"/>
    <w:rsid w:val="3DED873F"/>
    <w:rsid w:val="3DEE3B6A"/>
    <w:rsid w:val="3DF19F1D"/>
    <w:rsid w:val="3DF2F653"/>
    <w:rsid w:val="3DF89459"/>
    <w:rsid w:val="3DFADF6C"/>
    <w:rsid w:val="3DFB4A41"/>
    <w:rsid w:val="3DFC16B7"/>
    <w:rsid w:val="3E00701E"/>
    <w:rsid w:val="3E03F150"/>
    <w:rsid w:val="3E056007"/>
    <w:rsid w:val="3E0F462D"/>
    <w:rsid w:val="3E10D720"/>
    <w:rsid w:val="3E10FAE8"/>
    <w:rsid w:val="3E156038"/>
    <w:rsid w:val="3E180BAB"/>
    <w:rsid w:val="3E191239"/>
    <w:rsid w:val="3E204CE0"/>
    <w:rsid w:val="3E2ABEC3"/>
    <w:rsid w:val="3E351939"/>
    <w:rsid w:val="3E36AEEF"/>
    <w:rsid w:val="3E3D1ADA"/>
    <w:rsid w:val="3E412A6C"/>
    <w:rsid w:val="3E424324"/>
    <w:rsid w:val="3E4BBFFB"/>
    <w:rsid w:val="3E533630"/>
    <w:rsid w:val="3E57B375"/>
    <w:rsid w:val="3E5BD846"/>
    <w:rsid w:val="3E5F185A"/>
    <w:rsid w:val="3E6097A5"/>
    <w:rsid w:val="3E623097"/>
    <w:rsid w:val="3E651F42"/>
    <w:rsid w:val="3E69C467"/>
    <w:rsid w:val="3E6A9BAD"/>
    <w:rsid w:val="3E6E3A49"/>
    <w:rsid w:val="3E711C18"/>
    <w:rsid w:val="3E72B32F"/>
    <w:rsid w:val="3E7E7FF8"/>
    <w:rsid w:val="3E7F7F34"/>
    <w:rsid w:val="3E8045A0"/>
    <w:rsid w:val="3E81E1BA"/>
    <w:rsid w:val="3E83117F"/>
    <w:rsid w:val="3E855F3B"/>
    <w:rsid w:val="3E996049"/>
    <w:rsid w:val="3E9A4F14"/>
    <w:rsid w:val="3E9A560D"/>
    <w:rsid w:val="3E9BA0AC"/>
    <w:rsid w:val="3E9CD70B"/>
    <w:rsid w:val="3E9CF604"/>
    <w:rsid w:val="3EA000A2"/>
    <w:rsid w:val="3EA4EDBA"/>
    <w:rsid w:val="3EA5A08B"/>
    <w:rsid w:val="3EA68940"/>
    <w:rsid w:val="3EA9C8FC"/>
    <w:rsid w:val="3EAE6812"/>
    <w:rsid w:val="3EAFA4F8"/>
    <w:rsid w:val="3EB0E7F6"/>
    <w:rsid w:val="3EB42322"/>
    <w:rsid w:val="3EB52C9B"/>
    <w:rsid w:val="3EB738BD"/>
    <w:rsid w:val="3EBDD0C5"/>
    <w:rsid w:val="3EBF6E5E"/>
    <w:rsid w:val="3EC2BA23"/>
    <w:rsid w:val="3ECC986A"/>
    <w:rsid w:val="3ECDD993"/>
    <w:rsid w:val="3ED38811"/>
    <w:rsid w:val="3EDBA3F7"/>
    <w:rsid w:val="3EDC1B18"/>
    <w:rsid w:val="3EDCBF8F"/>
    <w:rsid w:val="3EDCC266"/>
    <w:rsid w:val="3EE4B778"/>
    <w:rsid w:val="3EE552E2"/>
    <w:rsid w:val="3EE6F9DA"/>
    <w:rsid w:val="3EECE3F9"/>
    <w:rsid w:val="3EEDC5E0"/>
    <w:rsid w:val="3EEF9EC4"/>
    <w:rsid w:val="3EEFB1A6"/>
    <w:rsid w:val="3EEFBDD8"/>
    <w:rsid w:val="3EF0F7DA"/>
    <w:rsid w:val="3EFB777A"/>
    <w:rsid w:val="3F011945"/>
    <w:rsid w:val="3F09F64F"/>
    <w:rsid w:val="3F0E9C9A"/>
    <w:rsid w:val="3F12BB61"/>
    <w:rsid w:val="3F142C06"/>
    <w:rsid w:val="3F1651BD"/>
    <w:rsid w:val="3F1824F6"/>
    <w:rsid w:val="3F1D8ADE"/>
    <w:rsid w:val="3F1FBA64"/>
    <w:rsid w:val="3F212023"/>
    <w:rsid w:val="3F21DFDF"/>
    <w:rsid w:val="3F22D23A"/>
    <w:rsid w:val="3F2464CE"/>
    <w:rsid w:val="3F298E97"/>
    <w:rsid w:val="3F2DB049"/>
    <w:rsid w:val="3F2E4D94"/>
    <w:rsid w:val="3F31945B"/>
    <w:rsid w:val="3F320AB5"/>
    <w:rsid w:val="3F36448A"/>
    <w:rsid w:val="3F3852F9"/>
    <w:rsid w:val="3F3E912C"/>
    <w:rsid w:val="3F3F9004"/>
    <w:rsid w:val="3F441AB0"/>
    <w:rsid w:val="3F4657F8"/>
    <w:rsid w:val="3F4B5AFE"/>
    <w:rsid w:val="3F4BC017"/>
    <w:rsid w:val="3F4BFBB4"/>
    <w:rsid w:val="3F4D4413"/>
    <w:rsid w:val="3F50FFA3"/>
    <w:rsid w:val="3F51805B"/>
    <w:rsid w:val="3F57546F"/>
    <w:rsid w:val="3F5C86B3"/>
    <w:rsid w:val="3F63A58C"/>
    <w:rsid w:val="3F63F129"/>
    <w:rsid w:val="3F659012"/>
    <w:rsid w:val="3F6A9017"/>
    <w:rsid w:val="3F712DBB"/>
    <w:rsid w:val="3F785BD6"/>
    <w:rsid w:val="3F83385A"/>
    <w:rsid w:val="3F87B31B"/>
    <w:rsid w:val="3F897880"/>
    <w:rsid w:val="3F89ACC4"/>
    <w:rsid w:val="3F89F447"/>
    <w:rsid w:val="3F8A61E8"/>
    <w:rsid w:val="3F979DB7"/>
    <w:rsid w:val="3F980FE0"/>
    <w:rsid w:val="3F9C8098"/>
    <w:rsid w:val="3F9E9857"/>
    <w:rsid w:val="3FA09EE0"/>
    <w:rsid w:val="3FA2F715"/>
    <w:rsid w:val="3FA640C9"/>
    <w:rsid w:val="3FA645F9"/>
    <w:rsid w:val="3FA71B1D"/>
    <w:rsid w:val="3FAA33B0"/>
    <w:rsid w:val="3FAD4975"/>
    <w:rsid w:val="3FB26163"/>
    <w:rsid w:val="3FB3D3BA"/>
    <w:rsid w:val="3FB670FB"/>
    <w:rsid w:val="3FB73BC0"/>
    <w:rsid w:val="3FB96B77"/>
    <w:rsid w:val="3FBA9AE3"/>
    <w:rsid w:val="3FBDEB3E"/>
    <w:rsid w:val="3FBF46BD"/>
    <w:rsid w:val="3FC17B40"/>
    <w:rsid w:val="3FC59D56"/>
    <w:rsid w:val="3FC94CC0"/>
    <w:rsid w:val="3FCC9FD6"/>
    <w:rsid w:val="3FCFC1E9"/>
    <w:rsid w:val="3FD6F2C1"/>
    <w:rsid w:val="3FDEA696"/>
    <w:rsid w:val="3FDEF663"/>
    <w:rsid w:val="3FE0BAC7"/>
    <w:rsid w:val="3FE11E7A"/>
    <w:rsid w:val="3FE53907"/>
    <w:rsid w:val="3FEAB131"/>
    <w:rsid w:val="3FF3A3A0"/>
    <w:rsid w:val="3FF4E7DF"/>
    <w:rsid w:val="3FFA8E9B"/>
    <w:rsid w:val="40092829"/>
    <w:rsid w:val="4012C63D"/>
    <w:rsid w:val="401CA202"/>
    <w:rsid w:val="401CA9E9"/>
    <w:rsid w:val="40241198"/>
    <w:rsid w:val="40260933"/>
    <w:rsid w:val="402702AB"/>
    <w:rsid w:val="402B6EA9"/>
    <w:rsid w:val="4035010F"/>
    <w:rsid w:val="40365638"/>
    <w:rsid w:val="40379470"/>
    <w:rsid w:val="403AFDFF"/>
    <w:rsid w:val="403E509D"/>
    <w:rsid w:val="403EDEC5"/>
    <w:rsid w:val="4041E179"/>
    <w:rsid w:val="4044C5CC"/>
    <w:rsid w:val="4047C1EE"/>
    <w:rsid w:val="4048DF6D"/>
    <w:rsid w:val="4052EA85"/>
    <w:rsid w:val="40530612"/>
    <w:rsid w:val="405C6F4F"/>
    <w:rsid w:val="406523D6"/>
    <w:rsid w:val="406C05AD"/>
    <w:rsid w:val="406F6A6D"/>
    <w:rsid w:val="407145F8"/>
    <w:rsid w:val="407A9CB4"/>
    <w:rsid w:val="407B9E92"/>
    <w:rsid w:val="407FBBC0"/>
    <w:rsid w:val="40802977"/>
    <w:rsid w:val="4086D458"/>
    <w:rsid w:val="408AB222"/>
    <w:rsid w:val="408ABD5E"/>
    <w:rsid w:val="409442EA"/>
    <w:rsid w:val="4095D541"/>
    <w:rsid w:val="409B8465"/>
    <w:rsid w:val="409E3BC9"/>
    <w:rsid w:val="409F41CA"/>
    <w:rsid w:val="409FF94D"/>
    <w:rsid w:val="40A780ED"/>
    <w:rsid w:val="40AA2FB9"/>
    <w:rsid w:val="40AA6D20"/>
    <w:rsid w:val="40AAC350"/>
    <w:rsid w:val="40AB5FF0"/>
    <w:rsid w:val="40AB8AE3"/>
    <w:rsid w:val="40ADB45E"/>
    <w:rsid w:val="40AE4F1C"/>
    <w:rsid w:val="40B0A767"/>
    <w:rsid w:val="40B4014F"/>
    <w:rsid w:val="40B51BFB"/>
    <w:rsid w:val="40C0FC84"/>
    <w:rsid w:val="40C23900"/>
    <w:rsid w:val="40C452B3"/>
    <w:rsid w:val="40C73C1D"/>
    <w:rsid w:val="40CCE6B2"/>
    <w:rsid w:val="40D18DC3"/>
    <w:rsid w:val="40D55F13"/>
    <w:rsid w:val="40D7A595"/>
    <w:rsid w:val="40DB5552"/>
    <w:rsid w:val="40DC1396"/>
    <w:rsid w:val="40DCAE37"/>
    <w:rsid w:val="40E166A3"/>
    <w:rsid w:val="40E31404"/>
    <w:rsid w:val="40E3DA99"/>
    <w:rsid w:val="40E66DC4"/>
    <w:rsid w:val="40E8ECE8"/>
    <w:rsid w:val="40EBB2CF"/>
    <w:rsid w:val="40ECA081"/>
    <w:rsid w:val="40ECDF41"/>
    <w:rsid w:val="40EE8B6D"/>
    <w:rsid w:val="40F1DD4E"/>
    <w:rsid w:val="40F3ADCF"/>
    <w:rsid w:val="40F56815"/>
    <w:rsid w:val="41011F6F"/>
    <w:rsid w:val="41049C6C"/>
    <w:rsid w:val="41050EFA"/>
    <w:rsid w:val="4106816C"/>
    <w:rsid w:val="41075A04"/>
    <w:rsid w:val="410937F1"/>
    <w:rsid w:val="41099F3F"/>
    <w:rsid w:val="410AAFE2"/>
    <w:rsid w:val="410C2784"/>
    <w:rsid w:val="41116D2E"/>
    <w:rsid w:val="41183A94"/>
    <w:rsid w:val="41187CDB"/>
    <w:rsid w:val="412676EE"/>
    <w:rsid w:val="4128D6DD"/>
    <w:rsid w:val="41296AEB"/>
    <w:rsid w:val="412D1358"/>
    <w:rsid w:val="4132B0B0"/>
    <w:rsid w:val="4136118C"/>
    <w:rsid w:val="4137167B"/>
    <w:rsid w:val="41371F61"/>
    <w:rsid w:val="4139B2F5"/>
    <w:rsid w:val="4142476E"/>
    <w:rsid w:val="4142CB67"/>
    <w:rsid w:val="4146DC32"/>
    <w:rsid w:val="4149B42A"/>
    <w:rsid w:val="414A5F0F"/>
    <w:rsid w:val="41508739"/>
    <w:rsid w:val="415163A2"/>
    <w:rsid w:val="4153BD0C"/>
    <w:rsid w:val="415538DC"/>
    <w:rsid w:val="4158BEA2"/>
    <w:rsid w:val="4159499D"/>
    <w:rsid w:val="415AC7C9"/>
    <w:rsid w:val="415CD3A9"/>
    <w:rsid w:val="4161BA3A"/>
    <w:rsid w:val="4164C5B8"/>
    <w:rsid w:val="4167BF5F"/>
    <w:rsid w:val="41684760"/>
    <w:rsid w:val="41685962"/>
    <w:rsid w:val="416A1DA5"/>
    <w:rsid w:val="416A6F74"/>
    <w:rsid w:val="416A8E42"/>
    <w:rsid w:val="416F2409"/>
    <w:rsid w:val="416FEBEC"/>
    <w:rsid w:val="41716557"/>
    <w:rsid w:val="41733FFA"/>
    <w:rsid w:val="4174F7C3"/>
    <w:rsid w:val="41754D01"/>
    <w:rsid w:val="4176B340"/>
    <w:rsid w:val="4179B08B"/>
    <w:rsid w:val="417ACE4A"/>
    <w:rsid w:val="417B3909"/>
    <w:rsid w:val="417BBAE8"/>
    <w:rsid w:val="417C8381"/>
    <w:rsid w:val="4180EB1B"/>
    <w:rsid w:val="4180EB55"/>
    <w:rsid w:val="41848BB9"/>
    <w:rsid w:val="41857865"/>
    <w:rsid w:val="41882C8F"/>
    <w:rsid w:val="418D5D79"/>
    <w:rsid w:val="418EE266"/>
    <w:rsid w:val="41905982"/>
    <w:rsid w:val="4190726B"/>
    <w:rsid w:val="41923029"/>
    <w:rsid w:val="41931928"/>
    <w:rsid w:val="419421F7"/>
    <w:rsid w:val="41989CCF"/>
    <w:rsid w:val="419C055E"/>
    <w:rsid w:val="419C527D"/>
    <w:rsid w:val="419D8923"/>
    <w:rsid w:val="41A16949"/>
    <w:rsid w:val="41A4952A"/>
    <w:rsid w:val="41B74474"/>
    <w:rsid w:val="41B87C21"/>
    <w:rsid w:val="41BC0348"/>
    <w:rsid w:val="41BDCB6E"/>
    <w:rsid w:val="41C0C1CD"/>
    <w:rsid w:val="41C261F2"/>
    <w:rsid w:val="41C2BB5F"/>
    <w:rsid w:val="41C37991"/>
    <w:rsid w:val="41C65F87"/>
    <w:rsid w:val="41C87E70"/>
    <w:rsid w:val="41CC537C"/>
    <w:rsid w:val="41CC8034"/>
    <w:rsid w:val="41D4F2EB"/>
    <w:rsid w:val="41D9B278"/>
    <w:rsid w:val="41DA434D"/>
    <w:rsid w:val="41E157DA"/>
    <w:rsid w:val="41E1892E"/>
    <w:rsid w:val="41E2C634"/>
    <w:rsid w:val="41E8E3EB"/>
    <w:rsid w:val="41E9AEA6"/>
    <w:rsid w:val="41F1CC60"/>
    <w:rsid w:val="41F43EDF"/>
    <w:rsid w:val="41F8927F"/>
    <w:rsid w:val="4203F5A0"/>
    <w:rsid w:val="42040E82"/>
    <w:rsid w:val="4207C684"/>
    <w:rsid w:val="420C3B9D"/>
    <w:rsid w:val="4214DCAD"/>
    <w:rsid w:val="4224B21E"/>
    <w:rsid w:val="4225EB52"/>
    <w:rsid w:val="422A8FE0"/>
    <w:rsid w:val="422B6178"/>
    <w:rsid w:val="422DB72C"/>
    <w:rsid w:val="422DF667"/>
    <w:rsid w:val="42321A01"/>
    <w:rsid w:val="42355135"/>
    <w:rsid w:val="423893B0"/>
    <w:rsid w:val="423AD6FC"/>
    <w:rsid w:val="4240B424"/>
    <w:rsid w:val="4240DBCF"/>
    <w:rsid w:val="42415787"/>
    <w:rsid w:val="424BAFD2"/>
    <w:rsid w:val="424BF350"/>
    <w:rsid w:val="424E71F5"/>
    <w:rsid w:val="42505B35"/>
    <w:rsid w:val="4255180A"/>
    <w:rsid w:val="4258FDC6"/>
    <w:rsid w:val="425AABDA"/>
    <w:rsid w:val="425B64DD"/>
    <w:rsid w:val="426CD52D"/>
    <w:rsid w:val="426D02FC"/>
    <w:rsid w:val="426F4D79"/>
    <w:rsid w:val="427431CA"/>
    <w:rsid w:val="4276BE0B"/>
    <w:rsid w:val="42771D6D"/>
    <w:rsid w:val="42774421"/>
    <w:rsid w:val="427DE49C"/>
    <w:rsid w:val="4284CA47"/>
    <w:rsid w:val="4286872A"/>
    <w:rsid w:val="42893261"/>
    <w:rsid w:val="428E7B37"/>
    <w:rsid w:val="42949DFA"/>
    <w:rsid w:val="42988A03"/>
    <w:rsid w:val="429A5AED"/>
    <w:rsid w:val="429EDF01"/>
    <w:rsid w:val="429F2DB9"/>
    <w:rsid w:val="42B0D703"/>
    <w:rsid w:val="42BBEED0"/>
    <w:rsid w:val="42C4CA65"/>
    <w:rsid w:val="42CA361A"/>
    <w:rsid w:val="42D52DA1"/>
    <w:rsid w:val="42DACC75"/>
    <w:rsid w:val="42DB8D8D"/>
    <w:rsid w:val="42DBB0EE"/>
    <w:rsid w:val="42DFCAAA"/>
    <w:rsid w:val="42E1B885"/>
    <w:rsid w:val="42E33947"/>
    <w:rsid w:val="42E480FD"/>
    <w:rsid w:val="42EAB218"/>
    <w:rsid w:val="42ECCEB1"/>
    <w:rsid w:val="42EFD198"/>
    <w:rsid w:val="42F15B28"/>
    <w:rsid w:val="42F60DA4"/>
    <w:rsid w:val="42F7C8E8"/>
    <w:rsid w:val="43077C86"/>
    <w:rsid w:val="43079FF0"/>
    <w:rsid w:val="430E6C9C"/>
    <w:rsid w:val="43107B45"/>
    <w:rsid w:val="43151B22"/>
    <w:rsid w:val="431EAD03"/>
    <w:rsid w:val="43204839"/>
    <w:rsid w:val="43283390"/>
    <w:rsid w:val="43339350"/>
    <w:rsid w:val="433A5474"/>
    <w:rsid w:val="433D407F"/>
    <w:rsid w:val="4340114B"/>
    <w:rsid w:val="43427316"/>
    <w:rsid w:val="43437859"/>
    <w:rsid w:val="434C8F1E"/>
    <w:rsid w:val="434C9A05"/>
    <w:rsid w:val="434D018E"/>
    <w:rsid w:val="435002D8"/>
    <w:rsid w:val="4351FF79"/>
    <w:rsid w:val="43523025"/>
    <w:rsid w:val="435466A4"/>
    <w:rsid w:val="43563ECE"/>
    <w:rsid w:val="435AB320"/>
    <w:rsid w:val="435F1D7D"/>
    <w:rsid w:val="436648B3"/>
    <w:rsid w:val="43688A4A"/>
    <w:rsid w:val="436AE767"/>
    <w:rsid w:val="436F7347"/>
    <w:rsid w:val="436FC100"/>
    <w:rsid w:val="43735B88"/>
    <w:rsid w:val="4373A2EE"/>
    <w:rsid w:val="437795EF"/>
    <w:rsid w:val="4377ECB6"/>
    <w:rsid w:val="4378E4EB"/>
    <w:rsid w:val="437A2C91"/>
    <w:rsid w:val="437C7EB4"/>
    <w:rsid w:val="437E1D26"/>
    <w:rsid w:val="43800AD2"/>
    <w:rsid w:val="4383642A"/>
    <w:rsid w:val="4387E0C1"/>
    <w:rsid w:val="438BBFFB"/>
    <w:rsid w:val="438CDDA8"/>
    <w:rsid w:val="4396A699"/>
    <w:rsid w:val="4396A951"/>
    <w:rsid w:val="43978F08"/>
    <w:rsid w:val="439B0485"/>
    <w:rsid w:val="439F38C1"/>
    <w:rsid w:val="43A17C2B"/>
    <w:rsid w:val="43A8E286"/>
    <w:rsid w:val="43ACD64F"/>
    <w:rsid w:val="43B21FD3"/>
    <w:rsid w:val="43B58549"/>
    <w:rsid w:val="43B59A51"/>
    <w:rsid w:val="43BBA2FF"/>
    <w:rsid w:val="43C2AA1C"/>
    <w:rsid w:val="43CAB508"/>
    <w:rsid w:val="43CE782D"/>
    <w:rsid w:val="43D4AE79"/>
    <w:rsid w:val="43D717D3"/>
    <w:rsid w:val="43E17B34"/>
    <w:rsid w:val="43E3B92E"/>
    <w:rsid w:val="43E6147B"/>
    <w:rsid w:val="43E90BE0"/>
    <w:rsid w:val="43EA16D8"/>
    <w:rsid w:val="43EA3326"/>
    <w:rsid w:val="43EADBB9"/>
    <w:rsid w:val="43FB291C"/>
    <w:rsid w:val="43FFE325"/>
    <w:rsid w:val="4407270F"/>
    <w:rsid w:val="440A7212"/>
    <w:rsid w:val="440C837D"/>
    <w:rsid w:val="4411EC5B"/>
    <w:rsid w:val="4415A294"/>
    <w:rsid w:val="44170000"/>
    <w:rsid w:val="442BE290"/>
    <w:rsid w:val="4434BEBE"/>
    <w:rsid w:val="4436D201"/>
    <w:rsid w:val="443B906B"/>
    <w:rsid w:val="4440547D"/>
    <w:rsid w:val="44413FE8"/>
    <w:rsid w:val="44425270"/>
    <w:rsid w:val="444298EF"/>
    <w:rsid w:val="4444CE0E"/>
    <w:rsid w:val="44476C20"/>
    <w:rsid w:val="44484EB3"/>
    <w:rsid w:val="444E0060"/>
    <w:rsid w:val="445053E2"/>
    <w:rsid w:val="4450B8D5"/>
    <w:rsid w:val="4451E1F2"/>
    <w:rsid w:val="44538856"/>
    <w:rsid w:val="44557794"/>
    <w:rsid w:val="4455F53C"/>
    <w:rsid w:val="445C531B"/>
    <w:rsid w:val="44620BEB"/>
    <w:rsid w:val="4463346E"/>
    <w:rsid w:val="44645E7E"/>
    <w:rsid w:val="446C1561"/>
    <w:rsid w:val="446D2762"/>
    <w:rsid w:val="447052DD"/>
    <w:rsid w:val="44732C23"/>
    <w:rsid w:val="4473BC8A"/>
    <w:rsid w:val="447708B1"/>
    <w:rsid w:val="44780F10"/>
    <w:rsid w:val="447E24F0"/>
    <w:rsid w:val="448A65AE"/>
    <w:rsid w:val="448ECC33"/>
    <w:rsid w:val="448FD51B"/>
    <w:rsid w:val="449231C6"/>
    <w:rsid w:val="44A6518B"/>
    <w:rsid w:val="44A7D2E1"/>
    <w:rsid w:val="44ACF39B"/>
    <w:rsid w:val="44B0EE57"/>
    <w:rsid w:val="44B3F2C1"/>
    <w:rsid w:val="44B46B85"/>
    <w:rsid w:val="44B5ACE8"/>
    <w:rsid w:val="44B62177"/>
    <w:rsid w:val="44BF7833"/>
    <w:rsid w:val="44C748BA"/>
    <w:rsid w:val="44CB36BE"/>
    <w:rsid w:val="44CD7E1E"/>
    <w:rsid w:val="44D0E644"/>
    <w:rsid w:val="44DB0A38"/>
    <w:rsid w:val="44DC43CA"/>
    <w:rsid w:val="44E11BE3"/>
    <w:rsid w:val="44E3088D"/>
    <w:rsid w:val="44E41C0F"/>
    <w:rsid w:val="44E628B5"/>
    <w:rsid w:val="44E74D73"/>
    <w:rsid w:val="44F3833F"/>
    <w:rsid w:val="44F7384F"/>
    <w:rsid w:val="450114A2"/>
    <w:rsid w:val="45035019"/>
    <w:rsid w:val="4508D4DF"/>
    <w:rsid w:val="450B1C97"/>
    <w:rsid w:val="450C100B"/>
    <w:rsid w:val="451817BE"/>
    <w:rsid w:val="451901F3"/>
    <w:rsid w:val="4519ACCC"/>
    <w:rsid w:val="451CC278"/>
    <w:rsid w:val="451F1627"/>
    <w:rsid w:val="451F4455"/>
    <w:rsid w:val="45244756"/>
    <w:rsid w:val="45292B72"/>
    <w:rsid w:val="452D3315"/>
    <w:rsid w:val="452F3627"/>
    <w:rsid w:val="4535BB83"/>
    <w:rsid w:val="45369DC2"/>
    <w:rsid w:val="453900BD"/>
    <w:rsid w:val="45395401"/>
    <w:rsid w:val="453C1EBF"/>
    <w:rsid w:val="453F14FF"/>
    <w:rsid w:val="454787C6"/>
    <w:rsid w:val="454C7943"/>
    <w:rsid w:val="45504BBB"/>
    <w:rsid w:val="4551FAC7"/>
    <w:rsid w:val="45545E1F"/>
    <w:rsid w:val="4554F962"/>
    <w:rsid w:val="45584472"/>
    <w:rsid w:val="4564E09C"/>
    <w:rsid w:val="4566D01C"/>
    <w:rsid w:val="456A9876"/>
    <w:rsid w:val="457039E5"/>
    <w:rsid w:val="457F51CB"/>
    <w:rsid w:val="4581AED5"/>
    <w:rsid w:val="4581E8B2"/>
    <w:rsid w:val="45895F6F"/>
    <w:rsid w:val="458D06BA"/>
    <w:rsid w:val="458E43A9"/>
    <w:rsid w:val="458EB427"/>
    <w:rsid w:val="4590ABDB"/>
    <w:rsid w:val="4590CCEC"/>
    <w:rsid w:val="4598B755"/>
    <w:rsid w:val="459E020D"/>
    <w:rsid w:val="45A2A931"/>
    <w:rsid w:val="45A34B81"/>
    <w:rsid w:val="45A49434"/>
    <w:rsid w:val="45A6A3D1"/>
    <w:rsid w:val="45A8FA50"/>
    <w:rsid w:val="45A9D3B8"/>
    <w:rsid w:val="45AC2A1C"/>
    <w:rsid w:val="45AF6AB7"/>
    <w:rsid w:val="45B2F144"/>
    <w:rsid w:val="45B825C8"/>
    <w:rsid w:val="45B8C9F3"/>
    <w:rsid w:val="45BEDF5D"/>
    <w:rsid w:val="45C17051"/>
    <w:rsid w:val="45D0E88D"/>
    <w:rsid w:val="45D50408"/>
    <w:rsid w:val="45D64D18"/>
    <w:rsid w:val="45DA0581"/>
    <w:rsid w:val="45DA5831"/>
    <w:rsid w:val="45DB7BF3"/>
    <w:rsid w:val="45E5DAA9"/>
    <w:rsid w:val="45EA89B5"/>
    <w:rsid w:val="45EC3B6B"/>
    <w:rsid w:val="45F2D4E1"/>
    <w:rsid w:val="45F5253A"/>
    <w:rsid w:val="45F80416"/>
    <w:rsid w:val="45F946A4"/>
    <w:rsid w:val="45FB1F41"/>
    <w:rsid w:val="45FB63A4"/>
    <w:rsid w:val="45FD4FC4"/>
    <w:rsid w:val="45FD8336"/>
    <w:rsid w:val="4604FFE9"/>
    <w:rsid w:val="460AE235"/>
    <w:rsid w:val="460B9DD3"/>
    <w:rsid w:val="4615B8B3"/>
    <w:rsid w:val="46186CD4"/>
    <w:rsid w:val="46193FF5"/>
    <w:rsid w:val="4622B724"/>
    <w:rsid w:val="462E7799"/>
    <w:rsid w:val="462F35BC"/>
    <w:rsid w:val="462FDE46"/>
    <w:rsid w:val="463096D6"/>
    <w:rsid w:val="46318DC5"/>
    <w:rsid w:val="4636BA8F"/>
    <w:rsid w:val="463BBD40"/>
    <w:rsid w:val="463C02E2"/>
    <w:rsid w:val="463F8951"/>
    <w:rsid w:val="4640EA96"/>
    <w:rsid w:val="46421637"/>
    <w:rsid w:val="46434415"/>
    <w:rsid w:val="464AF505"/>
    <w:rsid w:val="464D7639"/>
    <w:rsid w:val="464E47D2"/>
    <w:rsid w:val="46589494"/>
    <w:rsid w:val="465AFB00"/>
    <w:rsid w:val="46673391"/>
    <w:rsid w:val="466A7DB9"/>
    <w:rsid w:val="466A836A"/>
    <w:rsid w:val="466BBE86"/>
    <w:rsid w:val="4670EB64"/>
    <w:rsid w:val="4673D10E"/>
    <w:rsid w:val="467838AC"/>
    <w:rsid w:val="46882CE9"/>
    <w:rsid w:val="468B2DE7"/>
    <w:rsid w:val="468DFE78"/>
    <w:rsid w:val="468ECA16"/>
    <w:rsid w:val="46936EB1"/>
    <w:rsid w:val="4697673C"/>
    <w:rsid w:val="46985C33"/>
    <w:rsid w:val="469D4DBE"/>
    <w:rsid w:val="469E0A0C"/>
    <w:rsid w:val="469FDACD"/>
    <w:rsid w:val="46A38C8C"/>
    <w:rsid w:val="46AA1226"/>
    <w:rsid w:val="46AA6614"/>
    <w:rsid w:val="46AACDFC"/>
    <w:rsid w:val="46B3C4CF"/>
    <w:rsid w:val="46B553CE"/>
    <w:rsid w:val="46C638DE"/>
    <w:rsid w:val="46CE2905"/>
    <w:rsid w:val="46D2B1A3"/>
    <w:rsid w:val="46D381E1"/>
    <w:rsid w:val="46D3EDF4"/>
    <w:rsid w:val="46D54660"/>
    <w:rsid w:val="46D69AF0"/>
    <w:rsid w:val="46E4C517"/>
    <w:rsid w:val="46E4F2B2"/>
    <w:rsid w:val="46EBFAB1"/>
    <w:rsid w:val="46ED89C9"/>
    <w:rsid w:val="46F21662"/>
    <w:rsid w:val="46F36E19"/>
    <w:rsid w:val="46F5E2FC"/>
    <w:rsid w:val="46F5F03E"/>
    <w:rsid w:val="46F6312F"/>
    <w:rsid w:val="46FAF677"/>
    <w:rsid w:val="46FD3930"/>
    <w:rsid w:val="46FE640C"/>
    <w:rsid w:val="46FED805"/>
    <w:rsid w:val="4708B1B9"/>
    <w:rsid w:val="4709E2FD"/>
    <w:rsid w:val="4710371F"/>
    <w:rsid w:val="4711A7B6"/>
    <w:rsid w:val="4717BF9B"/>
    <w:rsid w:val="47196FDC"/>
    <w:rsid w:val="471C04A7"/>
    <w:rsid w:val="472034FB"/>
    <w:rsid w:val="4722ABD4"/>
    <w:rsid w:val="4724E675"/>
    <w:rsid w:val="472A967F"/>
    <w:rsid w:val="472C6716"/>
    <w:rsid w:val="472DD5DE"/>
    <w:rsid w:val="4733C8DD"/>
    <w:rsid w:val="473C0A0E"/>
    <w:rsid w:val="473D2566"/>
    <w:rsid w:val="473FB06A"/>
    <w:rsid w:val="47511C11"/>
    <w:rsid w:val="47534EAD"/>
    <w:rsid w:val="4754C2B7"/>
    <w:rsid w:val="475749F9"/>
    <w:rsid w:val="47579722"/>
    <w:rsid w:val="475A785F"/>
    <w:rsid w:val="475DFA51"/>
    <w:rsid w:val="4767CAE5"/>
    <w:rsid w:val="4769518D"/>
    <w:rsid w:val="47702367"/>
    <w:rsid w:val="4771C7D8"/>
    <w:rsid w:val="47782B03"/>
    <w:rsid w:val="477B93F0"/>
    <w:rsid w:val="47813EF0"/>
    <w:rsid w:val="4781C9CD"/>
    <w:rsid w:val="47906C5D"/>
    <w:rsid w:val="47928B43"/>
    <w:rsid w:val="479561C0"/>
    <w:rsid w:val="4796CF62"/>
    <w:rsid w:val="479787A3"/>
    <w:rsid w:val="47988359"/>
    <w:rsid w:val="47995ECC"/>
    <w:rsid w:val="47A2877D"/>
    <w:rsid w:val="47A4278C"/>
    <w:rsid w:val="47A8C7FA"/>
    <w:rsid w:val="47AB8714"/>
    <w:rsid w:val="47AE6EF6"/>
    <w:rsid w:val="47B12D25"/>
    <w:rsid w:val="47B7C3E1"/>
    <w:rsid w:val="47BB73C7"/>
    <w:rsid w:val="47BB88DC"/>
    <w:rsid w:val="47BC0974"/>
    <w:rsid w:val="47C074A3"/>
    <w:rsid w:val="47C1BDA0"/>
    <w:rsid w:val="47C538CD"/>
    <w:rsid w:val="47C57FB3"/>
    <w:rsid w:val="47C92D20"/>
    <w:rsid w:val="47CBE3A3"/>
    <w:rsid w:val="47CBFDC3"/>
    <w:rsid w:val="47D155B6"/>
    <w:rsid w:val="47D296B0"/>
    <w:rsid w:val="47D53C68"/>
    <w:rsid w:val="47D565CF"/>
    <w:rsid w:val="47D5EAE9"/>
    <w:rsid w:val="47DBA09F"/>
    <w:rsid w:val="47E4DA26"/>
    <w:rsid w:val="47E5AB22"/>
    <w:rsid w:val="47ECCEF7"/>
    <w:rsid w:val="47EE70BB"/>
    <w:rsid w:val="47EFA560"/>
    <w:rsid w:val="47F23B9E"/>
    <w:rsid w:val="47F2997D"/>
    <w:rsid w:val="47F7339F"/>
    <w:rsid w:val="47FD3034"/>
    <w:rsid w:val="47FE0B57"/>
    <w:rsid w:val="480011D8"/>
    <w:rsid w:val="4801D50F"/>
    <w:rsid w:val="4807270F"/>
    <w:rsid w:val="480B014F"/>
    <w:rsid w:val="480C1784"/>
    <w:rsid w:val="480CBD47"/>
    <w:rsid w:val="480D0517"/>
    <w:rsid w:val="4813C791"/>
    <w:rsid w:val="4819C2FF"/>
    <w:rsid w:val="4820E3E2"/>
    <w:rsid w:val="48214325"/>
    <w:rsid w:val="483326D0"/>
    <w:rsid w:val="4834D0EB"/>
    <w:rsid w:val="4837050A"/>
    <w:rsid w:val="483C19B8"/>
    <w:rsid w:val="4842A57B"/>
    <w:rsid w:val="4850E82E"/>
    <w:rsid w:val="4851B814"/>
    <w:rsid w:val="4854D20A"/>
    <w:rsid w:val="485AFE83"/>
    <w:rsid w:val="485BC72E"/>
    <w:rsid w:val="485C0CFA"/>
    <w:rsid w:val="4860B6E2"/>
    <w:rsid w:val="4863ACB7"/>
    <w:rsid w:val="48655373"/>
    <w:rsid w:val="486BD7B7"/>
    <w:rsid w:val="48762D4D"/>
    <w:rsid w:val="487B2BEC"/>
    <w:rsid w:val="487DB1CD"/>
    <w:rsid w:val="487F8EC0"/>
    <w:rsid w:val="4887A980"/>
    <w:rsid w:val="488D531C"/>
    <w:rsid w:val="489718AA"/>
    <w:rsid w:val="4897EE8D"/>
    <w:rsid w:val="48A73A50"/>
    <w:rsid w:val="48AE1D35"/>
    <w:rsid w:val="48B0F8AE"/>
    <w:rsid w:val="48B168AC"/>
    <w:rsid w:val="48B218B9"/>
    <w:rsid w:val="48B2FC47"/>
    <w:rsid w:val="48B38FA7"/>
    <w:rsid w:val="48B78662"/>
    <w:rsid w:val="48BB0567"/>
    <w:rsid w:val="48C43AFB"/>
    <w:rsid w:val="48C79B5E"/>
    <w:rsid w:val="48C7ABF4"/>
    <w:rsid w:val="48C86DC0"/>
    <w:rsid w:val="48C9A303"/>
    <w:rsid w:val="48CAA600"/>
    <w:rsid w:val="48DAE094"/>
    <w:rsid w:val="48E1A51A"/>
    <w:rsid w:val="48E2E6A6"/>
    <w:rsid w:val="48E362C6"/>
    <w:rsid w:val="48E4202D"/>
    <w:rsid w:val="48E4AFCF"/>
    <w:rsid w:val="48EA4041"/>
    <w:rsid w:val="48FC8DBF"/>
    <w:rsid w:val="490C5E43"/>
    <w:rsid w:val="49175417"/>
    <w:rsid w:val="49223D11"/>
    <w:rsid w:val="49390D5F"/>
    <w:rsid w:val="493E7365"/>
    <w:rsid w:val="4940DE6C"/>
    <w:rsid w:val="49440155"/>
    <w:rsid w:val="4946B1E9"/>
    <w:rsid w:val="494B02AD"/>
    <w:rsid w:val="494C1818"/>
    <w:rsid w:val="494C972C"/>
    <w:rsid w:val="494D2100"/>
    <w:rsid w:val="49528CA4"/>
    <w:rsid w:val="49570520"/>
    <w:rsid w:val="495B4350"/>
    <w:rsid w:val="495BD065"/>
    <w:rsid w:val="495DE28E"/>
    <w:rsid w:val="495F62DA"/>
    <w:rsid w:val="4965E348"/>
    <w:rsid w:val="49727FA7"/>
    <w:rsid w:val="4975AD53"/>
    <w:rsid w:val="497C36B8"/>
    <w:rsid w:val="4980D54F"/>
    <w:rsid w:val="49880F44"/>
    <w:rsid w:val="499132C0"/>
    <w:rsid w:val="49931D4A"/>
    <w:rsid w:val="4993365C"/>
    <w:rsid w:val="4994A2B5"/>
    <w:rsid w:val="49974F08"/>
    <w:rsid w:val="4999F41C"/>
    <w:rsid w:val="49A6965C"/>
    <w:rsid w:val="49A74B8D"/>
    <w:rsid w:val="49A9B567"/>
    <w:rsid w:val="49B09512"/>
    <w:rsid w:val="49B4E816"/>
    <w:rsid w:val="49B599AB"/>
    <w:rsid w:val="49B7AFC7"/>
    <w:rsid w:val="49B8CD2B"/>
    <w:rsid w:val="49BDD4FA"/>
    <w:rsid w:val="49BF32A0"/>
    <w:rsid w:val="49C072E8"/>
    <w:rsid w:val="49C0B5E2"/>
    <w:rsid w:val="49C16FF9"/>
    <w:rsid w:val="49C91D7E"/>
    <w:rsid w:val="49CE777D"/>
    <w:rsid w:val="49D11677"/>
    <w:rsid w:val="49D1C71D"/>
    <w:rsid w:val="49D8B05E"/>
    <w:rsid w:val="49D90A37"/>
    <w:rsid w:val="49DA470A"/>
    <w:rsid w:val="49DB896B"/>
    <w:rsid w:val="49DE9EC1"/>
    <w:rsid w:val="49DF0EAE"/>
    <w:rsid w:val="49E01B25"/>
    <w:rsid w:val="49E835F8"/>
    <w:rsid w:val="49ED7F22"/>
    <w:rsid w:val="49F6756F"/>
    <w:rsid w:val="49F78588"/>
    <w:rsid w:val="49F8E2FE"/>
    <w:rsid w:val="49FBB168"/>
    <w:rsid w:val="49FC0557"/>
    <w:rsid w:val="49FCA6B4"/>
    <w:rsid w:val="4A08CC98"/>
    <w:rsid w:val="4A08F0A4"/>
    <w:rsid w:val="4A0937C8"/>
    <w:rsid w:val="4A0C2162"/>
    <w:rsid w:val="4A0CA416"/>
    <w:rsid w:val="4A0CFA42"/>
    <w:rsid w:val="4A0E578E"/>
    <w:rsid w:val="4A0F3D21"/>
    <w:rsid w:val="4A0FD160"/>
    <w:rsid w:val="4A1E3966"/>
    <w:rsid w:val="4A1F407D"/>
    <w:rsid w:val="4A2A4A55"/>
    <w:rsid w:val="4A2B38C0"/>
    <w:rsid w:val="4A2CD770"/>
    <w:rsid w:val="4A3075EB"/>
    <w:rsid w:val="4A388513"/>
    <w:rsid w:val="4A3A9A65"/>
    <w:rsid w:val="4A3B4E22"/>
    <w:rsid w:val="4A47EE98"/>
    <w:rsid w:val="4A539D6D"/>
    <w:rsid w:val="4A58263D"/>
    <w:rsid w:val="4A58306F"/>
    <w:rsid w:val="4A59FF25"/>
    <w:rsid w:val="4A5A3E8D"/>
    <w:rsid w:val="4A5D8ECA"/>
    <w:rsid w:val="4A5F4A67"/>
    <w:rsid w:val="4A5F562C"/>
    <w:rsid w:val="4A64ED8F"/>
    <w:rsid w:val="4A664E37"/>
    <w:rsid w:val="4A6E01A2"/>
    <w:rsid w:val="4A6F0795"/>
    <w:rsid w:val="4A72850F"/>
    <w:rsid w:val="4A76D91F"/>
    <w:rsid w:val="4A7A5923"/>
    <w:rsid w:val="4A7EB10C"/>
    <w:rsid w:val="4A7EB5C5"/>
    <w:rsid w:val="4A82DD8A"/>
    <w:rsid w:val="4A8407F7"/>
    <w:rsid w:val="4A85DA28"/>
    <w:rsid w:val="4A88F843"/>
    <w:rsid w:val="4A90F242"/>
    <w:rsid w:val="4A94E0A6"/>
    <w:rsid w:val="4A978D8C"/>
    <w:rsid w:val="4AA4ADAE"/>
    <w:rsid w:val="4AAA2B42"/>
    <w:rsid w:val="4AAB1027"/>
    <w:rsid w:val="4AB1807C"/>
    <w:rsid w:val="4AB35E77"/>
    <w:rsid w:val="4AB3BF41"/>
    <w:rsid w:val="4AB58EF0"/>
    <w:rsid w:val="4ABC2507"/>
    <w:rsid w:val="4AC51DEE"/>
    <w:rsid w:val="4AC58CDD"/>
    <w:rsid w:val="4ACD67AA"/>
    <w:rsid w:val="4ACDAEF6"/>
    <w:rsid w:val="4AD19A43"/>
    <w:rsid w:val="4AD34667"/>
    <w:rsid w:val="4AD55E87"/>
    <w:rsid w:val="4AD7DA9A"/>
    <w:rsid w:val="4ADF2BB1"/>
    <w:rsid w:val="4AE073D3"/>
    <w:rsid w:val="4AE7DD4A"/>
    <w:rsid w:val="4AEA7C98"/>
    <w:rsid w:val="4AEBED9E"/>
    <w:rsid w:val="4AEC3224"/>
    <w:rsid w:val="4AEE8C80"/>
    <w:rsid w:val="4AEF4531"/>
    <w:rsid w:val="4AF46386"/>
    <w:rsid w:val="4AF467CF"/>
    <w:rsid w:val="4AFC2B02"/>
    <w:rsid w:val="4AFE244B"/>
    <w:rsid w:val="4B01A05E"/>
    <w:rsid w:val="4B045A31"/>
    <w:rsid w:val="4B09C198"/>
    <w:rsid w:val="4B0C2F1D"/>
    <w:rsid w:val="4B10C8EF"/>
    <w:rsid w:val="4B15FC8C"/>
    <w:rsid w:val="4B18F3B3"/>
    <w:rsid w:val="4B205ACB"/>
    <w:rsid w:val="4B222906"/>
    <w:rsid w:val="4B23277B"/>
    <w:rsid w:val="4B24206E"/>
    <w:rsid w:val="4B267794"/>
    <w:rsid w:val="4B279BE0"/>
    <w:rsid w:val="4B27DEEC"/>
    <w:rsid w:val="4B2817D3"/>
    <w:rsid w:val="4B2B34B6"/>
    <w:rsid w:val="4B2B477E"/>
    <w:rsid w:val="4B2CD118"/>
    <w:rsid w:val="4B2D1B41"/>
    <w:rsid w:val="4B2FAF1F"/>
    <w:rsid w:val="4B30B0F7"/>
    <w:rsid w:val="4B3108ED"/>
    <w:rsid w:val="4B3181D6"/>
    <w:rsid w:val="4B345297"/>
    <w:rsid w:val="4B41B68E"/>
    <w:rsid w:val="4B438C54"/>
    <w:rsid w:val="4B444E9D"/>
    <w:rsid w:val="4B4A8500"/>
    <w:rsid w:val="4B4D15BE"/>
    <w:rsid w:val="4B4E77B4"/>
    <w:rsid w:val="4B513E12"/>
    <w:rsid w:val="4B53ACA0"/>
    <w:rsid w:val="4B54606F"/>
    <w:rsid w:val="4B566D08"/>
    <w:rsid w:val="4B59E7D9"/>
    <w:rsid w:val="4B5B6EDF"/>
    <w:rsid w:val="4B5CBBFA"/>
    <w:rsid w:val="4B610131"/>
    <w:rsid w:val="4B6634F3"/>
    <w:rsid w:val="4B6C1128"/>
    <w:rsid w:val="4B770AD8"/>
    <w:rsid w:val="4B77204A"/>
    <w:rsid w:val="4B808DDC"/>
    <w:rsid w:val="4B81F3FE"/>
    <w:rsid w:val="4B8C005E"/>
    <w:rsid w:val="4B8D3BAC"/>
    <w:rsid w:val="4B8E5CD3"/>
    <w:rsid w:val="4B900197"/>
    <w:rsid w:val="4B90F201"/>
    <w:rsid w:val="4B96B343"/>
    <w:rsid w:val="4B9BB516"/>
    <w:rsid w:val="4B9BC531"/>
    <w:rsid w:val="4B9E421A"/>
    <w:rsid w:val="4BA4D142"/>
    <w:rsid w:val="4BA4F447"/>
    <w:rsid w:val="4BA512A0"/>
    <w:rsid w:val="4BA80778"/>
    <w:rsid w:val="4BA82C56"/>
    <w:rsid w:val="4BAEC98C"/>
    <w:rsid w:val="4BB0AFAE"/>
    <w:rsid w:val="4BB8446B"/>
    <w:rsid w:val="4BBA38F2"/>
    <w:rsid w:val="4BBB3412"/>
    <w:rsid w:val="4BBDCA9B"/>
    <w:rsid w:val="4BC0A542"/>
    <w:rsid w:val="4BC15946"/>
    <w:rsid w:val="4BC46D27"/>
    <w:rsid w:val="4BC5022D"/>
    <w:rsid w:val="4BCA1991"/>
    <w:rsid w:val="4BCBBF8D"/>
    <w:rsid w:val="4BCC9B42"/>
    <w:rsid w:val="4BD086E8"/>
    <w:rsid w:val="4BD0C7AF"/>
    <w:rsid w:val="4BD2178E"/>
    <w:rsid w:val="4BDDD2B3"/>
    <w:rsid w:val="4BE41EE2"/>
    <w:rsid w:val="4BE9D381"/>
    <w:rsid w:val="4BFB6607"/>
    <w:rsid w:val="4C09C908"/>
    <w:rsid w:val="4C09E583"/>
    <w:rsid w:val="4C0BE11C"/>
    <w:rsid w:val="4C0DF720"/>
    <w:rsid w:val="4C0F05CA"/>
    <w:rsid w:val="4C10EA6F"/>
    <w:rsid w:val="4C1F1D94"/>
    <w:rsid w:val="4C219830"/>
    <w:rsid w:val="4C247F94"/>
    <w:rsid w:val="4C297103"/>
    <w:rsid w:val="4C2C349F"/>
    <w:rsid w:val="4C357C3D"/>
    <w:rsid w:val="4C3727B6"/>
    <w:rsid w:val="4C396317"/>
    <w:rsid w:val="4C3FA008"/>
    <w:rsid w:val="4C46E468"/>
    <w:rsid w:val="4C4A6CCF"/>
    <w:rsid w:val="4C4B90D5"/>
    <w:rsid w:val="4C50108C"/>
    <w:rsid w:val="4C53D83C"/>
    <w:rsid w:val="4C57DD3C"/>
    <w:rsid w:val="4C5BD9E1"/>
    <w:rsid w:val="4C5D8272"/>
    <w:rsid w:val="4C6C1A50"/>
    <w:rsid w:val="4C6DB535"/>
    <w:rsid w:val="4C73EF2E"/>
    <w:rsid w:val="4C7E1F21"/>
    <w:rsid w:val="4C80EE64"/>
    <w:rsid w:val="4C83151A"/>
    <w:rsid w:val="4C904F0B"/>
    <w:rsid w:val="4C951530"/>
    <w:rsid w:val="4C9711E7"/>
    <w:rsid w:val="4C97BEA7"/>
    <w:rsid w:val="4C9DE26A"/>
    <w:rsid w:val="4C9FDBAD"/>
    <w:rsid w:val="4CA1F599"/>
    <w:rsid w:val="4CA28633"/>
    <w:rsid w:val="4CA3B648"/>
    <w:rsid w:val="4CB08E9D"/>
    <w:rsid w:val="4CB2E45B"/>
    <w:rsid w:val="4CB48E87"/>
    <w:rsid w:val="4CBADD03"/>
    <w:rsid w:val="4CBB8580"/>
    <w:rsid w:val="4CC307EA"/>
    <w:rsid w:val="4CC7C165"/>
    <w:rsid w:val="4CCDD33B"/>
    <w:rsid w:val="4CCF09E5"/>
    <w:rsid w:val="4CD33355"/>
    <w:rsid w:val="4CD7AAB4"/>
    <w:rsid w:val="4CDD4DE9"/>
    <w:rsid w:val="4CF19CEA"/>
    <w:rsid w:val="4CF51269"/>
    <w:rsid w:val="4D022862"/>
    <w:rsid w:val="4D02D89E"/>
    <w:rsid w:val="4D02FBE5"/>
    <w:rsid w:val="4D0B953C"/>
    <w:rsid w:val="4D0C8B8E"/>
    <w:rsid w:val="4D0F6440"/>
    <w:rsid w:val="4D10E5E8"/>
    <w:rsid w:val="4D148894"/>
    <w:rsid w:val="4D1D8831"/>
    <w:rsid w:val="4D1F2F0A"/>
    <w:rsid w:val="4D236F86"/>
    <w:rsid w:val="4D28E273"/>
    <w:rsid w:val="4D2DAC02"/>
    <w:rsid w:val="4D31A183"/>
    <w:rsid w:val="4D33E8D9"/>
    <w:rsid w:val="4D35384B"/>
    <w:rsid w:val="4D36220F"/>
    <w:rsid w:val="4D37709A"/>
    <w:rsid w:val="4D3963F6"/>
    <w:rsid w:val="4D3A8632"/>
    <w:rsid w:val="4D41988D"/>
    <w:rsid w:val="4D41FB8A"/>
    <w:rsid w:val="4D452BAB"/>
    <w:rsid w:val="4D47B38D"/>
    <w:rsid w:val="4D50D0FF"/>
    <w:rsid w:val="4D51B7B0"/>
    <w:rsid w:val="4D51E83F"/>
    <w:rsid w:val="4D52ACD0"/>
    <w:rsid w:val="4D55277C"/>
    <w:rsid w:val="4D56954C"/>
    <w:rsid w:val="4D5D829B"/>
    <w:rsid w:val="4D5F12BB"/>
    <w:rsid w:val="4D66BCD6"/>
    <w:rsid w:val="4D66D8E4"/>
    <w:rsid w:val="4D69BDF9"/>
    <w:rsid w:val="4D6B6BB5"/>
    <w:rsid w:val="4D6E1997"/>
    <w:rsid w:val="4D6F71B4"/>
    <w:rsid w:val="4D707CE7"/>
    <w:rsid w:val="4D7AC628"/>
    <w:rsid w:val="4D7C614A"/>
    <w:rsid w:val="4D8A4037"/>
    <w:rsid w:val="4D93D240"/>
    <w:rsid w:val="4D97C04F"/>
    <w:rsid w:val="4D988DAD"/>
    <w:rsid w:val="4D9DC0F3"/>
    <w:rsid w:val="4D9DDD7D"/>
    <w:rsid w:val="4DA03628"/>
    <w:rsid w:val="4DA73206"/>
    <w:rsid w:val="4DAC4D21"/>
    <w:rsid w:val="4DAF7A9E"/>
    <w:rsid w:val="4DB1324A"/>
    <w:rsid w:val="4DB174FD"/>
    <w:rsid w:val="4DB22C63"/>
    <w:rsid w:val="4DB69856"/>
    <w:rsid w:val="4DB96EC5"/>
    <w:rsid w:val="4DBABD85"/>
    <w:rsid w:val="4DBB69B0"/>
    <w:rsid w:val="4DBD1F18"/>
    <w:rsid w:val="4DBE9914"/>
    <w:rsid w:val="4DC02F14"/>
    <w:rsid w:val="4DC3B3BE"/>
    <w:rsid w:val="4DC3E811"/>
    <w:rsid w:val="4DCB8645"/>
    <w:rsid w:val="4DD0220B"/>
    <w:rsid w:val="4DD48A55"/>
    <w:rsid w:val="4DD5B4A5"/>
    <w:rsid w:val="4DDBAAEF"/>
    <w:rsid w:val="4DDBDD65"/>
    <w:rsid w:val="4DDD5CF8"/>
    <w:rsid w:val="4DE319B6"/>
    <w:rsid w:val="4DE6AD5A"/>
    <w:rsid w:val="4DE871BE"/>
    <w:rsid w:val="4DE8EE1B"/>
    <w:rsid w:val="4DF5919E"/>
    <w:rsid w:val="4DF7D691"/>
    <w:rsid w:val="4DFA1289"/>
    <w:rsid w:val="4E08EC7A"/>
    <w:rsid w:val="4E09482D"/>
    <w:rsid w:val="4E0C8177"/>
    <w:rsid w:val="4E12210D"/>
    <w:rsid w:val="4E1822B0"/>
    <w:rsid w:val="4E1D0BB6"/>
    <w:rsid w:val="4E1EE905"/>
    <w:rsid w:val="4E1F6C13"/>
    <w:rsid w:val="4E22BC9D"/>
    <w:rsid w:val="4E246FB2"/>
    <w:rsid w:val="4E2E981D"/>
    <w:rsid w:val="4E3142C0"/>
    <w:rsid w:val="4E360C92"/>
    <w:rsid w:val="4E365E69"/>
    <w:rsid w:val="4E3A485E"/>
    <w:rsid w:val="4E3DB353"/>
    <w:rsid w:val="4E4C7430"/>
    <w:rsid w:val="4E5596DE"/>
    <w:rsid w:val="4E5AD3CC"/>
    <w:rsid w:val="4E5B2269"/>
    <w:rsid w:val="4E61E9E5"/>
    <w:rsid w:val="4E63E151"/>
    <w:rsid w:val="4E6A2732"/>
    <w:rsid w:val="4E6C17C4"/>
    <w:rsid w:val="4E71401A"/>
    <w:rsid w:val="4E71B9BC"/>
    <w:rsid w:val="4E729AAB"/>
    <w:rsid w:val="4E74A663"/>
    <w:rsid w:val="4E786D47"/>
    <w:rsid w:val="4E7F49E7"/>
    <w:rsid w:val="4E834326"/>
    <w:rsid w:val="4E84ABE1"/>
    <w:rsid w:val="4E869AC2"/>
    <w:rsid w:val="4E873F20"/>
    <w:rsid w:val="4E88ED3A"/>
    <w:rsid w:val="4E8A0D7E"/>
    <w:rsid w:val="4E91F2A5"/>
    <w:rsid w:val="4E94CC1A"/>
    <w:rsid w:val="4E96DD1F"/>
    <w:rsid w:val="4EAC2902"/>
    <w:rsid w:val="4EB05F28"/>
    <w:rsid w:val="4EB108A8"/>
    <w:rsid w:val="4EC4E007"/>
    <w:rsid w:val="4ED3EE22"/>
    <w:rsid w:val="4ED4136B"/>
    <w:rsid w:val="4ED7C00F"/>
    <w:rsid w:val="4EDAB307"/>
    <w:rsid w:val="4EDF5E21"/>
    <w:rsid w:val="4EE6C46E"/>
    <w:rsid w:val="4EF3D91A"/>
    <w:rsid w:val="4EF7F225"/>
    <w:rsid w:val="4EF92771"/>
    <w:rsid w:val="4EFE91B6"/>
    <w:rsid w:val="4EFF7E0F"/>
    <w:rsid w:val="4F04D001"/>
    <w:rsid w:val="4F054EED"/>
    <w:rsid w:val="4F056DC1"/>
    <w:rsid w:val="4F074B26"/>
    <w:rsid w:val="4F0773A0"/>
    <w:rsid w:val="4F0AA337"/>
    <w:rsid w:val="4F1201D2"/>
    <w:rsid w:val="4F13189D"/>
    <w:rsid w:val="4F14E118"/>
    <w:rsid w:val="4F153A9A"/>
    <w:rsid w:val="4F1A65D5"/>
    <w:rsid w:val="4F24ADB1"/>
    <w:rsid w:val="4F2B329E"/>
    <w:rsid w:val="4F2DFA2B"/>
    <w:rsid w:val="4F327285"/>
    <w:rsid w:val="4F334B0A"/>
    <w:rsid w:val="4F336085"/>
    <w:rsid w:val="4F366A71"/>
    <w:rsid w:val="4F36F3D7"/>
    <w:rsid w:val="4F382C02"/>
    <w:rsid w:val="4F3A77DC"/>
    <w:rsid w:val="4F43D307"/>
    <w:rsid w:val="4F47F9CF"/>
    <w:rsid w:val="4F4B5306"/>
    <w:rsid w:val="4F4C115F"/>
    <w:rsid w:val="4F4E020B"/>
    <w:rsid w:val="4F516274"/>
    <w:rsid w:val="4F5560E7"/>
    <w:rsid w:val="4F5C0A61"/>
    <w:rsid w:val="4F5CFCA7"/>
    <w:rsid w:val="4F613352"/>
    <w:rsid w:val="4F63B3E1"/>
    <w:rsid w:val="4F646DF3"/>
    <w:rsid w:val="4F6EC43C"/>
    <w:rsid w:val="4F703926"/>
    <w:rsid w:val="4F7079AE"/>
    <w:rsid w:val="4F728569"/>
    <w:rsid w:val="4F793494"/>
    <w:rsid w:val="4F7BF78E"/>
    <w:rsid w:val="4F7CF144"/>
    <w:rsid w:val="4F7D0D2E"/>
    <w:rsid w:val="4F8085F5"/>
    <w:rsid w:val="4F80BC19"/>
    <w:rsid w:val="4F8E4CB0"/>
    <w:rsid w:val="4F98CA5E"/>
    <w:rsid w:val="4F9C0D3A"/>
    <w:rsid w:val="4FA79F3F"/>
    <w:rsid w:val="4FA8A0EF"/>
    <w:rsid w:val="4FA8B75F"/>
    <w:rsid w:val="4FAE0B8E"/>
    <w:rsid w:val="4FAE19A8"/>
    <w:rsid w:val="4FB1F96C"/>
    <w:rsid w:val="4FB21611"/>
    <w:rsid w:val="4FB29C29"/>
    <w:rsid w:val="4FBABE88"/>
    <w:rsid w:val="4FBE0E51"/>
    <w:rsid w:val="4FBE463E"/>
    <w:rsid w:val="4FC19765"/>
    <w:rsid w:val="4FCC3C4E"/>
    <w:rsid w:val="4FCD5B73"/>
    <w:rsid w:val="4FD160EA"/>
    <w:rsid w:val="4FD2DA36"/>
    <w:rsid w:val="4FD39075"/>
    <w:rsid w:val="4FD68E27"/>
    <w:rsid w:val="4FE35543"/>
    <w:rsid w:val="4FE8DCE9"/>
    <w:rsid w:val="4FED7EDD"/>
    <w:rsid w:val="4FF1A43E"/>
    <w:rsid w:val="4FF40F07"/>
    <w:rsid w:val="4FF63419"/>
    <w:rsid w:val="4FFBD402"/>
    <w:rsid w:val="4FFD1827"/>
    <w:rsid w:val="500F44D1"/>
    <w:rsid w:val="500F7228"/>
    <w:rsid w:val="5011D9AA"/>
    <w:rsid w:val="5017CE3B"/>
    <w:rsid w:val="501B66FC"/>
    <w:rsid w:val="501D0CDC"/>
    <w:rsid w:val="5022CE06"/>
    <w:rsid w:val="5026E4B4"/>
    <w:rsid w:val="5027CD64"/>
    <w:rsid w:val="502976C5"/>
    <w:rsid w:val="502B2713"/>
    <w:rsid w:val="502CF7E5"/>
    <w:rsid w:val="502D79DF"/>
    <w:rsid w:val="502EC84B"/>
    <w:rsid w:val="5030681A"/>
    <w:rsid w:val="50338CB5"/>
    <w:rsid w:val="50358CED"/>
    <w:rsid w:val="503B29CE"/>
    <w:rsid w:val="5040F22E"/>
    <w:rsid w:val="5041E1DF"/>
    <w:rsid w:val="5042BBFF"/>
    <w:rsid w:val="5042BC5D"/>
    <w:rsid w:val="5044050D"/>
    <w:rsid w:val="50441656"/>
    <w:rsid w:val="5049A246"/>
    <w:rsid w:val="504DB9E4"/>
    <w:rsid w:val="505325DE"/>
    <w:rsid w:val="50586F5C"/>
    <w:rsid w:val="505B0D26"/>
    <w:rsid w:val="505E2DB2"/>
    <w:rsid w:val="505EDA4B"/>
    <w:rsid w:val="505FF85E"/>
    <w:rsid w:val="50609024"/>
    <w:rsid w:val="50612CFF"/>
    <w:rsid w:val="506159C5"/>
    <w:rsid w:val="506DAA26"/>
    <w:rsid w:val="506FB032"/>
    <w:rsid w:val="507E3299"/>
    <w:rsid w:val="5081A020"/>
    <w:rsid w:val="5084E34A"/>
    <w:rsid w:val="50972BE8"/>
    <w:rsid w:val="509AE15F"/>
    <w:rsid w:val="509D4F26"/>
    <w:rsid w:val="50A45317"/>
    <w:rsid w:val="50AA3142"/>
    <w:rsid w:val="50BA69BC"/>
    <w:rsid w:val="50D10D8F"/>
    <w:rsid w:val="50D1279A"/>
    <w:rsid w:val="50D60C30"/>
    <w:rsid w:val="50DA9CA4"/>
    <w:rsid w:val="50E04139"/>
    <w:rsid w:val="50E5D8BA"/>
    <w:rsid w:val="50E767CF"/>
    <w:rsid w:val="50EC5B61"/>
    <w:rsid w:val="50ED86F2"/>
    <w:rsid w:val="50F0872C"/>
    <w:rsid w:val="50F56FFC"/>
    <w:rsid w:val="50F5D2FA"/>
    <w:rsid w:val="50F60EB3"/>
    <w:rsid w:val="50F7C7A4"/>
    <w:rsid w:val="50F8CB11"/>
    <w:rsid w:val="50F8E559"/>
    <w:rsid w:val="50F94D8B"/>
    <w:rsid w:val="50FD99D5"/>
    <w:rsid w:val="510DA9B5"/>
    <w:rsid w:val="511485B2"/>
    <w:rsid w:val="5116A151"/>
    <w:rsid w:val="51174028"/>
    <w:rsid w:val="511BE617"/>
    <w:rsid w:val="512D8788"/>
    <w:rsid w:val="5134DD86"/>
    <w:rsid w:val="5136FC05"/>
    <w:rsid w:val="513927D1"/>
    <w:rsid w:val="5148A7AB"/>
    <w:rsid w:val="514AC727"/>
    <w:rsid w:val="514BFACE"/>
    <w:rsid w:val="514D2682"/>
    <w:rsid w:val="514D419D"/>
    <w:rsid w:val="51535137"/>
    <w:rsid w:val="51536DAF"/>
    <w:rsid w:val="5156270E"/>
    <w:rsid w:val="515773E2"/>
    <w:rsid w:val="515D489F"/>
    <w:rsid w:val="51632850"/>
    <w:rsid w:val="5164FAA4"/>
    <w:rsid w:val="5172071C"/>
    <w:rsid w:val="5173CC72"/>
    <w:rsid w:val="5178FD46"/>
    <w:rsid w:val="5179F2B7"/>
    <w:rsid w:val="517AEABF"/>
    <w:rsid w:val="517C6F43"/>
    <w:rsid w:val="517FAD71"/>
    <w:rsid w:val="5186EDD3"/>
    <w:rsid w:val="5187EE32"/>
    <w:rsid w:val="51894551"/>
    <w:rsid w:val="518B63DC"/>
    <w:rsid w:val="518E38E6"/>
    <w:rsid w:val="5193EBC7"/>
    <w:rsid w:val="5194F339"/>
    <w:rsid w:val="5197E5CF"/>
    <w:rsid w:val="519FAD24"/>
    <w:rsid w:val="51A265F1"/>
    <w:rsid w:val="51A38896"/>
    <w:rsid w:val="51A4ED94"/>
    <w:rsid w:val="51A55F15"/>
    <w:rsid w:val="51A67247"/>
    <w:rsid w:val="51ACEAE9"/>
    <w:rsid w:val="51B0CA00"/>
    <w:rsid w:val="51B170B6"/>
    <w:rsid w:val="51B20387"/>
    <w:rsid w:val="51B25795"/>
    <w:rsid w:val="51B64D78"/>
    <w:rsid w:val="51BC70F7"/>
    <w:rsid w:val="51BD88B4"/>
    <w:rsid w:val="51BDD3BC"/>
    <w:rsid w:val="51C637C1"/>
    <w:rsid w:val="51C9113F"/>
    <w:rsid w:val="51CB539F"/>
    <w:rsid w:val="51D0F4DB"/>
    <w:rsid w:val="51D4BB9E"/>
    <w:rsid w:val="51D7B61F"/>
    <w:rsid w:val="51DF6D98"/>
    <w:rsid w:val="51E1AE95"/>
    <w:rsid w:val="51E3BE53"/>
    <w:rsid w:val="51E69F11"/>
    <w:rsid w:val="51EFAFC2"/>
    <w:rsid w:val="51F34B07"/>
    <w:rsid w:val="51F3C1B2"/>
    <w:rsid w:val="52017BAF"/>
    <w:rsid w:val="5204F692"/>
    <w:rsid w:val="520A5456"/>
    <w:rsid w:val="520E82AE"/>
    <w:rsid w:val="521B169F"/>
    <w:rsid w:val="521E2AFB"/>
    <w:rsid w:val="5220C180"/>
    <w:rsid w:val="5221B821"/>
    <w:rsid w:val="5221C1A4"/>
    <w:rsid w:val="5222DA24"/>
    <w:rsid w:val="522674A1"/>
    <w:rsid w:val="5228C074"/>
    <w:rsid w:val="522A2789"/>
    <w:rsid w:val="522B43EA"/>
    <w:rsid w:val="522EC282"/>
    <w:rsid w:val="5232E044"/>
    <w:rsid w:val="5239044F"/>
    <w:rsid w:val="523F953C"/>
    <w:rsid w:val="52445ACE"/>
    <w:rsid w:val="524855F2"/>
    <w:rsid w:val="524D8436"/>
    <w:rsid w:val="524ED507"/>
    <w:rsid w:val="524F2E82"/>
    <w:rsid w:val="5252B60B"/>
    <w:rsid w:val="52585272"/>
    <w:rsid w:val="525CAC8D"/>
    <w:rsid w:val="525EDF22"/>
    <w:rsid w:val="52615427"/>
    <w:rsid w:val="52650235"/>
    <w:rsid w:val="526780A2"/>
    <w:rsid w:val="5268F6A3"/>
    <w:rsid w:val="5273CD0A"/>
    <w:rsid w:val="5279D587"/>
    <w:rsid w:val="527A5400"/>
    <w:rsid w:val="527D221F"/>
    <w:rsid w:val="52804AA4"/>
    <w:rsid w:val="5285B7B9"/>
    <w:rsid w:val="528936A1"/>
    <w:rsid w:val="528FAD98"/>
    <w:rsid w:val="528FDF9D"/>
    <w:rsid w:val="52914912"/>
    <w:rsid w:val="5293858D"/>
    <w:rsid w:val="52944D2A"/>
    <w:rsid w:val="52946C79"/>
    <w:rsid w:val="529CA516"/>
    <w:rsid w:val="52A0BE81"/>
    <w:rsid w:val="52A2921D"/>
    <w:rsid w:val="52A84C04"/>
    <w:rsid w:val="52AA5310"/>
    <w:rsid w:val="52AAB082"/>
    <w:rsid w:val="52AD9776"/>
    <w:rsid w:val="52B789DB"/>
    <w:rsid w:val="52B94F28"/>
    <w:rsid w:val="52B9C551"/>
    <w:rsid w:val="52BA9E53"/>
    <w:rsid w:val="52BFBBC9"/>
    <w:rsid w:val="52CB8103"/>
    <w:rsid w:val="52CE0B7D"/>
    <w:rsid w:val="52D02182"/>
    <w:rsid w:val="52D49BBE"/>
    <w:rsid w:val="52D6EC26"/>
    <w:rsid w:val="52D6EFD7"/>
    <w:rsid w:val="52D84D47"/>
    <w:rsid w:val="52E39B18"/>
    <w:rsid w:val="52E78D51"/>
    <w:rsid w:val="52ED0F42"/>
    <w:rsid w:val="52F30856"/>
    <w:rsid w:val="52FE050E"/>
    <w:rsid w:val="52FE0962"/>
    <w:rsid w:val="53003EE7"/>
    <w:rsid w:val="5304A5F9"/>
    <w:rsid w:val="5309824E"/>
    <w:rsid w:val="53099F80"/>
    <w:rsid w:val="530CE2B4"/>
    <w:rsid w:val="530ED1A4"/>
    <w:rsid w:val="531C2B21"/>
    <w:rsid w:val="5321CB50"/>
    <w:rsid w:val="53258C5B"/>
    <w:rsid w:val="5326A212"/>
    <w:rsid w:val="53279E73"/>
    <w:rsid w:val="5328C092"/>
    <w:rsid w:val="5329306F"/>
    <w:rsid w:val="532A33A6"/>
    <w:rsid w:val="532CE8F9"/>
    <w:rsid w:val="532D12CA"/>
    <w:rsid w:val="532F0BD8"/>
    <w:rsid w:val="5331EE4A"/>
    <w:rsid w:val="533481AE"/>
    <w:rsid w:val="5334D9C5"/>
    <w:rsid w:val="5335BE94"/>
    <w:rsid w:val="533D6D89"/>
    <w:rsid w:val="5343C011"/>
    <w:rsid w:val="53457F6E"/>
    <w:rsid w:val="535C8B37"/>
    <w:rsid w:val="5360BBAA"/>
    <w:rsid w:val="53633B46"/>
    <w:rsid w:val="5363B99A"/>
    <w:rsid w:val="5369E406"/>
    <w:rsid w:val="536BD2D0"/>
    <w:rsid w:val="536E0F39"/>
    <w:rsid w:val="536E9960"/>
    <w:rsid w:val="5370A8B9"/>
    <w:rsid w:val="53710799"/>
    <w:rsid w:val="5372213F"/>
    <w:rsid w:val="53742226"/>
    <w:rsid w:val="537778A4"/>
    <w:rsid w:val="5378DBBE"/>
    <w:rsid w:val="537D1D72"/>
    <w:rsid w:val="537D74A1"/>
    <w:rsid w:val="537F1A42"/>
    <w:rsid w:val="5381D19C"/>
    <w:rsid w:val="53822A95"/>
    <w:rsid w:val="5382F209"/>
    <w:rsid w:val="53838B37"/>
    <w:rsid w:val="53846F17"/>
    <w:rsid w:val="53859530"/>
    <w:rsid w:val="538737DA"/>
    <w:rsid w:val="53883355"/>
    <w:rsid w:val="538B82C9"/>
    <w:rsid w:val="53911EE7"/>
    <w:rsid w:val="5391344F"/>
    <w:rsid w:val="5391DBFD"/>
    <w:rsid w:val="53944CD1"/>
    <w:rsid w:val="5394C589"/>
    <w:rsid w:val="5396F64F"/>
    <w:rsid w:val="539ABEEE"/>
    <w:rsid w:val="53A12353"/>
    <w:rsid w:val="53ABF5D2"/>
    <w:rsid w:val="53AC1C13"/>
    <w:rsid w:val="53B1DD3A"/>
    <w:rsid w:val="53B9FDE3"/>
    <w:rsid w:val="53BA7361"/>
    <w:rsid w:val="53BD4D5E"/>
    <w:rsid w:val="53C0EF81"/>
    <w:rsid w:val="53C63959"/>
    <w:rsid w:val="53C6796C"/>
    <w:rsid w:val="53C867BC"/>
    <w:rsid w:val="53C89610"/>
    <w:rsid w:val="53C9B7E5"/>
    <w:rsid w:val="53CF6216"/>
    <w:rsid w:val="53D1311C"/>
    <w:rsid w:val="53D4B733"/>
    <w:rsid w:val="53D549C3"/>
    <w:rsid w:val="53DE62C2"/>
    <w:rsid w:val="53E443E8"/>
    <w:rsid w:val="53EE1CEA"/>
    <w:rsid w:val="53EE4721"/>
    <w:rsid w:val="53F1F215"/>
    <w:rsid w:val="53FE0400"/>
    <w:rsid w:val="540246EB"/>
    <w:rsid w:val="54083F0E"/>
    <w:rsid w:val="5413CBB7"/>
    <w:rsid w:val="5414EE68"/>
    <w:rsid w:val="541CA6BA"/>
    <w:rsid w:val="541E0ABC"/>
    <w:rsid w:val="54207F78"/>
    <w:rsid w:val="5423D3CE"/>
    <w:rsid w:val="54293D1C"/>
    <w:rsid w:val="5429A070"/>
    <w:rsid w:val="5430B6E3"/>
    <w:rsid w:val="5431921B"/>
    <w:rsid w:val="5435E616"/>
    <w:rsid w:val="543CAD78"/>
    <w:rsid w:val="54443722"/>
    <w:rsid w:val="54475D3D"/>
    <w:rsid w:val="5448A072"/>
    <w:rsid w:val="544CB232"/>
    <w:rsid w:val="544F58FD"/>
    <w:rsid w:val="54548930"/>
    <w:rsid w:val="5460CD00"/>
    <w:rsid w:val="5462AECA"/>
    <w:rsid w:val="5463FADA"/>
    <w:rsid w:val="546CB117"/>
    <w:rsid w:val="546F025A"/>
    <w:rsid w:val="547598BC"/>
    <w:rsid w:val="54770B90"/>
    <w:rsid w:val="54770CED"/>
    <w:rsid w:val="547AD6DF"/>
    <w:rsid w:val="547EDE14"/>
    <w:rsid w:val="547F9F13"/>
    <w:rsid w:val="5480FAE8"/>
    <w:rsid w:val="5485F9AB"/>
    <w:rsid w:val="548705E6"/>
    <w:rsid w:val="54885326"/>
    <w:rsid w:val="5489E3AA"/>
    <w:rsid w:val="54904D9A"/>
    <w:rsid w:val="5492E171"/>
    <w:rsid w:val="549A41F0"/>
    <w:rsid w:val="54A645E2"/>
    <w:rsid w:val="54A9485E"/>
    <w:rsid w:val="54B1DBFC"/>
    <w:rsid w:val="54B6DB6F"/>
    <w:rsid w:val="54B753D7"/>
    <w:rsid w:val="54BE45E6"/>
    <w:rsid w:val="54C58AAF"/>
    <w:rsid w:val="54C5A484"/>
    <w:rsid w:val="54C6E06D"/>
    <w:rsid w:val="54D805FB"/>
    <w:rsid w:val="54D8F1F6"/>
    <w:rsid w:val="54DA5529"/>
    <w:rsid w:val="54DADF26"/>
    <w:rsid w:val="54E20036"/>
    <w:rsid w:val="54E6C2C4"/>
    <w:rsid w:val="54E878A0"/>
    <w:rsid w:val="54F33CA5"/>
    <w:rsid w:val="55044CEF"/>
    <w:rsid w:val="5505C69B"/>
    <w:rsid w:val="55121469"/>
    <w:rsid w:val="55131B25"/>
    <w:rsid w:val="55137A60"/>
    <w:rsid w:val="5513DF34"/>
    <w:rsid w:val="5514057C"/>
    <w:rsid w:val="5519CD13"/>
    <w:rsid w:val="551F6C2F"/>
    <w:rsid w:val="55214751"/>
    <w:rsid w:val="552308B2"/>
    <w:rsid w:val="552D1E62"/>
    <w:rsid w:val="552F4D27"/>
    <w:rsid w:val="5530A7B4"/>
    <w:rsid w:val="5533A625"/>
    <w:rsid w:val="55380E75"/>
    <w:rsid w:val="5538C773"/>
    <w:rsid w:val="553FAF5E"/>
    <w:rsid w:val="5544A2B0"/>
    <w:rsid w:val="554861FF"/>
    <w:rsid w:val="5549C16E"/>
    <w:rsid w:val="55501CFE"/>
    <w:rsid w:val="55508E46"/>
    <w:rsid w:val="55549992"/>
    <w:rsid w:val="555C687D"/>
    <w:rsid w:val="555D527A"/>
    <w:rsid w:val="555E795F"/>
    <w:rsid w:val="555E8DE3"/>
    <w:rsid w:val="55620430"/>
    <w:rsid w:val="55628940"/>
    <w:rsid w:val="5567EE8F"/>
    <w:rsid w:val="55733D0F"/>
    <w:rsid w:val="55801666"/>
    <w:rsid w:val="55824960"/>
    <w:rsid w:val="5583E755"/>
    <w:rsid w:val="558BAB53"/>
    <w:rsid w:val="558C1163"/>
    <w:rsid w:val="559505D1"/>
    <w:rsid w:val="55A22C83"/>
    <w:rsid w:val="55A8F01F"/>
    <w:rsid w:val="55AA4260"/>
    <w:rsid w:val="55AC8610"/>
    <w:rsid w:val="55B00554"/>
    <w:rsid w:val="55B4D72A"/>
    <w:rsid w:val="55B9B2B2"/>
    <w:rsid w:val="55C0CE55"/>
    <w:rsid w:val="55C1B671"/>
    <w:rsid w:val="55C1CCA0"/>
    <w:rsid w:val="55C27594"/>
    <w:rsid w:val="55CAB635"/>
    <w:rsid w:val="55CD024A"/>
    <w:rsid w:val="55CD3372"/>
    <w:rsid w:val="55D86939"/>
    <w:rsid w:val="55DDF9C3"/>
    <w:rsid w:val="55DFE1F0"/>
    <w:rsid w:val="55E08A36"/>
    <w:rsid w:val="55E27156"/>
    <w:rsid w:val="55E451F6"/>
    <w:rsid w:val="55F1A69F"/>
    <w:rsid w:val="55F2A77C"/>
    <w:rsid w:val="55F6AAC8"/>
    <w:rsid w:val="55FB469C"/>
    <w:rsid w:val="5603733D"/>
    <w:rsid w:val="5608EF6F"/>
    <w:rsid w:val="560C1BF1"/>
    <w:rsid w:val="561027E1"/>
    <w:rsid w:val="5616AF3C"/>
    <w:rsid w:val="5617B68C"/>
    <w:rsid w:val="5619F733"/>
    <w:rsid w:val="561DDC53"/>
    <w:rsid w:val="56200D88"/>
    <w:rsid w:val="562022B1"/>
    <w:rsid w:val="5623036E"/>
    <w:rsid w:val="56280A92"/>
    <w:rsid w:val="5629F29E"/>
    <w:rsid w:val="562B2745"/>
    <w:rsid w:val="5633D653"/>
    <w:rsid w:val="56355E69"/>
    <w:rsid w:val="563627FE"/>
    <w:rsid w:val="56369C9A"/>
    <w:rsid w:val="5645EDF0"/>
    <w:rsid w:val="56463CB9"/>
    <w:rsid w:val="564B0370"/>
    <w:rsid w:val="5654CA71"/>
    <w:rsid w:val="5656B237"/>
    <w:rsid w:val="565F38D8"/>
    <w:rsid w:val="5661E026"/>
    <w:rsid w:val="56661AC6"/>
    <w:rsid w:val="566865EB"/>
    <w:rsid w:val="566E77F4"/>
    <w:rsid w:val="566FBEA1"/>
    <w:rsid w:val="56753A66"/>
    <w:rsid w:val="567B4531"/>
    <w:rsid w:val="568AB73B"/>
    <w:rsid w:val="568EA9E8"/>
    <w:rsid w:val="56911AE1"/>
    <w:rsid w:val="56927247"/>
    <w:rsid w:val="56936976"/>
    <w:rsid w:val="56944196"/>
    <w:rsid w:val="56969276"/>
    <w:rsid w:val="56999C6E"/>
    <w:rsid w:val="569FC561"/>
    <w:rsid w:val="56A17C4C"/>
    <w:rsid w:val="56A6B4BB"/>
    <w:rsid w:val="56ADEF49"/>
    <w:rsid w:val="56B8E4E9"/>
    <w:rsid w:val="56B94E37"/>
    <w:rsid w:val="56BE575F"/>
    <w:rsid w:val="56C5FBBA"/>
    <w:rsid w:val="56C651D8"/>
    <w:rsid w:val="56C9C265"/>
    <w:rsid w:val="56CC0FA4"/>
    <w:rsid w:val="56CDC58E"/>
    <w:rsid w:val="56CFA670"/>
    <w:rsid w:val="56D197D9"/>
    <w:rsid w:val="56D6BBD8"/>
    <w:rsid w:val="56DBA636"/>
    <w:rsid w:val="56E219D6"/>
    <w:rsid w:val="56EAF1CF"/>
    <w:rsid w:val="56F2D193"/>
    <w:rsid w:val="56F363C4"/>
    <w:rsid w:val="56FEE51F"/>
    <w:rsid w:val="56FFDA18"/>
    <w:rsid w:val="570278BB"/>
    <w:rsid w:val="5709252B"/>
    <w:rsid w:val="570C166A"/>
    <w:rsid w:val="570C44C7"/>
    <w:rsid w:val="570C8E6F"/>
    <w:rsid w:val="570DDBD9"/>
    <w:rsid w:val="5713A6A0"/>
    <w:rsid w:val="57155820"/>
    <w:rsid w:val="5716614F"/>
    <w:rsid w:val="57198E05"/>
    <w:rsid w:val="571A5890"/>
    <w:rsid w:val="57200186"/>
    <w:rsid w:val="5722E440"/>
    <w:rsid w:val="5728A019"/>
    <w:rsid w:val="572BFABE"/>
    <w:rsid w:val="572EEC8B"/>
    <w:rsid w:val="572F45E0"/>
    <w:rsid w:val="572F50A0"/>
    <w:rsid w:val="5731EE08"/>
    <w:rsid w:val="5736DBB6"/>
    <w:rsid w:val="573AAE00"/>
    <w:rsid w:val="573FCDB5"/>
    <w:rsid w:val="5743E475"/>
    <w:rsid w:val="5745F2EF"/>
    <w:rsid w:val="574EBB04"/>
    <w:rsid w:val="5750D646"/>
    <w:rsid w:val="57567417"/>
    <w:rsid w:val="575DEC06"/>
    <w:rsid w:val="576671C0"/>
    <w:rsid w:val="576AE00E"/>
    <w:rsid w:val="57719724"/>
    <w:rsid w:val="57776D2F"/>
    <w:rsid w:val="57787EA9"/>
    <w:rsid w:val="577D053F"/>
    <w:rsid w:val="577E9EDC"/>
    <w:rsid w:val="577FEC87"/>
    <w:rsid w:val="57886636"/>
    <w:rsid w:val="578895AE"/>
    <w:rsid w:val="578E1B77"/>
    <w:rsid w:val="57980FA1"/>
    <w:rsid w:val="57A3D271"/>
    <w:rsid w:val="57A6BD97"/>
    <w:rsid w:val="57ABF32B"/>
    <w:rsid w:val="57AD0B2B"/>
    <w:rsid w:val="57C3FAAC"/>
    <w:rsid w:val="57C535BC"/>
    <w:rsid w:val="57C6BBB3"/>
    <w:rsid w:val="57C91262"/>
    <w:rsid w:val="57CEA05C"/>
    <w:rsid w:val="57D49B01"/>
    <w:rsid w:val="57D80B6F"/>
    <w:rsid w:val="57D93485"/>
    <w:rsid w:val="57DD3E1C"/>
    <w:rsid w:val="57DFE603"/>
    <w:rsid w:val="57E12C30"/>
    <w:rsid w:val="57E27200"/>
    <w:rsid w:val="57EB63E6"/>
    <w:rsid w:val="57EC491A"/>
    <w:rsid w:val="57F66952"/>
    <w:rsid w:val="5800FAF7"/>
    <w:rsid w:val="5805F84E"/>
    <w:rsid w:val="580C55AC"/>
    <w:rsid w:val="580C5BF5"/>
    <w:rsid w:val="5811234F"/>
    <w:rsid w:val="5811CDF2"/>
    <w:rsid w:val="5822295C"/>
    <w:rsid w:val="5822C373"/>
    <w:rsid w:val="582973CC"/>
    <w:rsid w:val="582FEAA9"/>
    <w:rsid w:val="583096E8"/>
    <w:rsid w:val="5838332E"/>
    <w:rsid w:val="583A9E32"/>
    <w:rsid w:val="583CF239"/>
    <w:rsid w:val="583E2AF8"/>
    <w:rsid w:val="58448508"/>
    <w:rsid w:val="5847E025"/>
    <w:rsid w:val="584857FF"/>
    <w:rsid w:val="5854A926"/>
    <w:rsid w:val="5854AAC5"/>
    <w:rsid w:val="5855BA2A"/>
    <w:rsid w:val="585B2FA5"/>
    <w:rsid w:val="585C40EB"/>
    <w:rsid w:val="585C482A"/>
    <w:rsid w:val="585DE863"/>
    <w:rsid w:val="586095BF"/>
    <w:rsid w:val="5865C5B3"/>
    <w:rsid w:val="5867A42E"/>
    <w:rsid w:val="586AEC60"/>
    <w:rsid w:val="586F1C13"/>
    <w:rsid w:val="58712595"/>
    <w:rsid w:val="5878329A"/>
    <w:rsid w:val="58808663"/>
    <w:rsid w:val="588238F7"/>
    <w:rsid w:val="58855757"/>
    <w:rsid w:val="58892DD5"/>
    <w:rsid w:val="588A7D12"/>
    <w:rsid w:val="588BA325"/>
    <w:rsid w:val="58936C2D"/>
    <w:rsid w:val="5896A95B"/>
    <w:rsid w:val="58998FD0"/>
    <w:rsid w:val="58A0F17E"/>
    <w:rsid w:val="58A49CE1"/>
    <w:rsid w:val="58AD5257"/>
    <w:rsid w:val="58AED7A2"/>
    <w:rsid w:val="58B27C9A"/>
    <w:rsid w:val="58B43C7F"/>
    <w:rsid w:val="58B614CE"/>
    <w:rsid w:val="58B62683"/>
    <w:rsid w:val="58B7E502"/>
    <w:rsid w:val="58B9F6BB"/>
    <w:rsid w:val="58BB578D"/>
    <w:rsid w:val="58BBA2CF"/>
    <w:rsid w:val="58BDC11B"/>
    <w:rsid w:val="58CBECF3"/>
    <w:rsid w:val="58CF5889"/>
    <w:rsid w:val="58D1FA2E"/>
    <w:rsid w:val="58D2AF22"/>
    <w:rsid w:val="58D30160"/>
    <w:rsid w:val="58D47FF5"/>
    <w:rsid w:val="58DD84D7"/>
    <w:rsid w:val="58DDE98D"/>
    <w:rsid w:val="58E2D8AC"/>
    <w:rsid w:val="58E841AD"/>
    <w:rsid w:val="58EC15D2"/>
    <w:rsid w:val="58F0F797"/>
    <w:rsid w:val="58F998C9"/>
    <w:rsid w:val="590001C0"/>
    <w:rsid w:val="590011B3"/>
    <w:rsid w:val="59041F2C"/>
    <w:rsid w:val="5906F833"/>
    <w:rsid w:val="590B05BA"/>
    <w:rsid w:val="590D0864"/>
    <w:rsid w:val="590DCF76"/>
    <w:rsid w:val="590EAF50"/>
    <w:rsid w:val="590F87DA"/>
    <w:rsid w:val="591A15B7"/>
    <w:rsid w:val="5921C061"/>
    <w:rsid w:val="5922843E"/>
    <w:rsid w:val="592B5B69"/>
    <w:rsid w:val="592CB136"/>
    <w:rsid w:val="592CF57D"/>
    <w:rsid w:val="5933606A"/>
    <w:rsid w:val="59353993"/>
    <w:rsid w:val="59377FB5"/>
    <w:rsid w:val="59411A2E"/>
    <w:rsid w:val="594548A4"/>
    <w:rsid w:val="5945B1D3"/>
    <w:rsid w:val="5947CC00"/>
    <w:rsid w:val="59482115"/>
    <w:rsid w:val="5948D77D"/>
    <w:rsid w:val="594B1EC0"/>
    <w:rsid w:val="59509A1F"/>
    <w:rsid w:val="5956432B"/>
    <w:rsid w:val="59590A09"/>
    <w:rsid w:val="5959B869"/>
    <w:rsid w:val="595DAFEA"/>
    <w:rsid w:val="596886FC"/>
    <w:rsid w:val="596A704B"/>
    <w:rsid w:val="596E5677"/>
    <w:rsid w:val="596EA8EC"/>
    <w:rsid w:val="597055B8"/>
    <w:rsid w:val="5974B308"/>
    <w:rsid w:val="59759BB2"/>
    <w:rsid w:val="597CAD87"/>
    <w:rsid w:val="597CDE27"/>
    <w:rsid w:val="597E84D8"/>
    <w:rsid w:val="598A926E"/>
    <w:rsid w:val="598BFAA3"/>
    <w:rsid w:val="598CBF2F"/>
    <w:rsid w:val="599273B3"/>
    <w:rsid w:val="59933412"/>
    <w:rsid w:val="5993991A"/>
    <w:rsid w:val="59955501"/>
    <w:rsid w:val="59957437"/>
    <w:rsid w:val="5995D101"/>
    <w:rsid w:val="5997E7BC"/>
    <w:rsid w:val="599C404D"/>
    <w:rsid w:val="59A05C94"/>
    <w:rsid w:val="59A1A6B8"/>
    <w:rsid w:val="59A2C57D"/>
    <w:rsid w:val="59A51B96"/>
    <w:rsid w:val="59ABF3C6"/>
    <w:rsid w:val="59AF0E4F"/>
    <w:rsid w:val="59AF143F"/>
    <w:rsid w:val="59AF3264"/>
    <w:rsid w:val="59B14FFE"/>
    <w:rsid w:val="59DA534C"/>
    <w:rsid w:val="59DC2336"/>
    <w:rsid w:val="59E57384"/>
    <w:rsid w:val="59E5E9C9"/>
    <w:rsid w:val="59E6362B"/>
    <w:rsid w:val="59E9F266"/>
    <w:rsid w:val="59EC2FD3"/>
    <w:rsid w:val="59EC778E"/>
    <w:rsid w:val="59F26896"/>
    <w:rsid w:val="59F96A74"/>
    <w:rsid w:val="5A004F3E"/>
    <w:rsid w:val="5A08FE60"/>
    <w:rsid w:val="5A0A70BF"/>
    <w:rsid w:val="5A0FED24"/>
    <w:rsid w:val="5A1377BF"/>
    <w:rsid w:val="5A1D72D9"/>
    <w:rsid w:val="5A1E3FDB"/>
    <w:rsid w:val="5A2291CC"/>
    <w:rsid w:val="5A305725"/>
    <w:rsid w:val="5A3105E2"/>
    <w:rsid w:val="5A34B4A3"/>
    <w:rsid w:val="5A35D01E"/>
    <w:rsid w:val="5A35DB5A"/>
    <w:rsid w:val="5A39E23C"/>
    <w:rsid w:val="5A3C45FE"/>
    <w:rsid w:val="5A4563E1"/>
    <w:rsid w:val="5A478C07"/>
    <w:rsid w:val="5A480DE0"/>
    <w:rsid w:val="5A4CA38A"/>
    <w:rsid w:val="5A4DA68B"/>
    <w:rsid w:val="5A4FE34A"/>
    <w:rsid w:val="5A525454"/>
    <w:rsid w:val="5A5C03DD"/>
    <w:rsid w:val="5A5E03E4"/>
    <w:rsid w:val="5A621FB9"/>
    <w:rsid w:val="5A6628CF"/>
    <w:rsid w:val="5A67C023"/>
    <w:rsid w:val="5A6DBC6A"/>
    <w:rsid w:val="5A6F8E6E"/>
    <w:rsid w:val="5A7BC358"/>
    <w:rsid w:val="5A7E58F7"/>
    <w:rsid w:val="5A7EFD07"/>
    <w:rsid w:val="5A8558D3"/>
    <w:rsid w:val="5A88F21F"/>
    <w:rsid w:val="5A8EBBAD"/>
    <w:rsid w:val="5A92D028"/>
    <w:rsid w:val="5A9472A8"/>
    <w:rsid w:val="5A963133"/>
    <w:rsid w:val="5AA2765F"/>
    <w:rsid w:val="5AAA218D"/>
    <w:rsid w:val="5AB084DB"/>
    <w:rsid w:val="5AB37C92"/>
    <w:rsid w:val="5AB5270E"/>
    <w:rsid w:val="5AB6E77A"/>
    <w:rsid w:val="5ABBBB00"/>
    <w:rsid w:val="5ABCF121"/>
    <w:rsid w:val="5ABDA726"/>
    <w:rsid w:val="5ABF3735"/>
    <w:rsid w:val="5AC43EA1"/>
    <w:rsid w:val="5ACE381E"/>
    <w:rsid w:val="5AD60C4C"/>
    <w:rsid w:val="5ADC7CCE"/>
    <w:rsid w:val="5AE16BF6"/>
    <w:rsid w:val="5AE44B98"/>
    <w:rsid w:val="5AE4DB08"/>
    <w:rsid w:val="5AF0349E"/>
    <w:rsid w:val="5AF4507F"/>
    <w:rsid w:val="5AF55991"/>
    <w:rsid w:val="5AF60C1F"/>
    <w:rsid w:val="5AF6E2D2"/>
    <w:rsid w:val="5AF8D499"/>
    <w:rsid w:val="5B0122E6"/>
    <w:rsid w:val="5B025B89"/>
    <w:rsid w:val="5B032877"/>
    <w:rsid w:val="5B0FF22B"/>
    <w:rsid w:val="5B1762C7"/>
    <w:rsid w:val="5B1A24C3"/>
    <w:rsid w:val="5B1E0C64"/>
    <w:rsid w:val="5B20903A"/>
    <w:rsid w:val="5B220465"/>
    <w:rsid w:val="5B26070E"/>
    <w:rsid w:val="5B2B9CB3"/>
    <w:rsid w:val="5B314923"/>
    <w:rsid w:val="5B349BDB"/>
    <w:rsid w:val="5B3C58F4"/>
    <w:rsid w:val="5B3E99FD"/>
    <w:rsid w:val="5B457D15"/>
    <w:rsid w:val="5B4A231F"/>
    <w:rsid w:val="5B4C271B"/>
    <w:rsid w:val="5B4E02CD"/>
    <w:rsid w:val="5B554FD1"/>
    <w:rsid w:val="5B588855"/>
    <w:rsid w:val="5B5A96E9"/>
    <w:rsid w:val="5B5D5E53"/>
    <w:rsid w:val="5B5D623D"/>
    <w:rsid w:val="5B5F7C00"/>
    <w:rsid w:val="5B647D5A"/>
    <w:rsid w:val="5B753578"/>
    <w:rsid w:val="5B7FC76D"/>
    <w:rsid w:val="5B867B3C"/>
    <w:rsid w:val="5B86BF32"/>
    <w:rsid w:val="5B8859DA"/>
    <w:rsid w:val="5B8ADDE1"/>
    <w:rsid w:val="5B962794"/>
    <w:rsid w:val="5B9D8848"/>
    <w:rsid w:val="5B9DF960"/>
    <w:rsid w:val="5BA219D3"/>
    <w:rsid w:val="5BA3CCBD"/>
    <w:rsid w:val="5BA55884"/>
    <w:rsid w:val="5BA5FE54"/>
    <w:rsid w:val="5BA8C62A"/>
    <w:rsid w:val="5BB0430D"/>
    <w:rsid w:val="5BB4E784"/>
    <w:rsid w:val="5BBA3C52"/>
    <w:rsid w:val="5BBB5F0F"/>
    <w:rsid w:val="5BC08A69"/>
    <w:rsid w:val="5BC5543C"/>
    <w:rsid w:val="5BCA00E1"/>
    <w:rsid w:val="5BCFD6ED"/>
    <w:rsid w:val="5BD21198"/>
    <w:rsid w:val="5BD565FC"/>
    <w:rsid w:val="5BD5A078"/>
    <w:rsid w:val="5BDAA848"/>
    <w:rsid w:val="5BDC456D"/>
    <w:rsid w:val="5BE2915A"/>
    <w:rsid w:val="5BE63B86"/>
    <w:rsid w:val="5BE882EE"/>
    <w:rsid w:val="5BEB4FA3"/>
    <w:rsid w:val="5BFD25C9"/>
    <w:rsid w:val="5BFE9100"/>
    <w:rsid w:val="5BFFD651"/>
    <w:rsid w:val="5C0078E4"/>
    <w:rsid w:val="5C01F917"/>
    <w:rsid w:val="5C0A6308"/>
    <w:rsid w:val="5C0B3BE8"/>
    <w:rsid w:val="5C14ED64"/>
    <w:rsid w:val="5C14EE6C"/>
    <w:rsid w:val="5C236AA6"/>
    <w:rsid w:val="5C2448FD"/>
    <w:rsid w:val="5C29BD51"/>
    <w:rsid w:val="5C29E805"/>
    <w:rsid w:val="5C2AB4AB"/>
    <w:rsid w:val="5C2AF295"/>
    <w:rsid w:val="5C2BB673"/>
    <w:rsid w:val="5C31B590"/>
    <w:rsid w:val="5C35415F"/>
    <w:rsid w:val="5C37D1D2"/>
    <w:rsid w:val="5C45904F"/>
    <w:rsid w:val="5C47D221"/>
    <w:rsid w:val="5C4837D6"/>
    <w:rsid w:val="5C4D2EE0"/>
    <w:rsid w:val="5C4E2E29"/>
    <w:rsid w:val="5C4FC129"/>
    <w:rsid w:val="5C54DCA7"/>
    <w:rsid w:val="5C5F5CB2"/>
    <w:rsid w:val="5C60F340"/>
    <w:rsid w:val="5C62111C"/>
    <w:rsid w:val="5C6A3EAD"/>
    <w:rsid w:val="5C6B816A"/>
    <w:rsid w:val="5C6BAE56"/>
    <w:rsid w:val="5C6C32C5"/>
    <w:rsid w:val="5C6CA5C1"/>
    <w:rsid w:val="5C75AA21"/>
    <w:rsid w:val="5C774840"/>
    <w:rsid w:val="5C781F93"/>
    <w:rsid w:val="5C7B1769"/>
    <w:rsid w:val="5C875634"/>
    <w:rsid w:val="5C888296"/>
    <w:rsid w:val="5C8CCF86"/>
    <w:rsid w:val="5C8D55DA"/>
    <w:rsid w:val="5C927503"/>
    <w:rsid w:val="5C9D0CE8"/>
    <w:rsid w:val="5C9E6A83"/>
    <w:rsid w:val="5C9F51E1"/>
    <w:rsid w:val="5CA4DE31"/>
    <w:rsid w:val="5CB0661A"/>
    <w:rsid w:val="5CB09A4D"/>
    <w:rsid w:val="5CB582F9"/>
    <w:rsid w:val="5CB6C555"/>
    <w:rsid w:val="5CBABC78"/>
    <w:rsid w:val="5CBDAFE6"/>
    <w:rsid w:val="5CC98B19"/>
    <w:rsid w:val="5CCC9559"/>
    <w:rsid w:val="5CCD4121"/>
    <w:rsid w:val="5CD66D1C"/>
    <w:rsid w:val="5CD82442"/>
    <w:rsid w:val="5CD8A134"/>
    <w:rsid w:val="5CE28D27"/>
    <w:rsid w:val="5CECF293"/>
    <w:rsid w:val="5CECFCC3"/>
    <w:rsid w:val="5CEE1C19"/>
    <w:rsid w:val="5CEE6F23"/>
    <w:rsid w:val="5CF64110"/>
    <w:rsid w:val="5CF852D8"/>
    <w:rsid w:val="5CF929F5"/>
    <w:rsid w:val="5CFF2742"/>
    <w:rsid w:val="5D00144C"/>
    <w:rsid w:val="5D01104C"/>
    <w:rsid w:val="5D05C24F"/>
    <w:rsid w:val="5D075D52"/>
    <w:rsid w:val="5D0773E0"/>
    <w:rsid w:val="5D08685A"/>
    <w:rsid w:val="5D093604"/>
    <w:rsid w:val="5D09BCAA"/>
    <w:rsid w:val="5D10750A"/>
    <w:rsid w:val="5D123ACF"/>
    <w:rsid w:val="5D14B191"/>
    <w:rsid w:val="5D16088A"/>
    <w:rsid w:val="5D17880B"/>
    <w:rsid w:val="5D18C642"/>
    <w:rsid w:val="5D1A0D67"/>
    <w:rsid w:val="5D1DE110"/>
    <w:rsid w:val="5D1F4324"/>
    <w:rsid w:val="5D1F4734"/>
    <w:rsid w:val="5D1F71E7"/>
    <w:rsid w:val="5D205A58"/>
    <w:rsid w:val="5D210593"/>
    <w:rsid w:val="5D228089"/>
    <w:rsid w:val="5D2657D5"/>
    <w:rsid w:val="5D2A9AC8"/>
    <w:rsid w:val="5D33AD51"/>
    <w:rsid w:val="5D33AEE5"/>
    <w:rsid w:val="5D36ADB4"/>
    <w:rsid w:val="5D383453"/>
    <w:rsid w:val="5D4216D5"/>
    <w:rsid w:val="5D46F1CC"/>
    <w:rsid w:val="5D4BC9A6"/>
    <w:rsid w:val="5D4F8968"/>
    <w:rsid w:val="5D51E421"/>
    <w:rsid w:val="5D53144E"/>
    <w:rsid w:val="5D567041"/>
    <w:rsid w:val="5D60176F"/>
    <w:rsid w:val="5D60B23D"/>
    <w:rsid w:val="5D6CE7AD"/>
    <w:rsid w:val="5D6FA6AA"/>
    <w:rsid w:val="5D721E2B"/>
    <w:rsid w:val="5D72BA01"/>
    <w:rsid w:val="5D75DABB"/>
    <w:rsid w:val="5D769AB1"/>
    <w:rsid w:val="5D77534D"/>
    <w:rsid w:val="5D793181"/>
    <w:rsid w:val="5D7A6A47"/>
    <w:rsid w:val="5D7C69DE"/>
    <w:rsid w:val="5D816650"/>
    <w:rsid w:val="5D8CC710"/>
    <w:rsid w:val="5D8FE82F"/>
    <w:rsid w:val="5D913CB9"/>
    <w:rsid w:val="5D9433D2"/>
    <w:rsid w:val="5D966CAB"/>
    <w:rsid w:val="5D99D7C3"/>
    <w:rsid w:val="5D9EF81B"/>
    <w:rsid w:val="5D9FD0C9"/>
    <w:rsid w:val="5DA8167B"/>
    <w:rsid w:val="5DADBF43"/>
    <w:rsid w:val="5DAFC27A"/>
    <w:rsid w:val="5DB08813"/>
    <w:rsid w:val="5DB33FD3"/>
    <w:rsid w:val="5DB97BFF"/>
    <w:rsid w:val="5DC37F44"/>
    <w:rsid w:val="5DC7763F"/>
    <w:rsid w:val="5DC78C1B"/>
    <w:rsid w:val="5DD0064C"/>
    <w:rsid w:val="5DD1C67D"/>
    <w:rsid w:val="5DD2BF21"/>
    <w:rsid w:val="5DD47C34"/>
    <w:rsid w:val="5DDF994E"/>
    <w:rsid w:val="5DE5132D"/>
    <w:rsid w:val="5DE898FF"/>
    <w:rsid w:val="5DEABEB1"/>
    <w:rsid w:val="5DF1248E"/>
    <w:rsid w:val="5DF248FB"/>
    <w:rsid w:val="5DF39444"/>
    <w:rsid w:val="5DF79433"/>
    <w:rsid w:val="5E036146"/>
    <w:rsid w:val="5E0532D4"/>
    <w:rsid w:val="5E068F58"/>
    <w:rsid w:val="5E097385"/>
    <w:rsid w:val="5E09F542"/>
    <w:rsid w:val="5E0B0F3D"/>
    <w:rsid w:val="5E0C3F20"/>
    <w:rsid w:val="5E0FB606"/>
    <w:rsid w:val="5E1250F4"/>
    <w:rsid w:val="5E1C9247"/>
    <w:rsid w:val="5E21151A"/>
    <w:rsid w:val="5E29235A"/>
    <w:rsid w:val="5E2B3157"/>
    <w:rsid w:val="5E3259B2"/>
    <w:rsid w:val="5E35DC56"/>
    <w:rsid w:val="5E3C5C20"/>
    <w:rsid w:val="5E46347F"/>
    <w:rsid w:val="5E4725A2"/>
    <w:rsid w:val="5E47E39C"/>
    <w:rsid w:val="5E4AF171"/>
    <w:rsid w:val="5E4B8F04"/>
    <w:rsid w:val="5E4E8C74"/>
    <w:rsid w:val="5E54C1E8"/>
    <w:rsid w:val="5E55984C"/>
    <w:rsid w:val="5E575F2C"/>
    <w:rsid w:val="5E5B0536"/>
    <w:rsid w:val="5E636C70"/>
    <w:rsid w:val="5E63B176"/>
    <w:rsid w:val="5E646DB5"/>
    <w:rsid w:val="5E66AE2F"/>
    <w:rsid w:val="5E6C0892"/>
    <w:rsid w:val="5E709B0D"/>
    <w:rsid w:val="5E9903B5"/>
    <w:rsid w:val="5E9F5D06"/>
    <w:rsid w:val="5EA147BB"/>
    <w:rsid w:val="5EA54D0D"/>
    <w:rsid w:val="5EAA2861"/>
    <w:rsid w:val="5EACFEE6"/>
    <w:rsid w:val="5EADD9D2"/>
    <w:rsid w:val="5EAE4D4D"/>
    <w:rsid w:val="5EAF6137"/>
    <w:rsid w:val="5EB528BC"/>
    <w:rsid w:val="5EBA0899"/>
    <w:rsid w:val="5EBAA512"/>
    <w:rsid w:val="5EBB4C84"/>
    <w:rsid w:val="5EBB6BC7"/>
    <w:rsid w:val="5EBC5C1E"/>
    <w:rsid w:val="5EBDC910"/>
    <w:rsid w:val="5EC02B5D"/>
    <w:rsid w:val="5EC08ED3"/>
    <w:rsid w:val="5EC84784"/>
    <w:rsid w:val="5EC99D2B"/>
    <w:rsid w:val="5ECB0865"/>
    <w:rsid w:val="5ECB5DB1"/>
    <w:rsid w:val="5ECEE9CB"/>
    <w:rsid w:val="5ED933FD"/>
    <w:rsid w:val="5EE35D40"/>
    <w:rsid w:val="5EE4356A"/>
    <w:rsid w:val="5EE7CEA3"/>
    <w:rsid w:val="5EED8245"/>
    <w:rsid w:val="5EF172E3"/>
    <w:rsid w:val="5EF36A2C"/>
    <w:rsid w:val="5EF50FB2"/>
    <w:rsid w:val="5EFA8253"/>
    <w:rsid w:val="5EFE3558"/>
    <w:rsid w:val="5F09781C"/>
    <w:rsid w:val="5F0A21BF"/>
    <w:rsid w:val="5F0FBC26"/>
    <w:rsid w:val="5F108703"/>
    <w:rsid w:val="5F1768CA"/>
    <w:rsid w:val="5F1A4D34"/>
    <w:rsid w:val="5F1F6D7B"/>
    <w:rsid w:val="5F2360B8"/>
    <w:rsid w:val="5F2B9136"/>
    <w:rsid w:val="5F2CF335"/>
    <w:rsid w:val="5F38861E"/>
    <w:rsid w:val="5F3AC39A"/>
    <w:rsid w:val="5F3BE6D2"/>
    <w:rsid w:val="5F41BA95"/>
    <w:rsid w:val="5F43EB42"/>
    <w:rsid w:val="5F47F263"/>
    <w:rsid w:val="5F4BBED7"/>
    <w:rsid w:val="5F4F64D7"/>
    <w:rsid w:val="5F55BC9F"/>
    <w:rsid w:val="5F580186"/>
    <w:rsid w:val="5F5D9565"/>
    <w:rsid w:val="5F5E9243"/>
    <w:rsid w:val="5F621B08"/>
    <w:rsid w:val="5F66C642"/>
    <w:rsid w:val="5F67F9E1"/>
    <w:rsid w:val="5F68A360"/>
    <w:rsid w:val="5F69EEC4"/>
    <w:rsid w:val="5F6A3666"/>
    <w:rsid w:val="5F71A690"/>
    <w:rsid w:val="5F8407CA"/>
    <w:rsid w:val="5F85DD64"/>
    <w:rsid w:val="5F895D7D"/>
    <w:rsid w:val="5F8CF516"/>
    <w:rsid w:val="5F8F4917"/>
    <w:rsid w:val="5F943C3D"/>
    <w:rsid w:val="5F96F825"/>
    <w:rsid w:val="5F9AFE7A"/>
    <w:rsid w:val="5F9DBD30"/>
    <w:rsid w:val="5F9E5F29"/>
    <w:rsid w:val="5FA11DDE"/>
    <w:rsid w:val="5FA13DCA"/>
    <w:rsid w:val="5FA16953"/>
    <w:rsid w:val="5FA1E4C4"/>
    <w:rsid w:val="5FA2285F"/>
    <w:rsid w:val="5FA3482E"/>
    <w:rsid w:val="5FA642D9"/>
    <w:rsid w:val="5FA74D7D"/>
    <w:rsid w:val="5FA848C2"/>
    <w:rsid w:val="5FB1615C"/>
    <w:rsid w:val="5FB197E5"/>
    <w:rsid w:val="5FB420EF"/>
    <w:rsid w:val="5FB6CD0D"/>
    <w:rsid w:val="5FB8EA4E"/>
    <w:rsid w:val="5FB984D6"/>
    <w:rsid w:val="5FBCDC51"/>
    <w:rsid w:val="5FC3284B"/>
    <w:rsid w:val="5FC4823E"/>
    <w:rsid w:val="5FC7A132"/>
    <w:rsid w:val="5FC9F0E2"/>
    <w:rsid w:val="5FD30BDC"/>
    <w:rsid w:val="5FD3E177"/>
    <w:rsid w:val="5FD4496F"/>
    <w:rsid w:val="5FD7D444"/>
    <w:rsid w:val="5FDBB359"/>
    <w:rsid w:val="5FDC7FA5"/>
    <w:rsid w:val="5FE15DE3"/>
    <w:rsid w:val="5FE45805"/>
    <w:rsid w:val="5FEB2767"/>
    <w:rsid w:val="5FF008C2"/>
    <w:rsid w:val="5FF02200"/>
    <w:rsid w:val="5FF1AD1A"/>
    <w:rsid w:val="5FF2D880"/>
    <w:rsid w:val="5FF8EE71"/>
    <w:rsid w:val="5FFC00EE"/>
    <w:rsid w:val="5FFD868A"/>
    <w:rsid w:val="60007BDD"/>
    <w:rsid w:val="600180B3"/>
    <w:rsid w:val="60027BDC"/>
    <w:rsid w:val="6007952B"/>
    <w:rsid w:val="60092AD3"/>
    <w:rsid w:val="6009667E"/>
    <w:rsid w:val="60120FCB"/>
    <w:rsid w:val="601DF6F0"/>
    <w:rsid w:val="6022D644"/>
    <w:rsid w:val="6028BC0E"/>
    <w:rsid w:val="6029B7F7"/>
    <w:rsid w:val="602FDC2F"/>
    <w:rsid w:val="603596DD"/>
    <w:rsid w:val="60399053"/>
    <w:rsid w:val="6044DCB1"/>
    <w:rsid w:val="6045C0B8"/>
    <w:rsid w:val="60464404"/>
    <w:rsid w:val="60466E20"/>
    <w:rsid w:val="60484E07"/>
    <w:rsid w:val="6049AEB3"/>
    <w:rsid w:val="604A8BA2"/>
    <w:rsid w:val="6051FD0F"/>
    <w:rsid w:val="60552BE3"/>
    <w:rsid w:val="605841D8"/>
    <w:rsid w:val="605BCD95"/>
    <w:rsid w:val="605F62CC"/>
    <w:rsid w:val="6061AC6F"/>
    <w:rsid w:val="6061EFEA"/>
    <w:rsid w:val="60762A6F"/>
    <w:rsid w:val="60783581"/>
    <w:rsid w:val="607B01EC"/>
    <w:rsid w:val="607B4D37"/>
    <w:rsid w:val="6081BBFB"/>
    <w:rsid w:val="6085A2FB"/>
    <w:rsid w:val="6085DB44"/>
    <w:rsid w:val="6086DD8C"/>
    <w:rsid w:val="60889D49"/>
    <w:rsid w:val="608923E1"/>
    <w:rsid w:val="608EEFFA"/>
    <w:rsid w:val="6093E9E8"/>
    <w:rsid w:val="60991E42"/>
    <w:rsid w:val="609C4D6C"/>
    <w:rsid w:val="609DC560"/>
    <w:rsid w:val="609FB5B1"/>
    <w:rsid w:val="60A682DC"/>
    <w:rsid w:val="60AF24C1"/>
    <w:rsid w:val="60AF39A3"/>
    <w:rsid w:val="60B443E9"/>
    <w:rsid w:val="60B892A8"/>
    <w:rsid w:val="60BA77C2"/>
    <w:rsid w:val="60BB0679"/>
    <w:rsid w:val="60BFDE42"/>
    <w:rsid w:val="60C19D21"/>
    <w:rsid w:val="60C54544"/>
    <w:rsid w:val="60CBBE3B"/>
    <w:rsid w:val="60CCDAFC"/>
    <w:rsid w:val="60CD9FD8"/>
    <w:rsid w:val="60D6A549"/>
    <w:rsid w:val="60D7DB9E"/>
    <w:rsid w:val="60D9C570"/>
    <w:rsid w:val="60E0501A"/>
    <w:rsid w:val="60E2E89C"/>
    <w:rsid w:val="60E43BA3"/>
    <w:rsid w:val="60E93C30"/>
    <w:rsid w:val="60EDE5CD"/>
    <w:rsid w:val="60F3FF7B"/>
    <w:rsid w:val="60F412F4"/>
    <w:rsid w:val="60F92CFC"/>
    <w:rsid w:val="60FBC050"/>
    <w:rsid w:val="60FCB5E0"/>
    <w:rsid w:val="60FEF378"/>
    <w:rsid w:val="610E7D19"/>
    <w:rsid w:val="61237F46"/>
    <w:rsid w:val="6124A309"/>
    <w:rsid w:val="6126785D"/>
    <w:rsid w:val="6127E8BC"/>
    <w:rsid w:val="6129930C"/>
    <w:rsid w:val="6129D3A4"/>
    <w:rsid w:val="612E672E"/>
    <w:rsid w:val="612F71E7"/>
    <w:rsid w:val="61302A27"/>
    <w:rsid w:val="6132E9C4"/>
    <w:rsid w:val="61336A38"/>
    <w:rsid w:val="613633D2"/>
    <w:rsid w:val="61380911"/>
    <w:rsid w:val="61394086"/>
    <w:rsid w:val="61394892"/>
    <w:rsid w:val="613D6AB2"/>
    <w:rsid w:val="613E99FB"/>
    <w:rsid w:val="6144E941"/>
    <w:rsid w:val="6146E903"/>
    <w:rsid w:val="614745E4"/>
    <w:rsid w:val="6148C5EF"/>
    <w:rsid w:val="614AED03"/>
    <w:rsid w:val="61510044"/>
    <w:rsid w:val="6151E38F"/>
    <w:rsid w:val="61599D6F"/>
    <w:rsid w:val="615D2F11"/>
    <w:rsid w:val="615D8471"/>
    <w:rsid w:val="61609CCD"/>
    <w:rsid w:val="616276D7"/>
    <w:rsid w:val="616331FB"/>
    <w:rsid w:val="6167B712"/>
    <w:rsid w:val="616944A9"/>
    <w:rsid w:val="616F1A0A"/>
    <w:rsid w:val="616F512D"/>
    <w:rsid w:val="6170040C"/>
    <w:rsid w:val="6170F78A"/>
    <w:rsid w:val="617B113E"/>
    <w:rsid w:val="6181AC9B"/>
    <w:rsid w:val="6181BB9F"/>
    <w:rsid w:val="6182CDF1"/>
    <w:rsid w:val="6186ECFB"/>
    <w:rsid w:val="618AAD67"/>
    <w:rsid w:val="618DCFE4"/>
    <w:rsid w:val="618E1C88"/>
    <w:rsid w:val="61951484"/>
    <w:rsid w:val="61993AA2"/>
    <w:rsid w:val="619A7AC2"/>
    <w:rsid w:val="619A8E31"/>
    <w:rsid w:val="619B744C"/>
    <w:rsid w:val="619CB446"/>
    <w:rsid w:val="619CC472"/>
    <w:rsid w:val="61A37C68"/>
    <w:rsid w:val="61AA7299"/>
    <w:rsid w:val="61B0F72E"/>
    <w:rsid w:val="61B66286"/>
    <w:rsid w:val="61BCC7EA"/>
    <w:rsid w:val="61BDA374"/>
    <w:rsid w:val="61C1BD9B"/>
    <w:rsid w:val="61C37AA0"/>
    <w:rsid w:val="61CBD781"/>
    <w:rsid w:val="61CF2605"/>
    <w:rsid w:val="61D0B1B0"/>
    <w:rsid w:val="61D5E085"/>
    <w:rsid w:val="61D7C21F"/>
    <w:rsid w:val="61D84D6D"/>
    <w:rsid w:val="61D9233B"/>
    <w:rsid w:val="61E2C17E"/>
    <w:rsid w:val="61EBCA8B"/>
    <w:rsid w:val="61ECFCD6"/>
    <w:rsid w:val="61F2C8D5"/>
    <w:rsid w:val="61F3C3C6"/>
    <w:rsid w:val="61F3E7F8"/>
    <w:rsid w:val="61F62AF0"/>
    <w:rsid w:val="61FAD0EA"/>
    <w:rsid w:val="6204A15E"/>
    <w:rsid w:val="620C41BD"/>
    <w:rsid w:val="6216BDA1"/>
    <w:rsid w:val="6217A33D"/>
    <w:rsid w:val="6217DC9F"/>
    <w:rsid w:val="6223AAA6"/>
    <w:rsid w:val="6228429F"/>
    <w:rsid w:val="6228449D"/>
    <w:rsid w:val="6228481C"/>
    <w:rsid w:val="622C9C7D"/>
    <w:rsid w:val="622CEFD5"/>
    <w:rsid w:val="622D5328"/>
    <w:rsid w:val="622EAAA7"/>
    <w:rsid w:val="6234D94D"/>
    <w:rsid w:val="623AB951"/>
    <w:rsid w:val="623C7298"/>
    <w:rsid w:val="623D155C"/>
    <w:rsid w:val="623DE1F3"/>
    <w:rsid w:val="623FDD2B"/>
    <w:rsid w:val="62408F93"/>
    <w:rsid w:val="624691ED"/>
    <w:rsid w:val="62490186"/>
    <w:rsid w:val="624ACFF0"/>
    <w:rsid w:val="624C8DF4"/>
    <w:rsid w:val="624CC66F"/>
    <w:rsid w:val="624E3B27"/>
    <w:rsid w:val="625358AF"/>
    <w:rsid w:val="625725CB"/>
    <w:rsid w:val="625C4054"/>
    <w:rsid w:val="625DE4F3"/>
    <w:rsid w:val="625EB722"/>
    <w:rsid w:val="625FD5E0"/>
    <w:rsid w:val="62679B7A"/>
    <w:rsid w:val="626AE8EA"/>
    <w:rsid w:val="626B3C37"/>
    <w:rsid w:val="626D7A1E"/>
    <w:rsid w:val="626F3B4F"/>
    <w:rsid w:val="627081EB"/>
    <w:rsid w:val="6276086A"/>
    <w:rsid w:val="62785CFB"/>
    <w:rsid w:val="627C8706"/>
    <w:rsid w:val="627F995C"/>
    <w:rsid w:val="62813653"/>
    <w:rsid w:val="628210E2"/>
    <w:rsid w:val="628E9691"/>
    <w:rsid w:val="628FD92F"/>
    <w:rsid w:val="629270DE"/>
    <w:rsid w:val="6294330A"/>
    <w:rsid w:val="629B0B26"/>
    <w:rsid w:val="629F1D68"/>
    <w:rsid w:val="62A08B0F"/>
    <w:rsid w:val="62A37E23"/>
    <w:rsid w:val="62A5A9C9"/>
    <w:rsid w:val="62A9B5BA"/>
    <w:rsid w:val="62ACA333"/>
    <w:rsid w:val="62AD291D"/>
    <w:rsid w:val="62AE2199"/>
    <w:rsid w:val="62B07959"/>
    <w:rsid w:val="62B19551"/>
    <w:rsid w:val="62B1B9FC"/>
    <w:rsid w:val="62B6CD97"/>
    <w:rsid w:val="62B6F102"/>
    <w:rsid w:val="62BFBBD1"/>
    <w:rsid w:val="62C0CA53"/>
    <w:rsid w:val="62CB5115"/>
    <w:rsid w:val="62CC7F55"/>
    <w:rsid w:val="62D19E8C"/>
    <w:rsid w:val="62D4732F"/>
    <w:rsid w:val="62D5A8C0"/>
    <w:rsid w:val="62D7FA6A"/>
    <w:rsid w:val="62E0C348"/>
    <w:rsid w:val="62E14887"/>
    <w:rsid w:val="62F0BBC8"/>
    <w:rsid w:val="62FBD407"/>
    <w:rsid w:val="63081CFB"/>
    <w:rsid w:val="630A70A5"/>
    <w:rsid w:val="630A9889"/>
    <w:rsid w:val="6313D7D8"/>
    <w:rsid w:val="63148049"/>
    <w:rsid w:val="6315B494"/>
    <w:rsid w:val="631776C6"/>
    <w:rsid w:val="631A453E"/>
    <w:rsid w:val="631D1712"/>
    <w:rsid w:val="632B6C96"/>
    <w:rsid w:val="632BFB5E"/>
    <w:rsid w:val="6333A038"/>
    <w:rsid w:val="633D65B2"/>
    <w:rsid w:val="633E045C"/>
    <w:rsid w:val="633ECF25"/>
    <w:rsid w:val="6340B634"/>
    <w:rsid w:val="63422715"/>
    <w:rsid w:val="63444AD3"/>
    <w:rsid w:val="6345DBF5"/>
    <w:rsid w:val="6345E9C5"/>
    <w:rsid w:val="63466E5F"/>
    <w:rsid w:val="634BCADF"/>
    <w:rsid w:val="634C4B63"/>
    <w:rsid w:val="6354C023"/>
    <w:rsid w:val="6358AA6B"/>
    <w:rsid w:val="6359C020"/>
    <w:rsid w:val="6365313B"/>
    <w:rsid w:val="63707D22"/>
    <w:rsid w:val="63724D0F"/>
    <w:rsid w:val="637330D2"/>
    <w:rsid w:val="63749AC5"/>
    <w:rsid w:val="6375016E"/>
    <w:rsid w:val="63768E92"/>
    <w:rsid w:val="6377DC7E"/>
    <w:rsid w:val="637902C4"/>
    <w:rsid w:val="63790EB0"/>
    <w:rsid w:val="6379DD49"/>
    <w:rsid w:val="637C1E7D"/>
    <w:rsid w:val="637F2FE2"/>
    <w:rsid w:val="638229FF"/>
    <w:rsid w:val="6387BA05"/>
    <w:rsid w:val="63902F90"/>
    <w:rsid w:val="639567D4"/>
    <w:rsid w:val="6397D245"/>
    <w:rsid w:val="6398C7CE"/>
    <w:rsid w:val="639CE2C2"/>
    <w:rsid w:val="63A195D7"/>
    <w:rsid w:val="63A40CC0"/>
    <w:rsid w:val="63A69AD2"/>
    <w:rsid w:val="63ACCEAA"/>
    <w:rsid w:val="63B590D3"/>
    <w:rsid w:val="63B5A3BD"/>
    <w:rsid w:val="63BBE304"/>
    <w:rsid w:val="63BD8150"/>
    <w:rsid w:val="63BE7576"/>
    <w:rsid w:val="63C755EC"/>
    <w:rsid w:val="63CD619C"/>
    <w:rsid w:val="63CE6431"/>
    <w:rsid w:val="63CEE9CB"/>
    <w:rsid w:val="63CEF173"/>
    <w:rsid w:val="63D8A196"/>
    <w:rsid w:val="63DCBD0E"/>
    <w:rsid w:val="63E23336"/>
    <w:rsid w:val="63E3E85E"/>
    <w:rsid w:val="63E9AC0E"/>
    <w:rsid w:val="63F53716"/>
    <w:rsid w:val="63F65B23"/>
    <w:rsid w:val="63F71965"/>
    <w:rsid w:val="63F85EDD"/>
    <w:rsid w:val="63F966D7"/>
    <w:rsid w:val="6400B9F5"/>
    <w:rsid w:val="640547ED"/>
    <w:rsid w:val="64086C72"/>
    <w:rsid w:val="64172E5E"/>
    <w:rsid w:val="64185703"/>
    <w:rsid w:val="641B74A0"/>
    <w:rsid w:val="641D1286"/>
    <w:rsid w:val="64203459"/>
    <w:rsid w:val="642993AD"/>
    <w:rsid w:val="642CB1DB"/>
    <w:rsid w:val="6430423A"/>
    <w:rsid w:val="64319A67"/>
    <w:rsid w:val="64357706"/>
    <w:rsid w:val="643BD5AA"/>
    <w:rsid w:val="6451B739"/>
    <w:rsid w:val="6452C02E"/>
    <w:rsid w:val="645A58E6"/>
    <w:rsid w:val="645B31B5"/>
    <w:rsid w:val="64612DE6"/>
    <w:rsid w:val="6462ED54"/>
    <w:rsid w:val="646B9658"/>
    <w:rsid w:val="646BB592"/>
    <w:rsid w:val="646BFE4F"/>
    <w:rsid w:val="646C6B51"/>
    <w:rsid w:val="646DDEBA"/>
    <w:rsid w:val="646F2C60"/>
    <w:rsid w:val="64714E20"/>
    <w:rsid w:val="6480B952"/>
    <w:rsid w:val="648EE88C"/>
    <w:rsid w:val="648FA9AF"/>
    <w:rsid w:val="64934931"/>
    <w:rsid w:val="649601ED"/>
    <w:rsid w:val="649B3DCF"/>
    <w:rsid w:val="64A1E223"/>
    <w:rsid w:val="64A5F847"/>
    <w:rsid w:val="64AD5C2E"/>
    <w:rsid w:val="64ADAFDB"/>
    <w:rsid w:val="64B89AF9"/>
    <w:rsid w:val="64BA58C9"/>
    <w:rsid w:val="64BB8F4D"/>
    <w:rsid w:val="64BB99E2"/>
    <w:rsid w:val="64BD4397"/>
    <w:rsid w:val="64C23976"/>
    <w:rsid w:val="64C332F4"/>
    <w:rsid w:val="64C42933"/>
    <w:rsid w:val="64C99EEF"/>
    <w:rsid w:val="64CA11F4"/>
    <w:rsid w:val="64D160F1"/>
    <w:rsid w:val="64D1F7AE"/>
    <w:rsid w:val="64D3FFC6"/>
    <w:rsid w:val="64D50505"/>
    <w:rsid w:val="64D67B37"/>
    <w:rsid w:val="64D74F56"/>
    <w:rsid w:val="64DA5077"/>
    <w:rsid w:val="64DE11A0"/>
    <w:rsid w:val="64E33F97"/>
    <w:rsid w:val="64E55D36"/>
    <w:rsid w:val="64E801CD"/>
    <w:rsid w:val="64E83453"/>
    <w:rsid w:val="64EBFCAF"/>
    <w:rsid w:val="64ED41DF"/>
    <w:rsid w:val="64FCED02"/>
    <w:rsid w:val="64FD1781"/>
    <w:rsid w:val="64FF4E01"/>
    <w:rsid w:val="6501323E"/>
    <w:rsid w:val="650288B7"/>
    <w:rsid w:val="650B3DF3"/>
    <w:rsid w:val="65113C02"/>
    <w:rsid w:val="6513CA2A"/>
    <w:rsid w:val="65165F62"/>
    <w:rsid w:val="65175AF6"/>
    <w:rsid w:val="651918A1"/>
    <w:rsid w:val="6519F2C8"/>
    <w:rsid w:val="651C9DCF"/>
    <w:rsid w:val="653382DA"/>
    <w:rsid w:val="653455BD"/>
    <w:rsid w:val="6535E988"/>
    <w:rsid w:val="6535F337"/>
    <w:rsid w:val="653659F1"/>
    <w:rsid w:val="653C0C3C"/>
    <w:rsid w:val="653C11F0"/>
    <w:rsid w:val="653CAADB"/>
    <w:rsid w:val="653D5BFF"/>
    <w:rsid w:val="6541C668"/>
    <w:rsid w:val="6544A07F"/>
    <w:rsid w:val="6545AA8C"/>
    <w:rsid w:val="65469140"/>
    <w:rsid w:val="654D9297"/>
    <w:rsid w:val="65518FDF"/>
    <w:rsid w:val="65526753"/>
    <w:rsid w:val="6556F970"/>
    <w:rsid w:val="65594810"/>
    <w:rsid w:val="6559DF31"/>
    <w:rsid w:val="65668CB3"/>
    <w:rsid w:val="6566B621"/>
    <w:rsid w:val="6567D3D2"/>
    <w:rsid w:val="656A0267"/>
    <w:rsid w:val="656ABBAB"/>
    <w:rsid w:val="656ED577"/>
    <w:rsid w:val="6577D905"/>
    <w:rsid w:val="657BA406"/>
    <w:rsid w:val="657C9BCB"/>
    <w:rsid w:val="6580D85C"/>
    <w:rsid w:val="6581661D"/>
    <w:rsid w:val="65871874"/>
    <w:rsid w:val="65882AD1"/>
    <w:rsid w:val="6588F611"/>
    <w:rsid w:val="658E23E9"/>
    <w:rsid w:val="6590DC86"/>
    <w:rsid w:val="6593E49F"/>
    <w:rsid w:val="6594B3D1"/>
    <w:rsid w:val="6594EE9A"/>
    <w:rsid w:val="65992531"/>
    <w:rsid w:val="659A890D"/>
    <w:rsid w:val="659CC75E"/>
    <w:rsid w:val="659DA3E5"/>
    <w:rsid w:val="659DE9CD"/>
    <w:rsid w:val="65A36080"/>
    <w:rsid w:val="65A7A2EB"/>
    <w:rsid w:val="65A9D2DA"/>
    <w:rsid w:val="65AFA238"/>
    <w:rsid w:val="65B176FF"/>
    <w:rsid w:val="65B1CD2C"/>
    <w:rsid w:val="65B70C56"/>
    <w:rsid w:val="65B8DBD2"/>
    <w:rsid w:val="65BA6C6A"/>
    <w:rsid w:val="65BF7209"/>
    <w:rsid w:val="65C67466"/>
    <w:rsid w:val="65CCEC00"/>
    <w:rsid w:val="65D7FE88"/>
    <w:rsid w:val="65D9FAC0"/>
    <w:rsid w:val="65DE12F7"/>
    <w:rsid w:val="65E15F8C"/>
    <w:rsid w:val="65E2CCC1"/>
    <w:rsid w:val="65E6C61C"/>
    <w:rsid w:val="65E78275"/>
    <w:rsid w:val="65E7891A"/>
    <w:rsid w:val="65EBF17D"/>
    <w:rsid w:val="65F14F99"/>
    <w:rsid w:val="65F42918"/>
    <w:rsid w:val="65F61719"/>
    <w:rsid w:val="65FC0F7A"/>
    <w:rsid w:val="65FC3648"/>
    <w:rsid w:val="660197E1"/>
    <w:rsid w:val="66030F21"/>
    <w:rsid w:val="6607FCC5"/>
    <w:rsid w:val="660829CA"/>
    <w:rsid w:val="660A2D15"/>
    <w:rsid w:val="66133188"/>
    <w:rsid w:val="6613D205"/>
    <w:rsid w:val="661A633F"/>
    <w:rsid w:val="661ACEC9"/>
    <w:rsid w:val="66212AAE"/>
    <w:rsid w:val="662302BC"/>
    <w:rsid w:val="662C5E5A"/>
    <w:rsid w:val="662ECEF4"/>
    <w:rsid w:val="662F59A8"/>
    <w:rsid w:val="6631E8C5"/>
    <w:rsid w:val="6633BD50"/>
    <w:rsid w:val="66345FB3"/>
    <w:rsid w:val="663AF580"/>
    <w:rsid w:val="663E3312"/>
    <w:rsid w:val="664243E0"/>
    <w:rsid w:val="6643AD4A"/>
    <w:rsid w:val="66527D99"/>
    <w:rsid w:val="66553325"/>
    <w:rsid w:val="6658FED7"/>
    <w:rsid w:val="665CB8C9"/>
    <w:rsid w:val="665CCF3D"/>
    <w:rsid w:val="666247CC"/>
    <w:rsid w:val="666C7685"/>
    <w:rsid w:val="666E24B0"/>
    <w:rsid w:val="666F871F"/>
    <w:rsid w:val="66794D9C"/>
    <w:rsid w:val="667A5D9E"/>
    <w:rsid w:val="667E3A3F"/>
    <w:rsid w:val="667E9452"/>
    <w:rsid w:val="6680CE76"/>
    <w:rsid w:val="66827D14"/>
    <w:rsid w:val="668C2675"/>
    <w:rsid w:val="668D7529"/>
    <w:rsid w:val="668F213F"/>
    <w:rsid w:val="6691067C"/>
    <w:rsid w:val="66954F61"/>
    <w:rsid w:val="6697CD1D"/>
    <w:rsid w:val="669BD1F3"/>
    <w:rsid w:val="66A4B1A0"/>
    <w:rsid w:val="66AE6AE1"/>
    <w:rsid w:val="66AF10AA"/>
    <w:rsid w:val="66B02E69"/>
    <w:rsid w:val="66B469F4"/>
    <w:rsid w:val="66B91A5A"/>
    <w:rsid w:val="66B9A0BB"/>
    <w:rsid w:val="66C06F6F"/>
    <w:rsid w:val="66C19D48"/>
    <w:rsid w:val="66C93CBF"/>
    <w:rsid w:val="66CF091A"/>
    <w:rsid w:val="66D011CC"/>
    <w:rsid w:val="66D1F030"/>
    <w:rsid w:val="66D38386"/>
    <w:rsid w:val="66D39C36"/>
    <w:rsid w:val="66D3BB1F"/>
    <w:rsid w:val="66D49D57"/>
    <w:rsid w:val="66D4E06D"/>
    <w:rsid w:val="66D6FFA1"/>
    <w:rsid w:val="66DA7563"/>
    <w:rsid w:val="66E0F8B7"/>
    <w:rsid w:val="66E80CC6"/>
    <w:rsid w:val="66EEFD13"/>
    <w:rsid w:val="66EF1F74"/>
    <w:rsid w:val="66F11A48"/>
    <w:rsid w:val="66F35882"/>
    <w:rsid w:val="66F5798C"/>
    <w:rsid w:val="66F82E89"/>
    <w:rsid w:val="6706B4B7"/>
    <w:rsid w:val="6709E45B"/>
    <w:rsid w:val="670AE050"/>
    <w:rsid w:val="670C9591"/>
    <w:rsid w:val="67118AE8"/>
    <w:rsid w:val="67126CA2"/>
    <w:rsid w:val="671866A6"/>
    <w:rsid w:val="671D6A52"/>
    <w:rsid w:val="67240F5D"/>
    <w:rsid w:val="6729DC5D"/>
    <w:rsid w:val="672A09DA"/>
    <w:rsid w:val="672D2AB9"/>
    <w:rsid w:val="672ECCFA"/>
    <w:rsid w:val="673099FA"/>
    <w:rsid w:val="6733926F"/>
    <w:rsid w:val="673D6064"/>
    <w:rsid w:val="673DCEAC"/>
    <w:rsid w:val="6746D6DC"/>
    <w:rsid w:val="674E55FA"/>
    <w:rsid w:val="674E79E0"/>
    <w:rsid w:val="674F0EEA"/>
    <w:rsid w:val="6759B23C"/>
    <w:rsid w:val="675E61FE"/>
    <w:rsid w:val="67722E53"/>
    <w:rsid w:val="6775BE4A"/>
    <w:rsid w:val="67798E4C"/>
    <w:rsid w:val="677BAC41"/>
    <w:rsid w:val="6780C94B"/>
    <w:rsid w:val="6782986C"/>
    <w:rsid w:val="6787DBEE"/>
    <w:rsid w:val="678E65D5"/>
    <w:rsid w:val="679C1F95"/>
    <w:rsid w:val="679CD59F"/>
    <w:rsid w:val="679FF607"/>
    <w:rsid w:val="67A101EF"/>
    <w:rsid w:val="67A49A12"/>
    <w:rsid w:val="67A6D70A"/>
    <w:rsid w:val="67A85969"/>
    <w:rsid w:val="67A8EC7E"/>
    <w:rsid w:val="67ABE2A7"/>
    <w:rsid w:val="67B0C89E"/>
    <w:rsid w:val="67B30827"/>
    <w:rsid w:val="67B55029"/>
    <w:rsid w:val="67C34213"/>
    <w:rsid w:val="67C3FA99"/>
    <w:rsid w:val="67C4908F"/>
    <w:rsid w:val="67CFC4A9"/>
    <w:rsid w:val="67DA1A69"/>
    <w:rsid w:val="67DFD967"/>
    <w:rsid w:val="67E22E56"/>
    <w:rsid w:val="67E68995"/>
    <w:rsid w:val="67EE0E1C"/>
    <w:rsid w:val="67F09B6E"/>
    <w:rsid w:val="67F4DEEA"/>
    <w:rsid w:val="67FB3587"/>
    <w:rsid w:val="67FC6EE7"/>
    <w:rsid w:val="68011D88"/>
    <w:rsid w:val="68038267"/>
    <w:rsid w:val="680C30E4"/>
    <w:rsid w:val="681201C5"/>
    <w:rsid w:val="6815DC13"/>
    <w:rsid w:val="6818B81E"/>
    <w:rsid w:val="6819559C"/>
    <w:rsid w:val="68199B35"/>
    <w:rsid w:val="681B8B2B"/>
    <w:rsid w:val="681E184F"/>
    <w:rsid w:val="68213CBF"/>
    <w:rsid w:val="68251AB8"/>
    <w:rsid w:val="682BA530"/>
    <w:rsid w:val="682BA82A"/>
    <w:rsid w:val="683822BB"/>
    <w:rsid w:val="6839B1B9"/>
    <w:rsid w:val="6839EA6E"/>
    <w:rsid w:val="683C2DC5"/>
    <w:rsid w:val="683CD470"/>
    <w:rsid w:val="683D26F8"/>
    <w:rsid w:val="683EC9FC"/>
    <w:rsid w:val="683F7356"/>
    <w:rsid w:val="6840A61E"/>
    <w:rsid w:val="6840AFF0"/>
    <w:rsid w:val="6840B7F0"/>
    <w:rsid w:val="684AA784"/>
    <w:rsid w:val="68542D3F"/>
    <w:rsid w:val="6862A84A"/>
    <w:rsid w:val="68638E66"/>
    <w:rsid w:val="686A7050"/>
    <w:rsid w:val="68730995"/>
    <w:rsid w:val="687367BF"/>
    <w:rsid w:val="6880C1E8"/>
    <w:rsid w:val="68878BA6"/>
    <w:rsid w:val="6896E33D"/>
    <w:rsid w:val="6896FFF7"/>
    <w:rsid w:val="689C89B8"/>
    <w:rsid w:val="68A6B150"/>
    <w:rsid w:val="68A906A1"/>
    <w:rsid w:val="68AA89D2"/>
    <w:rsid w:val="68AE3386"/>
    <w:rsid w:val="68B01073"/>
    <w:rsid w:val="68B4F8B8"/>
    <w:rsid w:val="68BB405E"/>
    <w:rsid w:val="68BC29BA"/>
    <w:rsid w:val="68BF78C2"/>
    <w:rsid w:val="68C100E0"/>
    <w:rsid w:val="68C4CEB1"/>
    <w:rsid w:val="68C6BEA0"/>
    <w:rsid w:val="68C73C32"/>
    <w:rsid w:val="68C77483"/>
    <w:rsid w:val="68CF0D4F"/>
    <w:rsid w:val="68D0A278"/>
    <w:rsid w:val="68D5262A"/>
    <w:rsid w:val="68D555B2"/>
    <w:rsid w:val="68D57F8C"/>
    <w:rsid w:val="68D59C74"/>
    <w:rsid w:val="68DA1332"/>
    <w:rsid w:val="68DAACB5"/>
    <w:rsid w:val="68E43971"/>
    <w:rsid w:val="68E53480"/>
    <w:rsid w:val="68EB272F"/>
    <w:rsid w:val="68FCCFB8"/>
    <w:rsid w:val="6902AABB"/>
    <w:rsid w:val="690FFA18"/>
    <w:rsid w:val="69106945"/>
    <w:rsid w:val="69117FFC"/>
    <w:rsid w:val="6917B649"/>
    <w:rsid w:val="69193BC6"/>
    <w:rsid w:val="691A265F"/>
    <w:rsid w:val="691D60FF"/>
    <w:rsid w:val="6930A624"/>
    <w:rsid w:val="6933A437"/>
    <w:rsid w:val="69346212"/>
    <w:rsid w:val="69362FD7"/>
    <w:rsid w:val="6937AEAA"/>
    <w:rsid w:val="6939AF53"/>
    <w:rsid w:val="69494B0E"/>
    <w:rsid w:val="694C83E6"/>
    <w:rsid w:val="694DBE1A"/>
    <w:rsid w:val="6951AA89"/>
    <w:rsid w:val="69566B76"/>
    <w:rsid w:val="6958E17E"/>
    <w:rsid w:val="695983DD"/>
    <w:rsid w:val="695C50D3"/>
    <w:rsid w:val="695DDBD5"/>
    <w:rsid w:val="695E323A"/>
    <w:rsid w:val="696405FA"/>
    <w:rsid w:val="696D0EBD"/>
    <w:rsid w:val="6971B2B2"/>
    <w:rsid w:val="69737F5B"/>
    <w:rsid w:val="697853D7"/>
    <w:rsid w:val="697C750C"/>
    <w:rsid w:val="69805581"/>
    <w:rsid w:val="698B2345"/>
    <w:rsid w:val="6997E209"/>
    <w:rsid w:val="6999B248"/>
    <w:rsid w:val="6999D0EC"/>
    <w:rsid w:val="6999FE15"/>
    <w:rsid w:val="69A0723C"/>
    <w:rsid w:val="69A13D39"/>
    <w:rsid w:val="69A65F1C"/>
    <w:rsid w:val="69AA07C9"/>
    <w:rsid w:val="69AB952F"/>
    <w:rsid w:val="69AEF3D5"/>
    <w:rsid w:val="69B2EEF9"/>
    <w:rsid w:val="69B43A05"/>
    <w:rsid w:val="69B562A1"/>
    <w:rsid w:val="69B94B3D"/>
    <w:rsid w:val="69BA41C1"/>
    <w:rsid w:val="69C1BD16"/>
    <w:rsid w:val="69C2F8DE"/>
    <w:rsid w:val="69C47EF6"/>
    <w:rsid w:val="69C5448D"/>
    <w:rsid w:val="69C5A3DF"/>
    <w:rsid w:val="69C88B34"/>
    <w:rsid w:val="69CBDF36"/>
    <w:rsid w:val="69CDD0EA"/>
    <w:rsid w:val="69D37A65"/>
    <w:rsid w:val="69D3EA10"/>
    <w:rsid w:val="69D4E894"/>
    <w:rsid w:val="69DEB803"/>
    <w:rsid w:val="69E132B9"/>
    <w:rsid w:val="69E4BD48"/>
    <w:rsid w:val="69E4FDD0"/>
    <w:rsid w:val="69EB1BD3"/>
    <w:rsid w:val="69F8F5EC"/>
    <w:rsid w:val="69F9CC30"/>
    <w:rsid w:val="69FB8DFE"/>
    <w:rsid w:val="69FBD0B7"/>
    <w:rsid w:val="69FC8F9F"/>
    <w:rsid w:val="6A012A12"/>
    <w:rsid w:val="6A02C681"/>
    <w:rsid w:val="6A03A3B0"/>
    <w:rsid w:val="6A04D6BA"/>
    <w:rsid w:val="6A05D99C"/>
    <w:rsid w:val="6A0A1D0D"/>
    <w:rsid w:val="6A0AFA01"/>
    <w:rsid w:val="6A0CE22C"/>
    <w:rsid w:val="6A12D2BC"/>
    <w:rsid w:val="6A1AD698"/>
    <w:rsid w:val="6A1B0179"/>
    <w:rsid w:val="6A223F55"/>
    <w:rsid w:val="6A239874"/>
    <w:rsid w:val="6A23FD68"/>
    <w:rsid w:val="6A26B900"/>
    <w:rsid w:val="6A31F808"/>
    <w:rsid w:val="6A361A03"/>
    <w:rsid w:val="6A3656F6"/>
    <w:rsid w:val="6A3C8ED0"/>
    <w:rsid w:val="6A3D0719"/>
    <w:rsid w:val="6A40D98F"/>
    <w:rsid w:val="6A459884"/>
    <w:rsid w:val="6A48E1B4"/>
    <w:rsid w:val="6A551A14"/>
    <w:rsid w:val="6A5798C5"/>
    <w:rsid w:val="6A5A445C"/>
    <w:rsid w:val="6A6144C6"/>
    <w:rsid w:val="6A7268FA"/>
    <w:rsid w:val="6A748098"/>
    <w:rsid w:val="6A7BA4A3"/>
    <w:rsid w:val="6A7E8D7B"/>
    <w:rsid w:val="6A83F387"/>
    <w:rsid w:val="6A868C4B"/>
    <w:rsid w:val="6A88F629"/>
    <w:rsid w:val="6A914781"/>
    <w:rsid w:val="6A94B979"/>
    <w:rsid w:val="6A96655D"/>
    <w:rsid w:val="6A9EB958"/>
    <w:rsid w:val="6AA0BF9A"/>
    <w:rsid w:val="6AA664C9"/>
    <w:rsid w:val="6AA785BE"/>
    <w:rsid w:val="6AA8A3D9"/>
    <w:rsid w:val="6AAFA61F"/>
    <w:rsid w:val="6AB0BDC8"/>
    <w:rsid w:val="6AB22C39"/>
    <w:rsid w:val="6AB35C29"/>
    <w:rsid w:val="6AC74C8A"/>
    <w:rsid w:val="6AC86DBE"/>
    <w:rsid w:val="6ACC7FEF"/>
    <w:rsid w:val="6ACC9D47"/>
    <w:rsid w:val="6AD00B63"/>
    <w:rsid w:val="6AD01976"/>
    <w:rsid w:val="6AD99C9D"/>
    <w:rsid w:val="6ADBB699"/>
    <w:rsid w:val="6AE1506D"/>
    <w:rsid w:val="6AF627C3"/>
    <w:rsid w:val="6AFB4321"/>
    <w:rsid w:val="6AFECF7D"/>
    <w:rsid w:val="6AFF425B"/>
    <w:rsid w:val="6B003E54"/>
    <w:rsid w:val="6B02457A"/>
    <w:rsid w:val="6B044993"/>
    <w:rsid w:val="6B083D14"/>
    <w:rsid w:val="6B10DF50"/>
    <w:rsid w:val="6B21065D"/>
    <w:rsid w:val="6B211EFB"/>
    <w:rsid w:val="6B24F52E"/>
    <w:rsid w:val="6B2A5B29"/>
    <w:rsid w:val="6B3603F5"/>
    <w:rsid w:val="6B3E1E61"/>
    <w:rsid w:val="6B3E8F48"/>
    <w:rsid w:val="6B420FFB"/>
    <w:rsid w:val="6B425BA7"/>
    <w:rsid w:val="6B43719C"/>
    <w:rsid w:val="6B4388B9"/>
    <w:rsid w:val="6B4453AC"/>
    <w:rsid w:val="6B4B3E1B"/>
    <w:rsid w:val="6B4DDFEC"/>
    <w:rsid w:val="6B4E67F4"/>
    <w:rsid w:val="6B545809"/>
    <w:rsid w:val="6B54AE21"/>
    <w:rsid w:val="6B57089C"/>
    <w:rsid w:val="6B6AD605"/>
    <w:rsid w:val="6B6F3D9B"/>
    <w:rsid w:val="6B728D52"/>
    <w:rsid w:val="6B7D8027"/>
    <w:rsid w:val="6B8193FB"/>
    <w:rsid w:val="6B84023F"/>
    <w:rsid w:val="6B892FBD"/>
    <w:rsid w:val="6B894FEC"/>
    <w:rsid w:val="6B89B1FC"/>
    <w:rsid w:val="6B93AF62"/>
    <w:rsid w:val="6B94CF25"/>
    <w:rsid w:val="6B9CBBBA"/>
    <w:rsid w:val="6B9E826E"/>
    <w:rsid w:val="6BA1F67D"/>
    <w:rsid w:val="6BA5898A"/>
    <w:rsid w:val="6BA6F5D3"/>
    <w:rsid w:val="6BA7BD94"/>
    <w:rsid w:val="6BAA7945"/>
    <w:rsid w:val="6BAD91B5"/>
    <w:rsid w:val="6BB1F409"/>
    <w:rsid w:val="6BB23052"/>
    <w:rsid w:val="6BB45ECC"/>
    <w:rsid w:val="6BC8674F"/>
    <w:rsid w:val="6BCBCC8A"/>
    <w:rsid w:val="6BCD9F05"/>
    <w:rsid w:val="6BD31FB8"/>
    <w:rsid w:val="6BD3B6D3"/>
    <w:rsid w:val="6BD5B47E"/>
    <w:rsid w:val="6BD6607F"/>
    <w:rsid w:val="6BD93C5C"/>
    <w:rsid w:val="6BDA2C68"/>
    <w:rsid w:val="6BDB83A7"/>
    <w:rsid w:val="6BDE4927"/>
    <w:rsid w:val="6BE373C3"/>
    <w:rsid w:val="6BE3C2C3"/>
    <w:rsid w:val="6BE9B148"/>
    <w:rsid w:val="6BE9B223"/>
    <w:rsid w:val="6BEC4F21"/>
    <w:rsid w:val="6BED52C0"/>
    <w:rsid w:val="6BEFEACC"/>
    <w:rsid w:val="6BF204FE"/>
    <w:rsid w:val="6BF45604"/>
    <w:rsid w:val="6BF9CCC3"/>
    <w:rsid w:val="6BFCADF4"/>
    <w:rsid w:val="6C0666B4"/>
    <w:rsid w:val="6C08BFB3"/>
    <w:rsid w:val="6C0E4834"/>
    <w:rsid w:val="6C113117"/>
    <w:rsid w:val="6C13554D"/>
    <w:rsid w:val="6C159BF0"/>
    <w:rsid w:val="6C18A4A4"/>
    <w:rsid w:val="6C1F4D4D"/>
    <w:rsid w:val="6C20E873"/>
    <w:rsid w:val="6C22BF7A"/>
    <w:rsid w:val="6C2B40C5"/>
    <w:rsid w:val="6C2C8323"/>
    <w:rsid w:val="6C37057A"/>
    <w:rsid w:val="6C38CB72"/>
    <w:rsid w:val="6C39999B"/>
    <w:rsid w:val="6C3E6D64"/>
    <w:rsid w:val="6C41CF0C"/>
    <w:rsid w:val="6C497BDF"/>
    <w:rsid w:val="6C4BF6D3"/>
    <w:rsid w:val="6C51780B"/>
    <w:rsid w:val="6C53D469"/>
    <w:rsid w:val="6C553777"/>
    <w:rsid w:val="6C57306D"/>
    <w:rsid w:val="6C5BF6A0"/>
    <w:rsid w:val="6C7402CE"/>
    <w:rsid w:val="6C74E5DC"/>
    <w:rsid w:val="6C77162B"/>
    <w:rsid w:val="6C78F91A"/>
    <w:rsid w:val="6C7AC2CD"/>
    <w:rsid w:val="6C7B38A7"/>
    <w:rsid w:val="6C7E08E9"/>
    <w:rsid w:val="6C86EFE0"/>
    <w:rsid w:val="6C90E693"/>
    <w:rsid w:val="6C90EC61"/>
    <w:rsid w:val="6C9806CF"/>
    <w:rsid w:val="6C9A2978"/>
    <w:rsid w:val="6C9D8087"/>
    <w:rsid w:val="6C9EE4EB"/>
    <w:rsid w:val="6CA39A61"/>
    <w:rsid w:val="6CA692BA"/>
    <w:rsid w:val="6CA74285"/>
    <w:rsid w:val="6CB23AAF"/>
    <w:rsid w:val="6CB3C59A"/>
    <w:rsid w:val="6CB9BB10"/>
    <w:rsid w:val="6CB9F812"/>
    <w:rsid w:val="6CBB4F54"/>
    <w:rsid w:val="6CBB5E7C"/>
    <w:rsid w:val="6CBFF7C5"/>
    <w:rsid w:val="6CC0181A"/>
    <w:rsid w:val="6CC3A03C"/>
    <w:rsid w:val="6CC4F7B8"/>
    <w:rsid w:val="6CCAF3DC"/>
    <w:rsid w:val="6CCBDCA5"/>
    <w:rsid w:val="6CD018B1"/>
    <w:rsid w:val="6CD603D6"/>
    <w:rsid w:val="6CDBE639"/>
    <w:rsid w:val="6CE23FF4"/>
    <w:rsid w:val="6CE285E0"/>
    <w:rsid w:val="6CE9F08C"/>
    <w:rsid w:val="6CEE09AA"/>
    <w:rsid w:val="6CEF8474"/>
    <w:rsid w:val="6CF29D67"/>
    <w:rsid w:val="6CF3B8D6"/>
    <w:rsid w:val="6CF46DE9"/>
    <w:rsid w:val="6CF661D5"/>
    <w:rsid w:val="6CF9F344"/>
    <w:rsid w:val="6CFF195B"/>
    <w:rsid w:val="6D032E46"/>
    <w:rsid w:val="6D097978"/>
    <w:rsid w:val="6D0ABF1A"/>
    <w:rsid w:val="6D0C90A7"/>
    <w:rsid w:val="6D0E5C33"/>
    <w:rsid w:val="6D0FF9F3"/>
    <w:rsid w:val="6D14E37A"/>
    <w:rsid w:val="6D170EA8"/>
    <w:rsid w:val="6D300E70"/>
    <w:rsid w:val="6D37C92F"/>
    <w:rsid w:val="6D3A8C6E"/>
    <w:rsid w:val="6D3AFEBB"/>
    <w:rsid w:val="6D3B88A7"/>
    <w:rsid w:val="6D3BF58A"/>
    <w:rsid w:val="6D409FC0"/>
    <w:rsid w:val="6D4EB23B"/>
    <w:rsid w:val="6D527F5B"/>
    <w:rsid w:val="6D56D252"/>
    <w:rsid w:val="6D580E5D"/>
    <w:rsid w:val="6D5E7E18"/>
    <w:rsid w:val="6D67D3E3"/>
    <w:rsid w:val="6D6A8CA1"/>
    <w:rsid w:val="6D6B2FE4"/>
    <w:rsid w:val="6D6E28E9"/>
    <w:rsid w:val="6D72C024"/>
    <w:rsid w:val="6D735957"/>
    <w:rsid w:val="6D743912"/>
    <w:rsid w:val="6D78FBF8"/>
    <w:rsid w:val="6D7A5159"/>
    <w:rsid w:val="6D7BC99B"/>
    <w:rsid w:val="6D7CA15D"/>
    <w:rsid w:val="6D7CC380"/>
    <w:rsid w:val="6D82558B"/>
    <w:rsid w:val="6D862888"/>
    <w:rsid w:val="6D86ADAF"/>
    <w:rsid w:val="6D8B9A3A"/>
    <w:rsid w:val="6D92AD0A"/>
    <w:rsid w:val="6D9739BD"/>
    <w:rsid w:val="6D9DDB1B"/>
    <w:rsid w:val="6DA3C153"/>
    <w:rsid w:val="6DA65AE6"/>
    <w:rsid w:val="6DA6BE3D"/>
    <w:rsid w:val="6DAA7F5B"/>
    <w:rsid w:val="6DAAFCBA"/>
    <w:rsid w:val="6DB32B15"/>
    <w:rsid w:val="6DB42070"/>
    <w:rsid w:val="6DB79025"/>
    <w:rsid w:val="6DB9F414"/>
    <w:rsid w:val="6DC57EA4"/>
    <w:rsid w:val="6DCA5AB3"/>
    <w:rsid w:val="6DCB0752"/>
    <w:rsid w:val="6DCD11C1"/>
    <w:rsid w:val="6DCFAE57"/>
    <w:rsid w:val="6DD0772C"/>
    <w:rsid w:val="6DD21552"/>
    <w:rsid w:val="6DD363BD"/>
    <w:rsid w:val="6DD3AF8F"/>
    <w:rsid w:val="6DD90B16"/>
    <w:rsid w:val="6DDC2125"/>
    <w:rsid w:val="6DDE32C6"/>
    <w:rsid w:val="6DEA5A15"/>
    <w:rsid w:val="6DECF5CC"/>
    <w:rsid w:val="6DFAC4BB"/>
    <w:rsid w:val="6DFB8158"/>
    <w:rsid w:val="6DFEF9CB"/>
    <w:rsid w:val="6E04468E"/>
    <w:rsid w:val="6E0D5CC9"/>
    <w:rsid w:val="6E157B17"/>
    <w:rsid w:val="6E17672D"/>
    <w:rsid w:val="6E210729"/>
    <w:rsid w:val="6E261D25"/>
    <w:rsid w:val="6E27FF16"/>
    <w:rsid w:val="6E291369"/>
    <w:rsid w:val="6E319A55"/>
    <w:rsid w:val="6E47DA6A"/>
    <w:rsid w:val="6E4AACEC"/>
    <w:rsid w:val="6E5237D6"/>
    <w:rsid w:val="6E56D02E"/>
    <w:rsid w:val="6E5A7A0D"/>
    <w:rsid w:val="6E5DF99F"/>
    <w:rsid w:val="6E620D21"/>
    <w:rsid w:val="6E631A67"/>
    <w:rsid w:val="6E64B3DC"/>
    <w:rsid w:val="6E652B50"/>
    <w:rsid w:val="6E6D9D78"/>
    <w:rsid w:val="6E74D72B"/>
    <w:rsid w:val="6E769F88"/>
    <w:rsid w:val="6E770C8E"/>
    <w:rsid w:val="6E7DE781"/>
    <w:rsid w:val="6E7E571B"/>
    <w:rsid w:val="6E821CA7"/>
    <w:rsid w:val="6E826652"/>
    <w:rsid w:val="6E844CCC"/>
    <w:rsid w:val="6E849C0C"/>
    <w:rsid w:val="6E84B2A8"/>
    <w:rsid w:val="6E8E465C"/>
    <w:rsid w:val="6E94A504"/>
    <w:rsid w:val="6E96D3FF"/>
    <w:rsid w:val="6E9BD915"/>
    <w:rsid w:val="6EA004C3"/>
    <w:rsid w:val="6EA03B91"/>
    <w:rsid w:val="6EA259B8"/>
    <w:rsid w:val="6EA32F99"/>
    <w:rsid w:val="6EA9EB29"/>
    <w:rsid w:val="6EB016D5"/>
    <w:rsid w:val="6EB19683"/>
    <w:rsid w:val="6EB4A1BD"/>
    <w:rsid w:val="6EB9A659"/>
    <w:rsid w:val="6EBF86F1"/>
    <w:rsid w:val="6EC3F0AD"/>
    <w:rsid w:val="6ECB536F"/>
    <w:rsid w:val="6ECC182D"/>
    <w:rsid w:val="6ED29398"/>
    <w:rsid w:val="6ED7496E"/>
    <w:rsid w:val="6EDB3880"/>
    <w:rsid w:val="6EE2CD17"/>
    <w:rsid w:val="6EE31854"/>
    <w:rsid w:val="6EE9D18A"/>
    <w:rsid w:val="6EE9F850"/>
    <w:rsid w:val="6EEE5D80"/>
    <w:rsid w:val="6EEEC456"/>
    <w:rsid w:val="6EF237B3"/>
    <w:rsid w:val="6EF2496E"/>
    <w:rsid w:val="6F025CC2"/>
    <w:rsid w:val="6F06B644"/>
    <w:rsid w:val="6F071D3E"/>
    <w:rsid w:val="6F0CA441"/>
    <w:rsid w:val="6F0FDAD6"/>
    <w:rsid w:val="6F155C53"/>
    <w:rsid w:val="6F15D517"/>
    <w:rsid w:val="6F1A517B"/>
    <w:rsid w:val="6F1D5D07"/>
    <w:rsid w:val="6F288C0C"/>
    <w:rsid w:val="6F2A61B5"/>
    <w:rsid w:val="6F2B1897"/>
    <w:rsid w:val="6F2FB635"/>
    <w:rsid w:val="6F302F0B"/>
    <w:rsid w:val="6F34B1E4"/>
    <w:rsid w:val="6F3AE3B0"/>
    <w:rsid w:val="6F3FA4EF"/>
    <w:rsid w:val="6F4006AA"/>
    <w:rsid w:val="6F46092D"/>
    <w:rsid w:val="6F46D293"/>
    <w:rsid w:val="6F4A904C"/>
    <w:rsid w:val="6F4DA378"/>
    <w:rsid w:val="6F501851"/>
    <w:rsid w:val="6F5128ED"/>
    <w:rsid w:val="6F583B01"/>
    <w:rsid w:val="6F5C3919"/>
    <w:rsid w:val="6F6A3313"/>
    <w:rsid w:val="6F6A8619"/>
    <w:rsid w:val="6F76FAED"/>
    <w:rsid w:val="6F77639B"/>
    <w:rsid w:val="6F7C577D"/>
    <w:rsid w:val="6F7D26E5"/>
    <w:rsid w:val="6F7E0272"/>
    <w:rsid w:val="6F7F78D2"/>
    <w:rsid w:val="6F82B2C1"/>
    <w:rsid w:val="6F8D90D1"/>
    <w:rsid w:val="6F8E4B47"/>
    <w:rsid w:val="6F93D580"/>
    <w:rsid w:val="6F989298"/>
    <w:rsid w:val="6F9B1759"/>
    <w:rsid w:val="6F9F09A6"/>
    <w:rsid w:val="6FA169A3"/>
    <w:rsid w:val="6FA39F12"/>
    <w:rsid w:val="6FA691FF"/>
    <w:rsid w:val="6FA72AF0"/>
    <w:rsid w:val="6FAEE884"/>
    <w:rsid w:val="6FAEF21A"/>
    <w:rsid w:val="6FB01C8E"/>
    <w:rsid w:val="6FB67422"/>
    <w:rsid w:val="6FBB1194"/>
    <w:rsid w:val="6FBB782A"/>
    <w:rsid w:val="6FBB8F62"/>
    <w:rsid w:val="6FC49CA5"/>
    <w:rsid w:val="6FC4F47C"/>
    <w:rsid w:val="6FC50374"/>
    <w:rsid w:val="6FC5A4A4"/>
    <w:rsid w:val="6FCB2AF0"/>
    <w:rsid w:val="6FD8EC29"/>
    <w:rsid w:val="6FD8F6B8"/>
    <w:rsid w:val="6FD8FA37"/>
    <w:rsid w:val="6FD96152"/>
    <w:rsid w:val="6FDB8301"/>
    <w:rsid w:val="6FDE9E1F"/>
    <w:rsid w:val="6FE41396"/>
    <w:rsid w:val="6FE88C7F"/>
    <w:rsid w:val="6FE90FE4"/>
    <w:rsid w:val="6FECBEF3"/>
    <w:rsid w:val="6FEDC683"/>
    <w:rsid w:val="6FF31F46"/>
    <w:rsid w:val="6FF6BAEC"/>
    <w:rsid w:val="6FF7C8FC"/>
    <w:rsid w:val="6FFC4C0D"/>
    <w:rsid w:val="6FFE097D"/>
    <w:rsid w:val="6FFEBC3E"/>
    <w:rsid w:val="7007DD7E"/>
    <w:rsid w:val="70165099"/>
    <w:rsid w:val="701FBD1D"/>
    <w:rsid w:val="7020866E"/>
    <w:rsid w:val="702A44C7"/>
    <w:rsid w:val="702C0AE8"/>
    <w:rsid w:val="702C859D"/>
    <w:rsid w:val="702FA903"/>
    <w:rsid w:val="703086D4"/>
    <w:rsid w:val="70324873"/>
    <w:rsid w:val="7033B189"/>
    <w:rsid w:val="70345CCA"/>
    <w:rsid w:val="703504AB"/>
    <w:rsid w:val="703F03CC"/>
    <w:rsid w:val="704B0D7D"/>
    <w:rsid w:val="704CCA68"/>
    <w:rsid w:val="704E078D"/>
    <w:rsid w:val="7054F2A9"/>
    <w:rsid w:val="7055CE29"/>
    <w:rsid w:val="705E3DCE"/>
    <w:rsid w:val="7062EF82"/>
    <w:rsid w:val="706375C9"/>
    <w:rsid w:val="7063B5C9"/>
    <w:rsid w:val="7067697C"/>
    <w:rsid w:val="7067FF7B"/>
    <w:rsid w:val="706AB0C2"/>
    <w:rsid w:val="706F86B0"/>
    <w:rsid w:val="707E8C3F"/>
    <w:rsid w:val="70828F25"/>
    <w:rsid w:val="7083E0FA"/>
    <w:rsid w:val="70873592"/>
    <w:rsid w:val="70876CA4"/>
    <w:rsid w:val="7087EBE7"/>
    <w:rsid w:val="708955ED"/>
    <w:rsid w:val="70904952"/>
    <w:rsid w:val="70917A32"/>
    <w:rsid w:val="7094E85B"/>
    <w:rsid w:val="7095D326"/>
    <w:rsid w:val="709C8DCD"/>
    <w:rsid w:val="709D3951"/>
    <w:rsid w:val="70A690C1"/>
    <w:rsid w:val="70A934E5"/>
    <w:rsid w:val="70AA74C0"/>
    <w:rsid w:val="70ADE7CE"/>
    <w:rsid w:val="70BC1505"/>
    <w:rsid w:val="70BDD7AE"/>
    <w:rsid w:val="70BEB29B"/>
    <w:rsid w:val="70BF587C"/>
    <w:rsid w:val="70C153DB"/>
    <w:rsid w:val="70C2C595"/>
    <w:rsid w:val="70C46655"/>
    <w:rsid w:val="70CED5F0"/>
    <w:rsid w:val="70D01280"/>
    <w:rsid w:val="70D40206"/>
    <w:rsid w:val="70D52822"/>
    <w:rsid w:val="70E3FEA1"/>
    <w:rsid w:val="70E61CB4"/>
    <w:rsid w:val="70E63A35"/>
    <w:rsid w:val="70E7D76C"/>
    <w:rsid w:val="70E87594"/>
    <w:rsid w:val="70ECD1FD"/>
    <w:rsid w:val="70F0FBE8"/>
    <w:rsid w:val="70F10A6A"/>
    <w:rsid w:val="70F1AE14"/>
    <w:rsid w:val="70F3EA53"/>
    <w:rsid w:val="70F6FC5C"/>
    <w:rsid w:val="70FD41F1"/>
    <w:rsid w:val="70FF63FC"/>
    <w:rsid w:val="710005AE"/>
    <w:rsid w:val="7103AD09"/>
    <w:rsid w:val="71062450"/>
    <w:rsid w:val="710683AF"/>
    <w:rsid w:val="7108FDA2"/>
    <w:rsid w:val="710E97C6"/>
    <w:rsid w:val="710F501F"/>
    <w:rsid w:val="711042B5"/>
    <w:rsid w:val="71111ED6"/>
    <w:rsid w:val="7116C9E1"/>
    <w:rsid w:val="71176291"/>
    <w:rsid w:val="711A084B"/>
    <w:rsid w:val="711A13B9"/>
    <w:rsid w:val="711ADC38"/>
    <w:rsid w:val="711DE0B4"/>
    <w:rsid w:val="7122FA70"/>
    <w:rsid w:val="71243340"/>
    <w:rsid w:val="7127C35C"/>
    <w:rsid w:val="71289FB2"/>
    <w:rsid w:val="713ACE1F"/>
    <w:rsid w:val="713D739F"/>
    <w:rsid w:val="713E82B4"/>
    <w:rsid w:val="71402D3D"/>
    <w:rsid w:val="714116D6"/>
    <w:rsid w:val="714564E8"/>
    <w:rsid w:val="7146894F"/>
    <w:rsid w:val="714D6D3D"/>
    <w:rsid w:val="7150B3F0"/>
    <w:rsid w:val="71595C6F"/>
    <w:rsid w:val="71678B02"/>
    <w:rsid w:val="7169B8A9"/>
    <w:rsid w:val="716D1D03"/>
    <w:rsid w:val="716D7DDE"/>
    <w:rsid w:val="71724A32"/>
    <w:rsid w:val="7176E532"/>
    <w:rsid w:val="7179BB90"/>
    <w:rsid w:val="7185560E"/>
    <w:rsid w:val="718806B2"/>
    <w:rsid w:val="71884154"/>
    <w:rsid w:val="718FA1D1"/>
    <w:rsid w:val="7192A698"/>
    <w:rsid w:val="71950F1F"/>
    <w:rsid w:val="719E8FEB"/>
    <w:rsid w:val="719FF709"/>
    <w:rsid w:val="71A6F167"/>
    <w:rsid w:val="71B4F267"/>
    <w:rsid w:val="71B96D3C"/>
    <w:rsid w:val="71BCECBB"/>
    <w:rsid w:val="71C21C82"/>
    <w:rsid w:val="71C29F9B"/>
    <w:rsid w:val="71C55685"/>
    <w:rsid w:val="71C59921"/>
    <w:rsid w:val="71C5F02B"/>
    <w:rsid w:val="71CE5934"/>
    <w:rsid w:val="71D4BBB1"/>
    <w:rsid w:val="71D550C2"/>
    <w:rsid w:val="71D8AD21"/>
    <w:rsid w:val="71DFC6DB"/>
    <w:rsid w:val="71E2392A"/>
    <w:rsid w:val="71E79A31"/>
    <w:rsid w:val="71EBD6F3"/>
    <w:rsid w:val="71F1CCB6"/>
    <w:rsid w:val="71F5A7CC"/>
    <w:rsid w:val="71F83057"/>
    <w:rsid w:val="71FF008E"/>
    <w:rsid w:val="71FFFDC9"/>
    <w:rsid w:val="72018618"/>
    <w:rsid w:val="720844E9"/>
    <w:rsid w:val="72090646"/>
    <w:rsid w:val="721172B7"/>
    <w:rsid w:val="721285EF"/>
    <w:rsid w:val="7212E914"/>
    <w:rsid w:val="721698D0"/>
    <w:rsid w:val="7218FBAF"/>
    <w:rsid w:val="721B1624"/>
    <w:rsid w:val="721E57B3"/>
    <w:rsid w:val="72239F27"/>
    <w:rsid w:val="7223FE3B"/>
    <w:rsid w:val="722F656A"/>
    <w:rsid w:val="7231B5C4"/>
    <w:rsid w:val="723338D3"/>
    <w:rsid w:val="7235A340"/>
    <w:rsid w:val="7235E757"/>
    <w:rsid w:val="7239123E"/>
    <w:rsid w:val="723C01F5"/>
    <w:rsid w:val="723C57C4"/>
    <w:rsid w:val="723F45DD"/>
    <w:rsid w:val="72455444"/>
    <w:rsid w:val="724D0C7A"/>
    <w:rsid w:val="724FDFE3"/>
    <w:rsid w:val="7251FBC3"/>
    <w:rsid w:val="7253978A"/>
    <w:rsid w:val="725461E9"/>
    <w:rsid w:val="7255CD62"/>
    <w:rsid w:val="72571D5D"/>
    <w:rsid w:val="72617831"/>
    <w:rsid w:val="7263E807"/>
    <w:rsid w:val="7268509D"/>
    <w:rsid w:val="726859A7"/>
    <w:rsid w:val="72697829"/>
    <w:rsid w:val="726E4B61"/>
    <w:rsid w:val="726E6E6D"/>
    <w:rsid w:val="7272FD53"/>
    <w:rsid w:val="72782FEB"/>
    <w:rsid w:val="727BC4EB"/>
    <w:rsid w:val="728F4EF6"/>
    <w:rsid w:val="72941F96"/>
    <w:rsid w:val="72942502"/>
    <w:rsid w:val="729552D1"/>
    <w:rsid w:val="729860F3"/>
    <w:rsid w:val="72A0BBB8"/>
    <w:rsid w:val="72A1E790"/>
    <w:rsid w:val="72A5046E"/>
    <w:rsid w:val="72A940E2"/>
    <w:rsid w:val="72A9BE1B"/>
    <w:rsid w:val="72B1F590"/>
    <w:rsid w:val="72BF770A"/>
    <w:rsid w:val="72BF7C99"/>
    <w:rsid w:val="72C2C596"/>
    <w:rsid w:val="72C56E1E"/>
    <w:rsid w:val="72C654CA"/>
    <w:rsid w:val="72CA4642"/>
    <w:rsid w:val="72CCD136"/>
    <w:rsid w:val="72D73109"/>
    <w:rsid w:val="72D88585"/>
    <w:rsid w:val="72DB8312"/>
    <w:rsid w:val="72E22B99"/>
    <w:rsid w:val="72E2AE72"/>
    <w:rsid w:val="72E97DDC"/>
    <w:rsid w:val="72EF34E7"/>
    <w:rsid w:val="72F64543"/>
    <w:rsid w:val="72F7EC21"/>
    <w:rsid w:val="72FAA1C1"/>
    <w:rsid w:val="72FC4435"/>
    <w:rsid w:val="72FCF40F"/>
    <w:rsid w:val="73003EDE"/>
    <w:rsid w:val="73033563"/>
    <w:rsid w:val="73042E97"/>
    <w:rsid w:val="730B94CF"/>
    <w:rsid w:val="730F9412"/>
    <w:rsid w:val="73106D5E"/>
    <w:rsid w:val="73134D00"/>
    <w:rsid w:val="73163616"/>
    <w:rsid w:val="731640B1"/>
    <w:rsid w:val="73189380"/>
    <w:rsid w:val="731ACDDA"/>
    <w:rsid w:val="731B8358"/>
    <w:rsid w:val="7321F876"/>
    <w:rsid w:val="7327C85C"/>
    <w:rsid w:val="732BFF6B"/>
    <w:rsid w:val="7330988C"/>
    <w:rsid w:val="733A5BB2"/>
    <w:rsid w:val="734068AC"/>
    <w:rsid w:val="7341A6BC"/>
    <w:rsid w:val="7343042D"/>
    <w:rsid w:val="73468507"/>
    <w:rsid w:val="734A1C31"/>
    <w:rsid w:val="734A9395"/>
    <w:rsid w:val="734F3AFB"/>
    <w:rsid w:val="735005C4"/>
    <w:rsid w:val="7350EA45"/>
    <w:rsid w:val="735A584A"/>
    <w:rsid w:val="7361BA53"/>
    <w:rsid w:val="7365ED38"/>
    <w:rsid w:val="7366543F"/>
    <w:rsid w:val="73672779"/>
    <w:rsid w:val="7368F408"/>
    <w:rsid w:val="736C26DF"/>
    <w:rsid w:val="736CEC20"/>
    <w:rsid w:val="737F6462"/>
    <w:rsid w:val="738364EC"/>
    <w:rsid w:val="7383F75C"/>
    <w:rsid w:val="73898D9C"/>
    <w:rsid w:val="738B43FE"/>
    <w:rsid w:val="738CEAF0"/>
    <w:rsid w:val="73938B23"/>
    <w:rsid w:val="7396BF38"/>
    <w:rsid w:val="739A9CC1"/>
    <w:rsid w:val="739BD53F"/>
    <w:rsid w:val="73ABF9B0"/>
    <w:rsid w:val="73AFD8E3"/>
    <w:rsid w:val="73B30D2F"/>
    <w:rsid w:val="73B64B8F"/>
    <w:rsid w:val="73B77B88"/>
    <w:rsid w:val="73BBB49E"/>
    <w:rsid w:val="73BC38FD"/>
    <w:rsid w:val="73BCD9E6"/>
    <w:rsid w:val="73BD40E0"/>
    <w:rsid w:val="73C01759"/>
    <w:rsid w:val="73C5F5E2"/>
    <w:rsid w:val="73CB5089"/>
    <w:rsid w:val="73D0AFB5"/>
    <w:rsid w:val="73D25AC1"/>
    <w:rsid w:val="73D477F2"/>
    <w:rsid w:val="73D57E63"/>
    <w:rsid w:val="73DA5D20"/>
    <w:rsid w:val="73E1F615"/>
    <w:rsid w:val="73E2CEB4"/>
    <w:rsid w:val="73E7ED07"/>
    <w:rsid w:val="73EB0AB1"/>
    <w:rsid w:val="73EED4D3"/>
    <w:rsid w:val="73F12020"/>
    <w:rsid w:val="73F264D9"/>
    <w:rsid w:val="73F3EB6C"/>
    <w:rsid w:val="73F5EE57"/>
    <w:rsid w:val="73F7ABDF"/>
    <w:rsid w:val="73FB1A49"/>
    <w:rsid w:val="73FCCF60"/>
    <w:rsid w:val="740109D9"/>
    <w:rsid w:val="74012E90"/>
    <w:rsid w:val="7408EC6B"/>
    <w:rsid w:val="74095B38"/>
    <w:rsid w:val="740B118E"/>
    <w:rsid w:val="74106A8A"/>
    <w:rsid w:val="74149564"/>
    <w:rsid w:val="7414F424"/>
    <w:rsid w:val="74150DC6"/>
    <w:rsid w:val="741BD7A3"/>
    <w:rsid w:val="741C1CBB"/>
    <w:rsid w:val="741EDC4D"/>
    <w:rsid w:val="742F3764"/>
    <w:rsid w:val="7430BCE7"/>
    <w:rsid w:val="7437A95C"/>
    <w:rsid w:val="743BCFAA"/>
    <w:rsid w:val="743FFB2D"/>
    <w:rsid w:val="74444380"/>
    <w:rsid w:val="744A32B2"/>
    <w:rsid w:val="744ADB6D"/>
    <w:rsid w:val="7454036D"/>
    <w:rsid w:val="74574500"/>
    <w:rsid w:val="745C75F9"/>
    <w:rsid w:val="74672B03"/>
    <w:rsid w:val="74688CF2"/>
    <w:rsid w:val="7471D569"/>
    <w:rsid w:val="7477777F"/>
    <w:rsid w:val="74798C0F"/>
    <w:rsid w:val="747A1DEE"/>
    <w:rsid w:val="747DCFFD"/>
    <w:rsid w:val="747E894B"/>
    <w:rsid w:val="7483DABD"/>
    <w:rsid w:val="748486AA"/>
    <w:rsid w:val="748A39FB"/>
    <w:rsid w:val="7493B413"/>
    <w:rsid w:val="7497AFEE"/>
    <w:rsid w:val="749FC073"/>
    <w:rsid w:val="74A1DBBB"/>
    <w:rsid w:val="74A797FC"/>
    <w:rsid w:val="74B6B3D9"/>
    <w:rsid w:val="74BD604D"/>
    <w:rsid w:val="74C052E9"/>
    <w:rsid w:val="74C1C691"/>
    <w:rsid w:val="74C4C1A1"/>
    <w:rsid w:val="74D874DF"/>
    <w:rsid w:val="74DCCC40"/>
    <w:rsid w:val="74DF6BDC"/>
    <w:rsid w:val="74E074AE"/>
    <w:rsid w:val="74E19955"/>
    <w:rsid w:val="74EE5B74"/>
    <w:rsid w:val="74EE6A67"/>
    <w:rsid w:val="74F24BCB"/>
    <w:rsid w:val="74F86ADB"/>
    <w:rsid w:val="7503BF33"/>
    <w:rsid w:val="7505285C"/>
    <w:rsid w:val="750C07C2"/>
    <w:rsid w:val="750C6D9A"/>
    <w:rsid w:val="7518058E"/>
    <w:rsid w:val="75183364"/>
    <w:rsid w:val="751B78AC"/>
    <w:rsid w:val="75233264"/>
    <w:rsid w:val="7525419E"/>
    <w:rsid w:val="753382B5"/>
    <w:rsid w:val="75384331"/>
    <w:rsid w:val="75396846"/>
    <w:rsid w:val="753BC0C5"/>
    <w:rsid w:val="754028A5"/>
    <w:rsid w:val="75410FE4"/>
    <w:rsid w:val="754212CF"/>
    <w:rsid w:val="75469108"/>
    <w:rsid w:val="7549D0B7"/>
    <w:rsid w:val="75588D55"/>
    <w:rsid w:val="7560D50E"/>
    <w:rsid w:val="7561FAA0"/>
    <w:rsid w:val="7563B686"/>
    <w:rsid w:val="756746D9"/>
    <w:rsid w:val="7568CEBD"/>
    <w:rsid w:val="756A3DEB"/>
    <w:rsid w:val="756D0796"/>
    <w:rsid w:val="7570BA25"/>
    <w:rsid w:val="7573A9B4"/>
    <w:rsid w:val="757679C5"/>
    <w:rsid w:val="7583188B"/>
    <w:rsid w:val="758577B6"/>
    <w:rsid w:val="7589E546"/>
    <w:rsid w:val="759ABF9A"/>
    <w:rsid w:val="75AAC0C3"/>
    <w:rsid w:val="75B35107"/>
    <w:rsid w:val="75B55CAD"/>
    <w:rsid w:val="75B57E13"/>
    <w:rsid w:val="75B605E9"/>
    <w:rsid w:val="75C29738"/>
    <w:rsid w:val="75C67C2E"/>
    <w:rsid w:val="75C8C5EA"/>
    <w:rsid w:val="75CF1C8A"/>
    <w:rsid w:val="75D1881E"/>
    <w:rsid w:val="75D40FDD"/>
    <w:rsid w:val="75D47671"/>
    <w:rsid w:val="75DA872D"/>
    <w:rsid w:val="75DCF49A"/>
    <w:rsid w:val="75E3EBAE"/>
    <w:rsid w:val="75E5701B"/>
    <w:rsid w:val="75EA93A7"/>
    <w:rsid w:val="75EAB9B0"/>
    <w:rsid w:val="75EACAC9"/>
    <w:rsid w:val="75EF358E"/>
    <w:rsid w:val="75F58C83"/>
    <w:rsid w:val="75F6CA64"/>
    <w:rsid w:val="75FA3D13"/>
    <w:rsid w:val="75FD391D"/>
    <w:rsid w:val="75FFF5E5"/>
    <w:rsid w:val="7600B138"/>
    <w:rsid w:val="760B6B5A"/>
    <w:rsid w:val="760BC45D"/>
    <w:rsid w:val="760C2B4D"/>
    <w:rsid w:val="760CDC11"/>
    <w:rsid w:val="76109C88"/>
    <w:rsid w:val="761483F8"/>
    <w:rsid w:val="7616B2F7"/>
    <w:rsid w:val="761B6711"/>
    <w:rsid w:val="76200881"/>
    <w:rsid w:val="7622DA65"/>
    <w:rsid w:val="762AE7FE"/>
    <w:rsid w:val="762D0432"/>
    <w:rsid w:val="76307A65"/>
    <w:rsid w:val="763A2B5F"/>
    <w:rsid w:val="763F719B"/>
    <w:rsid w:val="76400A3D"/>
    <w:rsid w:val="7645FF68"/>
    <w:rsid w:val="76465E4B"/>
    <w:rsid w:val="7663C9BE"/>
    <w:rsid w:val="76643B62"/>
    <w:rsid w:val="766635E0"/>
    <w:rsid w:val="766B1804"/>
    <w:rsid w:val="7671DB06"/>
    <w:rsid w:val="76754B78"/>
    <w:rsid w:val="767CB9E2"/>
    <w:rsid w:val="76804602"/>
    <w:rsid w:val="7684DEA4"/>
    <w:rsid w:val="7686FB0D"/>
    <w:rsid w:val="7688B217"/>
    <w:rsid w:val="768D470C"/>
    <w:rsid w:val="7693D8CE"/>
    <w:rsid w:val="7698DD78"/>
    <w:rsid w:val="76A032D8"/>
    <w:rsid w:val="76A3FCBB"/>
    <w:rsid w:val="76A9C3E4"/>
    <w:rsid w:val="76AE9807"/>
    <w:rsid w:val="76B53991"/>
    <w:rsid w:val="76BAF1BA"/>
    <w:rsid w:val="76C2FE49"/>
    <w:rsid w:val="76D11DB3"/>
    <w:rsid w:val="76D936C6"/>
    <w:rsid w:val="76D93CD2"/>
    <w:rsid w:val="76DF8029"/>
    <w:rsid w:val="76DF992A"/>
    <w:rsid w:val="76E1CA2E"/>
    <w:rsid w:val="76E244DD"/>
    <w:rsid w:val="76EBC107"/>
    <w:rsid w:val="76EF90EC"/>
    <w:rsid w:val="76F7F3E9"/>
    <w:rsid w:val="76FCA12B"/>
    <w:rsid w:val="76FD1171"/>
    <w:rsid w:val="76FF9BA7"/>
    <w:rsid w:val="770124B2"/>
    <w:rsid w:val="770340EC"/>
    <w:rsid w:val="770B773E"/>
    <w:rsid w:val="7718C163"/>
    <w:rsid w:val="771E5770"/>
    <w:rsid w:val="771F47CB"/>
    <w:rsid w:val="77214D81"/>
    <w:rsid w:val="7721B0A3"/>
    <w:rsid w:val="7721B206"/>
    <w:rsid w:val="772611FA"/>
    <w:rsid w:val="772CB5C3"/>
    <w:rsid w:val="772D68FF"/>
    <w:rsid w:val="772FA3A2"/>
    <w:rsid w:val="77302DA2"/>
    <w:rsid w:val="773ABDAE"/>
    <w:rsid w:val="774953D4"/>
    <w:rsid w:val="775C334F"/>
    <w:rsid w:val="775E05C6"/>
    <w:rsid w:val="775E38FB"/>
    <w:rsid w:val="776104F0"/>
    <w:rsid w:val="77718793"/>
    <w:rsid w:val="7773B299"/>
    <w:rsid w:val="77749A58"/>
    <w:rsid w:val="7775C4F8"/>
    <w:rsid w:val="7776951A"/>
    <w:rsid w:val="777E05B1"/>
    <w:rsid w:val="777FBCC9"/>
    <w:rsid w:val="7784042A"/>
    <w:rsid w:val="7787CD1C"/>
    <w:rsid w:val="77886D61"/>
    <w:rsid w:val="778B8A8E"/>
    <w:rsid w:val="7790A335"/>
    <w:rsid w:val="7794DD7B"/>
    <w:rsid w:val="779542F4"/>
    <w:rsid w:val="779792DF"/>
    <w:rsid w:val="779BD6DC"/>
    <w:rsid w:val="77A3C819"/>
    <w:rsid w:val="77A49A05"/>
    <w:rsid w:val="77A6D1EB"/>
    <w:rsid w:val="77A77C4A"/>
    <w:rsid w:val="77B070B5"/>
    <w:rsid w:val="77B105A7"/>
    <w:rsid w:val="77B7A353"/>
    <w:rsid w:val="77B9FAEA"/>
    <w:rsid w:val="77BCC244"/>
    <w:rsid w:val="77BE3DEE"/>
    <w:rsid w:val="77BED514"/>
    <w:rsid w:val="77C15DBA"/>
    <w:rsid w:val="77C38740"/>
    <w:rsid w:val="77C53824"/>
    <w:rsid w:val="77CADB10"/>
    <w:rsid w:val="77CAE4DA"/>
    <w:rsid w:val="77CDAB99"/>
    <w:rsid w:val="77CFDCA3"/>
    <w:rsid w:val="77E17381"/>
    <w:rsid w:val="77E2C106"/>
    <w:rsid w:val="77E3833D"/>
    <w:rsid w:val="77E6EAC4"/>
    <w:rsid w:val="77E6EC55"/>
    <w:rsid w:val="77EAD690"/>
    <w:rsid w:val="77F5BD75"/>
    <w:rsid w:val="77F80C2D"/>
    <w:rsid w:val="77FB7CE4"/>
    <w:rsid w:val="77FBB8E8"/>
    <w:rsid w:val="7806A063"/>
    <w:rsid w:val="780FBD9E"/>
    <w:rsid w:val="781B4F48"/>
    <w:rsid w:val="781CE6B2"/>
    <w:rsid w:val="781FDCDE"/>
    <w:rsid w:val="78215189"/>
    <w:rsid w:val="7822CCE3"/>
    <w:rsid w:val="7823DAD5"/>
    <w:rsid w:val="782A0C4B"/>
    <w:rsid w:val="782D98BE"/>
    <w:rsid w:val="782E5CC9"/>
    <w:rsid w:val="78349381"/>
    <w:rsid w:val="7838A19C"/>
    <w:rsid w:val="783DFB48"/>
    <w:rsid w:val="7844E07D"/>
    <w:rsid w:val="7845B6B5"/>
    <w:rsid w:val="7848E031"/>
    <w:rsid w:val="7849AE7A"/>
    <w:rsid w:val="784A0398"/>
    <w:rsid w:val="784CE371"/>
    <w:rsid w:val="784E4C03"/>
    <w:rsid w:val="784FC5E7"/>
    <w:rsid w:val="7850A8FF"/>
    <w:rsid w:val="7852FAC8"/>
    <w:rsid w:val="78564DA1"/>
    <w:rsid w:val="785A6342"/>
    <w:rsid w:val="785C82B3"/>
    <w:rsid w:val="785DC752"/>
    <w:rsid w:val="7867EAF3"/>
    <w:rsid w:val="7872ADFD"/>
    <w:rsid w:val="787353AE"/>
    <w:rsid w:val="7876F7B6"/>
    <w:rsid w:val="78784BEE"/>
    <w:rsid w:val="787C08D2"/>
    <w:rsid w:val="787F8A8B"/>
    <w:rsid w:val="788578C7"/>
    <w:rsid w:val="788A3C18"/>
    <w:rsid w:val="788BDE28"/>
    <w:rsid w:val="7892184E"/>
    <w:rsid w:val="7894E8F2"/>
    <w:rsid w:val="7895389D"/>
    <w:rsid w:val="789E2D61"/>
    <w:rsid w:val="78A23CC5"/>
    <w:rsid w:val="78A31F80"/>
    <w:rsid w:val="78A5E237"/>
    <w:rsid w:val="78AA5DA7"/>
    <w:rsid w:val="78ABC8C0"/>
    <w:rsid w:val="78AC9286"/>
    <w:rsid w:val="78AD2D54"/>
    <w:rsid w:val="78AE1A50"/>
    <w:rsid w:val="78B33692"/>
    <w:rsid w:val="78B4708C"/>
    <w:rsid w:val="78B6A01D"/>
    <w:rsid w:val="78B73323"/>
    <w:rsid w:val="78BD86C4"/>
    <w:rsid w:val="78BE99E5"/>
    <w:rsid w:val="78C62700"/>
    <w:rsid w:val="78C75BF6"/>
    <w:rsid w:val="78D1D25D"/>
    <w:rsid w:val="78D1EA87"/>
    <w:rsid w:val="78D3D6A8"/>
    <w:rsid w:val="78D3D8E5"/>
    <w:rsid w:val="78D5EECE"/>
    <w:rsid w:val="78D630F2"/>
    <w:rsid w:val="78DA85EB"/>
    <w:rsid w:val="78E0B16F"/>
    <w:rsid w:val="78E0F24C"/>
    <w:rsid w:val="78EA9FE6"/>
    <w:rsid w:val="78ED7628"/>
    <w:rsid w:val="78F26F77"/>
    <w:rsid w:val="78FBC302"/>
    <w:rsid w:val="78FD079B"/>
    <w:rsid w:val="7907292B"/>
    <w:rsid w:val="79072F33"/>
    <w:rsid w:val="79074741"/>
    <w:rsid w:val="790ACE1D"/>
    <w:rsid w:val="790CFB1A"/>
    <w:rsid w:val="790EE93C"/>
    <w:rsid w:val="7918B78B"/>
    <w:rsid w:val="791C0387"/>
    <w:rsid w:val="791C0522"/>
    <w:rsid w:val="791CD4B3"/>
    <w:rsid w:val="792772E0"/>
    <w:rsid w:val="792ABF55"/>
    <w:rsid w:val="7930F3DE"/>
    <w:rsid w:val="793418D7"/>
    <w:rsid w:val="79375CEC"/>
    <w:rsid w:val="7939F682"/>
    <w:rsid w:val="793BCE25"/>
    <w:rsid w:val="793DCB81"/>
    <w:rsid w:val="7941D01B"/>
    <w:rsid w:val="794238D3"/>
    <w:rsid w:val="79454983"/>
    <w:rsid w:val="79469F13"/>
    <w:rsid w:val="79504293"/>
    <w:rsid w:val="795B78BE"/>
    <w:rsid w:val="795DF2F7"/>
    <w:rsid w:val="7965ED1C"/>
    <w:rsid w:val="796F9E44"/>
    <w:rsid w:val="79705225"/>
    <w:rsid w:val="797271E8"/>
    <w:rsid w:val="7976C5C4"/>
    <w:rsid w:val="797B6A9A"/>
    <w:rsid w:val="79896691"/>
    <w:rsid w:val="7989E66B"/>
    <w:rsid w:val="798F8392"/>
    <w:rsid w:val="79999EE4"/>
    <w:rsid w:val="7999B4F0"/>
    <w:rsid w:val="79A2092C"/>
    <w:rsid w:val="79A7DDF5"/>
    <w:rsid w:val="79B54C4F"/>
    <w:rsid w:val="79B80DC2"/>
    <w:rsid w:val="79B8B4BF"/>
    <w:rsid w:val="79C1EA5F"/>
    <w:rsid w:val="79C25960"/>
    <w:rsid w:val="79C26ABA"/>
    <w:rsid w:val="79C5524D"/>
    <w:rsid w:val="79C77C84"/>
    <w:rsid w:val="79C81575"/>
    <w:rsid w:val="79CDF13D"/>
    <w:rsid w:val="79D1C2CE"/>
    <w:rsid w:val="79D2030D"/>
    <w:rsid w:val="79DC10DB"/>
    <w:rsid w:val="79E4165F"/>
    <w:rsid w:val="79E598F5"/>
    <w:rsid w:val="79E783AF"/>
    <w:rsid w:val="79EB4503"/>
    <w:rsid w:val="79EC1DB5"/>
    <w:rsid w:val="79F02286"/>
    <w:rsid w:val="79F04242"/>
    <w:rsid w:val="79F439FB"/>
    <w:rsid w:val="79F7E7D0"/>
    <w:rsid w:val="79F94934"/>
    <w:rsid w:val="79FA5933"/>
    <w:rsid w:val="79FBB81D"/>
    <w:rsid w:val="7A01028B"/>
    <w:rsid w:val="7A0AF057"/>
    <w:rsid w:val="7A0B0142"/>
    <w:rsid w:val="7A1368E9"/>
    <w:rsid w:val="7A1AD170"/>
    <w:rsid w:val="7A1BF496"/>
    <w:rsid w:val="7A2B09F7"/>
    <w:rsid w:val="7A30E2F3"/>
    <w:rsid w:val="7A33080B"/>
    <w:rsid w:val="7A406313"/>
    <w:rsid w:val="7A424F25"/>
    <w:rsid w:val="7A4318E9"/>
    <w:rsid w:val="7A446AF8"/>
    <w:rsid w:val="7A46EE2F"/>
    <w:rsid w:val="7A498FB1"/>
    <w:rsid w:val="7A4A8C7E"/>
    <w:rsid w:val="7A4BA8B9"/>
    <w:rsid w:val="7A4CBFB8"/>
    <w:rsid w:val="7A504E45"/>
    <w:rsid w:val="7A51A642"/>
    <w:rsid w:val="7A56CC5F"/>
    <w:rsid w:val="7A608A8B"/>
    <w:rsid w:val="7A61A067"/>
    <w:rsid w:val="7A7039A9"/>
    <w:rsid w:val="7A712F7F"/>
    <w:rsid w:val="7A716B53"/>
    <w:rsid w:val="7A733995"/>
    <w:rsid w:val="7A7370B5"/>
    <w:rsid w:val="7A7490FC"/>
    <w:rsid w:val="7A781CED"/>
    <w:rsid w:val="7A7C9FDA"/>
    <w:rsid w:val="7A7F1F1D"/>
    <w:rsid w:val="7A7FA54D"/>
    <w:rsid w:val="7A83AD78"/>
    <w:rsid w:val="7A842B6D"/>
    <w:rsid w:val="7A85CFF6"/>
    <w:rsid w:val="7A88E09A"/>
    <w:rsid w:val="7A8DE910"/>
    <w:rsid w:val="7A92F2E7"/>
    <w:rsid w:val="7AA13FE9"/>
    <w:rsid w:val="7AAEF54F"/>
    <w:rsid w:val="7AB20345"/>
    <w:rsid w:val="7AB5C193"/>
    <w:rsid w:val="7AB7BEAC"/>
    <w:rsid w:val="7AB97294"/>
    <w:rsid w:val="7ABB68B3"/>
    <w:rsid w:val="7ABCA985"/>
    <w:rsid w:val="7ABD1FD3"/>
    <w:rsid w:val="7ABD9F0B"/>
    <w:rsid w:val="7AC10CE8"/>
    <w:rsid w:val="7AC213D7"/>
    <w:rsid w:val="7AC52BC9"/>
    <w:rsid w:val="7AC892B7"/>
    <w:rsid w:val="7ACC99F8"/>
    <w:rsid w:val="7AD23DDB"/>
    <w:rsid w:val="7AD4C41F"/>
    <w:rsid w:val="7ADC97EB"/>
    <w:rsid w:val="7ADDEAD6"/>
    <w:rsid w:val="7ADFA923"/>
    <w:rsid w:val="7ADFDCB9"/>
    <w:rsid w:val="7AE16E47"/>
    <w:rsid w:val="7AE28784"/>
    <w:rsid w:val="7AE41364"/>
    <w:rsid w:val="7AE97FD2"/>
    <w:rsid w:val="7AE9C74C"/>
    <w:rsid w:val="7AF37758"/>
    <w:rsid w:val="7AF44717"/>
    <w:rsid w:val="7AFA6010"/>
    <w:rsid w:val="7AFB6934"/>
    <w:rsid w:val="7AFE92D5"/>
    <w:rsid w:val="7B0776C3"/>
    <w:rsid w:val="7B123ABC"/>
    <w:rsid w:val="7B172410"/>
    <w:rsid w:val="7B1FB024"/>
    <w:rsid w:val="7B221B43"/>
    <w:rsid w:val="7B2264E9"/>
    <w:rsid w:val="7B29B074"/>
    <w:rsid w:val="7B2A01D0"/>
    <w:rsid w:val="7B31C1B6"/>
    <w:rsid w:val="7B42772A"/>
    <w:rsid w:val="7B44B256"/>
    <w:rsid w:val="7B47CB49"/>
    <w:rsid w:val="7B49721F"/>
    <w:rsid w:val="7B5060D1"/>
    <w:rsid w:val="7B555AE7"/>
    <w:rsid w:val="7B5770E2"/>
    <w:rsid w:val="7B597669"/>
    <w:rsid w:val="7B5CFF4A"/>
    <w:rsid w:val="7B67A920"/>
    <w:rsid w:val="7B6B37CF"/>
    <w:rsid w:val="7B70DBEE"/>
    <w:rsid w:val="7B733B5C"/>
    <w:rsid w:val="7B756C8F"/>
    <w:rsid w:val="7B79F4FD"/>
    <w:rsid w:val="7B7C6A44"/>
    <w:rsid w:val="7B80038A"/>
    <w:rsid w:val="7B82DB77"/>
    <w:rsid w:val="7B8B78BD"/>
    <w:rsid w:val="7B92F107"/>
    <w:rsid w:val="7B93C53B"/>
    <w:rsid w:val="7B957F6E"/>
    <w:rsid w:val="7B9E899A"/>
    <w:rsid w:val="7B9F2C71"/>
    <w:rsid w:val="7BA3E23C"/>
    <w:rsid w:val="7BA6DE4B"/>
    <w:rsid w:val="7BA6E58C"/>
    <w:rsid w:val="7BAAB364"/>
    <w:rsid w:val="7BAC0025"/>
    <w:rsid w:val="7BBD53F6"/>
    <w:rsid w:val="7BBF648A"/>
    <w:rsid w:val="7BC031CE"/>
    <w:rsid w:val="7BC0E596"/>
    <w:rsid w:val="7BC4221D"/>
    <w:rsid w:val="7BC6F9F2"/>
    <w:rsid w:val="7BC88891"/>
    <w:rsid w:val="7BCBA4C2"/>
    <w:rsid w:val="7BD1625C"/>
    <w:rsid w:val="7BD2B466"/>
    <w:rsid w:val="7BD3C711"/>
    <w:rsid w:val="7BD77244"/>
    <w:rsid w:val="7BD93F32"/>
    <w:rsid w:val="7BD96C53"/>
    <w:rsid w:val="7BDA69A1"/>
    <w:rsid w:val="7BE54083"/>
    <w:rsid w:val="7BE76C62"/>
    <w:rsid w:val="7BEA0342"/>
    <w:rsid w:val="7BEF1FBD"/>
    <w:rsid w:val="7BF58F4B"/>
    <w:rsid w:val="7BF5D49F"/>
    <w:rsid w:val="7BF96B9F"/>
    <w:rsid w:val="7BFFBB9C"/>
    <w:rsid w:val="7C115E01"/>
    <w:rsid w:val="7C1183F3"/>
    <w:rsid w:val="7C11EB59"/>
    <w:rsid w:val="7C169054"/>
    <w:rsid w:val="7C1749AE"/>
    <w:rsid w:val="7C1EBA66"/>
    <w:rsid w:val="7C22942C"/>
    <w:rsid w:val="7C22CB31"/>
    <w:rsid w:val="7C2AC3AD"/>
    <w:rsid w:val="7C2EABCD"/>
    <w:rsid w:val="7C3090DB"/>
    <w:rsid w:val="7C31D57C"/>
    <w:rsid w:val="7C3900C9"/>
    <w:rsid w:val="7C391026"/>
    <w:rsid w:val="7C3A9FC8"/>
    <w:rsid w:val="7C3C4683"/>
    <w:rsid w:val="7C3D1AA2"/>
    <w:rsid w:val="7C3EABB9"/>
    <w:rsid w:val="7C40EB3D"/>
    <w:rsid w:val="7C45E913"/>
    <w:rsid w:val="7C5069FD"/>
    <w:rsid w:val="7C589258"/>
    <w:rsid w:val="7C5A5C17"/>
    <w:rsid w:val="7C5D9E42"/>
    <w:rsid w:val="7C5ED9FB"/>
    <w:rsid w:val="7C60CFAD"/>
    <w:rsid w:val="7C675783"/>
    <w:rsid w:val="7C691877"/>
    <w:rsid w:val="7C6A425A"/>
    <w:rsid w:val="7C70ABF5"/>
    <w:rsid w:val="7C747FE1"/>
    <w:rsid w:val="7C76C2A4"/>
    <w:rsid w:val="7C7982AE"/>
    <w:rsid w:val="7C7985D9"/>
    <w:rsid w:val="7C7AE324"/>
    <w:rsid w:val="7C7CC705"/>
    <w:rsid w:val="7C8338F7"/>
    <w:rsid w:val="7C8BEFF8"/>
    <w:rsid w:val="7C8C8E31"/>
    <w:rsid w:val="7C955355"/>
    <w:rsid w:val="7C975E39"/>
    <w:rsid w:val="7C9C0250"/>
    <w:rsid w:val="7C9C5E3D"/>
    <w:rsid w:val="7CA03F2B"/>
    <w:rsid w:val="7CAAE3BF"/>
    <w:rsid w:val="7CAD4A2C"/>
    <w:rsid w:val="7CAF328E"/>
    <w:rsid w:val="7CB9F911"/>
    <w:rsid w:val="7CBBDA42"/>
    <w:rsid w:val="7CC0B1DE"/>
    <w:rsid w:val="7CC3098D"/>
    <w:rsid w:val="7CCA1646"/>
    <w:rsid w:val="7CCAFA6E"/>
    <w:rsid w:val="7CCF0FFB"/>
    <w:rsid w:val="7CDC7CC3"/>
    <w:rsid w:val="7CE124F3"/>
    <w:rsid w:val="7CE479E6"/>
    <w:rsid w:val="7CE83F1A"/>
    <w:rsid w:val="7CE9AFB5"/>
    <w:rsid w:val="7CEAC7B2"/>
    <w:rsid w:val="7CEFC2CE"/>
    <w:rsid w:val="7CF37302"/>
    <w:rsid w:val="7CF3EE77"/>
    <w:rsid w:val="7CF489A1"/>
    <w:rsid w:val="7CF765EA"/>
    <w:rsid w:val="7CF7B316"/>
    <w:rsid w:val="7CF8B622"/>
    <w:rsid w:val="7CF9F7E7"/>
    <w:rsid w:val="7CFDE59B"/>
    <w:rsid w:val="7D03561F"/>
    <w:rsid w:val="7D08F733"/>
    <w:rsid w:val="7D0905D0"/>
    <w:rsid w:val="7D0BC1E6"/>
    <w:rsid w:val="7D0BF1F1"/>
    <w:rsid w:val="7D10C412"/>
    <w:rsid w:val="7D1218DC"/>
    <w:rsid w:val="7D160B44"/>
    <w:rsid w:val="7D165816"/>
    <w:rsid w:val="7D1BE338"/>
    <w:rsid w:val="7D1C5E55"/>
    <w:rsid w:val="7D203453"/>
    <w:rsid w:val="7D239085"/>
    <w:rsid w:val="7D28F184"/>
    <w:rsid w:val="7D29114E"/>
    <w:rsid w:val="7D3150AE"/>
    <w:rsid w:val="7D39DF25"/>
    <w:rsid w:val="7D3AC9B8"/>
    <w:rsid w:val="7D3D9B5A"/>
    <w:rsid w:val="7D3E4E64"/>
    <w:rsid w:val="7D3FC767"/>
    <w:rsid w:val="7D42CD21"/>
    <w:rsid w:val="7D45EAB3"/>
    <w:rsid w:val="7D466B9F"/>
    <w:rsid w:val="7D4CFD8D"/>
    <w:rsid w:val="7D4E6079"/>
    <w:rsid w:val="7D4FA225"/>
    <w:rsid w:val="7D54BA33"/>
    <w:rsid w:val="7D555D48"/>
    <w:rsid w:val="7D5734F5"/>
    <w:rsid w:val="7D5C523A"/>
    <w:rsid w:val="7D5E9630"/>
    <w:rsid w:val="7D5F83F0"/>
    <w:rsid w:val="7D606DB0"/>
    <w:rsid w:val="7D6FE91E"/>
    <w:rsid w:val="7D77407A"/>
    <w:rsid w:val="7D78F4DC"/>
    <w:rsid w:val="7D7BC4E2"/>
    <w:rsid w:val="7D7C9765"/>
    <w:rsid w:val="7D805AEF"/>
    <w:rsid w:val="7D8357DA"/>
    <w:rsid w:val="7D858C74"/>
    <w:rsid w:val="7D869673"/>
    <w:rsid w:val="7D8A264C"/>
    <w:rsid w:val="7D92E26F"/>
    <w:rsid w:val="7D94C1E1"/>
    <w:rsid w:val="7D984189"/>
    <w:rsid w:val="7D98E7B5"/>
    <w:rsid w:val="7D9A4921"/>
    <w:rsid w:val="7D9F2761"/>
    <w:rsid w:val="7DA9E4DF"/>
    <w:rsid w:val="7DB18FAF"/>
    <w:rsid w:val="7DB53F6F"/>
    <w:rsid w:val="7DBD52A8"/>
    <w:rsid w:val="7DBD8C02"/>
    <w:rsid w:val="7DC65B32"/>
    <w:rsid w:val="7DCC32C9"/>
    <w:rsid w:val="7DCC7362"/>
    <w:rsid w:val="7DCD8C55"/>
    <w:rsid w:val="7DDC3B28"/>
    <w:rsid w:val="7DDF2555"/>
    <w:rsid w:val="7DE0BD04"/>
    <w:rsid w:val="7DE4FDF7"/>
    <w:rsid w:val="7DE56DD5"/>
    <w:rsid w:val="7DE5B744"/>
    <w:rsid w:val="7DEB4139"/>
    <w:rsid w:val="7DEE178E"/>
    <w:rsid w:val="7DF107D7"/>
    <w:rsid w:val="7DF398B6"/>
    <w:rsid w:val="7DF61213"/>
    <w:rsid w:val="7DFB8564"/>
    <w:rsid w:val="7E026D50"/>
    <w:rsid w:val="7E05A269"/>
    <w:rsid w:val="7E061119"/>
    <w:rsid w:val="7E09AF24"/>
    <w:rsid w:val="7E0E2E4E"/>
    <w:rsid w:val="7E10D865"/>
    <w:rsid w:val="7E1A1EC1"/>
    <w:rsid w:val="7E227B86"/>
    <w:rsid w:val="7E2AD653"/>
    <w:rsid w:val="7E2B3642"/>
    <w:rsid w:val="7E2CC266"/>
    <w:rsid w:val="7E3147EA"/>
    <w:rsid w:val="7E3276F9"/>
    <w:rsid w:val="7E3C7A51"/>
    <w:rsid w:val="7E3CCC38"/>
    <w:rsid w:val="7E407BBE"/>
    <w:rsid w:val="7E456624"/>
    <w:rsid w:val="7E4B2994"/>
    <w:rsid w:val="7E50EE50"/>
    <w:rsid w:val="7E5161F5"/>
    <w:rsid w:val="7E52049A"/>
    <w:rsid w:val="7E53CBDD"/>
    <w:rsid w:val="7E5618D5"/>
    <w:rsid w:val="7E59A187"/>
    <w:rsid w:val="7E59FCCD"/>
    <w:rsid w:val="7E5E2E99"/>
    <w:rsid w:val="7E622FC9"/>
    <w:rsid w:val="7E655FEB"/>
    <w:rsid w:val="7E65ED8F"/>
    <w:rsid w:val="7E6DCBD1"/>
    <w:rsid w:val="7E743925"/>
    <w:rsid w:val="7E78F043"/>
    <w:rsid w:val="7E7B0674"/>
    <w:rsid w:val="7E7B1AF6"/>
    <w:rsid w:val="7E8327B0"/>
    <w:rsid w:val="7E841704"/>
    <w:rsid w:val="7E8A8D2F"/>
    <w:rsid w:val="7E9617B7"/>
    <w:rsid w:val="7E96A6F4"/>
    <w:rsid w:val="7E979291"/>
    <w:rsid w:val="7E9B2569"/>
    <w:rsid w:val="7E9C3A3B"/>
    <w:rsid w:val="7E9CDC64"/>
    <w:rsid w:val="7E9D9FCD"/>
    <w:rsid w:val="7E9DD775"/>
    <w:rsid w:val="7EA37DE2"/>
    <w:rsid w:val="7EA61A8A"/>
    <w:rsid w:val="7EAA90E7"/>
    <w:rsid w:val="7EABE81E"/>
    <w:rsid w:val="7EB0769C"/>
    <w:rsid w:val="7EB23A2A"/>
    <w:rsid w:val="7EB63BDE"/>
    <w:rsid w:val="7EB7A2A9"/>
    <w:rsid w:val="7EBD909E"/>
    <w:rsid w:val="7EC7F8E7"/>
    <w:rsid w:val="7EC88A8B"/>
    <w:rsid w:val="7ECCC733"/>
    <w:rsid w:val="7ED27AC0"/>
    <w:rsid w:val="7ED2E7D8"/>
    <w:rsid w:val="7ED2FE10"/>
    <w:rsid w:val="7ED35072"/>
    <w:rsid w:val="7ED3E434"/>
    <w:rsid w:val="7ED85F37"/>
    <w:rsid w:val="7ED90B1A"/>
    <w:rsid w:val="7EDE4598"/>
    <w:rsid w:val="7EE79A61"/>
    <w:rsid w:val="7EEB8FDC"/>
    <w:rsid w:val="7EEC04E6"/>
    <w:rsid w:val="7EECE66E"/>
    <w:rsid w:val="7EED9186"/>
    <w:rsid w:val="7EEDC98E"/>
    <w:rsid w:val="7EEE04D2"/>
    <w:rsid w:val="7EEF5BE7"/>
    <w:rsid w:val="7EF77D17"/>
    <w:rsid w:val="7EF86CA2"/>
    <w:rsid w:val="7F0614DC"/>
    <w:rsid w:val="7F062FAC"/>
    <w:rsid w:val="7F0BBAE0"/>
    <w:rsid w:val="7F0D8384"/>
    <w:rsid w:val="7F0E5D4E"/>
    <w:rsid w:val="7F115227"/>
    <w:rsid w:val="7F17E807"/>
    <w:rsid w:val="7F18F9BD"/>
    <w:rsid w:val="7F1A2DA7"/>
    <w:rsid w:val="7F1C9EAE"/>
    <w:rsid w:val="7F1E0D96"/>
    <w:rsid w:val="7F241087"/>
    <w:rsid w:val="7F2F8166"/>
    <w:rsid w:val="7F30B202"/>
    <w:rsid w:val="7F30E6B4"/>
    <w:rsid w:val="7F3228FE"/>
    <w:rsid w:val="7F3302A4"/>
    <w:rsid w:val="7F337ED0"/>
    <w:rsid w:val="7F33B8D8"/>
    <w:rsid w:val="7F37C01E"/>
    <w:rsid w:val="7F3CB8F8"/>
    <w:rsid w:val="7F3E006B"/>
    <w:rsid w:val="7F3EAAEC"/>
    <w:rsid w:val="7F405788"/>
    <w:rsid w:val="7F486F96"/>
    <w:rsid w:val="7F48A6BA"/>
    <w:rsid w:val="7F4D2F79"/>
    <w:rsid w:val="7F58E90A"/>
    <w:rsid w:val="7F59A9CD"/>
    <w:rsid w:val="7F59B8A0"/>
    <w:rsid w:val="7F5B8D66"/>
    <w:rsid w:val="7F5F4B09"/>
    <w:rsid w:val="7F5FC72C"/>
    <w:rsid w:val="7F6006A0"/>
    <w:rsid w:val="7F623CAC"/>
    <w:rsid w:val="7F656B5E"/>
    <w:rsid w:val="7F6A573E"/>
    <w:rsid w:val="7F75DAED"/>
    <w:rsid w:val="7F760D78"/>
    <w:rsid w:val="7F78D90A"/>
    <w:rsid w:val="7F7D5A82"/>
    <w:rsid w:val="7F8E8417"/>
    <w:rsid w:val="7F901E5D"/>
    <w:rsid w:val="7F91813F"/>
    <w:rsid w:val="7F9402B6"/>
    <w:rsid w:val="7F955C71"/>
    <w:rsid w:val="7F975342"/>
    <w:rsid w:val="7F9AF03D"/>
    <w:rsid w:val="7FA02645"/>
    <w:rsid w:val="7FA08372"/>
    <w:rsid w:val="7FA6D3B5"/>
    <w:rsid w:val="7FAAB996"/>
    <w:rsid w:val="7FABE13C"/>
    <w:rsid w:val="7FBAAA19"/>
    <w:rsid w:val="7FBE22D8"/>
    <w:rsid w:val="7FBFAD8A"/>
    <w:rsid w:val="7FC242CB"/>
    <w:rsid w:val="7FC65D78"/>
    <w:rsid w:val="7FCB7789"/>
    <w:rsid w:val="7FCC8A31"/>
    <w:rsid w:val="7FE11EA1"/>
    <w:rsid w:val="7FE9D7C8"/>
    <w:rsid w:val="7FEB6856"/>
    <w:rsid w:val="7FEC2074"/>
    <w:rsid w:val="7FF75DE1"/>
    <w:rsid w:val="7FF8EB4F"/>
    <w:rsid w:val="7FFB4F0E"/>
    <w:rsid w:val="7FFC66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AB2D601B-4903-4778-BC8A-156F7B97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paragraph" w:styleId="Heading8">
    <w:name w:val="heading 8"/>
    <w:basedOn w:val="Normal"/>
    <w:next w:val="Normal"/>
    <w:uiPriority w:val="9"/>
    <w:unhideWhenUsed/>
    <w:qFormat/>
    <w:rsid w:val="004E409F"/>
    <w:pPr>
      <w:keepNext/>
      <w:keepLines/>
      <w:spacing w:before="240" w:after="80" w:line="276" w:lineRule="auto"/>
      <w:jc w:val="left"/>
      <w:outlineLvl w:val="7"/>
    </w:pPr>
    <w:rPr>
      <w:rFonts w:ascii="Sitka Subheading" w:hAnsiTheme="minorHAnsi" w:cstheme="minorBidi"/>
      <w:color w:val="262626" w:themeColor="text1" w:themeTint="D9"/>
      <w:sz w:val="25"/>
      <w:szCs w:val="25"/>
    </w:rPr>
  </w:style>
  <w:style w:type="paragraph" w:styleId="Heading9">
    <w:name w:val="heading 9"/>
    <w:basedOn w:val="Normal"/>
    <w:next w:val="Normal"/>
    <w:uiPriority w:val="9"/>
    <w:unhideWhenUsed/>
    <w:qFormat/>
    <w:rsid w:val="004E409F"/>
    <w:pPr>
      <w:keepNext/>
      <w:keepLines/>
      <w:spacing w:before="240" w:after="80" w:line="276" w:lineRule="auto"/>
      <w:jc w:val="left"/>
      <w:outlineLvl w:val="8"/>
    </w:pPr>
    <w:rPr>
      <w:rFonts w:ascii="Sitka Subheading" w:hAnsiTheme="minorHAnsi" w:cstheme="minorBidi"/>
      <w:color w:val="262626" w:themeColor="text1" w:themeTint="D9"/>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AC5A16"/>
    <w:pPr>
      <w:numPr>
        <w:numId w:val="2"/>
      </w:numPr>
      <w:tabs>
        <w:tab w:val="num" w:pos="360"/>
      </w:tabs>
      <w:ind w:left="0" w:firstLine="0"/>
    </w:pPr>
    <w:rPr>
      <w:rFonts w:eastAsia="Times New Roman"/>
      <w:lang w:eastAsia="de-DE"/>
    </w:rPr>
  </w:style>
  <w:style w:type="paragraph" w:styleId="ListNumber">
    <w:name w:val="List Number"/>
    <w:basedOn w:val="Normal"/>
    <w:rsid w:val="00AC5A16"/>
    <w:pPr>
      <w:numPr>
        <w:numId w:val="6"/>
      </w:numPr>
    </w:pPr>
    <w:rPr>
      <w:rFonts w:eastAsia="Times New Roman"/>
      <w:lang w:eastAsia="de-DE"/>
    </w:rPr>
  </w:style>
  <w:style w:type="paragraph" w:customStyle="1" w:styleId="ListBullet1">
    <w:name w:val="List Bullet 1"/>
    <w:basedOn w:val="Normal"/>
    <w:rsid w:val="00AC5A16"/>
    <w:pPr>
      <w:numPr>
        <w:numId w:val="1"/>
      </w:numPr>
    </w:pPr>
    <w:rPr>
      <w:rFonts w:eastAsia="Times New Roman"/>
      <w:lang w:eastAsia="de-DE"/>
    </w:rPr>
  </w:style>
  <w:style w:type="paragraph" w:customStyle="1" w:styleId="ListDash">
    <w:name w:val="List Dash"/>
    <w:basedOn w:val="Normal"/>
    <w:rsid w:val="00AC5A16"/>
    <w:pPr>
      <w:numPr>
        <w:numId w:val="3"/>
      </w:numPr>
    </w:pPr>
    <w:rPr>
      <w:rFonts w:eastAsia="Times New Roman"/>
      <w:lang w:eastAsia="de-DE"/>
    </w:rPr>
  </w:style>
  <w:style w:type="paragraph" w:customStyle="1" w:styleId="ListDash1">
    <w:name w:val="List Dash 1"/>
    <w:basedOn w:val="Normal"/>
    <w:rsid w:val="00AC5A16"/>
    <w:pPr>
      <w:numPr>
        <w:numId w:val="4"/>
      </w:numPr>
    </w:pPr>
    <w:rPr>
      <w:rFonts w:eastAsia="Times New Roman"/>
      <w:lang w:eastAsia="de-DE"/>
    </w:rPr>
  </w:style>
  <w:style w:type="paragraph" w:customStyle="1" w:styleId="ListDash2">
    <w:name w:val="List Dash 2"/>
    <w:basedOn w:val="Normal"/>
    <w:rsid w:val="00AC5A16"/>
    <w:pPr>
      <w:numPr>
        <w:numId w:val="5"/>
      </w:numPr>
    </w:pPr>
    <w:rPr>
      <w:rFonts w:eastAsia="Times New Roman"/>
      <w:lang w:eastAsia="de-DE"/>
    </w:rPr>
  </w:style>
  <w:style w:type="paragraph" w:customStyle="1" w:styleId="ListNumberLevel2">
    <w:name w:val="List Number (Level 2)"/>
    <w:basedOn w:val="Normal"/>
    <w:rsid w:val="00AC5A16"/>
    <w:pPr>
      <w:numPr>
        <w:ilvl w:val="1"/>
        <w:numId w:val="6"/>
      </w:numPr>
    </w:pPr>
    <w:rPr>
      <w:rFonts w:eastAsia="Times New Roman"/>
      <w:lang w:eastAsia="de-DE"/>
    </w:rPr>
  </w:style>
  <w:style w:type="paragraph" w:customStyle="1" w:styleId="ListNumberLevel3">
    <w:name w:val="List Number (Level 3)"/>
    <w:basedOn w:val="Normal"/>
    <w:rsid w:val="00AC5A16"/>
    <w:pPr>
      <w:numPr>
        <w:ilvl w:val="2"/>
        <w:numId w:val="6"/>
      </w:numPr>
    </w:pPr>
    <w:rPr>
      <w:rFonts w:eastAsia="Times New Roman"/>
      <w:lang w:eastAsia="de-DE"/>
    </w:rPr>
  </w:style>
  <w:style w:type="paragraph" w:customStyle="1" w:styleId="ListNumberLevel4">
    <w:name w:val="List Number (Level 4)"/>
    <w:basedOn w:val="Normal"/>
    <w:rsid w:val="00AC5A16"/>
    <w:pPr>
      <w:numPr>
        <w:ilvl w:val="3"/>
        <w:numId w:val="6"/>
      </w:numPr>
    </w:pPr>
    <w:rPr>
      <w:rFonts w:eastAsia="Times New Roman"/>
      <w:lang w:eastAsia="de-DE"/>
    </w:rPr>
  </w:style>
  <w:style w:type="table" w:styleId="TableGrid">
    <w:name w:val="Table Grid"/>
    <w:basedOn w:val="TableNormal"/>
    <w:rsid w:val="00AC5A16"/>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C5A16"/>
    <w:rPr>
      <w:color w:val="0000FF"/>
      <w:u w:val="single"/>
    </w:rPr>
  </w:style>
  <w:style w:type="paragraph" w:styleId="ListBullet">
    <w:name w:val="List Bullet"/>
    <w:basedOn w:val="Normal"/>
    <w:rsid w:val="00AC5A16"/>
    <w:pPr>
      <w:numPr>
        <w:numId w:val="7"/>
      </w:numPr>
    </w:pPr>
    <w:rPr>
      <w:rFonts w:eastAsia="Times New Roman"/>
      <w:lang w:eastAsia="en-GB"/>
    </w:rPr>
  </w:style>
  <w:style w:type="paragraph" w:styleId="ListBullet2">
    <w:name w:val="List Bullet 2"/>
    <w:basedOn w:val="Normal"/>
    <w:rsid w:val="00AC5A16"/>
    <w:pPr>
      <w:numPr>
        <w:numId w:val="8"/>
      </w:numPr>
    </w:pPr>
    <w:rPr>
      <w:rFonts w:eastAsia="Times New Roman"/>
      <w:lang w:eastAsia="en-GB"/>
    </w:rPr>
  </w:style>
  <w:style w:type="paragraph" w:styleId="ListBullet3">
    <w:name w:val="List Bullet 3"/>
    <w:basedOn w:val="Normal"/>
    <w:rsid w:val="00AC5A16"/>
    <w:pPr>
      <w:numPr>
        <w:numId w:val="9"/>
      </w:numPr>
    </w:pPr>
    <w:rPr>
      <w:rFonts w:eastAsia="Times New Roman"/>
      <w:lang w:eastAsia="en-GB"/>
    </w:rPr>
  </w:style>
  <w:style w:type="paragraph" w:styleId="ListNumber2">
    <w:name w:val="List Number 2"/>
    <w:basedOn w:val="Normal"/>
    <w:rsid w:val="00AC5A16"/>
    <w:pPr>
      <w:numPr>
        <w:numId w:val="13"/>
      </w:numPr>
    </w:pPr>
    <w:rPr>
      <w:rFonts w:eastAsia="Times New Roman"/>
      <w:lang w:eastAsia="en-GB"/>
    </w:rPr>
  </w:style>
  <w:style w:type="paragraph" w:styleId="ListNumber3">
    <w:name w:val="List Number 3"/>
    <w:basedOn w:val="Normal"/>
    <w:rsid w:val="00AC5A16"/>
    <w:pPr>
      <w:numPr>
        <w:numId w:val="14"/>
      </w:numPr>
    </w:pPr>
    <w:rPr>
      <w:rFonts w:eastAsia="Times New Roman"/>
      <w:lang w:eastAsia="en-GB"/>
    </w:rPr>
  </w:style>
  <w:style w:type="paragraph" w:styleId="ListNumber4">
    <w:name w:val="List Number 4"/>
    <w:basedOn w:val="Normal"/>
    <w:rsid w:val="00AC5A16"/>
    <w:pPr>
      <w:numPr>
        <w:numId w:val="15"/>
      </w:numPr>
    </w:pPr>
    <w:rPr>
      <w:rFonts w:eastAsia="Times New Roman"/>
      <w:lang w:eastAsia="en-GB"/>
    </w:rPr>
  </w:style>
  <w:style w:type="paragraph" w:customStyle="1" w:styleId="ListDash3">
    <w:name w:val="List Dash 3"/>
    <w:basedOn w:val="Normal"/>
    <w:rsid w:val="00AC5A16"/>
    <w:pPr>
      <w:numPr>
        <w:numId w:val="10"/>
      </w:numPr>
    </w:pPr>
    <w:rPr>
      <w:rFonts w:eastAsia="Times New Roman"/>
      <w:lang w:eastAsia="en-GB"/>
    </w:rPr>
  </w:style>
  <w:style w:type="paragraph" w:customStyle="1" w:styleId="ListDash4">
    <w:name w:val="List Dash 4"/>
    <w:basedOn w:val="Normal"/>
    <w:rsid w:val="00AC5A16"/>
    <w:pPr>
      <w:numPr>
        <w:numId w:val="11"/>
      </w:numPr>
    </w:pPr>
    <w:rPr>
      <w:rFonts w:eastAsia="Times New Roman"/>
      <w:lang w:eastAsia="en-GB"/>
    </w:rPr>
  </w:style>
  <w:style w:type="paragraph" w:customStyle="1" w:styleId="ListNumber1">
    <w:name w:val="List Number 1"/>
    <w:basedOn w:val="Text1"/>
    <w:rsid w:val="00AC5A16"/>
    <w:pPr>
      <w:numPr>
        <w:numId w:val="12"/>
      </w:numPr>
    </w:pPr>
    <w:rPr>
      <w:rFonts w:eastAsia="Times New Roman"/>
      <w:lang w:eastAsia="en-GB"/>
    </w:rPr>
  </w:style>
  <w:style w:type="paragraph" w:customStyle="1" w:styleId="ListNumber1Level2">
    <w:name w:val="List Number 1 (Level 2)"/>
    <w:basedOn w:val="Text1"/>
    <w:rsid w:val="00AC5A16"/>
    <w:pPr>
      <w:numPr>
        <w:ilvl w:val="1"/>
        <w:numId w:val="12"/>
      </w:numPr>
    </w:pPr>
    <w:rPr>
      <w:rFonts w:eastAsia="Times New Roman"/>
      <w:lang w:eastAsia="en-GB"/>
    </w:rPr>
  </w:style>
  <w:style w:type="paragraph" w:customStyle="1" w:styleId="ListNumber2Level2">
    <w:name w:val="List Number 2 (Level 2)"/>
    <w:basedOn w:val="Text2"/>
    <w:rsid w:val="00AC5A16"/>
    <w:pPr>
      <w:numPr>
        <w:ilvl w:val="1"/>
        <w:numId w:val="13"/>
      </w:numPr>
    </w:pPr>
    <w:rPr>
      <w:rFonts w:eastAsia="Times New Roman"/>
      <w:lang w:eastAsia="en-GB"/>
    </w:rPr>
  </w:style>
  <w:style w:type="paragraph" w:customStyle="1" w:styleId="ListNumber3Level2">
    <w:name w:val="List Number 3 (Level 2)"/>
    <w:basedOn w:val="Text3"/>
    <w:rsid w:val="00AC5A16"/>
    <w:pPr>
      <w:numPr>
        <w:ilvl w:val="1"/>
        <w:numId w:val="14"/>
      </w:numPr>
    </w:pPr>
    <w:rPr>
      <w:rFonts w:eastAsia="Times New Roman"/>
      <w:lang w:eastAsia="en-GB"/>
    </w:rPr>
  </w:style>
  <w:style w:type="paragraph" w:customStyle="1" w:styleId="ListNumber4Level2">
    <w:name w:val="List Number 4 (Level 2)"/>
    <w:basedOn w:val="Text4"/>
    <w:rsid w:val="00AC5A16"/>
    <w:pPr>
      <w:numPr>
        <w:ilvl w:val="1"/>
        <w:numId w:val="15"/>
      </w:numPr>
    </w:pPr>
    <w:rPr>
      <w:rFonts w:eastAsia="Times New Roman"/>
      <w:lang w:eastAsia="en-GB"/>
    </w:rPr>
  </w:style>
  <w:style w:type="paragraph" w:customStyle="1" w:styleId="ListNumber1Level3">
    <w:name w:val="List Number 1 (Level 3)"/>
    <w:basedOn w:val="Text1"/>
    <w:rsid w:val="00AC5A16"/>
    <w:pPr>
      <w:numPr>
        <w:ilvl w:val="2"/>
        <w:numId w:val="12"/>
      </w:numPr>
    </w:pPr>
    <w:rPr>
      <w:rFonts w:eastAsia="Times New Roman"/>
      <w:lang w:eastAsia="en-GB"/>
    </w:rPr>
  </w:style>
  <w:style w:type="paragraph" w:customStyle="1" w:styleId="ListNumber2Level3">
    <w:name w:val="List Number 2 (Level 3)"/>
    <w:basedOn w:val="Text2"/>
    <w:rsid w:val="00AC5A16"/>
    <w:pPr>
      <w:numPr>
        <w:ilvl w:val="2"/>
        <w:numId w:val="13"/>
      </w:numPr>
    </w:pPr>
    <w:rPr>
      <w:rFonts w:eastAsia="Times New Roman"/>
      <w:lang w:eastAsia="en-GB"/>
    </w:rPr>
  </w:style>
  <w:style w:type="paragraph" w:customStyle="1" w:styleId="ListNumber3Level3">
    <w:name w:val="List Number 3 (Level 3)"/>
    <w:basedOn w:val="Text3"/>
    <w:rsid w:val="00AC5A16"/>
    <w:pPr>
      <w:numPr>
        <w:ilvl w:val="2"/>
        <w:numId w:val="14"/>
      </w:numPr>
    </w:pPr>
    <w:rPr>
      <w:rFonts w:eastAsia="Times New Roman"/>
      <w:lang w:eastAsia="en-GB"/>
    </w:rPr>
  </w:style>
  <w:style w:type="paragraph" w:customStyle="1" w:styleId="ListNumber4Level3">
    <w:name w:val="List Number 4 (Level 3)"/>
    <w:basedOn w:val="Text4"/>
    <w:rsid w:val="00AC5A16"/>
    <w:pPr>
      <w:numPr>
        <w:ilvl w:val="2"/>
        <w:numId w:val="15"/>
      </w:numPr>
    </w:pPr>
    <w:rPr>
      <w:rFonts w:eastAsia="Times New Roman"/>
      <w:lang w:eastAsia="en-GB"/>
    </w:rPr>
  </w:style>
  <w:style w:type="paragraph" w:customStyle="1" w:styleId="ListNumber1Level4">
    <w:name w:val="List Number 1 (Level 4)"/>
    <w:basedOn w:val="Text1"/>
    <w:rsid w:val="00AC5A16"/>
    <w:pPr>
      <w:numPr>
        <w:ilvl w:val="3"/>
        <w:numId w:val="12"/>
      </w:numPr>
    </w:pPr>
    <w:rPr>
      <w:rFonts w:eastAsia="Times New Roman"/>
      <w:lang w:eastAsia="en-GB"/>
    </w:rPr>
  </w:style>
  <w:style w:type="paragraph" w:customStyle="1" w:styleId="ListNumber2Level4">
    <w:name w:val="List Number 2 (Level 4)"/>
    <w:basedOn w:val="Text2"/>
    <w:rsid w:val="00AC5A16"/>
    <w:pPr>
      <w:numPr>
        <w:ilvl w:val="3"/>
        <w:numId w:val="13"/>
      </w:numPr>
    </w:pPr>
    <w:rPr>
      <w:rFonts w:eastAsia="Times New Roman"/>
      <w:lang w:eastAsia="en-GB"/>
    </w:rPr>
  </w:style>
  <w:style w:type="paragraph" w:customStyle="1" w:styleId="ListNumber3Level4">
    <w:name w:val="List Number 3 (Level 4)"/>
    <w:basedOn w:val="Text3"/>
    <w:rsid w:val="00AC5A16"/>
    <w:pPr>
      <w:numPr>
        <w:ilvl w:val="3"/>
        <w:numId w:val="14"/>
      </w:numPr>
    </w:pPr>
    <w:rPr>
      <w:rFonts w:eastAsia="Times New Roman"/>
      <w:lang w:eastAsia="en-GB"/>
    </w:rPr>
  </w:style>
  <w:style w:type="paragraph" w:customStyle="1" w:styleId="ListNumber4Level4">
    <w:name w:val="List Number 4 (Level 4)"/>
    <w:basedOn w:val="Text4"/>
    <w:rsid w:val="00AC5A16"/>
    <w:pPr>
      <w:numPr>
        <w:ilvl w:val="3"/>
        <w:numId w:val="15"/>
      </w:numPr>
    </w:pPr>
    <w:rPr>
      <w:rFonts w:eastAsia="Times New Roman"/>
      <w:lang w:eastAsia="en-GB"/>
    </w:rPr>
  </w:style>
  <w:style w:type="paragraph" w:customStyle="1" w:styleId="Annexetitreacte">
    <w:name w:val="Annexe titre (acte)"/>
    <w:basedOn w:val="Normal"/>
    <w:next w:val="Normal"/>
    <w:rsid w:val="00AC5A16"/>
    <w:pPr>
      <w:jc w:val="center"/>
    </w:pPr>
    <w:rPr>
      <w:rFonts w:eastAsia="Times New Roman"/>
      <w:b/>
      <w:u w:val="single"/>
      <w:lang w:eastAsia="en-GB"/>
    </w:rPr>
  </w:style>
  <w:style w:type="paragraph" w:customStyle="1" w:styleId="Annexetitreexposglobal">
    <w:name w:val="Annexe titre (exposé global)"/>
    <w:basedOn w:val="Normal"/>
    <w:next w:val="Normal"/>
    <w:rsid w:val="00AC5A16"/>
    <w:pPr>
      <w:jc w:val="center"/>
    </w:pPr>
    <w:rPr>
      <w:rFonts w:eastAsia="Times New Roman"/>
      <w:b/>
      <w:u w:val="single"/>
      <w:lang w:eastAsia="en-GB"/>
    </w:rPr>
  </w:style>
  <w:style w:type="paragraph" w:customStyle="1" w:styleId="Annexetitrefichefinacte">
    <w:name w:val="Annexe titre (fiche fin. acte)"/>
    <w:basedOn w:val="Normal"/>
    <w:next w:val="Normal"/>
    <w:rsid w:val="00AC5A16"/>
    <w:pPr>
      <w:jc w:val="center"/>
    </w:pPr>
    <w:rPr>
      <w:rFonts w:eastAsia="Times New Roman"/>
      <w:b/>
      <w:u w:val="single"/>
      <w:lang w:eastAsia="en-GB"/>
    </w:rPr>
  </w:style>
  <w:style w:type="paragraph" w:customStyle="1" w:styleId="Annexetitrefichefinglobale">
    <w:name w:val="Annexe titre (fiche fin. globale)"/>
    <w:basedOn w:val="Normal"/>
    <w:next w:val="Normal"/>
    <w:rsid w:val="00AC5A16"/>
    <w:pPr>
      <w:jc w:val="center"/>
    </w:pPr>
    <w:rPr>
      <w:rFonts w:eastAsia="Times New Roman"/>
      <w:b/>
      <w:u w:val="single"/>
      <w:lang w:eastAsia="en-GB"/>
    </w:rPr>
  </w:style>
  <w:style w:type="paragraph" w:customStyle="1" w:styleId="Annexetitreglobale">
    <w:name w:val="Annexe titre (globale)"/>
    <w:basedOn w:val="Normal"/>
    <w:next w:val="Normal"/>
    <w:rsid w:val="00AC5A16"/>
    <w:pPr>
      <w:jc w:val="center"/>
    </w:pPr>
    <w:rPr>
      <w:rFonts w:eastAsia="Times New Roman"/>
      <w:b/>
      <w:u w:val="single"/>
      <w:lang w:eastAsia="en-GB"/>
    </w:rPr>
  </w:style>
  <w:style w:type="paragraph" w:customStyle="1" w:styleId="Exposdesmotifstitreglobal">
    <w:name w:val="Exposé des motifs titre (global)"/>
    <w:basedOn w:val="Normal"/>
    <w:next w:val="Normal"/>
    <w:rsid w:val="00AC5A16"/>
    <w:pPr>
      <w:jc w:val="center"/>
    </w:pPr>
    <w:rPr>
      <w:rFonts w:eastAsia="Times New Roman"/>
      <w:b/>
      <w:u w:val="single"/>
      <w:lang w:eastAsia="en-GB"/>
    </w:rPr>
  </w:style>
  <w:style w:type="paragraph" w:customStyle="1" w:styleId="Langueoriginale">
    <w:name w:val="Langue originale"/>
    <w:basedOn w:val="Normal"/>
    <w:rsid w:val="00AC5A16"/>
    <w:pPr>
      <w:spacing w:before="360"/>
      <w:jc w:val="center"/>
    </w:pPr>
    <w:rPr>
      <w:rFonts w:eastAsia="Times New Roman"/>
      <w:caps/>
      <w:lang w:eastAsia="en-GB"/>
    </w:rPr>
  </w:style>
  <w:style w:type="paragraph" w:customStyle="1" w:styleId="Phrasefinale">
    <w:name w:val="Phrase finale"/>
    <w:basedOn w:val="Normal"/>
    <w:next w:val="Normal"/>
    <w:rsid w:val="00AC5A16"/>
    <w:pPr>
      <w:spacing w:before="360" w:after="0"/>
      <w:jc w:val="center"/>
    </w:pPr>
    <w:rPr>
      <w:rFonts w:eastAsia="Times New Roman"/>
      <w:lang w:eastAsia="en-GB"/>
    </w:rPr>
  </w:style>
  <w:style w:type="paragraph" w:customStyle="1" w:styleId="Prliminairetitre">
    <w:name w:val="Préliminaire titre"/>
    <w:basedOn w:val="Normal"/>
    <w:next w:val="Normal"/>
    <w:rsid w:val="00AC5A16"/>
    <w:pPr>
      <w:spacing w:before="360" w:after="360"/>
      <w:jc w:val="center"/>
    </w:pPr>
    <w:rPr>
      <w:rFonts w:eastAsia="Times New Roman"/>
      <w:b/>
      <w:lang w:eastAsia="en-GB"/>
    </w:rPr>
  </w:style>
  <w:style w:type="paragraph" w:customStyle="1" w:styleId="Prliminairetype">
    <w:name w:val="Préliminaire type"/>
    <w:basedOn w:val="Normal"/>
    <w:next w:val="Normal"/>
    <w:rsid w:val="00AC5A16"/>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AC5A16"/>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AC5A16"/>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AC5A16"/>
    <w:pPr>
      <w:spacing w:before="0" w:after="0"/>
      <w:ind w:left="5103"/>
      <w:jc w:val="left"/>
    </w:pPr>
    <w:rPr>
      <w:rFonts w:eastAsia="Times New Roman"/>
      <w:lang w:eastAsia="en-GB"/>
    </w:rPr>
  </w:style>
  <w:style w:type="paragraph" w:customStyle="1" w:styleId="Sous-titreobjetprliminaire">
    <w:name w:val="Sous-titre objet (préliminaire)"/>
    <w:basedOn w:val="Normal"/>
    <w:rsid w:val="00AC5A16"/>
    <w:pPr>
      <w:spacing w:before="0" w:after="0"/>
      <w:jc w:val="center"/>
    </w:pPr>
    <w:rPr>
      <w:rFonts w:eastAsia="Times New Roman"/>
      <w:b/>
      <w:lang w:eastAsia="en-GB"/>
    </w:rPr>
  </w:style>
  <w:style w:type="paragraph" w:customStyle="1" w:styleId="Statutprliminaire">
    <w:name w:val="Statut (préliminaire)"/>
    <w:basedOn w:val="Normal"/>
    <w:next w:val="Normal"/>
    <w:rsid w:val="00AC5A16"/>
    <w:pPr>
      <w:spacing w:before="360" w:after="0"/>
      <w:jc w:val="center"/>
    </w:pPr>
    <w:rPr>
      <w:rFonts w:eastAsia="Times New Roman"/>
      <w:lang w:eastAsia="en-GB"/>
    </w:rPr>
  </w:style>
  <w:style w:type="paragraph" w:customStyle="1" w:styleId="Titreobjetprliminaire">
    <w:name w:val="Titre objet (préliminaire)"/>
    <w:basedOn w:val="Normal"/>
    <w:next w:val="Normal"/>
    <w:rsid w:val="00AC5A16"/>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AC5A16"/>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AC5A16"/>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AC5A16"/>
    <w:pPr>
      <w:jc w:val="center"/>
    </w:pPr>
    <w:rPr>
      <w:rFonts w:eastAsia="Times New Roman"/>
      <w:b/>
      <w:u w:val="single"/>
      <w:lang w:eastAsia="en-GB"/>
    </w:rPr>
  </w:style>
  <w:style w:type="paragraph" w:customStyle="1" w:styleId="Fichefinanciretravailtitre">
    <w:name w:val="Fiche financière (travail) titre"/>
    <w:basedOn w:val="Normal"/>
    <w:next w:val="Normal"/>
    <w:rsid w:val="00AC5A16"/>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AC5A16"/>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AC5A16"/>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AC5A16"/>
    <w:pPr>
      <w:jc w:val="center"/>
    </w:pPr>
    <w:rPr>
      <w:rFonts w:eastAsia="Times New Roman"/>
      <w:b/>
      <w:u w:val="single"/>
      <w:lang w:eastAsia="en-GB"/>
    </w:rPr>
  </w:style>
  <w:style w:type="character" w:styleId="CommentReference">
    <w:name w:val="annotation reference"/>
    <w:rsid w:val="00AC5A16"/>
    <w:rPr>
      <w:rFonts w:cs="Times New Roman"/>
      <w:sz w:val="16"/>
      <w:szCs w:val="16"/>
    </w:rPr>
  </w:style>
  <w:style w:type="paragraph" w:styleId="CommentText">
    <w:name w:val="annotation text"/>
    <w:basedOn w:val="Normal"/>
    <w:link w:val="CommentTextChar"/>
    <w:rsid w:val="00AC5A16"/>
    <w:rPr>
      <w:rFonts w:eastAsia="Times New Roman"/>
      <w:sz w:val="20"/>
      <w:szCs w:val="20"/>
      <w:lang w:eastAsia="en-GB"/>
    </w:rPr>
  </w:style>
  <w:style w:type="character" w:customStyle="1" w:styleId="CommentTextChar">
    <w:name w:val="Comment Text Char"/>
    <w:basedOn w:val="DefaultParagraphFont"/>
    <w:link w:val="CommentText"/>
    <w:rsid w:val="00AC5A16"/>
    <w:rPr>
      <w:rFonts w:ascii="Times New Roman" w:eastAsia="Times New Roman" w:hAnsi="Times New Roman" w:cs="Times New Roman"/>
      <w:sz w:val="20"/>
      <w:szCs w:val="20"/>
      <w:lang w:val="de-DE" w:eastAsia="en-GB"/>
    </w:rPr>
  </w:style>
  <w:style w:type="paragraph" w:styleId="CommentSubject">
    <w:name w:val="annotation subject"/>
    <w:basedOn w:val="CommentText"/>
    <w:next w:val="CommentText"/>
    <w:link w:val="CommentSubjectChar"/>
    <w:rsid w:val="00AC5A16"/>
    <w:rPr>
      <w:b/>
      <w:bCs/>
    </w:rPr>
  </w:style>
  <w:style w:type="character" w:customStyle="1" w:styleId="CommentSubjectChar">
    <w:name w:val="Comment Subject Char"/>
    <w:basedOn w:val="CommentTextChar"/>
    <w:link w:val="CommentSubject"/>
    <w:rsid w:val="00AC5A16"/>
    <w:rPr>
      <w:rFonts w:ascii="Times New Roman" w:eastAsia="Times New Roman" w:hAnsi="Times New Roman" w:cs="Times New Roman"/>
      <w:b/>
      <w:bCs/>
      <w:sz w:val="20"/>
      <w:szCs w:val="20"/>
      <w:lang w:val="de-DE" w:eastAsia="en-GB"/>
    </w:rPr>
  </w:style>
  <w:style w:type="paragraph" w:styleId="BalloonText">
    <w:name w:val="Balloon Text"/>
    <w:basedOn w:val="Normal"/>
    <w:link w:val="BalloonTextChar"/>
    <w:rsid w:val="00AC5A16"/>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AC5A16"/>
    <w:rPr>
      <w:rFonts w:ascii="Tahoma" w:eastAsia="Times New Roman" w:hAnsi="Tahoma" w:cs="Tahoma"/>
      <w:sz w:val="16"/>
      <w:szCs w:val="16"/>
      <w:lang w:val="de-DE" w:eastAsia="en-GB"/>
    </w:rPr>
  </w:style>
  <w:style w:type="paragraph" w:styleId="Caption">
    <w:name w:val="caption"/>
    <w:basedOn w:val="Normal"/>
    <w:next w:val="Normal"/>
    <w:qFormat/>
    <w:rsid w:val="00AC5A16"/>
    <w:rPr>
      <w:rFonts w:eastAsia="Times New Roman"/>
      <w:b/>
      <w:bCs/>
      <w:sz w:val="20"/>
      <w:szCs w:val="20"/>
      <w:lang w:eastAsia="en-GB"/>
    </w:rPr>
  </w:style>
  <w:style w:type="paragraph" w:styleId="TableofFigures">
    <w:name w:val="table of figures"/>
    <w:basedOn w:val="Normal"/>
    <w:next w:val="Normal"/>
    <w:rsid w:val="00AC5A16"/>
    <w:rPr>
      <w:rFonts w:eastAsia="Times New Roman"/>
      <w:lang w:eastAsia="en-GB"/>
    </w:rPr>
  </w:style>
  <w:style w:type="character" w:styleId="PageNumber">
    <w:name w:val="page number"/>
    <w:rsid w:val="00AC5A16"/>
  </w:style>
  <w:style w:type="character" w:customStyle="1" w:styleId="tw4winMark">
    <w:name w:val="tw4winMark"/>
    <w:rsid w:val="00AC5A16"/>
    <w:rPr>
      <w:vanish/>
      <w:color w:val="800080"/>
      <w:vertAlign w:val="subscript"/>
    </w:rPr>
  </w:style>
  <w:style w:type="character" w:styleId="FollowedHyperlink">
    <w:name w:val="FollowedHyperlink"/>
    <w:rsid w:val="00AC5A16"/>
    <w:rPr>
      <w:color w:val="800080"/>
      <w:u w:val="single"/>
    </w:rPr>
  </w:style>
  <w:style w:type="paragraph" w:customStyle="1" w:styleId="Sous-titreobjet">
    <w:name w:val="Sous-titre objet"/>
    <w:basedOn w:val="Normal"/>
    <w:rsid w:val="00AC5A16"/>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AC5A16"/>
  </w:style>
  <w:style w:type="paragraph" w:styleId="Revision">
    <w:name w:val="Revision"/>
    <w:hidden/>
    <w:uiPriority w:val="99"/>
    <w:semiHidden/>
    <w:rsid w:val="00AC5A16"/>
    <w:rPr>
      <w:rFonts w:ascii="Calibri" w:eastAsia="Calibri" w:hAnsi="Calibri" w:cs="Times New Roman"/>
      <w:sz w:val="24"/>
      <w:lang w:eastAsia="en-GB"/>
    </w:rPr>
  </w:style>
  <w:style w:type="paragraph" w:customStyle="1" w:styleId="FooterCoverPage">
    <w:name w:val="Footer Cover Page"/>
    <w:basedOn w:val="Normal"/>
    <w:link w:val="FooterCoverPageChar"/>
    <w:rsid w:val="00AC5A16"/>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AC5A16"/>
    <w:rPr>
      <w:rFonts w:ascii="Times New Roman" w:hAnsi="Times New Roman" w:cs="Times New Roman"/>
      <w:b/>
      <w:sz w:val="28"/>
      <w:lang w:val="de-DE"/>
    </w:rPr>
  </w:style>
  <w:style w:type="character" w:customStyle="1" w:styleId="FooterCoverPageChar">
    <w:name w:val="Footer Cover Page Char"/>
    <w:link w:val="FooterCoverPage"/>
    <w:rsid w:val="00AC5A16"/>
    <w:rPr>
      <w:rFonts w:ascii="Times New Roman" w:eastAsia="Calibri" w:hAnsi="Times New Roman" w:cs="Times New Roman"/>
      <w:sz w:val="24"/>
      <w:lang w:val="de-DE" w:eastAsia="en-GB"/>
    </w:rPr>
  </w:style>
  <w:style w:type="paragraph" w:customStyle="1" w:styleId="HeaderCoverPage">
    <w:name w:val="Header Cover Page"/>
    <w:basedOn w:val="Normal"/>
    <w:link w:val="HeaderCoverPageChar"/>
    <w:rsid w:val="00AC5A16"/>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AC5A16"/>
    <w:rPr>
      <w:rFonts w:ascii="Times New Roman" w:eastAsia="Calibri" w:hAnsi="Times New Roman" w:cs="Times New Roman"/>
      <w:sz w:val="24"/>
      <w:lang w:val="de-DE" w:eastAsia="en-GB"/>
    </w:rPr>
  </w:style>
  <w:style w:type="character" w:customStyle="1" w:styleId="FooterSensitivityChar">
    <w:name w:val="Footer Sensitivity Char"/>
    <w:rsid w:val="00AC5A16"/>
    <w:rPr>
      <w:rFonts w:ascii="Times New Roman" w:hAnsi="Times New Roman" w:cs="Times New Roman"/>
      <w:b/>
      <w:sz w:val="32"/>
      <w:lang w:val="de-DE"/>
    </w:rPr>
  </w:style>
  <w:style w:type="character" w:customStyle="1" w:styleId="HeaderSensitivityChar">
    <w:name w:val="Header Sensitivity Char"/>
    <w:rsid w:val="00AC5A16"/>
    <w:rPr>
      <w:rFonts w:ascii="Times New Roman" w:hAnsi="Times New Roman" w:cs="Times New Roman"/>
      <w:b/>
      <w:sz w:val="32"/>
      <w:lang w:val="de-DE"/>
    </w:rPr>
  </w:style>
  <w:style w:type="character" w:customStyle="1" w:styleId="HeaderSensitivityRightChar">
    <w:name w:val="Header Sensitivity Right Char"/>
    <w:rsid w:val="00AC5A16"/>
    <w:rPr>
      <w:rFonts w:ascii="Times New Roman" w:hAnsi="Times New Roman" w:cs="Times New Roman"/>
      <w:sz w:val="28"/>
      <w:lang w:val="de-DE"/>
    </w:rPr>
  </w:style>
  <w:style w:type="paragraph" w:customStyle="1" w:styleId="LegalNumPar">
    <w:name w:val="LegalNumPar"/>
    <w:basedOn w:val="Normal"/>
    <w:rsid w:val="00AC5A16"/>
    <w:pPr>
      <w:numPr>
        <w:numId w:val="16"/>
      </w:numPr>
      <w:spacing w:line="360" w:lineRule="auto"/>
    </w:pPr>
    <w:rPr>
      <w:rFonts w:eastAsia="Times New Roman"/>
      <w:lang w:eastAsia="en-GB"/>
    </w:rPr>
  </w:style>
  <w:style w:type="paragraph" w:customStyle="1" w:styleId="LegalNumPar2">
    <w:name w:val="LegalNumPar2"/>
    <w:basedOn w:val="Normal"/>
    <w:rsid w:val="00AC5A16"/>
    <w:pPr>
      <w:numPr>
        <w:ilvl w:val="1"/>
        <w:numId w:val="16"/>
      </w:numPr>
      <w:spacing w:line="360" w:lineRule="auto"/>
    </w:pPr>
    <w:rPr>
      <w:rFonts w:eastAsia="Times New Roman"/>
      <w:lang w:eastAsia="en-GB"/>
    </w:rPr>
  </w:style>
  <w:style w:type="paragraph" w:customStyle="1" w:styleId="LegalNumPar3">
    <w:name w:val="LegalNumPar3"/>
    <w:basedOn w:val="Normal"/>
    <w:rsid w:val="00AC5A16"/>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AC5A16"/>
    <w:pPr>
      <w:ind w:left="720"/>
      <w:contextualSpacing/>
    </w:pPr>
    <w:rPr>
      <w:rFonts w:eastAsia="Times New Roman"/>
      <w:lang w:eastAsia="en-GB"/>
    </w:rPr>
  </w:style>
  <w:style w:type="character" w:customStyle="1" w:styleId="UnresolvedMention">
    <w:name w:val="Unresolved Mention"/>
    <w:basedOn w:val="DefaultParagraphFont"/>
    <w:uiPriority w:val="99"/>
    <w:semiHidden/>
    <w:unhideWhenUsed/>
    <w:rsid w:val="00AC5A16"/>
    <w:rPr>
      <w:color w:val="605E5C"/>
      <w:shd w:val="clear" w:color="auto" w:fill="E1DFDD"/>
    </w:rPr>
  </w:style>
  <w:style w:type="character" w:styleId="Strong">
    <w:name w:val="Strong"/>
    <w:basedOn w:val="DefaultParagraphFont"/>
    <w:qFormat/>
    <w:rsid w:val="00AC5A16"/>
    <w:rPr>
      <w:b/>
      <w:bCs/>
    </w:rPr>
  </w:style>
  <w:style w:type="character" w:styleId="Emphasis">
    <w:name w:val="Emphasis"/>
    <w:basedOn w:val="DefaultParagraphFont"/>
    <w:qFormat/>
    <w:rsid w:val="00AC5A16"/>
    <w:rPr>
      <w:i/>
      <w:iCs/>
    </w:rPr>
  </w:style>
  <w:style w:type="character" w:customStyle="1" w:styleId="Mention">
    <w:name w:val="Mention"/>
    <w:basedOn w:val="DefaultParagraphFont"/>
    <w:uiPriority w:val="99"/>
    <w:unhideWhenUsed/>
    <w:rsid w:val="00AC5A16"/>
    <w:rPr>
      <w:color w:val="2B579A"/>
      <w:shd w:val="clear" w:color="auto" w:fill="E1DFDD"/>
    </w:rPr>
  </w:style>
  <w:style w:type="character" w:customStyle="1" w:styleId="normaltextrun">
    <w:name w:val="normaltextrun"/>
    <w:basedOn w:val="DefaultParagraphFont"/>
    <w:rsid w:val="00AC5A16"/>
  </w:style>
  <w:style w:type="character" w:customStyle="1" w:styleId="eop">
    <w:name w:val="eop"/>
    <w:basedOn w:val="DefaultParagraphFont"/>
    <w:rsid w:val="00AC5A16"/>
  </w:style>
  <w:style w:type="character" w:customStyle="1" w:styleId="HeaderChar">
    <w:name w:val="Header Char"/>
    <w:basedOn w:val="DefaultParagraphFont"/>
    <w:link w:val="Header"/>
    <w:uiPriority w:val="99"/>
    <w:rsid w:val="00D363CA"/>
    <w:rPr>
      <w:rFonts w:ascii="Times New Roman" w:hAnsi="Times New Roman" w:cs="Times New Roman"/>
      <w:sz w:val="24"/>
      <w:lang w:val="de-DE"/>
    </w:rPr>
  </w:style>
  <w:style w:type="character" w:customStyle="1" w:styleId="FooterChar">
    <w:name w:val="Footer Char"/>
    <w:basedOn w:val="DefaultParagraphFont"/>
    <w:link w:val="Footer"/>
    <w:uiPriority w:val="99"/>
    <w:rsid w:val="00D363CA"/>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363C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363CA"/>
    <w:pPr>
      <w:spacing w:before="0"/>
      <w:jc w:val="right"/>
    </w:pPr>
    <w:rPr>
      <w:sz w:val="28"/>
    </w:rPr>
  </w:style>
  <w:style w:type="paragraph" w:customStyle="1" w:styleId="FooterSensitivity">
    <w:name w:val="Footer Sensitivity"/>
    <w:basedOn w:val="Normal"/>
    <w:rsid w:val="00D363C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D363CA"/>
    <w:pPr>
      <w:tabs>
        <w:tab w:val="center" w:pos="4535"/>
        <w:tab w:val="right" w:pos="9071"/>
      </w:tabs>
      <w:spacing w:before="0"/>
    </w:pPr>
  </w:style>
  <w:style w:type="paragraph" w:customStyle="1" w:styleId="HeaderLandscape">
    <w:name w:val="HeaderLandscape"/>
    <w:basedOn w:val="Normal"/>
    <w:rsid w:val="00D363CA"/>
    <w:pPr>
      <w:tabs>
        <w:tab w:val="center" w:pos="7285"/>
        <w:tab w:val="right" w:pos="14003"/>
      </w:tabs>
      <w:spacing w:before="0"/>
    </w:pPr>
  </w:style>
  <w:style w:type="paragraph" w:styleId="Footer">
    <w:name w:val="footer"/>
    <w:basedOn w:val="Normal"/>
    <w:link w:val="FooterChar"/>
    <w:uiPriority w:val="99"/>
    <w:unhideWhenUsed/>
    <w:rsid w:val="00D363CA"/>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D363CA"/>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2387">
      <w:bodyDiv w:val="1"/>
      <w:marLeft w:val="0"/>
      <w:marRight w:val="0"/>
      <w:marTop w:val="0"/>
      <w:marBottom w:val="0"/>
      <w:divBdr>
        <w:top w:val="none" w:sz="0" w:space="0" w:color="auto"/>
        <w:left w:val="none" w:sz="0" w:space="0" w:color="auto"/>
        <w:bottom w:val="none" w:sz="0" w:space="0" w:color="auto"/>
        <w:right w:val="none" w:sz="0" w:space="0" w:color="auto"/>
      </w:divBdr>
    </w:div>
    <w:div w:id="242031685">
      <w:bodyDiv w:val="1"/>
      <w:marLeft w:val="0"/>
      <w:marRight w:val="0"/>
      <w:marTop w:val="0"/>
      <w:marBottom w:val="0"/>
      <w:divBdr>
        <w:top w:val="none" w:sz="0" w:space="0" w:color="auto"/>
        <w:left w:val="none" w:sz="0" w:space="0" w:color="auto"/>
        <w:bottom w:val="none" w:sz="0" w:space="0" w:color="auto"/>
        <w:right w:val="none" w:sz="0" w:space="0" w:color="auto"/>
      </w:divBdr>
    </w:div>
    <w:div w:id="270287417">
      <w:bodyDiv w:val="1"/>
      <w:marLeft w:val="0"/>
      <w:marRight w:val="0"/>
      <w:marTop w:val="0"/>
      <w:marBottom w:val="0"/>
      <w:divBdr>
        <w:top w:val="none" w:sz="0" w:space="0" w:color="auto"/>
        <w:left w:val="none" w:sz="0" w:space="0" w:color="auto"/>
        <w:bottom w:val="none" w:sz="0" w:space="0" w:color="auto"/>
        <w:right w:val="none" w:sz="0" w:space="0" w:color="auto"/>
      </w:divBdr>
    </w:div>
    <w:div w:id="564532720">
      <w:bodyDiv w:val="1"/>
      <w:marLeft w:val="0"/>
      <w:marRight w:val="0"/>
      <w:marTop w:val="0"/>
      <w:marBottom w:val="0"/>
      <w:divBdr>
        <w:top w:val="none" w:sz="0" w:space="0" w:color="auto"/>
        <w:left w:val="none" w:sz="0" w:space="0" w:color="auto"/>
        <w:bottom w:val="none" w:sz="0" w:space="0" w:color="auto"/>
        <w:right w:val="none" w:sz="0" w:space="0" w:color="auto"/>
      </w:divBdr>
    </w:div>
    <w:div w:id="969440260">
      <w:bodyDiv w:val="1"/>
      <w:marLeft w:val="0"/>
      <w:marRight w:val="0"/>
      <w:marTop w:val="0"/>
      <w:marBottom w:val="0"/>
      <w:divBdr>
        <w:top w:val="none" w:sz="0" w:space="0" w:color="auto"/>
        <w:left w:val="none" w:sz="0" w:space="0" w:color="auto"/>
        <w:bottom w:val="none" w:sz="0" w:space="0" w:color="auto"/>
        <w:right w:val="none" w:sz="0" w:space="0" w:color="auto"/>
      </w:divBdr>
    </w:div>
    <w:div w:id="1085493007">
      <w:bodyDiv w:val="1"/>
      <w:marLeft w:val="0"/>
      <w:marRight w:val="0"/>
      <w:marTop w:val="0"/>
      <w:marBottom w:val="0"/>
      <w:divBdr>
        <w:top w:val="none" w:sz="0" w:space="0" w:color="auto"/>
        <w:left w:val="none" w:sz="0" w:space="0" w:color="auto"/>
        <w:bottom w:val="none" w:sz="0" w:space="0" w:color="auto"/>
        <w:right w:val="none" w:sz="0" w:space="0" w:color="auto"/>
      </w:divBdr>
    </w:div>
    <w:div w:id="1187214810">
      <w:bodyDiv w:val="1"/>
      <w:marLeft w:val="0"/>
      <w:marRight w:val="0"/>
      <w:marTop w:val="0"/>
      <w:marBottom w:val="0"/>
      <w:divBdr>
        <w:top w:val="none" w:sz="0" w:space="0" w:color="auto"/>
        <w:left w:val="none" w:sz="0" w:space="0" w:color="auto"/>
        <w:bottom w:val="none" w:sz="0" w:space="0" w:color="auto"/>
        <w:right w:val="none" w:sz="0" w:space="0" w:color="auto"/>
      </w:divBdr>
      <w:divsChild>
        <w:div w:id="64576157">
          <w:marLeft w:val="0"/>
          <w:marRight w:val="0"/>
          <w:marTop w:val="0"/>
          <w:marBottom w:val="0"/>
          <w:divBdr>
            <w:top w:val="none" w:sz="0" w:space="0" w:color="auto"/>
            <w:left w:val="none" w:sz="0" w:space="0" w:color="auto"/>
            <w:bottom w:val="none" w:sz="0" w:space="0" w:color="auto"/>
            <w:right w:val="none" w:sz="0" w:space="0" w:color="auto"/>
          </w:divBdr>
        </w:div>
      </w:divsChild>
    </w:div>
    <w:div w:id="1507862027">
      <w:bodyDiv w:val="1"/>
      <w:marLeft w:val="0"/>
      <w:marRight w:val="0"/>
      <w:marTop w:val="0"/>
      <w:marBottom w:val="0"/>
      <w:divBdr>
        <w:top w:val="none" w:sz="0" w:space="0" w:color="auto"/>
        <w:left w:val="none" w:sz="0" w:space="0" w:color="auto"/>
        <w:bottom w:val="none" w:sz="0" w:space="0" w:color="auto"/>
        <w:right w:val="none" w:sz="0" w:space="0" w:color="auto"/>
      </w:divBdr>
    </w:div>
    <w:div w:id="1556618722">
      <w:bodyDiv w:val="1"/>
      <w:marLeft w:val="0"/>
      <w:marRight w:val="0"/>
      <w:marTop w:val="0"/>
      <w:marBottom w:val="0"/>
      <w:divBdr>
        <w:top w:val="none" w:sz="0" w:space="0" w:color="auto"/>
        <w:left w:val="none" w:sz="0" w:space="0" w:color="auto"/>
        <w:bottom w:val="none" w:sz="0" w:space="0" w:color="auto"/>
        <w:right w:val="none" w:sz="0" w:space="0" w:color="auto"/>
      </w:divBdr>
    </w:div>
    <w:div w:id="1652904960">
      <w:bodyDiv w:val="1"/>
      <w:marLeft w:val="0"/>
      <w:marRight w:val="0"/>
      <w:marTop w:val="0"/>
      <w:marBottom w:val="0"/>
      <w:divBdr>
        <w:top w:val="none" w:sz="0" w:space="0" w:color="auto"/>
        <w:left w:val="none" w:sz="0" w:space="0" w:color="auto"/>
        <w:bottom w:val="none" w:sz="0" w:space="0" w:color="auto"/>
        <w:right w:val="none" w:sz="0" w:space="0" w:color="auto"/>
      </w:divBdr>
      <w:divsChild>
        <w:div w:id="373046265">
          <w:marLeft w:val="0"/>
          <w:marRight w:val="0"/>
          <w:marTop w:val="0"/>
          <w:marBottom w:val="0"/>
          <w:divBdr>
            <w:top w:val="none" w:sz="0" w:space="0" w:color="auto"/>
            <w:left w:val="none" w:sz="0" w:space="0" w:color="auto"/>
            <w:bottom w:val="none" w:sz="0" w:space="0" w:color="auto"/>
            <w:right w:val="none" w:sz="0" w:space="0" w:color="auto"/>
          </w:divBdr>
        </w:div>
        <w:div w:id="521944682">
          <w:marLeft w:val="0"/>
          <w:marRight w:val="0"/>
          <w:marTop w:val="0"/>
          <w:marBottom w:val="0"/>
          <w:divBdr>
            <w:top w:val="none" w:sz="0" w:space="0" w:color="auto"/>
            <w:left w:val="none" w:sz="0" w:space="0" w:color="auto"/>
            <w:bottom w:val="none" w:sz="0" w:space="0" w:color="auto"/>
            <w:right w:val="none" w:sz="0" w:space="0" w:color="auto"/>
          </w:divBdr>
        </w:div>
      </w:divsChild>
    </w:div>
    <w:div w:id="2027901734">
      <w:bodyDiv w:val="1"/>
      <w:marLeft w:val="0"/>
      <w:marRight w:val="0"/>
      <w:marTop w:val="0"/>
      <w:marBottom w:val="0"/>
      <w:divBdr>
        <w:top w:val="none" w:sz="0" w:space="0" w:color="auto"/>
        <w:left w:val="none" w:sz="0" w:space="0" w:color="auto"/>
        <w:bottom w:val="none" w:sz="0" w:space="0" w:color="auto"/>
        <w:right w:val="none" w:sz="0" w:space="0" w:color="auto"/>
      </w:divBdr>
    </w:div>
    <w:div w:id="2036955105">
      <w:bodyDiv w:val="1"/>
      <w:marLeft w:val="0"/>
      <w:marRight w:val="0"/>
      <w:marTop w:val="0"/>
      <w:marBottom w:val="0"/>
      <w:divBdr>
        <w:top w:val="none" w:sz="0" w:space="0" w:color="auto"/>
        <w:left w:val="none" w:sz="0" w:space="0" w:color="auto"/>
        <w:bottom w:val="none" w:sz="0" w:space="0" w:color="auto"/>
        <w:right w:val="none" w:sz="0" w:space="0" w:color="auto"/>
      </w:divBdr>
    </w:div>
    <w:div w:id="2050182115">
      <w:bodyDiv w:val="1"/>
      <w:marLeft w:val="0"/>
      <w:marRight w:val="0"/>
      <w:marTop w:val="0"/>
      <w:marBottom w:val="0"/>
      <w:divBdr>
        <w:top w:val="none" w:sz="0" w:space="0" w:color="auto"/>
        <w:left w:val="none" w:sz="0" w:space="0" w:color="auto"/>
        <w:bottom w:val="none" w:sz="0" w:space="0" w:color="auto"/>
        <w:right w:val="none" w:sz="0" w:space="0" w:color="auto"/>
      </w:divBdr>
    </w:div>
    <w:div w:id="20600090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696">
          <w:marLeft w:val="0"/>
          <w:marRight w:val="0"/>
          <w:marTop w:val="0"/>
          <w:marBottom w:val="0"/>
          <w:divBdr>
            <w:top w:val="none" w:sz="0" w:space="0" w:color="auto"/>
            <w:left w:val="none" w:sz="0" w:space="0" w:color="auto"/>
            <w:bottom w:val="none" w:sz="0" w:space="0" w:color="auto"/>
            <w:right w:val="none" w:sz="0" w:space="0" w:color="auto"/>
          </w:divBdr>
        </w:div>
        <w:div w:id="2041054024">
          <w:marLeft w:val="0"/>
          <w:marRight w:val="0"/>
          <w:marTop w:val="0"/>
          <w:marBottom w:val="0"/>
          <w:divBdr>
            <w:top w:val="none" w:sz="0" w:space="0" w:color="auto"/>
            <w:left w:val="none" w:sz="0" w:space="0" w:color="auto"/>
            <w:bottom w:val="none" w:sz="0" w:space="0" w:color="auto"/>
            <w:right w:val="none" w:sz="0" w:space="0" w:color="auto"/>
          </w:divBdr>
        </w:div>
      </w:divsChild>
    </w:div>
    <w:div w:id="21460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lex.europa.eu/legal-content/DE/TXT/PDF/?uri=CELEX:52014XC0731(0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data.europa.eu/eli/reco/2003/361/o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data.europa.eu/eli/reg/2024/1143/o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 Id="rId43"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co/2003/361/oj" TargetMode="External"/><Relationship Id="rId3" Type="http://schemas.openxmlformats.org/officeDocument/2006/relationships/hyperlink" Target="https://agriculture.ec.europa.eu/document/download/f9ee9420-2b95-4788-8dc2-faa3cfb8171a_en?filename=policy-recommendations-wine-sector-hlg_en.pdf" TargetMode="External"/><Relationship Id="rId7" Type="http://schemas.openxmlformats.org/officeDocument/2006/relationships/hyperlink" Target="http://data.europa.eu/eli/reg/2021/2115/oj" TargetMode="External"/><Relationship Id="rId2" Type="http://schemas.openxmlformats.org/officeDocument/2006/relationships/hyperlink" Target="https://agriculture.ec.europa.eu/document/download/83588b14-0c75-43a4-b8ab-c5718bee6b01_en?filename=future-prospects-of-the-eu-wine-sector-june-2024.pdf" TargetMode="External"/><Relationship Id="rId1" Type="http://schemas.openxmlformats.org/officeDocument/2006/relationships/hyperlink" Target="https://agriculture.ec.europa.eu/document/download/f9ee9420-2b95-4788-8dc2-faa3cfb8171a_en?filename=policy-recommendations-wine-sector-hlg_en.pdf" TargetMode="External"/><Relationship Id="rId6" Type="http://schemas.openxmlformats.org/officeDocument/2006/relationships/hyperlink" Target="http://data.europa.eu/eli/reg/2024/1143/oj" TargetMode="External"/><Relationship Id="rId5" Type="http://schemas.openxmlformats.org/officeDocument/2006/relationships/hyperlink" Target="http://data.europa.eu/eli/reg/2013/1308/oj" TargetMode="External"/><Relationship Id="rId4" Type="http://schemas.openxmlformats.org/officeDocument/2006/relationships/hyperlink" Target="http://data.europa.eu/eli/reg/2014/251/oj" TargetMode="External"/><Relationship Id="rId9" Type="http://schemas.openxmlformats.org/officeDocument/2006/relationships/hyperlink" Target="https://myintracomm.ec.europa.eu/corp/budget/financial-rules/budget-implementation/Pages/implementation-meth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6281BFD849E46BBAA61B03A15580C" ma:contentTypeVersion="6" ma:contentTypeDescription="Create a new document." ma:contentTypeScope="" ma:versionID="1888c1131950b6997038142711558d76">
  <xsd:schema xmlns:xsd="http://www.w3.org/2001/XMLSchema" xmlns:xs="http://www.w3.org/2001/XMLSchema" xmlns:p="http://schemas.microsoft.com/office/2006/metadata/properties" xmlns:ns2="da0d5500-76f6-479b-b704-0b53f44dcd35" xmlns:ns3="7058b7d0-6f54-43d0-ac9b-f95b90dfb0dc" targetNamespace="http://schemas.microsoft.com/office/2006/metadata/properties" ma:root="true" ma:fieldsID="b405062c5b8150763f6d77a6137a1ebe" ns2:_="" ns3:_="">
    <xsd:import namespace="da0d5500-76f6-479b-b704-0b53f44dcd35"/>
    <xsd:import namespace="7058b7d0-6f54-43d0-ac9b-f95b90dfb0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d5500-76f6-479b-b704-0b53f44dc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8b7d0-6f54-43d0-ac9b-f95b90dfb0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259DF-5D28-4C6D-BF87-D90BB3D55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d5500-76f6-479b-b704-0b53f44dcd35"/>
    <ds:schemaRef ds:uri="7058b7d0-6f54-43d0-ac9b-f95b90df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C4B0F-BB72-4A1D-A623-CFE5974DB1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1A023-CDB6-4D63-9473-08E09B578CF9}">
  <ds:schemaRefs>
    <ds:schemaRef ds:uri="http://schemas.microsoft.com/sharepoint/v3/contenttype/forms"/>
  </ds:schemaRefs>
</ds:datastoreItem>
</file>

<file path=customXml/itemProps4.xml><?xml version="1.0" encoding="utf-8"?>
<ds:datastoreItem xmlns:ds="http://schemas.openxmlformats.org/officeDocument/2006/customXml" ds:itemID="{BF8CE3FA-7158-4019-94A3-6B937429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29</TotalTime>
  <Pages>20</Pages>
  <Words>14487</Words>
  <Characters>82579</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cp:lastPrinted>2025-03-10T09:04:00Z</cp:lastPrinted>
  <dcterms:created xsi:type="dcterms:W3CDTF">2025-03-23T21:10:00Z</dcterms:created>
  <dcterms:modified xsi:type="dcterms:W3CDTF">2025-04-07T05:40:00Z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2025-02-12T15:25:09Z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cfa0e8b8-6980-4b2b-82a4-bcd05cf4bd65</vt:lpwstr>
  </property>
  <property fmtid="{D5CDD505-2E9C-101B-9397-08002B2CF9AE}" pid="16" name="MSIP_Label_6bd9ddd1-4d20-43f6-abfa-fc3c07406f94_ContentBits">
    <vt:lpwstr>0</vt:lpwstr>
  </property>
  <property fmtid="{D5CDD505-2E9C-101B-9397-08002B2CF9AE}" pid="17" name="ContentTypeId">
    <vt:lpwstr>0x010100E5E6281BFD849E46BBAA61B03A15580C</vt:lpwstr>
  </property>
  <property fmtid="{D5CDD505-2E9C-101B-9397-08002B2CF9AE}" pid="18" name="DQCStatus">
    <vt:lpwstr>Green (DQC version 03)</vt:lpwstr>
  </property>
</Properties>
</file>