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F5573" w14:textId="1DEEB4A7" w:rsidR="00053B16" w:rsidRDefault="00716BCE" w:rsidP="00716BCE">
      <w:pPr>
        <w:pStyle w:val="Pagedecouverture"/>
        <w:rPr>
          <w:noProof/>
        </w:rPr>
      </w:pPr>
      <w:bookmarkStart w:id="0" w:name="LW_BM_COVERPAGE"/>
      <w:r>
        <w:rPr>
          <w:noProof/>
        </w:rPr>
        <w:pict w14:anchorId="2F4BC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7DACEDA-16F0-4303-B7E9-0940A250687C" style="width:455.25pt;height:465.75pt">
            <v:imagedata r:id="rId11" o:title=""/>
          </v:shape>
        </w:pict>
      </w:r>
    </w:p>
    <w:bookmarkEnd w:id="0"/>
    <w:p w14:paraId="5522BA3F" w14:textId="77777777" w:rsidR="00053B16" w:rsidRDefault="00053B16" w:rsidP="00053B16">
      <w:pPr>
        <w:rPr>
          <w:noProof/>
          <w:lang w:eastAsia="de-DE"/>
        </w:rPr>
        <w:sectPr w:rsidR="00053B16" w:rsidSect="00716BC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17CDFB9" w14:textId="69DDC51A" w:rsidR="00701930" w:rsidRDefault="00305F66" w:rsidP="00A80851">
      <w:pPr>
        <w:jc w:val="center"/>
        <w:rPr>
          <w:rFonts w:ascii="Times New Roman" w:eastAsia="Times New Roman" w:hAnsi="Times New Roman" w:cs="Times New Roman"/>
          <w:b/>
          <w:bCs/>
          <w:noProof/>
          <w:sz w:val="28"/>
          <w:szCs w:val="28"/>
          <w:u w:val="single"/>
        </w:rPr>
      </w:pPr>
      <w:bookmarkStart w:id="1" w:name="_GoBack"/>
      <w:bookmarkEnd w:id="1"/>
      <w:r>
        <w:rPr>
          <w:rFonts w:ascii="Times New Roman" w:hAnsi="Times New Roman"/>
          <w:b/>
          <w:noProof/>
          <w:sz w:val="28"/>
          <w:u w:val="single"/>
        </w:rPr>
        <w:lastRenderedPageBreak/>
        <w:t>Anhang I: Neue Initiativen</w:t>
      </w:r>
      <w:r>
        <w:rPr>
          <w:rFonts w:ascii="Times New Roman" w:eastAsia="Times New Roman" w:hAnsi="Times New Roman" w:cs="Times New Roman"/>
          <w:noProof/>
          <w:sz w:val="20"/>
          <w:szCs w:val="20"/>
          <w:vertAlign w:val="superscript"/>
          <w:lang w:eastAsia="en-GB"/>
        </w:rPr>
        <w:footnoteReference w:id="2"/>
      </w:r>
    </w:p>
    <w:p w14:paraId="4140B028" w14:textId="77777777" w:rsidR="00CC462E" w:rsidRDefault="00CC462E" w:rsidP="00305F66">
      <w:pPr>
        <w:jc w:val="center"/>
        <w:rPr>
          <w:noProof/>
        </w:rPr>
      </w:pPr>
    </w:p>
    <w:tbl>
      <w:tblPr>
        <w:tblStyle w:val="TableGrid"/>
        <w:tblpPr w:leftFromText="180" w:rightFromText="180" w:vertAnchor="text" w:tblpX="-431" w:tblpY="1"/>
        <w:tblOverlap w:val="never"/>
        <w:tblW w:w="13887" w:type="dxa"/>
        <w:tblLayout w:type="fixed"/>
        <w:tblCellMar>
          <w:top w:w="57" w:type="dxa"/>
          <w:left w:w="85" w:type="dxa"/>
          <w:bottom w:w="57" w:type="dxa"/>
          <w:right w:w="85" w:type="dxa"/>
        </w:tblCellMar>
        <w:tblLook w:val="04A0" w:firstRow="1" w:lastRow="0" w:firstColumn="1" w:lastColumn="0" w:noHBand="0" w:noVBand="1"/>
      </w:tblPr>
      <w:tblGrid>
        <w:gridCol w:w="704"/>
        <w:gridCol w:w="3260"/>
        <w:gridCol w:w="9923"/>
      </w:tblGrid>
      <w:tr w:rsidR="00A85F9F" w:rsidRPr="008E1F61" w14:paraId="76F225FC" w14:textId="77777777" w:rsidTr="007614B3">
        <w:trPr>
          <w:cantSplit/>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46916443" w14:textId="033D63A3" w:rsidR="00A85F9F" w:rsidRPr="00D41791" w:rsidRDefault="00A85F9F" w:rsidP="006E17E7">
            <w:pPr>
              <w:ind w:left="194"/>
              <w:jc w:val="both"/>
              <w:rPr>
                <w:b/>
                <w:noProof/>
              </w:rPr>
            </w:pPr>
            <w:r>
              <w:rPr>
                <w:b/>
                <w:noProof/>
              </w:rPr>
              <w:t>Nr.</w:t>
            </w:r>
          </w:p>
        </w:tc>
        <w:tc>
          <w:tcPr>
            <w:tcW w:w="3260" w:type="dxa"/>
            <w:tcBorders>
              <w:top w:val="single" w:sz="4" w:space="0" w:color="auto"/>
              <w:left w:val="single" w:sz="4" w:space="0" w:color="auto"/>
              <w:bottom w:val="single" w:sz="4" w:space="0" w:color="auto"/>
              <w:right w:val="single" w:sz="4" w:space="0" w:color="auto"/>
            </w:tcBorders>
            <w:shd w:val="clear" w:color="auto" w:fill="99CCFF"/>
            <w:vAlign w:val="center"/>
          </w:tcPr>
          <w:p w14:paraId="52C03362" w14:textId="77777777" w:rsidR="00A85F9F" w:rsidRPr="006C07B7" w:rsidRDefault="00A85F9F" w:rsidP="006E17E7">
            <w:pPr>
              <w:spacing w:before="60" w:after="60"/>
              <w:jc w:val="center"/>
              <w:rPr>
                <w:b/>
                <w:bCs/>
                <w:noProof/>
              </w:rPr>
            </w:pPr>
            <w:r>
              <w:rPr>
                <w:b/>
                <w:noProof/>
              </w:rPr>
              <w:t>Politisches Ziel</w:t>
            </w:r>
          </w:p>
        </w:tc>
        <w:tc>
          <w:tcPr>
            <w:tcW w:w="9923" w:type="dxa"/>
            <w:tcBorders>
              <w:top w:val="single" w:sz="4" w:space="0" w:color="auto"/>
              <w:left w:val="single" w:sz="4" w:space="0" w:color="auto"/>
              <w:bottom w:val="single" w:sz="4" w:space="0" w:color="auto"/>
              <w:right w:val="single" w:sz="4" w:space="0" w:color="auto"/>
            </w:tcBorders>
            <w:shd w:val="clear" w:color="auto" w:fill="99CCFF"/>
            <w:vAlign w:val="center"/>
          </w:tcPr>
          <w:p w14:paraId="328016A9" w14:textId="77777777" w:rsidR="00A85F9F" w:rsidRPr="0020291F" w:rsidRDefault="00A85F9F" w:rsidP="006E17E7">
            <w:pPr>
              <w:jc w:val="center"/>
              <w:rPr>
                <w:b/>
                <w:bCs/>
                <w:noProof/>
              </w:rPr>
            </w:pPr>
            <w:r>
              <w:rPr>
                <w:b/>
                <w:noProof/>
              </w:rPr>
              <w:t>Initiativen</w:t>
            </w:r>
          </w:p>
        </w:tc>
      </w:tr>
      <w:tr w:rsidR="00A85F9F" w:rsidRPr="008E1F61" w14:paraId="4A66D6A3" w14:textId="77777777" w:rsidTr="006E17E7">
        <w:trPr>
          <w:cantSplit/>
          <w:trHeight w:val="300"/>
        </w:trPr>
        <w:tc>
          <w:tcPr>
            <w:tcW w:w="13887" w:type="dxa"/>
            <w:gridSpan w:val="3"/>
            <w:tcBorders>
              <w:top w:val="single" w:sz="4" w:space="0" w:color="auto"/>
              <w:left w:val="single" w:sz="4" w:space="0" w:color="auto"/>
              <w:bottom w:val="single" w:sz="4" w:space="0" w:color="auto"/>
            </w:tcBorders>
            <w:shd w:val="clear" w:color="auto" w:fill="0046FF"/>
          </w:tcPr>
          <w:p w14:paraId="42A83786" w14:textId="77777777" w:rsidR="00A85F9F" w:rsidRPr="006C07B7" w:rsidRDefault="00A85F9F" w:rsidP="006E17E7">
            <w:pPr>
              <w:keepNext/>
              <w:spacing w:before="60" w:after="60"/>
              <w:rPr>
                <w:b/>
                <w:bCs/>
                <w:noProof/>
                <w:color w:val="FFFFFF"/>
              </w:rPr>
            </w:pPr>
            <w:r>
              <w:rPr>
                <w:b/>
                <w:noProof/>
                <w:color w:val="FFFFFF"/>
              </w:rPr>
              <w:t>Ein neuer Plan für nachhaltigen Wohlstand und nachhaltige Wettbewerbsfähigkeit in Europa</w:t>
            </w:r>
          </w:p>
        </w:tc>
      </w:tr>
      <w:tr w:rsidR="00A85F9F" w:rsidRPr="008E1F61" w14:paraId="2B19764C" w14:textId="77777777" w:rsidTr="007614B3">
        <w:trPr>
          <w:cantSplit/>
          <w:trHeight w:val="300"/>
        </w:trPr>
        <w:tc>
          <w:tcPr>
            <w:tcW w:w="704" w:type="dxa"/>
            <w:tcBorders>
              <w:right w:val="single" w:sz="4" w:space="0" w:color="auto"/>
            </w:tcBorders>
          </w:tcPr>
          <w:p w14:paraId="66450594" w14:textId="77777777" w:rsidR="00A85F9F" w:rsidRPr="009022CF"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right w:val="single" w:sz="4" w:space="0" w:color="auto"/>
            </w:tcBorders>
            <w:tcMar>
              <w:top w:w="85" w:type="dxa"/>
              <w:bottom w:w="85" w:type="dxa"/>
            </w:tcMar>
          </w:tcPr>
          <w:p w14:paraId="00F3DADB" w14:textId="39D5F675" w:rsidR="00A85F9F" w:rsidRPr="006C07B7" w:rsidRDefault="00B30E70" w:rsidP="006E17E7">
            <w:pPr>
              <w:rPr>
                <w:rFonts w:cs="Arial"/>
                <w:b/>
                <w:bCs/>
                <w:noProof/>
                <w:color w:val="000000"/>
              </w:rPr>
            </w:pPr>
            <w:r>
              <w:rPr>
                <w:b/>
                <w:noProof/>
                <w:color w:val="000000"/>
              </w:rPr>
              <w:t>Wettbewerbsfähigkeit</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261FC01A" w14:textId="33AC87AB" w:rsidR="00A85F9F" w:rsidRPr="007C64AF" w:rsidRDefault="00A85F9F" w:rsidP="006E17E7">
            <w:pPr>
              <w:jc w:val="both"/>
              <w:rPr>
                <w:b/>
                <w:bCs/>
                <w:noProof/>
                <w:color w:val="000000"/>
              </w:rPr>
            </w:pPr>
            <w:r>
              <w:rPr>
                <w:b/>
                <w:noProof/>
                <w:color w:val="000000"/>
              </w:rPr>
              <w:t xml:space="preserve">Kompass für Wettbewerbsfähigkeit </w:t>
            </w:r>
            <w:r>
              <w:rPr>
                <w:noProof/>
                <w:color w:val="000000"/>
              </w:rPr>
              <w:t>(nicht legislativ, 1. Quartal 2025)</w:t>
            </w:r>
          </w:p>
        </w:tc>
      </w:tr>
      <w:tr w:rsidR="00A85F9F" w:rsidRPr="008E1F61" w14:paraId="16D8BB25" w14:textId="77777777" w:rsidTr="00883AFD">
        <w:trPr>
          <w:cantSplit/>
          <w:trHeight w:val="300"/>
        </w:trPr>
        <w:tc>
          <w:tcPr>
            <w:tcW w:w="704" w:type="dxa"/>
            <w:tcBorders>
              <w:right w:val="single" w:sz="4" w:space="0" w:color="auto"/>
            </w:tcBorders>
          </w:tcPr>
          <w:p w14:paraId="0ADC0037" w14:textId="77777777" w:rsidR="00A85F9F" w:rsidRPr="00160006" w:rsidRDefault="00A85F9F" w:rsidP="006E17E7">
            <w:pPr>
              <w:pStyle w:val="ListParagraph"/>
              <w:numPr>
                <w:ilvl w:val="0"/>
                <w:numId w:val="3"/>
              </w:numPr>
              <w:spacing w:after="0"/>
              <w:ind w:left="473"/>
              <w:rPr>
                <w:rFonts w:eastAsia="Calibri" w:cs="Arial"/>
                <w:noProof/>
                <w:lang w:val="en-IE"/>
              </w:rPr>
            </w:pPr>
          </w:p>
        </w:tc>
        <w:tc>
          <w:tcPr>
            <w:tcW w:w="3260" w:type="dxa"/>
            <w:tcBorders>
              <w:left w:val="single" w:sz="4" w:space="0" w:color="auto"/>
              <w:right w:val="single" w:sz="4" w:space="0" w:color="auto"/>
            </w:tcBorders>
            <w:shd w:val="clear" w:color="auto" w:fill="auto"/>
            <w:tcMar>
              <w:top w:w="85" w:type="dxa"/>
              <w:bottom w:w="85" w:type="dxa"/>
            </w:tcMar>
          </w:tcPr>
          <w:p w14:paraId="3500FB76" w14:textId="34B0B3C5" w:rsidR="00A85F9F" w:rsidRPr="006C07B7" w:rsidRDefault="00520AEF" w:rsidP="006E17E7">
            <w:pPr>
              <w:rPr>
                <w:rFonts w:cs="Arial"/>
                <w:b/>
                <w:bCs/>
                <w:noProof/>
                <w:color w:val="000000"/>
              </w:rPr>
            </w:pPr>
            <w:r>
              <w:rPr>
                <w:b/>
                <w:noProof/>
                <w:color w:val="000000"/>
              </w:rPr>
              <w:t>Wettbewerbsfähigkeit</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1BBA5EA" w14:textId="77777777" w:rsidR="00A85F9F" w:rsidRPr="00894E1F" w:rsidRDefault="00A85F9F" w:rsidP="006E17E7">
            <w:pPr>
              <w:jc w:val="both"/>
              <w:rPr>
                <w:rFonts w:cs="Calibri"/>
                <w:b/>
                <w:noProof/>
                <w:color w:val="000000"/>
              </w:rPr>
            </w:pPr>
            <w:r>
              <w:rPr>
                <w:b/>
                <w:noProof/>
                <w:color w:val="000000"/>
              </w:rPr>
              <w:t xml:space="preserve">Binnenmarktstrategie </w:t>
            </w:r>
            <w:r>
              <w:rPr>
                <w:noProof/>
                <w:color w:val="000000"/>
              </w:rPr>
              <w:t>(nicht legislativ, 2. Quartal 2025)</w:t>
            </w:r>
          </w:p>
        </w:tc>
      </w:tr>
      <w:tr w:rsidR="00A85F9F" w:rsidRPr="008E1F61" w14:paraId="49339476" w14:textId="77777777" w:rsidTr="007614B3">
        <w:trPr>
          <w:cantSplit/>
          <w:trHeight w:val="300"/>
        </w:trPr>
        <w:tc>
          <w:tcPr>
            <w:tcW w:w="704" w:type="dxa"/>
            <w:tcBorders>
              <w:bottom w:val="single" w:sz="4" w:space="0" w:color="auto"/>
              <w:right w:val="single" w:sz="4" w:space="0" w:color="auto"/>
            </w:tcBorders>
          </w:tcPr>
          <w:p w14:paraId="4E37F273" w14:textId="77777777" w:rsidR="00A85F9F" w:rsidRPr="00A67265" w:rsidRDefault="00A85F9F" w:rsidP="006E17E7">
            <w:pPr>
              <w:pStyle w:val="ListParagraph"/>
              <w:numPr>
                <w:ilvl w:val="0"/>
                <w:numId w:val="3"/>
              </w:numPr>
              <w:spacing w:after="0"/>
              <w:ind w:left="473"/>
              <w:rPr>
                <w:rFonts w:eastAsia="Calibri" w:cs="Arial"/>
                <w:noProof/>
                <w:lang w:val="en-IE"/>
              </w:rPr>
            </w:pPr>
          </w:p>
        </w:tc>
        <w:tc>
          <w:tcPr>
            <w:tcW w:w="3260" w:type="dxa"/>
            <w:tcBorders>
              <w:left w:val="single" w:sz="4" w:space="0" w:color="auto"/>
              <w:bottom w:val="single" w:sz="4" w:space="0" w:color="auto"/>
              <w:right w:val="single" w:sz="4" w:space="0" w:color="auto"/>
            </w:tcBorders>
            <w:tcMar>
              <w:top w:w="85" w:type="dxa"/>
              <w:bottom w:w="85" w:type="dxa"/>
            </w:tcMar>
          </w:tcPr>
          <w:p w14:paraId="535D035D" w14:textId="308C22FC" w:rsidR="00A85F9F" w:rsidRPr="006C07B7" w:rsidRDefault="00AB3EF2" w:rsidP="006E17E7">
            <w:pPr>
              <w:rPr>
                <w:rFonts w:cs="Calibri"/>
                <w:b/>
                <w:bCs/>
                <w:noProof/>
                <w:color w:val="000000" w:themeColor="text1"/>
              </w:rPr>
            </w:pPr>
            <w:r>
              <w:rPr>
                <w:b/>
                <w:noProof/>
                <w:color w:val="000000" w:themeColor="text1"/>
              </w:rPr>
              <w:t>Vereinfachung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3256DB9B" w14:textId="2069C663" w:rsidR="00A85F9F" w:rsidRPr="007C64AF" w:rsidRDefault="2F79A1DD" w:rsidP="006E17E7">
            <w:pPr>
              <w:rPr>
                <w:rFonts w:cs="Calibri"/>
                <w:b/>
                <w:noProof/>
                <w:color w:val="000000"/>
              </w:rPr>
            </w:pPr>
            <w:r>
              <w:rPr>
                <w:b/>
                <w:noProof/>
                <w:color w:val="000000" w:themeColor="text1"/>
              </w:rPr>
              <w:t xml:space="preserve">Erstes Omnibus-Paket zur Nachhaltigkeit </w:t>
            </w:r>
            <w:r>
              <w:rPr>
                <w:noProof/>
                <w:color w:val="000000" w:themeColor="text1"/>
              </w:rPr>
              <w:t>(legislativ, 1. Quartal 2025)</w:t>
            </w:r>
          </w:p>
        </w:tc>
      </w:tr>
      <w:tr w:rsidR="00EE5A96" w:rsidRPr="008E1F61" w14:paraId="5BB525AD" w14:textId="77777777" w:rsidTr="007614B3">
        <w:trPr>
          <w:cantSplit/>
          <w:trHeight w:val="300"/>
        </w:trPr>
        <w:tc>
          <w:tcPr>
            <w:tcW w:w="704" w:type="dxa"/>
            <w:tcBorders>
              <w:bottom w:val="single" w:sz="4" w:space="0" w:color="auto"/>
              <w:right w:val="single" w:sz="4" w:space="0" w:color="auto"/>
            </w:tcBorders>
          </w:tcPr>
          <w:p w14:paraId="3C29F041" w14:textId="77777777" w:rsidR="00EE5A96" w:rsidRPr="00A67265" w:rsidRDefault="00EE5A96" w:rsidP="00EE5A96">
            <w:pPr>
              <w:pStyle w:val="ListParagraph"/>
              <w:numPr>
                <w:ilvl w:val="0"/>
                <w:numId w:val="3"/>
              </w:numPr>
              <w:spacing w:after="0"/>
              <w:ind w:left="473"/>
              <w:rPr>
                <w:rFonts w:eastAsia="Calibri" w:cs="Arial"/>
                <w:noProof/>
                <w:lang w:val="en-IE"/>
              </w:rPr>
            </w:pPr>
          </w:p>
        </w:tc>
        <w:tc>
          <w:tcPr>
            <w:tcW w:w="3260" w:type="dxa"/>
            <w:tcBorders>
              <w:left w:val="single" w:sz="4" w:space="0" w:color="auto"/>
              <w:bottom w:val="single" w:sz="4" w:space="0" w:color="auto"/>
              <w:right w:val="single" w:sz="4" w:space="0" w:color="auto"/>
            </w:tcBorders>
            <w:tcMar>
              <w:top w:w="85" w:type="dxa"/>
              <w:bottom w:w="85" w:type="dxa"/>
            </w:tcMar>
          </w:tcPr>
          <w:p w14:paraId="2FF2D34B" w14:textId="1794C043" w:rsidR="00EE5A96" w:rsidRDefault="00EE5A96" w:rsidP="00EE5A96">
            <w:pPr>
              <w:rPr>
                <w:rFonts w:cs="Calibri"/>
                <w:b/>
                <w:bCs/>
                <w:noProof/>
                <w:color w:val="000000" w:themeColor="text1"/>
              </w:rPr>
            </w:pPr>
            <w:r>
              <w:rPr>
                <w:b/>
                <w:noProof/>
              </w:rPr>
              <w:t>Vereinfachung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11A0AA62" w14:textId="57E9B28F" w:rsidR="00EE5A96" w:rsidRPr="2FEC9C1D" w:rsidRDefault="00EE5A96" w:rsidP="00EE5A96">
            <w:pPr>
              <w:rPr>
                <w:rFonts w:cs="Calibri"/>
                <w:b/>
                <w:bCs/>
                <w:noProof/>
                <w:color w:val="000000" w:themeColor="text1"/>
              </w:rPr>
            </w:pPr>
            <w:r>
              <w:rPr>
                <w:b/>
                <w:noProof/>
                <w:color w:val="000000" w:themeColor="text1"/>
              </w:rPr>
              <w:t xml:space="preserve">Zweites Omnibus-Paket zur Vereinfachung der Investitionstätigkeit </w:t>
            </w:r>
            <w:r>
              <w:rPr>
                <w:noProof/>
                <w:color w:val="000000" w:themeColor="text1"/>
              </w:rPr>
              <w:t>(legislativ, 1. Quartal 2025)</w:t>
            </w:r>
          </w:p>
        </w:tc>
      </w:tr>
      <w:tr w:rsidR="00A85F9F" w:rsidRPr="008E1F61" w14:paraId="1EBBE667" w14:textId="77777777" w:rsidTr="007614B3">
        <w:trPr>
          <w:cantSplit/>
          <w:trHeight w:val="300"/>
        </w:trPr>
        <w:tc>
          <w:tcPr>
            <w:tcW w:w="704" w:type="dxa"/>
            <w:tcBorders>
              <w:bottom w:val="single" w:sz="4" w:space="0" w:color="auto"/>
              <w:right w:val="single" w:sz="4" w:space="0" w:color="auto"/>
            </w:tcBorders>
          </w:tcPr>
          <w:p w14:paraId="5AD353D3" w14:textId="77777777" w:rsidR="00A85F9F" w:rsidRPr="00A67265"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bottom w:val="single" w:sz="4" w:space="0" w:color="auto"/>
              <w:right w:val="single" w:sz="4" w:space="0" w:color="auto"/>
            </w:tcBorders>
            <w:tcMar>
              <w:top w:w="85" w:type="dxa"/>
              <w:bottom w:w="85" w:type="dxa"/>
            </w:tcMar>
          </w:tcPr>
          <w:p w14:paraId="7843A123" w14:textId="3F3635B4" w:rsidR="00A85F9F" w:rsidRPr="006C07B7" w:rsidRDefault="00D730D2" w:rsidP="006E17E7">
            <w:pPr>
              <w:rPr>
                <w:rFonts w:cs="Calibri"/>
                <w:b/>
                <w:bCs/>
                <w:noProof/>
                <w:color w:val="000000" w:themeColor="text1"/>
              </w:rPr>
            </w:pPr>
            <w:r>
              <w:rPr>
                <w:b/>
                <w:noProof/>
              </w:rPr>
              <w:t>Vereinfachung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5589B399" w14:textId="4B8DB065" w:rsidR="00A85F9F" w:rsidRPr="00A36BD1" w:rsidRDefault="00EE5A96" w:rsidP="006E17E7">
            <w:pPr>
              <w:rPr>
                <w:rFonts w:cs="Calibri"/>
                <w:b/>
                <w:noProof/>
                <w:color w:val="000000" w:themeColor="text1"/>
              </w:rPr>
            </w:pPr>
            <w:r>
              <w:rPr>
                <w:b/>
                <w:noProof/>
                <w:color w:val="000000" w:themeColor="text1"/>
              </w:rPr>
              <w:t>Drittes Omnibus-Paket,</w:t>
            </w:r>
            <w:r>
              <w:rPr>
                <w:noProof/>
                <w:color w:val="000000" w:themeColor="text1"/>
              </w:rPr>
              <w:t xml:space="preserve"> </w:t>
            </w:r>
            <w:r>
              <w:rPr>
                <w:b/>
                <w:noProof/>
                <w:color w:val="000000" w:themeColor="text1"/>
              </w:rPr>
              <w:t>das auch kleine Unternehmen mittlerer Kapitalisierung und die Abschaffung der Papieranforderungen umfasst</w:t>
            </w:r>
            <w:r>
              <w:rPr>
                <w:noProof/>
                <w:color w:val="000000" w:themeColor="text1"/>
              </w:rPr>
              <w:t xml:space="preserve"> (legislativ, 2. Quartal 2025)</w:t>
            </w:r>
          </w:p>
        </w:tc>
      </w:tr>
      <w:tr w:rsidR="00A85F9F" w:rsidRPr="008E1F61" w14:paraId="075005AD" w14:textId="77777777" w:rsidTr="007614B3">
        <w:trPr>
          <w:cantSplit/>
          <w:trHeight w:val="300"/>
        </w:trPr>
        <w:tc>
          <w:tcPr>
            <w:tcW w:w="704" w:type="dxa"/>
            <w:tcBorders>
              <w:right w:val="single" w:sz="4" w:space="0" w:color="auto"/>
            </w:tcBorders>
          </w:tcPr>
          <w:p w14:paraId="760D011F" w14:textId="77777777" w:rsidR="00A85F9F" w:rsidRPr="00160006" w:rsidRDefault="00A85F9F" w:rsidP="006E17E7">
            <w:pPr>
              <w:pStyle w:val="ListParagraph"/>
              <w:numPr>
                <w:ilvl w:val="0"/>
                <w:numId w:val="3"/>
              </w:numPr>
              <w:spacing w:after="0"/>
              <w:ind w:left="473"/>
              <w:jc w:val="left"/>
              <w:rPr>
                <w:rFonts w:eastAsia="Calibri" w:cs="Arial"/>
                <w:noProof/>
                <w:lang w:val="en-IE"/>
              </w:rPr>
            </w:pPr>
          </w:p>
        </w:tc>
        <w:tc>
          <w:tcPr>
            <w:tcW w:w="3260" w:type="dxa"/>
            <w:tcBorders>
              <w:left w:val="single" w:sz="4" w:space="0" w:color="auto"/>
              <w:right w:val="single" w:sz="4" w:space="0" w:color="auto"/>
            </w:tcBorders>
            <w:tcMar>
              <w:top w:w="85" w:type="dxa"/>
              <w:bottom w:w="85" w:type="dxa"/>
            </w:tcMar>
          </w:tcPr>
          <w:p w14:paraId="6BF10216" w14:textId="19467DCA" w:rsidR="00A85F9F" w:rsidRPr="00160006" w:rsidRDefault="00D730D2" w:rsidP="006E17E7">
            <w:pPr>
              <w:rPr>
                <w:rFonts w:cs="Calibri"/>
                <w:b/>
                <w:noProof/>
                <w:color w:val="000000"/>
              </w:rPr>
            </w:pPr>
            <w:r>
              <w:rPr>
                <w:b/>
                <w:noProof/>
              </w:rPr>
              <w:t>Vereinfachung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17EA01B4" w14:textId="68E2759C" w:rsidR="00A85F9F" w:rsidRPr="00894E1F" w:rsidRDefault="00A85F9F" w:rsidP="006E17E7">
            <w:pPr>
              <w:jc w:val="both"/>
              <w:rPr>
                <w:rFonts w:cs="Calibri"/>
                <w:b/>
                <w:i/>
                <w:noProof/>
                <w:color w:val="000000"/>
                <w:u w:val="single"/>
              </w:rPr>
            </w:pPr>
            <w:r>
              <w:rPr>
                <w:b/>
                <w:noProof/>
                <w:color w:val="000000"/>
              </w:rPr>
              <w:t xml:space="preserve">Überarbeitung der Verordnung über nachhaltigkeitsbezogene Offenlegungspflichten im Finanzdienstleistungssektor </w:t>
            </w:r>
            <w:r>
              <w:rPr>
                <w:noProof/>
                <w:color w:val="000000"/>
              </w:rPr>
              <w:t>(legislativ, einschließlich Folgenabschätzung‚ Artikel 114 AEUV, 4. Quartal 2025)</w:t>
            </w:r>
          </w:p>
        </w:tc>
      </w:tr>
      <w:tr w:rsidR="00A85F9F" w:rsidRPr="008E1F61" w14:paraId="54359246" w14:textId="77777777" w:rsidTr="007614B3">
        <w:trPr>
          <w:cantSplit/>
          <w:trHeight w:val="300"/>
        </w:trPr>
        <w:tc>
          <w:tcPr>
            <w:tcW w:w="704" w:type="dxa"/>
            <w:tcBorders>
              <w:right w:val="single" w:sz="4" w:space="0" w:color="auto"/>
            </w:tcBorders>
          </w:tcPr>
          <w:p w14:paraId="23F66291" w14:textId="77777777" w:rsidR="00A85F9F" w:rsidRPr="00415150" w:rsidRDefault="00A85F9F" w:rsidP="006E17E7">
            <w:pPr>
              <w:pStyle w:val="ListParagraph"/>
              <w:numPr>
                <w:ilvl w:val="0"/>
                <w:numId w:val="3"/>
              </w:numPr>
              <w:spacing w:after="0"/>
              <w:ind w:left="473"/>
              <w:rPr>
                <w:rFonts w:eastAsia="Calibri" w:cs="Arial"/>
                <w:noProof/>
                <w:lang w:val="en-IE"/>
              </w:rPr>
            </w:pPr>
          </w:p>
        </w:tc>
        <w:tc>
          <w:tcPr>
            <w:tcW w:w="3260" w:type="dxa"/>
            <w:tcBorders>
              <w:left w:val="single" w:sz="4" w:space="0" w:color="auto"/>
              <w:right w:val="single" w:sz="4" w:space="0" w:color="auto"/>
            </w:tcBorders>
            <w:tcMar>
              <w:top w:w="85" w:type="dxa"/>
              <w:bottom w:w="85" w:type="dxa"/>
            </w:tcMar>
          </w:tcPr>
          <w:p w14:paraId="3E30084D" w14:textId="308BF83A" w:rsidR="00A85F9F" w:rsidRPr="0020291F" w:rsidRDefault="00D730D2" w:rsidP="006E17E7">
            <w:pPr>
              <w:rPr>
                <w:rFonts w:cs="Calibri"/>
                <w:bCs/>
                <w:i/>
                <w:iCs/>
                <w:noProof/>
                <w:color w:val="000000"/>
              </w:rPr>
            </w:pPr>
            <w:r>
              <w:rPr>
                <w:b/>
                <w:noProof/>
              </w:rPr>
              <w:t>Vereinfachung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53BB5195" w14:textId="3E86D23F" w:rsidR="00A85F9F" w:rsidRPr="00894E1F" w:rsidRDefault="00961A36" w:rsidP="006E17E7">
            <w:pPr>
              <w:jc w:val="both"/>
              <w:rPr>
                <w:rFonts w:cs="Calibri"/>
                <w:b/>
                <w:noProof/>
                <w:color w:val="000000"/>
              </w:rPr>
            </w:pPr>
            <w:r>
              <w:rPr>
                <w:b/>
                <w:noProof/>
                <w:color w:val="000000"/>
              </w:rPr>
              <w:t xml:space="preserve">Digitalpaket </w:t>
            </w:r>
            <w:r>
              <w:rPr>
                <w:noProof/>
                <w:color w:val="000000"/>
              </w:rPr>
              <w:t>(legislativ, einschließlich Folgenabschätzung, 4. Quartal 2025)</w:t>
            </w:r>
          </w:p>
        </w:tc>
      </w:tr>
      <w:tr w:rsidR="00A85F9F" w:rsidRPr="008E1F61" w14:paraId="0B90045E" w14:textId="77777777" w:rsidTr="007614B3">
        <w:trPr>
          <w:cantSplit/>
          <w:trHeight w:val="300"/>
        </w:trPr>
        <w:tc>
          <w:tcPr>
            <w:tcW w:w="704" w:type="dxa"/>
            <w:tcBorders>
              <w:right w:val="single" w:sz="4" w:space="0" w:color="auto"/>
            </w:tcBorders>
          </w:tcPr>
          <w:p w14:paraId="26397CC5" w14:textId="77777777" w:rsidR="00A85F9F" w:rsidRPr="009022CF"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right w:val="single" w:sz="4" w:space="0" w:color="auto"/>
            </w:tcBorders>
            <w:tcMar>
              <w:top w:w="85" w:type="dxa"/>
              <w:bottom w:w="85" w:type="dxa"/>
            </w:tcMar>
          </w:tcPr>
          <w:p w14:paraId="06745648" w14:textId="6D4D6664" w:rsidR="00A85F9F" w:rsidRPr="00160006" w:rsidRDefault="00D730D2" w:rsidP="006E17E7">
            <w:pPr>
              <w:rPr>
                <w:rFonts w:cs="Calibri"/>
                <w:b/>
                <w:noProof/>
                <w:color w:val="000000"/>
              </w:rPr>
            </w:pPr>
            <w:r>
              <w:rPr>
                <w:b/>
                <w:noProof/>
              </w:rPr>
              <w:t>Vereinfachung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381EAAEC" w14:textId="77777777" w:rsidR="00A85F9F" w:rsidRPr="007C64AF" w:rsidRDefault="00A85F9F" w:rsidP="006E17E7">
            <w:pPr>
              <w:jc w:val="both"/>
              <w:rPr>
                <w:rFonts w:cs="Calibri"/>
                <w:b/>
                <w:noProof/>
                <w:color w:val="000000"/>
              </w:rPr>
            </w:pPr>
            <w:r>
              <w:rPr>
                <w:b/>
                <w:noProof/>
                <w:color w:val="000000"/>
              </w:rPr>
              <w:t xml:space="preserve">Europäische Brieftasche für Unternehmen </w:t>
            </w:r>
            <w:r>
              <w:rPr>
                <w:noProof/>
                <w:color w:val="000000"/>
              </w:rPr>
              <w:t>(legislativ, einschließlich Folgenabschätzung,</w:t>
            </w:r>
            <w:r>
              <w:rPr>
                <w:noProof/>
              </w:rPr>
              <w:t xml:space="preserve"> </w:t>
            </w:r>
            <w:r>
              <w:rPr>
                <w:noProof/>
                <w:color w:val="000000"/>
              </w:rPr>
              <w:t>Artikel 114 AEUV, 4. Quartal 2025)</w:t>
            </w:r>
          </w:p>
        </w:tc>
      </w:tr>
      <w:tr w:rsidR="00A85F9F" w:rsidRPr="008E1F61" w14:paraId="7CA259D7" w14:textId="77777777" w:rsidTr="00883AFD">
        <w:trPr>
          <w:cantSplit/>
          <w:trHeight w:val="300"/>
        </w:trPr>
        <w:tc>
          <w:tcPr>
            <w:tcW w:w="704" w:type="dxa"/>
            <w:vMerge w:val="restart"/>
            <w:tcBorders>
              <w:right w:val="single" w:sz="4" w:space="0" w:color="auto"/>
            </w:tcBorders>
          </w:tcPr>
          <w:p w14:paraId="2F043B74" w14:textId="77777777" w:rsidR="00A85F9F" w:rsidRPr="008E1F61" w:rsidRDefault="00A85F9F" w:rsidP="006E17E7">
            <w:pPr>
              <w:pStyle w:val="ListParagraph"/>
              <w:numPr>
                <w:ilvl w:val="0"/>
                <w:numId w:val="3"/>
              </w:numPr>
              <w:spacing w:after="0"/>
              <w:ind w:left="473"/>
              <w:jc w:val="left"/>
              <w:rPr>
                <w:rFonts w:eastAsia="Calibri"/>
                <w:noProof/>
                <w:lang w:val="en-IE"/>
              </w:rPr>
            </w:pPr>
          </w:p>
        </w:tc>
        <w:tc>
          <w:tcPr>
            <w:tcW w:w="3260" w:type="dxa"/>
            <w:vMerge w:val="restart"/>
            <w:tcBorders>
              <w:left w:val="single" w:sz="4" w:space="0" w:color="auto"/>
              <w:right w:val="single" w:sz="4" w:space="0" w:color="auto"/>
            </w:tcBorders>
            <w:shd w:val="clear" w:color="auto" w:fill="auto"/>
            <w:tcMar>
              <w:top w:w="85" w:type="dxa"/>
              <w:bottom w:w="85" w:type="dxa"/>
            </w:tcMar>
          </w:tcPr>
          <w:p w14:paraId="5069988C" w14:textId="39340B16" w:rsidR="00A85F9F" w:rsidRPr="00160006" w:rsidRDefault="000B5D5E" w:rsidP="006E17E7">
            <w:pPr>
              <w:rPr>
                <w:rFonts w:cs="Calibri"/>
                <w:b/>
                <w:noProof/>
                <w:color w:val="000000"/>
              </w:rPr>
            </w:pPr>
            <w:r>
              <w:rPr>
                <w:b/>
                <w:noProof/>
                <w:color w:val="000000"/>
              </w:rPr>
              <w:t>Wettbewerbsfähigkeit und Dekarbonisierung</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7E0E10AB" w14:textId="77777777" w:rsidR="00A85F9F" w:rsidRPr="00894E1F" w:rsidRDefault="00A85F9F" w:rsidP="006E17E7">
            <w:pPr>
              <w:jc w:val="both"/>
              <w:rPr>
                <w:rFonts w:cs="Calibri"/>
                <w:b/>
                <w:i/>
                <w:noProof/>
                <w:color w:val="000000"/>
                <w:u w:val="single"/>
              </w:rPr>
            </w:pPr>
            <w:r>
              <w:rPr>
                <w:b/>
                <w:noProof/>
                <w:color w:val="000000"/>
              </w:rPr>
              <w:t xml:space="preserve">Deal für eine saubere Industrie </w:t>
            </w:r>
            <w:r>
              <w:rPr>
                <w:noProof/>
                <w:color w:val="000000"/>
              </w:rPr>
              <w:t>(nicht legislativ, 1. Quartal 2025)</w:t>
            </w:r>
          </w:p>
        </w:tc>
      </w:tr>
      <w:tr w:rsidR="00A85F9F" w:rsidRPr="008E1F61" w14:paraId="651C9EB9" w14:textId="77777777" w:rsidTr="15C1A19F">
        <w:trPr>
          <w:cantSplit/>
          <w:trHeight w:val="300"/>
        </w:trPr>
        <w:tc>
          <w:tcPr>
            <w:tcW w:w="704" w:type="dxa"/>
            <w:vMerge/>
          </w:tcPr>
          <w:p w14:paraId="7B5D98B2" w14:textId="77777777" w:rsidR="00A85F9F" w:rsidRPr="008E1F61" w:rsidRDefault="00A85F9F" w:rsidP="006E17E7">
            <w:pPr>
              <w:numPr>
                <w:ilvl w:val="0"/>
                <w:numId w:val="3"/>
              </w:numPr>
              <w:ind w:left="473"/>
              <w:jc w:val="both"/>
              <w:rPr>
                <w:rFonts w:eastAsia="Calibri"/>
                <w:noProof/>
                <w:lang w:val="en-IE"/>
              </w:rPr>
            </w:pPr>
          </w:p>
        </w:tc>
        <w:tc>
          <w:tcPr>
            <w:tcW w:w="3260" w:type="dxa"/>
            <w:vMerge/>
            <w:tcMar>
              <w:top w:w="85" w:type="dxa"/>
              <w:bottom w:w="85" w:type="dxa"/>
            </w:tcMar>
          </w:tcPr>
          <w:p w14:paraId="50B7CDCA" w14:textId="77777777" w:rsidR="00A85F9F" w:rsidRPr="00160006" w:rsidRDefault="00A85F9F" w:rsidP="006E17E7">
            <w:pPr>
              <w:rPr>
                <w:rFonts w:cs="Calibri"/>
                <w:b/>
                <w:noProof/>
                <w:color w:val="000000"/>
                <w:lang w:val="en-IE"/>
              </w:rPr>
            </w:pP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365E923A" w14:textId="77777777" w:rsidR="00A85F9F" w:rsidRPr="00894E1F" w:rsidRDefault="00A85F9F" w:rsidP="006E17E7">
            <w:pPr>
              <w:jc w:val="both"/>
              <w:rPr>
                <w:rFonts w:cs="Calibri"/>
                <w:b/>
                <w:i/>
                <w:noProof/>
                <w:color w:val="000000"/>
                <w:u w:val="single"/>
              </w:rPr>
            </w:pPr>
            <w:r>
              <w:rPr>
                <w:b/>
                <w:noProof/>
                <w:color w:val="000000" w:themeColor="text1"/>
              </w:rPr>
              <w:t xml:space="preserve">Aktionsplan für erschwingliche Energie </w:t>
            </w:r>
            <w:r>
              <w:rPr>
                <w:noProof/>
                <w:color w:val="000000" w:themeColor="text1"/>
              </w:rPr>
              <w:t>(nicht legislativ, 1. Quartal 2025)</w:t>
            </w:r>
          </w:p>
        </w:tc>
      </w:tr>
      <w:tr w:rsidR="00A85F9F" w:rsidRPr="008E1F61" w14:paraId="7A81D541" w14:textId="77777777" w:rsidTr="007614B3">
        <w:trPr>
          <w:cantSplit/>
          <w:trHeight w:val="300"/>
        </w:trPr>
        <w:tc>
          <w:tcPr>
            <w:tcW w:w="704" w:type="dxa"/>
            <w:tcBorders>
              <w:right w:val="single" w:sz="4" w:space="0" w:color="auto"/>
            </w:tcBorders>
          </w:tcPr>
          <w:p w14:paraId="16020F61" w14:textId="77777777" w:rsidR="00A85F9F" w:rsidRPr="008E1F61" w:rsidRDefault="00A85F9F" w:rsidP="006E17E7">
            <w:pPr>
              <w:pStyle w:val="ListParagraph"/>
              <w:numPr>
                <w:ilvl w:val="0"/>
                <w:numId w:val="3"/>
              </w:numPr>
              <w:spacing w:after="0"/>
              <w:ind w:left="473"/>
              <w:rPr>
                <w:rFonts w:eastAsia="Calibri"/>
                <w:noProof/>
                <w:lang w:val="en-IE"/>
              </w:rPr>
            </w:pPr>
          </w:p>
        </w:tc>
        <w:tc>
          <w:tcPr>
            <w:tcW w:w="3260" w:type="dxa"/>
            <w:tcBorders>
              <w:left w:val="single" w:sz="4" w:space="0" w:color="auto"/>
              <w:right w:val="single" w:sz="4" w:space="0" w:color="auto"/>
            </w:tcBorders>
            <w:tcMar>
              <w:top w:w="85" w:type="dxa"/>
              <w:bottom w:w="85" w:type="dxa"/>
            </w:tcMar>
          </w:tcPr>
          <w:p w14:paraId="6814AC7D" w14:textId="628C0F07" w:rsidR="00A85F9F" w:rsidRPr="00160006" w:rsidRDefault="00610F9D" w:rsidP="006E17E7">
            <w:pPr>
              <w:rPr>
                <w:rFonts w:cs="Calibri"/>
                <w:b/>
                <w:noProof/>
                <w:color w:val="000000"/>
              </w:rPr>
            </w:pPr>
            <w:r>
              <w:rPr>
                <w:b/>
                <w:noProof/>
                <w:color w:val="000000"/>
              </w:rPr>
              <w:t>Wettbewerbsfähigkeit</w:t>
            </w:r>
            <w:r>
              <w:rPr>
                <w:noProof/>
              </w:rPr>
              <w:t xml:space="preserve"> </w:t>
            </w:r>
            <w:r>
              <w:rPr>
                <w:b/>
                <w:noProof/>
                <w:color w:val="000000"/>
              </w:rPr>
              <w:t>und Dekarbonisierung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7C2A36B6" w14:textId="77777777" w:rsidR="00A85F9F" w:rsidRPr="00894E1F" w:rsidRDefault="00A85F9F" w:rsidP="006E17E7">
            <w:pPr>
              <w:jc w:val="both"/>
              <w:rPr>
                <w:rFonts w:cs="Calibri"/>
                <w:b/>
                <w:noProof/>
                <w:color w:val="000000"/>
              </w:rPr>
            </w:pPr>
            <w:r>
              <w:rPr>
                <w:b/>
                <w:noProof/>
                <w:color w:val="000000"/>
              </w:rPr>
              <w:t>Rechtsakt zur beschleunigten Dekarbonisierung der Industrie</w:t>
            </w:r>
            <w:r>
              <w:rPr>
                <w:noProof/>
                <w:color w:val="000000"/>
              </w:rPr>
              <w:t xml:space="preserve"> (legislativ, einschließlich Folgenabschätzung, Artikel 114 AEUV, 4. Quartal 2025)</w:t>
            </w:r>
          </w:p>
        </w:tc>
      </w:tr>
      <w:tr w:rsidR="00A85F9F" w:rsidRPr="008E1F61" w14:paraId="0B12A4C6" w14:textId="77777777" w:rsidTr="00071F72">
        <w:trPr>
          <w:cantSplit/>
          <w:trHeight w:val="300"/>
        </w:trPr>
        <w:tc>
          <w:tcPr>
            <w:tcW w:w="704" w:type="dxa"/>
            <w:tcBorders>
              <w:right w:val="single" w:sz="4" w:space="0" w:color="auto"/>
            </w:tcBorders>
          </w:tcPr>
          <w:p w14:paraId="61DF299B" w14:textId="77777777" w:rsidR="00A85F9F" w:rsidRPr="008E1F61" w:rsidRDefault="00A85F9F" w:rsidP="006E17E7">
            <w:pPr>
              <w:pStyle w:val="ListParagraph"/>
              <w:numPr>
                <w:ilvl w:val="0"/>
                <w:numId w:val="3"/>
              </w:numPr>
              <w:spacing w:after="0"/>
              <w:ind w:left="473"/>
              <w:rPr>
                <w:rFonts w:eastAsia="Calibri"/>
                <w:noProof/>
                <w:lang w:val="en-IE"/>
              </w:rPr>
            </w:pPr>
          </w:p>
        </w:tc>
        <w:tc>
          <w:tcPr>
            <w:tcW w:w="3260" w:type="dxa"/>
            <w:tcBorders>
              <w:left w:val="single" w:sz="4" w:space="0" w:color="auto"/>
              <w:right w:val="single" w:sz="4" w:space="0" w:color="auto"/>
            </w:tcBorders>
            <w:tcMar>
              <w:top w:w="85" w:type="dxa"/>
              <w:bottom w:w="85" w:type="dxa"/>
            </w:tcMar>
          </w:tcPr>
          <w:p w14:paraId="494BF70D" w14:textId="3F088AE8" w:rsidR="00A85F9F" w:rsidRPr="00160006" w:rsidRDefault="00F24784" w:rsidP="006E17E7">
            <w:pPr>
              <w:rPr>
                <w:rFonts w:cs="Calibri"/>
                <w:b/>
                <w:noProof/>
                <w:color w:val="000000"/>
              </w:rPr>
            </w:pPr>
            <w:r>
              <w:rPr>
                <w:b/>
                <w:noProof/>
                <w:color w:val="000000"/>
              </w:rPr>
              <w:t>Wettbewerbsfähigkeit</w:t>
            </w:r>
            <w:r>
              <w:rPr>
                <w:noProof/>
              </w:rPr>
              <w:t xml:space="preserve"> </w:t>
            </w:r>
            <w:r>
              <w:rPr>
                <w:b/>
                <w:noProof/>
                <w:color w:val="000000"/>
              </w:rPr>
              <w:t>und Dekarbonisierung</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2517C1A" w14:textId="77777777" w:rsidR="00A85F9F" w:rsidRPr="00894E1F" w:rsidRDefault="00A85F9F" w:rsidP="006E17E7">
            <w:pPr>
              <w:jc w:val="both"/>
              <w:rPr>
                <w:rFonts w:cs="Calibri"/>
                <w:b/>
                <w:i/>
                <w:noProof/>
                <w:color w:val="000000"/>
                <w:u w:val="single"/>
              </w:rPr>
            </w:pPr>
            <w:r>
              <w:rPr>
                <w:b/>
                <w:noProof/>
                <w:color w:val="000000"/>
              </w:rPr>
              <w:t>EU-Start-up- und Scale-up-Strategie</w:t>
            </w:r>
            <w:r>
              <w:rPr>
                <w:noProof/>
                <w:color w:val="000000"/>
              </w:rPr>
              <w:t xml:space="preserve"> (nicht legislativ, 2. Quartal 2025)</w:t>
            </w:r>
          </w:p>
        </w:tc>
      </w:tr>
      <w:tr w:rsidR="00A85F9F" w:rsidRPr="008E1F61" w14:paraId="2C09C7DC" w14:textId="77777777" w:rsidTr="00071F72">
        <w:trPr>
          <w:cantSplit/>
          <w:trHeight w:val="300"/>
        </w:trPr>
        <w:tc>
          <w:tcPr>
            <w:tcW w:w="704" w:type="dxa"/>
            <w:vMerge w:val="restart"/>
            <w:tcBorders>
              <w:right w:val="single" w:sz="4" w:space="0" w:color="auto"/>
            </w:tcBorders>
          </w:tcPr>
          <w:p w14:paraId="3D17AA31" w14:textId="77777777" w:rsidR="00A85F9F" w:rsidRPr="008E1F61" w:rsidRDefault="00A85F9F" w:rsidP="006E17E7">
            <w:pPr>
              <w:pStyle w:val="ListParagraph"/>
              <w:numPr>
                <w:ilvl w:val="0"/>
                <w:numId w:val="3"/>
              </w:numPr>
              <w:spacing w:after="0"/>
              <w:ind w:left="473"/>
              <w:rPr>
                <w:rFonts w:eastAsia="Calibri"/>
                <w:noProof/>
                <w:lang w:val="en-IE"/>
              </w:rPr>
            </w:pPr>
          </w:p>
        </w:tc>
        <w:tc>
          <w:tcPr>
            <w:tcW w:w="3260" w:type="dxa"/>
            <w:vMerge w:val="restart"/>
            <w:tcBorders>
              <w:left w:val="single" w:sz="4" w:space="0" w:color="auto"/>
              <w:right w:val="single" w:sz="4" w:space="0" w:color="auto"/>
            </w:tcBorders>
            <w:tcMar>
              <w:top w:w="85" w:type="dxa"/>
              <w:bottom w:w="85" w:type="dxa"/>
            </w:tcMar>
          </w:tcPr>
          <w:p w14:paraId="4FE8F045" w14:textId="6FD3E4AC" w:rsidR="00A85F9F" w:rsidRPr="00160006" w:rsidRDefault="00C85B4C" w:rsidP="006E17E7">
            <w:pPr>
              <w:rPr>
                <w:rFonts w:cs="Calibri"/>
                <w:b/>
                <w:noProof/>
                <w:color w:val="000000"/>
              </w:rPr>
            </w:pPr>
            <w:r>
              <w:rPr>
                <w:b/>
                <w:noProof/>
                <w:color w:val="000000"/>
              </w:rPr>
              <w:t>Wettbewerbsfähigkeit</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36566913" w14:textId="553C9806" w:rsidR="00A85F9F" w:rsidRPr="00894E1F" w:rsidRDefault="00A85F9F" w:rsidP="006E17E7">
            <w:pPr>
              <w:jc w:val="both"/>
              <w:rPr>
                <w:rFonts w:cs="Calibri"/>
                <w:b/>
                <w:noProof/>
                <w:color w:val="000000"/>
              </w:rPr>
            </w:pPr>
            <w:r>
              <w:rPr>
                <w:b/>
                <w:noProof/>
                <w:color w:val="000000" w:themeColor="text1"/>
              </w:rPr>
              <w:t>Mitteilung über eine Spar- und Investitionsunion</w:t>
            </w:r>
            <w:r>
              <w:rPr>
                <w:noProof/>
              </w:rPr>
              <w:t xml:space="preserve"> </w:t>
            </w:r>
            <w:r>
              <w:rPr>
                <w:noProof/>
                <w:color w:val="000000" w:themeColor="text1"/>
              </w:rPr>
              <w:t>(nicht legislativ, 1. Quartal 2025)</w:t>
            </w:r>
          </w:p>
        </w:tc>
      </w:tr>
      <w:tr w:rsidR="00A85F9F" w:rsidRPr="008E1F61" w14:paraId="33B88897" w14:textId="77777777" w:rsidTr="00771591">
        <w:trPr>
          <w:cantSplit/>
          <w:trHeight w:val="300"/>
        </w:trPr>
        <w:tc>
          <w:tcPr>
            <w:tcW w:w="704" w:type="dxa"/>
            <w:vMerge/>
          </w:tcPr>
          <w:p w14:paraId="0E45011E" w14:textId="77777777" w:rsidR="00A85F9F" w:rsidRPr="008E1F61" w:rsidRDefault="00A85F9F" w:rsidP="006E17E7">
            <w:pPr>
              <w:numPr>
                <w:ilvl w:val="0"/>
                <w:numId w:val="3"/>
              </w:numPr>
              <w:ind w:left="473"/>
              <w:jc w:val="both"/>
              <w:rPr>
                <w:rFonts w:eastAsia="Calibri"/>
                <w:noProof/>
                <w:lang w:val="en-IE"/>
              </w:rPr>
            </w:pPr>
          </w:p>
        </w:tc>
        <w:tc>
          <w:tcPr>
            <w:tcW w:w="3260" w:type="dxa"/>
            <w:vMerge/>
            <w:tcMar>
              <w:top w:w="85" w:type="dxa"/>
              <w:bottom w:w="85" w:type="dxa"/>
            </w:tcMar>
          </w:tcPr>
          <w:p w14:paraId="0848863D" w14:textId="77777777" w:rsidR="00A85F9F" w:rsidRPr="00160006" w:rsidRDefault="00A85F9F" w:rsidP="006E17E7">
            <w:pPr>
              <w:rPr>
                <w:rFonts w:cs="Calibri"/>
                <w:b/>
                <w:noProof/>
                <w:color w:val="000000"/>
                <w:lang w:val="en-IE"/>
              </w:rPr>
            </w:pP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61527753" w14:textId="77777777" w:rsidR="00A85F9F" w:rsidRPr="00894E1F" w:rsidRDefault="00A85F9F" w:rsidP="006E17E7">
            <w:pPr>
              <w:jc w:val="both"/>
              <w:rPr>
                <w:rFonts w:cs="Calibri"/>
                <w:b/>
                <w:noProof/>
                <w:color w:val="000000"/>
              </w:rPr>
            </w:pPr>
            <w:r>
              <w:rPr>
                <w:b/>
                <w:noProof/>
                <w:color w:val="000000"/>
              </w:rPr>
              <w:t>Überprüfung des Verbriefungsrahmens</w:t>
            </w:r>
            <w:r>
              <w:rPr>
                <w:noProof/>
                <w:color w:val="000000"/>
              </w:rPr>
              <w:t xml:space="preserve"> (legislativ,</w:t>
            </w:r>
            <w:r>
              <w:rPr>
                <w:noProof/>
              </w:rPr>
              <w:t xml:space="preserve"> einschließlich Folgenabschätzung‚ Artikel 114 AEUV, </w:t>
            </w:r>
            <w:r>
              <w:rPr>
                <w:noProof/>
                <w:color w:val="000000"/>
              </w:rPr>
              <w:t>2. Quartal 2025)</w:t>
            </w:r>
          </w:p>
        </w:tc>
      </w:tr>
      <w:tr w:rsidR="00A85F9F" w:rsidRPr="008E1F61" w14:paraId="3505CE77" w14:textId="77777777" w:rsidTr="000D0181">
        <w:trPr>
          <w:cantSplit/>
          <w:trHeight w:val="300"/>
        </w:trPr>
        <w:tc>
          <w:tcPr>
            <w:tcW w:w="704" w:type="dxa"/>
            <w:tcBorders>
              <w:right w:val="single" w:sz="4" w:space="0" w:color="auto"/>
            </w:tcBorders>
          </w:tcPr>
          <w:p w14:paraId="36AA27AA" w14:textId="77777777" w:rsidR="00A85F9F" w:rsidRPr="008E1F61" w:rsidRDefault="00A85F9F" w:rsidP="006E17E7">
            <w:pPr>
              <w:pStyle w:val="ListParagraph"/>
              <w:numPr>
                <w:ilvl w:val="0"/>
                <w:numId w:val="3"/>
              </w:numPr>
              <w:spacing w:after="0"/>
              <w:ind w:left="473"/>
              <w:rPr>
                <w:rFonts w:eastAsia="Calibri"/>
                <w:noProof/>
                <w:lang w:val="en-IE"/>
              </w:rPr>
            </w:pPr>
          </w:p>
        </w:tc>
        <w:tc>
          <w:tcPr>
            <w:tcW w:w="3260" w:type="dxa"/>
            <w:tcBorders>
              <w:left w:val="single" w:sz="4" w:space="0" w:color="auto"/>
              <w:right w:val="single" w:sz="4" w:space="0" w:color="auto"/>
            </w:tcBorders>
            <w:shd w:val="clear" w:color="auto" w:fill="auto"/>
            <w:tcMar>
              <w:top w:w="85" w:type="dxa"/>
              <w:bottom w:w="85" w:type="dxa"/>
            </w:tcMar>
          </w:tcPr>
          <w:p w14:paraId="38C06C77" w14:textId="4CBB1537" w:rsidR="00A85F9F" w:rsidRPr="00160006" w:rsidRDefault="005579C5" w:rsidP="006E17E7">
            <w:pPr>
              <w:rPr>
                <w:rFonts w:cs="Calibri"/>
                <w:b/>
                <w:noProof/>
                <w:color w:val="000000"/>
              </w:rPr>
            </w:pPr>
            <w:r>
              <w:rPr>
                <w:b/>
                <w:noProof/>
                <w:color w:val="000000"/>
              </w:rPr>
              <w:t>Innovation</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490DE48D" w14:textId="77777777" w:rsidR="00A85F9F" w:rsidRPr="00894E1F" w:rsidRDefault="00A85F9F" w:rsidP="006E17E7">
            <w:pPr>
              <w:jc w:val="both"/>
              <w:rPr>
                <w:rFonts w:cs="Calibri"/>
                <w:b/>
                <w:i/>
                <w:noProof/>
                <w:color w:val="000000"/>
                <w:u w:val="single"/>
              </w:rPr>
            </w:pPr>
            <w:r>
              <w:rPr>
                <w:b/>
                <w:noProof/>
                <w:color w:val="000000"/>
              </w:rPr>
              <w:t xml:space="preserve">Rechtsakt über digitale Netze </w:t>
            </w:r>
            <w:r>
              <w:rPr>
                <w:noProof/>
                <w:color w:val="000000"/>
              </w:rPr>
              <w:t>(legislativ, einschließlich Folgenabschätzung, Artikel 114 AEUV, 4. Quartal 2025)</w:t>
            </w:r>
          </w:p>
        </w:tc>
      </w:tr>
      <w:tr w:rsidR="00A85F9F" w:rsidRPr="00DE4016" w14:paraId="755B0FCE" w14:textId="77777777" w:rsidTr="000D0181">
        <w:trPr>
          <w:cantSplit/>
          <w:trHeight w:val="300"/>
        </w:trPr>
        <w:tc>
          <w:tcPr>
            <w:tcW w:w="704" w:type="dxa"/>
            <w:tcBorders>
              <w:right w:val="single" w:sz="4" w:space="0" w:color="auto"/>
            </w:tcBorders>
          </w:tcPr>
          <w:p w14:paraId="3ACE6B85" w14:textId="77777777" w:rsidR="00A85F9F" w:rsidRPr="008E1F61" w:rsidRDefault="00A85F9F" w:rsidP="006E17E7">
            <w:pPr>
              <w:pStyle w:val="ListParagraph"/>
              <w:numPr>
                <w:ilvl w:val="0"/>
                <w:numId w:val="3"/>
              </w:numPr>
              <w:spacing w:after="0"/>
              <w:ind w:left="473"/>
              <w:rPr>
                <w:rFonts w:eastAsia="Calibri"/>
                <w:noProof/>
                <w:lang w:val="en-IE"/>
              </w:rPr>
            </w:pPr>
          </w:p>
        </w:tc>
        <w:tc>
          <w:tcPr>
            <w:tcW w:w="3260" w:type="dxa"/>
            <w:tcBorders>
              <w:left w:val="single" w:sz="4" w:space="0" w:color="auto"/>
              <w:right w:val="single" w:sz="4" w:space="0" w:color="auto"/>
            </w:tcBorders>
            <w:shd w:val="clear" w:color="auto" w:fill="auto"/>
            <w:tcMar>
              <w:top w:w="85" w:type="dxa"/>
              <w:bottom w:w="85" w:type="dxa"/>
            </w:tcMar>
          </w:tcPr>
          <w:p w14:paraId="1BFFA150" w14:textId="4029BDB1" w:rsidR="00A85F9F" w:rsidRPr="00160006" w:rsidRDefault="0022648A" w:rsidP="006E17E7">
            <w:pPr>
              <w:rPr>
                <w:rFonts w:cs="Calibri"/>
                <w:b/>
                <w:noProof/>
                <w:color w:val="000000"/>
              </w:rPr>
            </w:pPr>
            <w:r>
              <w:rPr>
                <w:b/>
                <w:noProof/>
                <w:color w:val="000000"/>
              </w:rPr>
              <w:t>Innovation</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38DC454B" w14:textId="0912D81B" w:rsidR="00A85F9F" w:rsidRPr="00E05633" w:rsidRDefault="00A85F9F" w:rsidP="006E17E7">
            <w:pPr>
              <w:jc w:val="both"/>
              <w:rPr>
                <w:rFonts w:cs="Calibri"/>
                <w:b/>
                <w:noProof/>
                <w:color w:val="000000"/>
              </w:rPr>
            </w:pPr>
            <w:r>
              <w:rPr>
                <w:b/>
                <w:noProof/>
                <w:color w:val="000000" w:themeColor="text1"/>
              </w:rPr>
              <w:t>Aktionsplan „KI-Kontinent“</w:t>
            </w:r>
            <w:r>
              <w:rPr>
                <w:i/>
                <w:noProof/>
                <w:color w:val="000000" w:themeColor="text1"/>
              </w:rPr>
              <w:t xml:space="preserve"> (nicht legislativ, 1. Quartal 2025)</w:t>
            </w:r>
          </w:p>
        </w:tc>
      </w:tr>
      <w:tr w:rsidR="00A85F9F" w:rsidRPr="008E1F61" w14:paraId="2E3E1653" w14:textId="77777777" w:rsidTr="000D0181">
        <w:trPr>
          <w:cantSplit/>
          <w:trHeight w:val="300"/>
        </w:trPr>
        <w:tc>
          <w:tcPr>
            <w:tcW w:w="704" w:type="dxa"/>
            <w:tcBorders>
              <w:right w:val="single" w:sz="4" w:space="0" w:color="auto"/>
            </w:tcBorders>
          </w:tcPr>
          <w:p w14:paraId="20E0C378" w14:textId="77777777" w:rsidR="00A85F9F" w:rsidRPr="008E1F61" w:rsidRDefault="00A85F9F" w:rsidP="006E17E7">
            <w:pPr>
              <w:pStyle w:val="ListParagraph"/>
              <w:numPr>
                <w:ilvl w:val="0"/>
                <w:numId w:val="3"/>
              </w:numPr>
              <w:spacing w:after="0"/>
              <w:ind w:left="473"/>
              <w:rPr>
                <w:rFonts w:eastAsia="Calibri"/>
                <w:noProof/>
                <w:lang w:val="it-IT"/>
              </w:rPr>
            </w:pPr>
          </w:p>
        </w:tc>
        <w:tc>
          <w:tcPr>
            <w:tcW w:w="3260" w:type="dxa"/>
            <w:tcBorders>
              <w:left w:val="single" w:sz="4" w:space="0" w:color="auto"/>
              <w:right w:val="single" w:sz="4" w:space="0" w:color="auto"/>
            </w:tcBorders>
            <w:shd w:val="clear" w:color="auto" w:fill="auto"/>
            <w:tcMar>
              <w:top w:w="85" w:type="dxa"/>
              <w:bottom w:w="85" w:type="dxa"/>
            </w:tcMar>
          </w:tcPr>
          <w:p w14:paraId="69B78EC2" w14:textId="1ED554BF" w:rsidR="00A85F9F" w:rsidRPr="0020291F" w:rsidRDefault="0022648A" w:rsidP="006E17E7">
            <w:pPr>
              <w:rPr>
                <w:rFonts w:cs="Calibri"/>
                <w:b/>
                <w:noProof/>
                <w:color w:val="000000"/>
              </w:rPr>
            </w:pPr>
            <w:r>
              <w:rPr>
                <w:b/>
                <w:noProof/>
                <w:color w:val="000000"/>
              </w:rPr>
              <w:t>Innovation</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41ECA336" w14:textId="77777777" w:rsidR="00A85F9F" w:rsidRPr="00894E1F" w:rsidRDefault="00A85F9F" w:rsidP="006E17E7">
            <w:pPr>
              <w:jc w:val="both"/>
              <w:rPr>
                <w:rFonts w:cs="Calibri"/>
                <w:b/>
                <w:noProof/>
                <w:color w:val="000000"/>
              </w:rPr>
            </w:pPr>
            <w:r>
              <w:rPr>
                <w:b/>
                <w:noProof/>
                <w:color w:val="000000"/>
              </w:rPr>
              <w:t xml:space="preserve">EU-Strategie für Quantentechnologie </w:t>
            </w:r>
            <w:r>
              <w:rPr>
                <w:noProof/>
                <w:color w:val="000000"/>
              </w:rPr>
              <w:t>(nicht legislativ, 2. Quartal 2025)</w:t>
            </w:r>
          </w:p>
        </w:tc>
      </w:tr>
      <w:tr w:rsidR="00A85F9F" w:rsidRPr="008E1F61" w14:paraId="606ED1EB" w14:textId="77777777" w:rsidTr="000D0181">
        <w:trPr>
          <w:cantSplit/>
          <w:trHeight w:val="300"/>
        </w:trPr>
        <w:tc>
          <w:tcPr>
            <w:tcW w:w="704" w:type="dxa"/>
          </w:tcPr>
          <w:p w14:paraId="1EEB417A" w14:textId="77777777" w:rsidR="00A85F9F" w:rsidRPr="008E1F61" w:rsidRDefault="00A85F9F" w:rsidP="006E17E7">
            <w:pPr>
              <w:pStyle w:val="ListParagraph"/>
              <w:numPr>
                <w:ilvl w:val="0"/>
                <w:numId w:val="3"/>
              </w:numPr>
              <w:spacing w:after="0"/>
              <w:ind w:left="473"/>
              <w:rPr>
                <w:rFonts w:eastAsia="Calibri"/>
                <w:noProof/>
                <w:lang w:val="en-IE"/>
              </w:rPr>
            </w:pPr>
          </w:p>
        </w:tc>
        <w:tc>
          <w:tcPr>
            <w:tcW w:w="3260" w:type="dxa"/>
            <w:tcBorders>
              <w:left w:val="single" w:sz="4" w:space="0" w:color="auto"/>
              <w:right w:val="single" w:sz="4" w:space="0" w:color="auto"/>
            </w:tcBorders>
            <w:tcMar>
              <w:top w:w="85" w:type="dxa"/>
              <w:bottom w:w="85" w:type="dxa"/>
            </w:tcMar>
          </w:tcPr>
          <w:p w14:paraId="423B9832" w14:textId="017A516A" w:rsidR="00A85F9F" w:rsidRPr="0020291F" w:rsidRDefault="009506D1" w:rsidP="006E17E7">
            <w:pPr>
              <w:rPr>
                <w:rFonts w:cs="Calibri"/>
                <w:b/>
                <w:noProof/>
                <w:color w:val="000000"/>
              </w:rPr>
            </w:pPr>
            <w:r>
              <w:rPr>
                <w:b/>
                <w:noProof/>
                <w:color w:val="000000"/>
              </w:rPr>
              <w:t>Wettbewerbsfähigkeit</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34A9CD2" w14:textId="77777777" w:rsidR="00A85F9F" w:rsidRPr="00894E1F" w:rsidRDefault="00A85F9F" w:rsidP="006E17E7">
            <w:pPr>
              <w:ind w:hanging="36"/>
              <w:jc w:val="both"/>
              <w:rPr>
                <w:rFonts w:cs="Calibri"/>
                <w:b/>
                <w:i/>
                <w:iCs/>
                <w:noProof/>
                <w:color w:val="000000"/>
                <w:u w:val="single"/>
              </w:rPr>
            </w:pPr>
            <w:r>
              <w:rPr>
                <w:b/>
                <w:noProof/>
                <w:color w:val="000000"/>
              </w:rPr>
              <w:t xml:space="preserve">EU-Rechtsakt zum Weltraum </w:t>
            </w:r>
            <w:r>
              <w:rPr>
                <w:noProof/>
                <w:color w:val="000000"/>
              </w:rPr>
              <w:t>(legislativ, einschließlich Folgenabschätzung, Artikel 114 AEUV, 2. Quartal 2025)</w:t>
            </w:r>
          </w:p>
        </w:tc>
      </w:tr>
      <w:tr w:rsidR="00632D0F" w:rsidRPr="008E1F61" w14:paraId="068641E2" w14:textId="77777777" w:rsidTr="00632D0F">
        <w:trPr>
          <w:cantSplit/>
          <w:trHeight w:val="443"/>
        </w:trPr>
        <w:tc>
          <w:tcPr>
            <w:tcW w:w="704" w:type="dxa"/>
          </w:tcPr>
          <w:p w14:paraId="5B017101" w14:textId="77777777" w:rsidR="00632D0F" w:rsidRPr="008E1F61" w:rsidRDefault="00632D0F" w:rsidP="006E17E7">
            <w:pPr>
              <w:pStyle w:val="ListParagraph"/>
              <w:numPr>
                <w:ilvl w:val="0"/>
                <w:numId w:val="3"/>
              </w:numPr>
              <w:spacing w:after="0"/>
              <w:ind w:left="473"/>
              <w:rPr>
                <w:rFonts w:eastAsia="Calibri"/>
                <w:noProof/>
                <w:lang w:val="en-IE"/>
              </w:rPr>
            </w:pPr>
          </w:p>
        </w:tc>
        <w:tc>
          <w:tcPr>
            <w:tcW w:w="3260" w:type="dxa"/>
            <w:tcBorders>
              <w:left w:val="single" w:sz="4" w:space="0" w:color="auto"/>
              <w:right w:val="single" w:sz="4" w:space="0" w:color="auto"/>
            </w:tcBorders>
            <w:tcMar>
              <w:top w:w="85" w:type="dxa"/>
              <w:bottom w:w="85" w:type="dxa"/>
            </w:tcMar>
          </w:tcPr>
          <w:p w14:paraId="6159149E" w14:textId="41FBE1E4" w:rsidR="00632D0F" w:rsidRPr="0020291F" w:rsidRDefault="00632D0F" w:rsidP="006E17E7">
            <w:pPr>
              <w:rPr>
                <w:rFonts w:cs="Calibri"/>
                <w:b/>
                <w:noProof/>
                <w:color w:val="000000"/>
              </w:rPr>
            </w:pPr>
            <w:r>
              <w:rPr>
                <w:b/>
                <w:noProof/>
                <w:color w:val="000000"/>
              </w:rPr>
              <w:t>Wettbewerbsfähigkeit</w:t>
            </w:r>
            <w:r>
              <w:rPr>
                <w:noProof/>
              </w:rPr>
              <w:t xml:space="preserve"> </w:t>
            </w:r>
            <w:r>
              <w:rPr>
                <w:b/>
                <w:noProof/>
                <w:color w:val="000000"/>
              </w:rPr>
              <w:t>und Dekarbonisierung</w:t>
            </w:r>
          </w:p>
        </w:tc>
        <w:tc>
          <w:tcPr>
            <w:tcW w:w="9923" w:type="dxa"/>
            <w:tcBorders>
              <w:left w:val="single" w:sz="4" w:space="0" w:color="auto"/>
              <w:right w:val="single" w:sz="4" w:space="0" w:color="auto"/>
            </w:tcBorders>
            <w:shd w:val="clear" w:color="auto" w:fill="auto"/>
            <w:tcMar>
              <w:top w:w="85" w:type="dxa"/>
              <w:bottom w:w="85" w:type="dxa"/>
            </w:tcMar>
          </w:tcPr>
          <w:p w14:paraId="3178E8C3" w14:textId="77777777" w:rsidR="00632D0F" w:rsidRPr="00894E1F" w:rsidRDefault="00632D0F" w:rsidP="006E17E7">
            <w:pPr>
              <w:ind w:hanging="36"/>
              <w:jc w:val="both"/>
              <w:rPr>
                <w:rFonts w:cs="Calibri"/>
                <w:b/>
                <w:i/>
                <w:iCs/>
                <w:noProof/>
                <w:color w:val="000000"/>
                <w:u w:val="single"/>
              </w:rPr>
            </w:pPr>
            <w:r>
              <w:rPr>
                <w:b/>
                <w:noProof/>
                <w:color w:val="000000"/>
              </w:rPr>
              <w:t xml:space="preserve">Strategie für Bioökonomie </w:t>
            </w:r>
            <w:r>
              <w:rPr>
                <w:noProof/>
                <w:color w:val="000000"/>
              </w:rPr>
              <w:t>(nicht legislativ oder legislativ, 4. Quartal 2025)</w:t>
            </w:r>
          </w:p>
        </w:tc>
      </w:tr>
      <w:tr w:rsidR="00A85F9F" w:rsidRPr="008E1F61" w14:paraId="6BB3E6A9" w14:textId="77777777" w:rsidTr="007614B3">
        <w:trPr>
          <w:cantSplit/>
          <w:trHeight w:val="300"/>
        </w:trPr>
        <w:tc>
          <w:tcPr>
            <w:tcW w:w="704" w:type="dxa"/>
          </w:tcPr>
          <w:p w14:paraId="46612E0F" w14:textId="77777777" w:rsidR="00A85F9F" w:rsidRPr="00D25D97" w:rsidRDefault="00A85F9F" w:rsidP="006E17E7">
            <w:pPr>
              <w:pStyle w:val="ListParagraph"/>
              <w:numPr>
                <w:ilvl w:val="0"/>
                <w:numId w:val="3"/>
              </w:numPr>
              <w:spacing w:after="0"/>
              <w:ind w:left="473"/>
              <w:rPr>
                <w:rFonts w:eastAsia="Calibri" w:cs="Arial"/>
                <w:noProof/>
                <w:lang w:val="en-IE"/>
              </w:rPr>
            </w:pPr>
          </w:p>
        </w:tc>
        <w:tc>
          <w:tcPr>
            <w:tcW w:w="3260" w:type="dxa"/>
            <w:tcBorders>
              <w:left w:val="single" w:sz="4" w:space="0" w:color="auto"/>
              <w:right w:val="single" w:sz="4" w:space="0" w:color="auto"/>
            </w:tcBorders>
            <w:shd w:val="clear" w:color="auto" w:fill="auto"/>
            <w:tcMar>
              <w:top w:w="85" w:type="dxa"/>
              <w:bottom w:w="85" w:type="dxa"/>
            </w:tcMar>
          </w:tcPr>
          <w:p w14:paraId="1930D031" w14:textId="7611A120" w:rsidR="00A85F9F" w:rsidRPr="0020291F" w:rsidRDefault="005F4F21" w:rsidP="006E17E7">
            <w:pPr>
              <w:rPr>
                <w:rFonts w:cs="Calibri"/>
                <w:b/>
                <w:noProof/>
                <w:color w:val="000000"/>
              </w:rPr>
            </w:pPr>
            <w:r>
              <w:rPr>
                <w:b/>
                <w:noProof/>
              </w:rPr>
              <w:t>Vereinfachung</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00AF9A02" w14:textId="77777777" w:rsidR="00A85F9F" w:rsidRPr="007C64AF" w:rsidRDefault="00A85F9F" w:rsidP="006E17E7">
            <w:pPr>
              <w:ind w:hanging="36"/>
              <w:jc w:val="both"/>
              <w:rPr>
                <w:rFonts w:cs="Calibri"/>
                <w:b/>
                <w:noProof/>
                <w:color w:val="000000"/>
              </w:rPr>
            </w:pPr>
            <w:r>
              <w:rPr>
                <w:b/>
                <w:noProof/>
                <w:color w:val="000000"/>
              </w:rPr>
              <w:t xml:space="preserve">Gezielte Überarbeitung der REACH-Verordnung </w:t>
            </w:r>
            <w:r>
              <w:rPr>
                <w:noProof/>
                <w:color w:val="000000"/>
              </w:rPr>
              <w:t>(legislativ, Artikel 114 AEUV, 4. Quartal 2025)</w:t>
            </w:r>
          </w:p>
        </w:tc>
      </w:tr>
      <w:tr w:rsidR="00A85F9F" w:rsidRPr="008E1F61" w14:paraId="25DCA3BF" w14:textId="77777777" w:rsidTr="00F14026">
        <w:trPr>
          <w:cantSplit/>
          <w:trHeight w:val="300"/>
        </w:trPr>
        <w:tc>
          <w:tcPr>
            <w:tcW w:w="704" w:type="dxa"/>
            <w:tcBorders>
              <w:right w:val="single" w:sz="4" w:space="0" w:color="auto"/>
            </w:tcBorders>
          </w:tcPr>
          <w:p w14:paraId="50503D2A" w14:textId="77777777" w:rsidR="00A85F9F" w:rsidRPr="00160006" w:rsidRDefault="00A85F9F" w:rsidP="006E17E7">
            <w:pPr>
              <w:pStyle w:val="ListParagraph"/>
              <w:numPr>
                <w:ilvl w:val="0"/>
                <w:numId w:val="3"/>
              </w:numPr>
              <w:spacing w:after="0"/>
              <w:ind w:left="473"/>
              <w:rPr>
                <w:rFonts w:eastAsia="Calibri" w:cs="Arial"/>
                <w:noProof/>
                <w:lang w:val="en-IE"/>
              </w:rPr>
            </w:pPr>
          </w:p>
        </w:tc>
        <w:tc>
          <w:tcPr>
            <w:tcW w:w="3260" w:type="dxa"/>
            <w:tcMar>
              <w:top w:w="85" w:type="dxa"/>
              <w:bottom w:w="85" w:type="dxa"/>
            </w:tcMar>
          </w:tcPr>
          <w:p w14:paraId="31475D02" w14:textId="523048B0" w:rsidR="00A85F9F" w:rsidRPr="00160006" w:rsidRDefault="009446BF" w:rsidP="006E17E7">
            <w:pPr>
              <w:rPr>
                <w:rFonts w:cs="Calibri"/>
                <w:b/>
                <w:noProof/>
                <w:color w:val="000000"/>
              </w:rPr>
            </w:pPr>
            <w:r>
              <w:rPr>
                <w:b/>
                <w:noProof/>
                <w:color w:val="000000"/>
              </w:rPr>
              <w:t>Sicherheit</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19C7ED05" w14:textId="77777777" w:rsidR="00A85F9F" w:rsidRPr="00894E1F" w:rsidRDefault="00A85F9F" w:rsidP="006E17E7">
            <w:pPr>
              <w:ind w:hanging="36"/>
              <w:jc w:val="both"/>
              <w:rPr>
                <w:rFonts w:cs="Calibri"/>
                <w:b/>
                <w:noProof/>
                <w:color w:val="000000"/>
              </w:rPr>
            </w:pPr>
            <w:r>
              <w:rPr>
                <w:b/>
                <w:noProof/>
                <w:color w:val="000000"/>
              </w:rPr>
              <w:t xml:space="preserve">Fahrplan für die Beendigung der Energieeinfuhren aus Russland </w:t>
            </w:r>
            <w:r>
              <w:rPr>
                <w:noProof/>
                <w:color w:val="000000"/>
              </w:rPr>
              <w:t>(nicht legislativ, 1. Quartal 2025)</w:t>
            </w:r>
          </w:p>
        </w:tc>
      </w:tr>
      <w:tr w:rsidR="00A85F9F" w:rsidRPr="008E1F61" w14:paraId="175C576D" w14:textId="77777777" w:rsidTr="00F14026">
        <w:trPr>
          <w:cantSplit/>
          <w:trHeight w:val="170"/>
        </w:trPr>
        <w:tc>
          <w:tcPr>
            <w:tcW w:w="704" w:type="dxa"/>
          </w:tcPr>
          <w:p w14:paraId="1C82A271" w14:textId="77777777" w:rsidR="00A85F9F" w:rsidRPr="008E1F61" w:rsidRDefault="00A85F9F" w:rsidP="006E17E7">
            <w:pPr>
              <w:numPr>
                <w:ilvl w:val="0"/>
                <w:numId w:val="3"/>
              </w:numPr>
              <w:ind w:left="473"/>
              <w:jc w:val="both"/>
              <w:rPr>
                <w:rFonts w:eastAsia="Calibri"/>
                <w:noProof/>
                <w:lang w:val="en-IE"/>
              </w:rPr>
            </w:pPr>
          </w:p>
        </w:tc>
        <w:tc>
          <w:tcPr>
            <w:tcW w:w="3260" w:type="dxa"/>
            <w:tcMar>
              <w:top w:w="85" w:type="dxa"/>
              <w:bottom w:w="85" w:type="dxa"/>
            </w:tcMar>
          </w:tcPr>
          <w:p w14:paraId="5A9E8A89" w14:textId="079C133E" w:rsidR="00A85F9F" w:rsidRPr="0020291F" w:rsidRDefault="00F74541" w:rsidP="006E17E7">
            <w:pPr>
              <w:rPr>
                <w:rFonts w:cs="Calibri"/>
                <w:b/>
                <w:noProof/>
                <w:color w:val="000000"/>
              </w:rPr>
            </w:pPr>
            <w:r>
              <w:rPr>
                <w:b/>
                <w:noProof/>
                <w:color w:val="000000"/>
              </w:rPr>
              <w:t>Wettbewerbsfähigkeit</w:t>
            </w:r>
            <w:r>
              <w:rPr>
                <w:noProof/>
              </w:rPr>
              <w:t xml:space="preserve"> </w:t>
            </w:r>
            <w:r>
              <w:rPr>
                <w:b/>
                <w:noProof/>
                <w:color w:val="000000"/>
              </w:rPr>
              <w:t>und Dekarbonisierung</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F35A089" w14:textId="77777777" w:rsidR="00A85F9F" w:rsidRPr="0020291F" w:rsidRDefault="00A85F9F" w:rsidP="006E17E7">
            <w:pPr>
              <w:ind w:hanging="36"/>
              <w:jc w:val="both"/>
              <w:rPr>
                <w:rFonts w:cs="Calibri"/>
                <w:b/>
                <w:noProof/>
                <w:color w:val="000000"/>
                <w:highlight w:val="yellow"/>
              </w:rPr>
            </w:pPr>
            <w:r>
              <w:rPr>
                <w:b/>
                <w:noProof/>
                <w:color w:val="000000" w:themeColor="text1"/>
              </w:rPr>
              <w:t xml:space="preserve">Investitionsplan für nachhaltigen Verkehr </w:t>
            </w:r>
            <w:r>
              <w:rPr>
                <w:noProof/>
                <w:color w:val="000000" w:themeColor="text1"/>
              </w:rPr>
              <w:t>(nicht legislativ, 3. Quartal 2025)</w:t>
            </w:r>
          </w:p>
        </w:tc>
      </w:tr>
      <w:tr w:rsidR="00A85F9F" w:rsidRPr="008E1F61" w14:paraId="33AF9BEA" w14:textId="77777777" w:rsidTr="006E17E7">
        <w:trPr>
          <w:cantSplit/>
          <w:trHeight w:val="300"/>
        </w:trPr>
        <w:tc>
          <w:tcPr>
            <w:tcW w:w="13887" w:type="dxa"/>
            <w:gridSpan w:val="3"/>
            <w:tcBorders>
              <w:bottom w:val="single" w:sz="4" w:space="0" w:color="auto"/>
            </w:tcBorders>
            <w:shd w:val="clear" w:color="auto" w:fill="006666"/>
          </w:tcPr>
          <w:p w14:paraId="4C92B827" w14:textId="77777777" w:rsidR="00A85F9F" w:rsidRPr="00CC462E" w:rsidRDefault="00A85F9F" w:rsidP="006E17E7">
            <w:pPr>
              <w:keepNext/>
              <w:spacing w:before="60" w:after="60"/>
              <w:jc w:val="both"/>
              <w:rPr>
                <w:b/>
                <w:bCs/>
                <w:noProof/>
                <w:color w:val="FFFFFF"/>
              </w:rPr>
            </w:pPr>
            <w:r>
              <w:rPr>
                <w:b/>
                <w:noProof/>
                <w:color w:val="FFFFFF"/>
              </w:rPr>
              <w:t>Eine neue Ära für die europäische Verteidigung und Sicherheit</w:t>
            </w:r>
          </w:p>
        </w:tc>
      </w:tr>
      <w:tr w:rsidR="00A85F9F" w:rsidRPr="008E1F61" w14:paraId="1493D999" w14:textId="77777777" w:rsidTr="00F14026">
        <w:trPr>
          <w:cantSplit/>
          <w:trHeight w:val="300"/>
        </w:trPr>
        <w:tc>
          <w:tcPr>
            <w:tcW w:w="704" w:type="dxa"/>
            <w:tcBorders>
              <w:right w:val="single" w:sz="4" w:space="0" w:color="auto"/>
            </w:tcBorders>
          </w:tcPr>
          <w:p w14:paraId="72FD417D" w14:textId="77777777" w:rsidR="00A85F9F" w:rsidRPr="009022CF" w:rsidRDefault="00A85F9F" w:rsidP="006E17E7">
            <w:pPr>
              <w:pStyle w:val="ListParagraph"/>
              <w:numPr>
                <w:ilvl w:val="0"/>
                <w:numId w:val="3"/>
              </w:numPr>
              <w:spacing w:after="0"/>
              <w:ind w:left="473"/>
              <w:rPr>
                <w:noProof/>
              </w:rPr>
            </w:pPr>
          </w:p>
        </w:tc>
        <w:tc>
          <w:tcPr>
            <w:tcW w:w="3260" w:type="dxa"/>
            <w:tcBorders>
              <w:left w:val="single" w:sz="4" w:space="0" w:color="auto"/>
            </w:tcBorders>
            <w:tcMar>
              <w:top w:w="85" w:type="dxa"/>
              <w:bottom w:w="85" w:type="dxa"/>
            </w:tcMar>
          </w:tcPr>
          <w:p w14:paraId="78C63E4F" w14:textId="369A16A8" w:rsidR="00A85F9F" w:rsidRPr="0020291F" w:rsidRDefault="009B6D69" w:rsidP="006E17E7">
            <w:pPr>
              <w:jc w:val="both"/>
              <w:rPr>
                <w:b/>
                <w:noProof/>
                <w:color w:val="000000"/>
              </w:rPr>
            </w:pPr>
            <w:r>
              <w:rPr>
                <w:b/>
                <w:noProof/>
                <w:color w:val="000000"/>
              </w:rPr>
              <w:t>Sicherheit</w:t>
            </w:r>
          </w:p>
        </w:tc>
        <w:tc>
          <w:tcPr>
            <w:tcW w:w="9923" w:type="dxa"/>
            <w:tcBorders>
              <w:bottom w:val="single" w:sz="4" w:space="0" w:color="auto"/>
            </w:tcBorders>
            <w:shd w:val="clear" w:color="auto" w:fill="auto"/>
            <w:tcMar>
              <w:top w:w="85" w:type="dxa"/>
              <w:bottom w:w="85" w:type="dxa"/>
            </w:tcMar>
          </w:tcPr>
          <w:p w14:paraId="68515E19" w14:textId="77777777" w:rsidR="00A85F9F" w:rsidRPr="0020291F" w:rsidRDefault="00A85F9F" w:rsidP="006E17E7">
            <w:pPr>
              <w:rPr>
                <w:rFonts w:cstheme="minorHAnsi"/>
                <w:noProof/>
              </w:rPr>
            </w:pPr>
            <w:r>
              <w:rPr>
                <w:b/>
                <w:noProof/>
                <w:color w:val="000000"/>
              </w:rPr>
              <w:t>Weißbuch zur Zukunft der europäischen Verteidigung</w:t>
            </w:r>
            <w:r>
              <w:rPr>
                <w:noProof/>
              </w:rPr>
              <w:t xml:space="preserve"> </w:t>
            </w:r>
            <w:r>
              <w:rPr>
                <w:noProof/>
                <w:color w:val="000000"/>
              </w:rPr>
              <w:t>(nicht legislativ, 1. Quartal 2025)</w:t>
            </w:r>
          </w:p>
        </w:tc>
      </w:tr>
      <w:tr w:rsidR="00A85F9F" w:rsidRPr="008E1F61" w14:paraId="09EFA0BC" w14:textId="77777777" w:rsidTr="00F14026">
        <w:trPr>
          <w:cantSplit/>
          <w:trHeight w:val="300"/>
        </w:trPr>
        <w:tc>
          <w:tcPr>
            <w:tcW w:w="704" w:type="dxa"/>
            <w:tcBorders>
              <w:right w:val="single" w:sz="4" w:space="0" w:color="auto"/>
            </w:tcBorders>
          </w:tcPr>
          <w:p w14:paraId="070F875F" w14:textId="77777777" w:rsidR="00A85F9F" w:rsidRPr="008F07C6" w:rsidRDefault="00A85F9F" w:rsidP="006E17E7">
            <w:pPr>
              <w:pStyle w:val="ListParagraph"/>
              <w:numPr>
                <w:ilvl w:val="0"/>
                <w:numId w:val="3"/>
              </w:numPr>
              <w:spacing w:after="0"/>
              <w:ind w:left="473"/>
              <w:rPr>
                <w:noProof/>
                <w:lang w:val="en-IE"/>
              </w:rPr>
            </w:pPr>
          </w:p>
        </w:tc>
        <w:tc>
          <w:tcPr>
            <w:tcW w:w="3260" w:type="dxa"/>
            <w:tcBorders>
              <w:left w:val="single" w:sz="4" w:space="0" w:color="auto"/>
            </w:tcBorders>
            <w:tcMar>
              <w:top w:w="85" w:type="dxa"/>
              <w:bottom w:w="85" w:type="dxa"/>
            </w:tcMar>
          </w:tcPr>
          <w:p w14:paraId="79C8F13E" w14:textId="012C358E" w:rsidR="00A85F9F" w:rsidRPr="0020291F" w:rsidRDefault="00263F39" w:rsidP="006E17E7">
            <w:pPr>
              <w:jc w:val="both"/>
              <w:rPr>
                <w:b/>
                <w:noProof/>
                <w:color w:val="000000"/>
              </w:rPr>
            </w:pPr>
            <w:r>
              <w:rPr>
                <w:b/>
                <w:noProof/>
                <w:color w:val="000000"/>
              </w:rPr>
              <w:t>Krisenvorsorge und Resilienz</w:t>
            </w:r>
          </w:p>
        </w:tc>
        <w:tc>
          <w:tcPr>
            <w:tcW w:w="9923" w:type="dxa"/>
            <w:tcBorders>
              <w:bottom w:val="single" w:sz="4" w:space="0" w:color="auto"/>
            </w:tcBorders>
            <w:shd w:val="clear" w:color="auto" w:fill="auto"/>
            <w:tcMar>
              <w:top w:w="85" w:type="dxa"/>
              <w:bottom w:w="85" w:type="dxa"/>
            </w:tcMar>
          </w:tcPr>
          <w:p w14:paraId="2CDBDE65" w14:textId="605EC28F" w:rsidR="00A85F9F" w:rsidRPr="0020291F" w:rsidRDefault="00A85F9F" w:rsidP="006E17E7">
            <w:pPr>
              <w:contextualSpacing/>
              <w:jc w:val="both"/>
              <w:rPr>
                <w:b/>
                <w:bCs/>
                <w:noProof/>
                <w:color w:val="000000"/>
                <w:highlight w:val="green"/>
              </w:rPr>
            </w:pPr>
            <w:r>
              <w:rPr>
                <w:b/>
                <w:noProof/>
                <w:color w:val="000000" w:themeColor="text1"/>
              </w:rPr>
              <w:t xml:space="preserve">EU-Strategie für eine krisenfeste Union </w:t>
            </w:r>
            <w:r>
              <w:rPr>
                <w:noProof/>
                <w:color w:val="000000" w:themeColor="text1"/>
              </w:rPr>
              <w:t>(nicht legislativ, 1. Quartal 2025)</w:t>
            </w:r>
          </w:p>
        </w:tc>
      </w:tr>
      <w:tr w:rsidR="00A85F9F" w:rsidRPr="008E1F61" w14:paraId="5D4886DF" w14:textId="77777777" w:rsidTr="00F14026">
        <w:trPr>
          <w:cantSplit/>
          <w:trHeight w:val="258"/>
        </w:trPr>
        <w:tc>
          <w:tcPr>
            <w:tcW w:w="704" w:type="dxa"/>
            <w:vMerge w:val="restart"/>
            <w:tcBorders>
              <w:right w:val="single" w:sz="4" w:space="0" w:color="auto"/>
            </w:tcBorders>
          </w:tcPr>
          <w:p w14:paraId="48F6102F" w14:textId="77777777" w:rsidR="00A85F9F" w:rsidRPr="008F07C6" w:rsidRDefault="00A85F9F" w:rsidP="006E17E7">
            <w:pPr>
              <w:pStyle w:val="ListParagraph"/>
              <w:numPr>
                <w:ilvl w:val="0"/>
                <w:numId w:val="3"/>
              </w:numPr>
              <w:spacing w:after="0"/>
              <w:ind w:left="473"/>
              <w:rPr>
                <w:noProof/>
                <w:lang w:val="en-IE"/>
              </w:rPr>
            </w:pPr>
          </w:p>
        </w:tc>
        <w:tc>
          <w:tcPr>
            <w:tcW w:w="3260" w:type="dxa"/>
            <w:vMerge w:val="restart"/>
            <w:tcBorders>
              <w:left w:val="single" w:sz="4" w:space="0" w:color="auto"/>
            </w:tcBorders>
            <w:tcMar>
              <w:top w:w="85" w:type="dxa"/>
              <w:bottom w:w="85" w:type="dxa"/>
            </w:tcMar>
          </w:tcPr>
          <w:p w14:paraId="22D7A448" w14:textId="53ED8BF9" w:rsidR="00A85F9F" w:rsidRPr="0020291F" w:rsidRDefault="00263F39" w:rsidP="006E17E7">
            <w:pPr>
              <w:rPr>
                <w:b/>
                <w:noProof/>
                <w:color w:val="000000"/>
              </w:rPr>
            </w:pPr>
            <w:r>
              <w:rPr>
                <w:b/>
                <w:noProof/>
                <w:color w:val="000000"/>
              </w:rPr>
              <w:t>Krisenvorsorge und Resilienz</w:t>
            </w:r>
          </w:p>
        </w:tc>
        <w:tc>
          <w:tcPr>
            <w:tcW w:w="9923" w:type="dxa"/>
            <w:tcBorders>
              <w:bottom w:val="single" w:sz="4" w:space="0" w:color="auto"/>
            </w:tcBorders>
            <w:shd w:val="clear" w:color="auto" w:fill="auto"/>
            <w:tcMar>
              <w:top w:w="85" w:type="dxa"/>
              <w:bottom w:w="85" w:type="dxa"/>
            </w:tcMar>
          </w:tcPr>
          <w:p w14:paraId="45C62364" w14:textId="77777777" w:rsidR="00A85F9F" w:rsidRPr="0020291F" w:rsidRDefault="00A85F9F" w:rsidP="006E17E7">
            <w:pPr>
              <w:contextualSpacing/>
              <w:jc w:val="both"/>
              <w:rPr>
                <w:b/>
                <w:bCs/>
                <w:noProof/>
                <w:color w:val="000000"/>
                <w:highlight w:val="green"/>
              </w:rPr>
            </w:pPr>
            <w:r>
              <w:rPr>
                <w:b/>
                <w:noProof/>
                <w:color w:val="000000"/>
              </w:rPr>
              <w:t xml:space="preserve">Rechtsakt zu kritischen Arzneimitteln </w:t>
            </w:r>
            <w:r>
              <w:rPr>
                <w:noProof/>
                <w:color w:val="000000"/>
              </w:rPr>
              <w:t>(legislativ, 1. Quartal 2025)</w:t>
            </w:r>
          </w:p>
        </w:tc>
      </w:tr>
      <w:tr w:rsidR="00A85F9F" w:rsidRPr="008E1F61" w14:paraId="0F7530D0" w14:textId="77777777" w:rsidTr="15C1A19F">
        <w:trPr>
          <w:cantSplit/>
          <w:trHeight w:val="250"/>
        </w:trPr>
        <w:tc>
          <w:tcPr>
            <w:tcW w:w="704" w:type="dxa"/>
            <w:vMerge/>
          </w:tcPr>
          <w:p w14:paraId="426B0728" w14:textId="77777777" w:rsidR="00A85F9F" w:rsidRPr="008F07C6" w:rsidRDefault="00A85F9F" w:rsidP="006E17E7">
            <w:pPr>
              <w:pStyle w:val="ListParagraph"/>
              <w:numPr>
                <w:ilvl w:val="0"/>
                <w:numId w:val="3"/>
              </w:numPr>
              <w:spacing w:after="0"/>
              <w:ind w:left="473"/>
              <w:rPr>
                <w:noProof/>
              </w:rPr>
            </w:pPr>
          </w:p>
        </w:tc>
        <w:tc>
          <w:tcPr>
            <w:tcW w:w="3260" w:type="dxa"/>
            <w:vMerge/>
            <w:tcMar>
              <w:top w:w="85" w:type="dxa"/>
              <w:bottom w:w="85" w:type="dxa"/>
            </w:tcMar>
          </w:tcPr>
          <w:p w14:paraId="1EFE63D2" w14:textId="77777777" w:rsidR="00A85F9F" w:rsidRPr="0020291F" w:rsidRDefault="00A85F9F" w:rsidP="006E17E7">
            <w:pPr>
              <w:rPr>
                <w:b/>
                <w:noProof/>
                <w:color w:val="000000"/>
              </w:rPr>
            </w:pPr>
          </w:p>
        </w:tc>
        <w:tc>
          <w:tcPr>
            <w:tcW w:w="9923" w:type="dxa"/>
            <w:tcBorders>
              <w:bottom w:val="single" w:sz="4" w:space="0" w:color="auto"/>
            </w:tcBorders>
            <w:shd w:val="clear" w:color="auto" w:fill="auto"/>
            <w:tcMar>
              <w:top w:w="85" w:type="dxa"/>
              <w:bottom w:w="85" w:type="dxa"/>
            </w:tcMar>
          </w:tcPr>
          <w:p w14:paraId="20484469" w14:textId="77777777" w:rsidR="00A85F9F" w:rsidRPr="0020291F" w:rsidRDefault="00A85F9F" w:rsidP="006E17E7">
            <w:pPr>
              <w:contextualSpacing/>
              <w:jc w:val="both"/>
              <w:rPr>
                <w:b/>
                <w:bCs/>
                <w:noProof/>
                <w:color w:val="000000"/>
                <w:highlight w:val="green"/>
              </w:rPr>
            </w:pPr>
            <w:r>
              <w:rPr>
                <w:b/>
                <w:noProof/>
                <w:color w:val="000000"/>
              </w:rPr>
              <w:t xml:space="preserve">Strategie zur Unterstützung medizinischer Gegenmaßnahmen bei Bedrohungen der öffentlichen Gesundheit </w:t>
            </w:r>
            <w:r>
              <w:rPr>
                <w:noProof/>
                <w:color w:val="000000"/>
              </w:rPr>
              <w:t>(nicht legislativ, 2. Quartal 2025)</w:t>
            </w:r>
          </w:p>
        </w:tc>
      </w:tr>
      <w:tr w:rsidR="00A85F9F" w:rsidRPr="008E1F61" w14:paraId="1A3F6D74" w14:textId="77777777" w:rsidTr="15C1A19F">
        <w:trPr>
          <w:cantSplit/>
          <w:trHeight w:val="300"/>
        </w:trPr>
        <w:tc>
          <w:tcPr>
            <w:tcW w:w="704" w:type="dxa"/>
            <w:vMerge/>
          </w:tcPr>
          <w:p w14:paraId="1DDE45AD" w14:textId="77777777" w:rsidR="00A85F9F" w:rsidRPr="00160006" w:rsidRDefault="00A85F9F" w:rsidP="006E17E7">
            <w:pPr>
              <w:numPr>
                <w:ilvl w:val="0"/>
                <w:numId w:val="3"/>
              </w:numPr>
              <w:ind w:left="473"/>
              <w:contextualSpacing/>
              <w:jc w:val="both"/>
              <w:rPr>
                <w:noProof/>
                <w:lang w:val="en-IE"/>
              </w:rPr>
            </w:pPr>
          </w:p>
        </w:tc>
        <w:tc>
          <w:tcPr>
            <w:tcW w:w="3260" w:type="dxa"/>
            <w:vMerge/>
            <w:tcMar>
              <w:top w:w="85" w:type="dxa"/>
              <w:bottom w:w="85" w:type="dxa"/>
            </w:tcMar>
          </w:tcPr>
          <w:p w14:paraId="7323B478" w14:textId="77777777" w:rsidR="00A85F9F" w:rsidRPr="00160006" w:rsidRDefault="00A85F9F" w:rsidP="006E17E7">
            <w:pPr>
              <w:rPr>
                <w:b/>
                <w:noProof/>
                <w:color w:val="000000"/>
                <w:lang w:val="en-IE"/>
              </w:rPr>
            </w:pPr>
          </w:p>
        </w:tc>
        <w:tc>
          <w:tcPr>
            <w:tcW w:w="9923" w:type="dxa"/>
            <w:tcBorders>
              <w:bottom w:val="single" w:sz="4" w:space="0" w:color="auto"/>
            </w:tcBorders>
            <w:shd w:val="clear" w:color="auto" w:fill="auto"/>
            <w:tcMar>
              <w:top w:w="85" w:type="dxa"/>
              <w:bottom w:w="85" w:type="dxa"/>
            </w:tcMar>
          </w:tcPr>
          <w:p w14:paraId="3BCF4965" w14:textId="77777777" w:rsidR="00A85F9F" w:rsidRPr="00160006" w:rsidRDefault="00A85F9F" w:rsidP="006E17E7">
            <w:pPr>
              <w:contextualSpacing/>
              <w:jc w:val="both"/>
              <w:rPr>
                <w:b/>
                <w:noProof/>
                <w:color w:val="000000"/>
                <w:highlight w:val="green"/>
              </w:rPr>
            </w:pPr>
            <w:r>
              <w:rPr>
                <w:b/>
                <w:noProof/>
                <w:color w:val="000000"/>
              </w:rPr>
              <w:t xml:space="preserve">EU-Bevorratungsstrategie </w:t>
            </w:r>
            <w:r>
              <w:rPr>
                <w:noProof/>
                <w:color w:val="000000"/>
              </w:rPr>
              <w:t>(nicht legislativ, 2. Quartal 2025)</w:t>
            </w:r>
          </w:p>
        </w:tc>
      </w:tr>
      <w:tr w:rsidR="00A85F9F" w:rsidRPr="008E1F61" w14:paraId="5FE94FD6" w14:textId="77777777" w:rsidTr="00F14026">
        <w:trPr>
          <w:cantSplit/>
          <w:trHeight w:val="300"/>
        </w:trPr>
        <w:tc>
          <w:tcPr>
            <w:tcW w:w="704" w:type="dxa"/>
            <w:tcBorders>
              <w:right w:val="single" w:sz="4" w:space="0" w:color="auto"/>
            </w:tcBorders>
          </w:tcPr>
          <w:p w14:paraId="0E56B2BE" w14:textId="77777777" w:rsidR="00A85F9F" w:rsidRPr="009022CF" w:rsidRDefault="00A85F9F" w:rsidP="006E17E7">
            <w:pPr>
              <w:pStyle w:val="ListParagraph"/>
              <w:numPr>
                <w:ilvl w:val="0"/>
                <w:numId w:val="3"/>
              </w:numPr>
              <w:spacing w:after="0"/>
              <w:ind w:left="473"/>
              <w:jc w:val="left"/>
              <w:rPr>
                <w:noProof/>
              </w:rPr>
            </w:pPr>
          </w:p>
        </w:tc>
        <w:tc>
          <w:tcPr>
            <w:tcW w:w="3260" w:type="dxa"/>
            <w:tcBorders>
              <w:left w:val="single" w:sz="4" w:space="0" w:color="auto"/>
            </w:tcBorders>
            <w:tcMar>
              <w:top w:w="85" w:type="dxa"/>
              <w:bottom w:w="85" w:type="dxa"/>
            </w:tcMar>
          </w:tcPr>
          <w:p w14:paraId="2F13CDF5" w14:textId="1AC9E6D7" w:rsidR="00A85F9F" w:rsidRPr="0020291F" w:rsidRDefault="00200A7B" w:rsidP="006E17E7">
            <w:pPr>
              <w:jc w:val="both"/>
              <w:rPr>
                <w:b/>
                <w:noProof/>
                <w:color w:val="000000"/>
              </w:rPr>
            </w:pPr>
            <w:r>
              <w:rPr>
                <w:b/>
                <w:noProof/>
                <w:color w:val="000000"/>
              </w:rPr>
              <w:t>Sicherheit</w:t>
            </w:r>
          </w:p>
        </w:tc>
        <w:tc>
          <w:tcPr>
            <w:tcW w:w="9923" w:type="dxa"/>
            <w:tcBorders>
              <w:bottom w:val="single" w:sz="4" w:space="0" w:color="auto"/>
            </w:tcBorders>
            <w:shd w:val="clear" w:color="auto" w:fill="auto"/>
            <w:tcMar>
              <w:top w:w="85" w:type="dxa"/>
              <w:bottom w:w="85" w:type="dxa"/>
            </w:tcMar>
          </w:tcPr>
          <w:p w14:paraId="25D10CEB" w14:textId="77777777" w:rsidR="00A85F9F" w:rsidRPr="0020291F" w:rsidRDefault="00A85F9F" w:rsidP="006E17E7">
            <w:pPr>
              <w:contextualSpacing/>
              <w:jc w:val="both"/>
              <w:rPr>
                <w:b/>
                <w:bCs/>
                <w:noProof/>
                <w:color w:val="000000"/>
                <w:highlight w:val="green"/>
              </w:rPr>
            </w:pPr>
            <w:r>
              <w:rPr>
                <w:b/>
                <w:noProof/>
                <w:color w:val="000000"/>
              </w:rPr>
              <w:t xml:space="preserve">Neue europäische Strategie für die innere Sicherheit </w:t>
            </w:r>
            <w:r>
              <w:rPr>
                <w:noProof/>
                <w:color w:val="000000"/>
              </w:rPr>
              <w:t>(nicht legislativ, 1. Quartal 2025)</w:t>
            </w:r>
          </w:p>
        </w:tc>
      </w:tr>
      <w:tr w:rsidR="00A85F9F" w:rsidRPr="008E1F61" w14:paraId="0E1837C1" w14:textId="77777777" w:rsidTr="007614B3">
        <w:trPr>
          <w:cantSplit/>
          <w:trHeight w:val="300"/>
        </w:trPr>
        <w:tc>
          <w:tcPr>
            <w:tcW w:w="704" w:type="dxa"/>
            <w:vMerge w:val="restart"/>
          </w:tcPr>
          <w:p w14:paraId="53319DAE" w14:textId="77777777" w:rsidR="00A85F9F" w:rsidRPr="005B0D47" w:rsidRDefault="00A85F9F" w:rsidP="006E17E7">
            <w:pPr>
              <w:numPr>
                <w:ilvl w:val="0"/>
                <w:numId w:val="3"/>
              </w:numPr>
              <w:ind w:left="473"/>
              <w:contextualSpacing/>
              <w:jc w:val="both"/>
              <w:rPr>
                <w:noProof/>
                <w:lang w:val="en-IE"/>
              </w:rPr>
            </w:pPr>
          </w:p>
        </w:tc>
        <w:tc>
          <w:tcPr>
            <w:tcW w:w="3260" w:type="dxa"/>
            <w:vMerge w:val="restart"/>
            <w:tcMar>
              <w:top w:w="85" w:type="dxa"/>
              <w:bottom w:w="85" w:type="dxa"/>
            </w:tcMar>
          </w:tcPr>
          <w:p w14:paraId="317B0D94" w14:textId="36B1B682" w:rsidR="00A85F9F" w:rsidRPr="0020291F" w:rsidRDefault="00D25E1C" w:rsidP="006E17E7">
            <w:pPr>
              <w:jc w:val="both"/>
              <w:rPr>
                <w:b/>
                <w:noProof/>
                <w:color w:val="000000"/>
              </w:rPr>
            </w:pPr>
            <w:r>
              <w:rPr>
                <w:b/>
                <w:noProof/>
                <w:color w:val="000000"/>
              </w:rPr>
              <w:t>Sicherheit</w:t>
            </w:r>
          </w:p>
        </w:tc>
        <w:tc>
          <w:tcPr>
            <w:tcW w:w="9923" w:type="dxa"/>
            <w:tcBorders>
              <w:bottom w:val="single" w:sz="4" w:space="0" w:color="auto"/>
            </w:tcBorders>
            <w:shd w:val="clear" w:color="auto" w:fill="C1E4F5" w:themeFill="accent1" w:themeFillTint="33"/>
            <w:tcMar>
              <w:top w:w="85" w:type="dxa"/>
              <w:bottom w:w="85" w:type="dxa"/>
            </w:tcMar>
          </w:tcPr>
          <w:p w14:paraId="58C4B9C9" w14:textId="6F2BCD29" w:rsidR="00A85F9F" w:rsidRPr="0020291F" w:rsidRDefault="00305F66" w:rsidP="006E17E7">
            <w:pPr>
              <w:contextualSpacing/>
              <w:jc w:val="both"/>
              <w:rPr>
                <w:b/>
                <w:bCs/>
                <w:noProof/>
                <w:color w:val="000000"/>
                <w:highlight w:val="green"/>
              </w:rPr>
            </w:pPr>
            <w:r>
              <w:rPr>
                <w:b/>
                <w:noProof/>
                <w:color w:val="000000"/>
              </w:rPr>
              <w:t>Neue Vorschriften zu Drogenausgangsstoffen</w:t>
            </w:r>
            <w:r>
              <w:rPr>
                <w:noProof/>
                <w:color w:val="000000"/>
              </w:rPr>
              <w:t xml:space="preserve"> (legislativ, einschließlich Folgenabschätzung, Artikel 114 und Artikel 207 AEUV, 4. Quartal 2025)</w:t>
            </w:r>
          </w:p>
        </w:tc>
      </w:tr>
      <w:tr w:rsidR="00A85F9F" w:rsidRPr="008E1F61" w14:paraId="10F45005" w14:textId="77777777" w:rsidTr="00F14026">
        <w:trPr>
          <w:cantSplit/>
          <w:trHeight w:val="300"/>
        </w:trPr>
        <w:tc>
          <w:tcPr>
            <w:tcW w:w="704" w:type="dxa"/>
            <w:vMerge/>
          </w:tcPr>
          <w:p w14:paraId="521F9186" w14:textId="77777777" w:rsidR="00A85F9F" w:rsidRPr="00160006" w:rsidRDefault="00A85F9F" w:rsidP="006E17E7">
            <w:pPr>
              <w:numPr>
                <w:ilvl w:val="0"/>
                <w:numId w:val="3"/>
              </w:numPr>
              <w:ind w:left="473"/>
              <w:contextualSpacing/>
              <w:jc w:val="both"/>
              <w:rPr>
                <w:noProof/>
                <w:lang w:val="en-IE"/>
              </w:rPr>
            </w:pPr>
          </w:p>
        </w:tc>
        <w:tc>
          <w:tcPr>
            <w:tcW w:w="3260" w:type="dxa"/>
            <w:vMerge/>
            <w:tcMar>
              <w:top w:w="85" w:type="dxa"/>
              <w:bottom w:w="85" w:type="dxa"/>
            </w:tcMar>
          </w:tcPr>
          <w:p w14:paraId="201E942E" w14:textId="77777777" w:rsidR="00A85F9F" w:rsidRPr="00160006" w:rsidRDefault="00A85F9F" w:rsidP="006E17E7">
            <w:pPr>
              <w:jc w:val="both"/>
              <w:rPr>
                <w:b/>
                <w:noProof/>
                <w:color w:val="000000"/>
                <w:lang w:val="en-IE"/>
              </w:rPr>
            </w:pPr>
          </w:p>
        </w:tc>
        <w:tc>
          <w:tcPr>
            <w:tcW w:w="9923" w:type="dxa"/>
            <w:tcBorders>
              <w:bottom w:val="single" w:sz="4" w:space="0" w:color="auto"/>
            </w:tcBorders>
            <w:shd w:val="clear" w:color="auto" w:fill="auto"/>
            <w:tcMar>
              <w:top w:w="85" w:type="dxa"/>
              <w:bottom w:w="85" w:type="dxa"/>
            </w:tcMar>
          </w:tcPr>
          <w:p w14:paraId="50275BA9" w14:textId="77777777" w:rsidR="00A85F9F" w:rsidRPr="00160006" w:rsidRDefault="00A85F9F" w:rsidP="006E17E7">
            <w:pPr>
              <w:contextualSpacing/>
              <w:jc w:val="both"/>
              <w:rPr>
                <w:b/>
                <w:noProof/>
                <w:color w:val="000000"/>
                <w:highlight w:val="green"/>
              </w:rPr>
            </w:pPr>
            <w:r>
              <w:rPr>
                <w:b/>
                <w:noProof/>
                <w:color w:val="000000"/>
              </w:rPr>
              <w:t xml:space="preserve">Richtlinie über den unerlaubten Handel mit Feuerwaffen </w:t>
            </w:r>
            <w:r>
              <w:rPr>
                <w:noProof/>
                <w:color w:val="000000"/>
              </w:rPr>
              <w:t>(legislativ, einschließlich Folgenabschätzung, Artikel 83 AEUV, 4. Quartal 2025)</w:t>
            </w:r>
          </w:p>
        </w:tc>
      </w:tr>
      <w:tr w:rsidR="00A85F9F" w:rsidRPr="008E1F61" w14:paraId="5753B919" w14:textId="77777777" w:rsidTr="00F14026">
        <w:trPr>
          <w:cantSplit/>
          <w:trHeight w:val="300"/>
        </w:trPr>
        <w:tc>
          <w:tcPr>
            <w:tcW w:w="704" w:type="dxa"/>
            <w:tcBorders>
              <w:bottom w:val="single" w:sz="4" w:space="0" w:color="auto"/>
              <w:right w:val="single" w:sz="4" w:space="0" w:color="auto"/>
            </w:tcBorders>
          </w:tcPr>
          <w:p w14:paraId="07AE7955" w14:textId="77777777" w:rsidR="00A85F9F" w:rsidRPr="008F07C6" w:rsidRDefault="00A85F9F" w:rsidP="006E17E7">
            <w:pPr>
              <w:pStyle w:val="ListParagraph"/>
              <w:numPr>
                <w:ilvl w:val="0"/>
                <w:numId w:val="3"/>
              </w:numPr>
              <w:spacing w:after="0"/>
              <w:ind w:left="473"/>
              <w:rPr>
                <w:noProof/>
                <w:lang w:val="en-IE"/>
              </w:rPr>
            </w:pPr>
          </w:p>
        </w:tc>
        <w:tc>
          <w:tcPr>
            <w:tcW w:w="3260" w:type="dxa"/>
            <w:tcBorders>
              <w:left w:val="single" w:sz="4" w:space="0" w:color="auto"/>
              <w:bottom w:val="single" w:sz="4" w:space="0" w:color="auto"/>
            </w:tcBorders>
            <w:tcMar>
              <w:top w:w="85" w:type="dxa"/>
              <w:bottom w:w="85" w:type="dxa"/>
            </w:tcMar>
          </w:tcPr>
          <w:p w14:paraId="4B71571E" w14:textId="05F7EAB3" w:rsidR="00A85F9F" w:rsidRPr="0020291F" w:rsidRDefault="006310A7" w:rsidP="006E17E7">
            <w:pPr>
              <w:jc w:val="both"/>
              <w:rPr>
                <w:b/>
                <w:noProof/>
                <w:color w:val="000000"/>
              </w:rPr>
            </w:pPr>
            <w:r>
              <w:rPr>
                <w:b/>
                <w:noProof/>
                <w:color w:val="000000"/>
              </w:rPr>
              <w:t>Sicherheit</w:t>
            </w:r>
          </w:p>
        </w:tc>
        <w:tc>
          <w:tcPr>
            <w:tcW w:w="9923" w:type="dxa"/>
            <w:tcBorders>
              <w:bottom w:val="single" w:sz="4" w:space="0" w:color="auto"/>
            </w:tcBorders>
            <w:shd w:val="clear" w:color="auto" w:fill="auto"/>
            <w:tcMar>
              <w:top w:w="85" w:type="dxa"/>
              <w:bottom w:w="85" w:type="dxa"/>
            </w:tcMar>
          </w:tcPr>
          <w:p w14:paraId="5627FE4D" w14:textId="158FF446" w:rsidR="00A85F9F" w:rsidRPr="0020291F" w:rsidRDefault="00A85F9F" w:rsidP="006E17E7">
            <w:pPr>
              <w:rPr>
                <w:b/>
                <w:bCs/>
                <w:noProof/>
                <w:color w:val="000000"/>
              </w:rPr>
            </w:pPr>
            <w:r>
              <w:rPr>
                <w:b/>
                <w:noProof/>
                <w:color w:val="000000"/>
              </w:rPr>
              <w:t xml:space="preserve">Aktionsplan für die Cybersicherheit von Krankenhäusern und Gesundheitsdienstleistern </w:t>
            </w:r>
            <w:r>
              <w:rPr>
                <w:noProof/>
                <w:color w:val="000000"/>
              </w:rPr>
              <w:t>(nicht legislativ,</w:t>
            </w:r>
            <w:r>
              <w:rPr>
                <w:noProof/>
              </w:rPr>
              <w:t xml:space="preserve"> </w:t>
            </w:r>
            <w:r>
              <w:rPr>
                <w:noProof/>
                <w:color w:val="000000"/>
              </w:rPr>
              <w:t>1. Quartal 2025)</w:t>
            </w:r>
          </w:p>
        </w:tc>
      </w:tr>
      <w:tr w:rsidR="00A85F9F" w:rsidRPr="008E1F61" w14:paraId="7F2040C8" w14:textId="77777777" w:rsidTr="00F14026">
        <w:trPr>
          <w:cantSplit/>
          <w:trHeight w:val="227"/>
        </w:trPr>
        <w:tc>
          <w:tcPr>
            <w:tcW w:w="704" w:type="dxa"/>
            <w:tcBorders>
              <w:right w:val="single" w:sz="4" w:space="0" w:color="auto"/>
            </w:tcBorders>
          </w:tcPr>
          <w:p w14:paraId="41F0C7DA" w14:textId="77777777" w:rsidR="00A85F9F" w:rsidRPr="008F07C6" w:rsidRDefault="00A85F9F" w:rsidP="006E17E7">
            <w:pPr>
              <w:pStyle w:val="ListParagraph"/>
              <w:numPr>
                <w:ilvl w:val="0"/>
                <w:numId w:val="3"/>
              </w:numPr>
              <w:spacing w:after="0"/>
              <w:ind w:left="473"/>
              <w:rPr>
                <w:noProof/>
                <w:lang w:val="en-IE"/>
              </w:rPr>
            </w:pPr>
          </w:p>
        </w:tc>
        <w:tc>
          <w:tcPr>
            <w:tcW w:w="3260" w:type="dxa"/>
            <w:tcBorders>
              <w:left w:val="single" w:sz="4" w:space="0" w:color="auto"/>
            </w:tcBorders>
            <w:shd w:val="clear" w:color="auto" w:fill="FFFFFF" w:themeFill="background1"/>
            <w:tcMar>
              <w:top w:w="57" w:type="dxa"/>
              <w:bottom w:w="85" w:type="dxa"/>
            </w:tcMar>
          </w:tcPr>
          <w:p w14:paraId="4D2FD2E2" w14:textId="275A5341" w:rsidR="00A85F9F" w:rsidRPr="0020291F" w:rsidRDefault="00F73F2A" w:rsidP="006E17E7">
            <w:pPr>
              <w:jc w:val="both"/>
              <w:rPr>
                <w:b/>
                <w:noProof/>
                <w:color w:val="000000"/>
              </w:rPr>
            </w:pPr>
            <w:r>
              <w:rPr>
                <w:b/>
                <w:noProof/>
                <w:color w:val="000000"/>
              </w:rPr>
              <w:t>Migration</w:t>
            </w:r>
          </w:p>
        </w:tc>
        <w:tc>
          <w:tcPr>
            <w:tcW w:w="9923" w:type="dxa"/>
            <w:tcBorders>
              <w:bottom w:val="single" w:sz="4" w:space="0" w:color="auto"/>
            </w:tcBorders>
            <w:shd w:val="clear" w:color="auto" w:fill="auto"/>
            <w:tcMar>
              <w:top w:w="85" w:type="dxa"/>
              <w:bottom w:w="85" w:type="dxa"/>
            </w:tcMar>
          </w:tcPr>
          <w:p w14:paraId="3EB9F607" w14:textId="66925684" w:rsidR="00A85F9F" w:rsidRPr="0020291F" w:rsidRDefault="00A85F9F" w:rsidP="006E17E7">
            <w:pPr>
              <w:rPr>
                <w:b/>
                <w:bCs/>
                <w:noProof/>
                <w:color w:val="000000"/>
                <w:highlight w:val="green"/>
              </w:rPr>
            </w:pPr>
            <w:r>
              <w:rPr>
                <w:b/>
                <w:noProof/>
                <w:color w:val="000000" w:themeColor="text1"/>
              </w:rPr>
              <w:t xml:space="preserve">Neuer gemeinsamer Ansatz für Rückführungen </w:t>
            </w:r>
            <w:r>
              <w:rPr>
                <w:noProof/>
                <w:color w:val="000000" w:themeColor="text1"/>
              </w:rPr>
              <w:t>(legislativ, Artikel 79 Absatz 2 AEUV, 1. Quartal 2025)</w:t>
            </w:r>
          </w:p>
        </w:tc>
      </w:tr>
      <w:tr w:rsidR="00A85F9F" w:rsidRPr="008E1F61" w14:paraId="23D8E013" w14:textId="77777777" w:rsidTr="00AC5E7E">
        <w:trPr>
          <w:cantSplit/>
          <w:trHeight w:val="300"/>
        </w:trPr>
        <w:tc>
          <w:tcPr>
            <w:tcW w:w="704" w:type="dxa"/>
          </w:tcPr>
          <w:p w14:paraId="107B50A1" w14:textId="77777777" w:rsidR="00A85F9F" w:rsidRPr="00DD2015" w:rsidRDefault="00A85F9F" w:rsidP="006E17E7">
            <w:pPr>
              <w:pStyle w:val="ListParagraph"/>
              <w:numPr>
                <w:ilvl w:val="0"/>
                <w:numId w:val="3"/>
              </w:numPr>
              <w:spacing w:after="0"/>
              <w:ind w:left="473"/>
              <w:rPr>
                <w:noProof/>
                <w:lang w:val="en-IE"/>
              </w:rPr>
            </w:pPr>
          </w:p>
        </w:tc>
        <w:tc>
          <w:tcPr>
            <w:tcW w:w="3260" w:type="dxa"/>
            <w:shd w:val="clear" w:color="auto" w:fill="auto"/>
            <w:tcMar>
              <w:top w:w="85" w:type="dxa"/>
              <w:bottom w:w="85" w:type="dxa"/>
            </w:tcMar>
          </w:tcPr>
          <w:p w14:paraId="65D0FD23" w14:textId="4BF364BD" w:rsidR="00A85F9F" w:rsidRPr="0020291F" w:rsidRDefault="00F73F2A" w:rsidP="006E17E7">
            <w:pPr>
              <w:jc w:val="both"/>
              <w:rPr>
                <w:b/>
                <w:noProof/>
                <w:color w:val="000000"/>
              </w:rPr>
            </w:pPr>
            <w:r>
              <w:rPr>
                <w:b/>
                <w:noProof/>
                <w:color w:val="000000"/>
              </w:rPr>
              <w:t>Migration</w:t>
            </w:r>
          </w:p>
        </w:tc>
        <w:tc>
          <w:tcPr>
            <w:tcW w:w="9923" w:type="dxa"/>
            <w:tcBorders>
              <w:bottom w:val="single" w:sz="4" w:space="0" w:color="auto"/>
            </w:tcBorders>
            <w:shd w:val="clear" w:color="auto" w:fill="auto"/>
            <w:tcMar>
              <w:top w:w="85" w:type="dxa"/>
              <w:bottom w:w="85" w:type="dxa"/>
            </w:tcMar>
          </w:tcPr>
          <w:p w14:paraId="1D8C20F4" w14:textId="77777777" w:rsidR="00A85F9F" w:rsidRPr="0020291F" w:rsidRDefault="00A85F9F" w:rsidP="006E17E7">
            <w:pPr>
              <w:rPr>
                <w:b/>
                <w:bCs/>
                <w:noProof/>
                <w:color w:val="000000"/>
                <w:highlight w:val="green"/>
              </w:rPr>
            </w:pPr>
            <w:r>
              <w:rPr>
                <w:b/>
                <w:noProof/>
                <w:color w:val="000000"/>
              </w:rPr>
              <w:t xml:space="preserve">Europäische Migrations- und Asylstrategie </w:t>
            </w:r>
            <w:r>
              <w:rPr>
                <w:noProof/>
                <w:color w:val="000000"/>
              </w:rPr>
              <w:t>(nicht legislativ, 4. Quartal 2025)</w:t>
            </w:r>
          </w:p>
        </w:tc>
      </w:tr>
      <w:tr w:rsidR="00A85F9F" w:rsidRPr="008E1F61" w14:paraId="5A8F26D5" w14:textId="77777777" w:rsidTr="006E17E7">
        <w:trPr>
          <w:cantSplit/>
          <w:trHeight w:val="300"/>
        </w:trPr>
        <w:tc>
          <w:tcPr>
            <w:tcW w:w="13887" w:type="dxa"/>
            <w:gridSpan w:val="3"/>
            <w:tcBorders>
              <w:bottom w:val="single" w:sz="4" w:space="0" w:color="auto"/>
            </w:tcBorders>
            <w:shd w:val="clear" w:color="auto" w:fill="FF7900"/>
          </w:tcPr>
          <w:p w14:paraId="397F0FD5" w14:textId="77777777" w:rsidR="00A85F9F" w:rsidRPr="00701930" w:rsidRDefault="00A85F9F" w:rsidP="006E17E7">
            <w:pPr>
              <w:keepNext/>
              <w:spacing w:before="60" w:after="60"/>
              <w:jc w:val="both"/>
              <w:rPr>
                <w:b/>
                <w:bCs/>
                <w:noProof/>
                <w:color w:val="FFFFFF"/>
              </w:rPr>
            </w:pPr>
            <w:r>
              <w:rPr>
                <w:b/>
                <w:noProof/>
                <w:color w:val="FFFFFF"/>
              </w:rPr>
              <w:t>Die Menschen unterstützen, unsere Gesellschaften und unser Sozialmodell stärken</w:t>
            </w:r>
          </w:p>
        </w:tc>
      </w:tr>
      <w:tr w:rsidR="00A85F9F" w:rsidRPr="008E1F61" w14:paraId="101C8ED0" w14:textId="77777777" w:rsidTr="00AC5E7E">
        <w:trPr>
          <w:cantSplit/>
          <w:trHeight w:val="300"/>
        </w:trPr>
        <w:tc>
          <w:tcPr>
            <w:tcW w:w="704" w:type="dxa"/>
            <w:tcBorders>
              <w:bottom w:val="single" w:sz="4" w:space="0" w:color="auto"/>
              <w:right w:val="single" w:sz="4" w:space="0" w:color="auto"/>
            </w:tcBorders>
            <w:shd w:val="clear" w:color="auto" w:fill="FFFFFF" w:themeFill="background1"/>
          </w:tcPr>
          <w:p w14:paraId="40D1AC05" w14:textId="77777777" w:rsidR="00A85F9F" w:rsidRPr="009022CF" w:rsidRDefault="00A85F9F" w:rsidP="006E17E7">
            <w:pPr>
              <w:pStyle w:val="ListParagraph"/>
              <w:numPr>
                <w:ilvl w:val="0"/>
                <w:numId w:val="3"/>
              </w:numPr>
              <w:spacing w:after="0"/>
              <w:ind w:left="473"/>
              <w:rPr>
                <w:noProof/>
              </w:rPr>
            </w:pPr>
          </w:p>
        </w:tc>
        <w:tc>
          <w:tcPr>
            <w:tcW w:w="3260" w:type="dxa"/>
            <w:tcBorders>
              <w:left w:val="single" w:sz="4" w:space="0" w:color="auto"/>
              <w:bottom w:val="single" w:sz="4" w:space="0" w:color="auto"/>
            </w:tcBorders>
            <w:shd w:val="clear" w:color="auto" w:fill="auto"/>
            <w:tcMar>
              <w:top w:w="85" w:type="dxa"/>
              <w:bottom w:w="85" w:type="dxa"/>
            </w:tcMar>
          </w:tcPr>
          <w:p w14:paraId="46C11235" w14:textId="4B959950" w:rsidR="00A85F9F" w:rsidRPr="0020291F" w:rsidRDefault="008B4F23" w:rsidP="006E17E7">
            <w:pPr>
              <w:rPr>
                <w:b/>
                <w:bCs/>
                <w:noProof/>
                <w:color w:val="000000"/>
                <w:highlight w:val="cyan"/>
              </w:rPr>
            </w:pPr>
            <w:r>
              <w:rPr>
                <w:b/>
                <w:noProof/>
                <w:color w:val="000000"/>
              </w:rPr>
              <w:t>Soziale Gerechtigkeit</w:t>
            </w:r>
          </w:p>
        </w:tc>
        <w:tc>
          <w:tcPr>
            <w:tcW w:w="9923" w:type="dxa"/>
            <w:tcBorders>
              <w:bottom w:val="single" w:sz="4" w:space="0" w:color="auto"/>
            </w:tcBorders>
            <w:shd w:val="clear" w:color="auto" w:fill="auto"/>
            <w:tcMar>
              <w:top w:w="85" w:type="dxa"/>
              <w:bottom w:w="85" w:type="dxa"/>
            </w:tcMar>
          </w:tcPr>
          <w:p w14:paraId="77E465A6" w14:textId="77777777" w:rsidR="00A85F9F" w:rsidRPr="0020291F" w:rsidRDefault="00A85F9F" w:rsidP="006E17E7">
            <w:pPr>
              <w:jc w:val="both"/>
              <w:rPr>
                <w:b/>
                <w:bCs/>
                <w:noProof/>
                <w:highlight w:val="cyan"/>
              </w:rPr>
            </w:pPr>
            <w:r>
              <w:rPr>
                <w:b/>
                <w:noProof/>
              </w:rPr>
              <w:t xml:space="preserve">Ein neuer Aktionsplan zur Umsetzung der Europäischen Säule sozialer Rechte </w:t>
            </w:r>
            <w:r>
              <w:rPr>
                <w:noProof/>
                <w:color w:val="000000"/>
              </w:rPr>
              <w:t>(nicht legislativ, 4. Quartal 2025)</w:t>
            </w:r>
          </w:p>
        </w:tc>
      </w:tr>
      <w:tr w:rsidR="005F4860" w:rsidRPr="008E1F61" w14:paraId="646D32D4" w14:textId="77777777" w:rsidTr="00AC5E7E">
        <w:trPr>
          <w:cantSplit/>
          <w:trHeight w:val="300"/>
        </w:trPr>
        <w:tc>
          <w:tcPr>
            <w:tcW w:w="704" w:type="dxa"/>
            <w:tcBorders>
              <w:right w:val="single" w:sz="4" w:space="0" w:color="auto"/>
            </w:tcBorders>
            <w:shd w:val="clear" w:color="auto" w:fill="FFFFFF" w:themeFill="background1"/>
          </w:tcPr>
          <w:p w14:paraId="2B2444A4" w14:textId="77777777" w:rsidR="005F4860" w:rsidRPr="00D3190F" w:rsidRDefault="005F4860" w:rsidP="006E17E7">
            <w:pPr>
              <w:pStyle w:val="ListParagraph"/>
              <w:numPr>
                <w:ilvl w:val="0"/>
                <w:numId w:val="3"/>
              </w:numPr>
              <w:spacing w:after="0"/>
              <w:ind w:left="473"/>
              <w:rPr>
                <w:noProof/>
                <w:lang w:val="en-IE"/>
              </w:rPr>
            </w:pPr>
          </w:p>
        </w:tc>
        <w:tc>
          <w:tcPr>
            <w:tcW w:w="3260" w:type="dxa"/>
            <w:tcBorders>
              <w:left w:val="single" w:sz="4" w:space="0" w:color="auto"/>
            </w:tcBorders>
            <w:shd w:val="clear" w:color="auto" w:fill="auto"/>
            <w:tcMar>
              <w:top w:w="85" w:type="dxa"/>
              <w:bottom w:w="85" w:type="dxa"/>
            </w:tcMar>
          </w:tcPr>
          <w:p w14:paraId="296A1102" w14:textId="4C0012D2" w:rsidR="005F4860" w:rsidRDefault="00435D32" w:rsidP="006E17E7">
            <w:pPr>
              <w:rPr>
                <w:b/>
                <w:bCs/>
                <w:noProof/>
                <w:color w:val="000000"/>
              </w:rPr>
            </w:pPr>
            <w:r>
              <w:rPr>
                <w:b/>
                <w:noProof/>
                <w:color w:val="000000"/>
              </w:rPr>
              <w:t>Soziale Gerechtigkeit</w:t>
            </w:r>
          </w:p>
        </w:tc>
        <w:tc>
          <w:tcPr>
            <w:tcW w:w="9923" w:type="dxa"/>
            <w:tcBorders>
              <w:bottom w:val="single" w:sz="4" w:space="0" w:color="auto"/>
            </w:tcBorders>
            <w:shd w:val="clear" w:color="auto" w:fill="auto"/>
            <w:tcMar>
              <w:top w:w="85" w:type="dxa"/>
              <w:bottom w:w="85" w:type="dxa"/>
            </w:tcMar>
          </w:tcPr>
          <w:p w14:paraId="651B53DD" w14:textId="484E5849" w:rsidR="005F4860" w:rsidRPr="00894E1F" w:rsidRDefault="00435D32" w:rsidP="006E17E7">
            <w:pPr>
              <w:jc w:val="both"/>
              <w:rPr>
                <w:b/>
                <w:noProof/>
              </w:rPr>
            </w:pPr>
            <w:r>
              <w:rPr>
                <w:b/>
                <w:noProof/>
              </w:rPr>
              <w:t xml:space="preserve">Fahrplan für hochwertige Arbeitsplätze </w:t>
            </w:r>
            <w:r>
              <w:rPr>
                <w:noProof/>
              </w:rPr>
              <w:t>(nicht legislativ, 4. Quartal 2025)</w:t>
            </w:r>
          </w:p>
        </w:tc>
      </w:tr>
      <w:tr w:rsidR="00A85F9F" w:rsidRPr="008E1F61" w14:paraId="4B3FD447" w14:textId="77777777" w:rsidTr="00AC5E7E">
        <w:trPr>
          <w:cantSplit/>
          <w:trHeight w:val="300"/>
        </w:trPr>
        <w:tc>
          <w:tcPr>
            <w:tcW w:w="704" w:type="dxa"/>
            <w:tcBorders>
              <w:right w:val="single" w:sz="4" w:space="0" w:color="auto"/>
            </w:tcBorders>
            <w:shd w:val="clear" w:color="auto" w:fill="FFFFFF" w:themeFill="background1"/>
          </w:tcPr>
          <w:p w14:paraId="03459119" w14:textId="77777777" w:rsidR="00A85F9F" w:rsidRPr="00D3190F" w:rsidRDefault="00A85F9F" w:rsidP="006E17E7">
            <w:pPr>
              <w:pStyle w:val="ListParagraph"/>
              <w:numPr>
                <w:ilvl w:val="0"/>
                <w:numId w:val="3"/>
              </w:numPr>
              <w:spacing w:after="0"/>
              <w:ind w:left="473"/>
              <w:rPr>
                <w:noProof/>
                <w:lang w:val="en-IE"/>
              </w:rPr>
            </w:pPr>
          </w:p>
        </w:tc>
        <w:tc>
          <w:tcPr>
            <w:tcW w:w="3260" w:type="dxa"/>
            <w:tcBorders>
              <w:left w:val="single" w:sz="4" w:space="0" w:color="auto"/>
            </w:tcBorders>
            <w:shd w:val="clear" w:color="auto" w:fill="auto"/>
            <w:tcMar>
              <w:top w:w="85" w:type="dxa"/>
              <w:bottom w:w="85" w:type="dxa"/>
            </w:tcMar>
          </w:tcPr>
          <w:p w14:paraId="1EDC1B5D" w14:textId="30E39264" w:rsidR="00A85F9F" w:rsidRPr="0020291F" w:rsidRDefault="00EB580B" w:rsidP="006E17E7">
            <w:pPr>
              <w:rPr>
                <w:b/>
                <w:bCs/>
                <w:noProof/>
                <w:color w:val="000000"/>
              </w:rPr>
            </w:pPr>
            <w:r>
              <w:rPr>
                <w:b/>
                <w:noProof/>
                <w:color w:val="000000"/>
              </w:rPr>
              <w:t>Wettbewerbsfähigkeit</w:t>
            </w:r>
          </w:p>
        </w:tc>
        <w:tc>
          <w:tcPr>
            <w:tcW w:w="9923" w:type="dxa"/>
            <w:tcBorders>
              <w:bottom w:val="single" w:sz="4" w:space="0" w:color="auto"/>
            </w:tcBorders>
            <w:shd w:val="clear" w:color="auto" w:fill="auto"/>
            <w:tcMar>
              <w:top w:w="85" w:type="dxa"/>
              <w:bottom w:w="85" w:type="dxa"/>
            </w:tcMar>
          </w:tcPr>
          <w:p w14:paraId="7D1289DD" w14:textId="77777777" w:rsidR="00A85F9F" w:rsidRPr="0020291F" w:rsidRDefault="00A85F9F" w:rsidP="006E17E7">
            <w:pPr>
              <w:jc w:val="both"/>
              <w:rPr>
                <w:b/>
                <w:bCs/>
                <w:noProof/>
              </w:rPr>
            </w:pPr>
            <w:r>
              <w:rPr>
                <w:b/>
                <w:noProof/>
              </w:rPr>
              <w:t xml:space="preserve">Union der Kompetenzen </w:t>
            </w:r>
            <w:r>
              <w:rPr>
                <w:noProof/>
                <w:color w:val="000000"/>
              </w:rPr>
              <w:t>(nicht legislativ, 1. Quartal 2025)</w:t>
            </w:r>
          </w:p>
        </w:tc>
      </w:tr>
      <w:tr w:rsidR="00A85F9F" w:rsidRPr="008E1F61" w14:paraId="68998AD7" w14:textId="77777777" w:rsidTr="00AC5E7E">
        <w:trPr>
          <w:cantSplit/>
          <w:trHeight w:val="300"/>
        </w:trPr>
        <w:tc>
          <w:tcPr>
            <w:tcW w:w="704" w:type="dxa"/>
            <w:tcBorders>
              <w:right w:val="single" w:sz="4" w:space="0" w:color="auto"/>
            </w:tcBorders>
            <w:shd w:val="clear" w:color="auto" w:fill="FFFFFF" w:themeFill="background1"/>
          </w:tcPr>
          <w:p w14:paraId="6ABF7E55" w14:textId="77777777" w:rsidR="00A85F9F" w:rsidRPr="00D3190F" w:rsidRDefault="00A85F9F" w:rsidP="006E17E7">
            <w:pPr>
              <w:pStyle w:val="ListParagraph"/>
              <w:numPr>
                <w:ilvl w:val="0"/>
                <w:numId w:val="3"/>
              </w:numPr>
              <w:spacing w:after="0"/>
              <w:ind w:left="473"/>
              <w:rPr>
                <w:noProof/>
                <w:lang w:val="en-IE"/>
              </w:rPr>
            </w:pPr>
          </w:p>
        </w:tc>
        <w:tc>
          <w:tcPr>
            <w:tcW w:w="3260" w:type="dxa"/>
            <w:tcBorders>
              <w:left w:val="single" w:sz="4" w:space="0" w:color="auto"/>
            </w:tcBorders>
            <w:shd w:val="clear" w:color="auto" w:fill="auto"/>
            <w:tcMar>
              <w:top w:w="85" w:type="dxa"/>
              <w:bottom w:w="85" w:type="dxa"/>
            </w:tcMar>
          </w:tcPr>
          <w:p w14:paraId="4F5E7B37" w14:textId="66DF77FD" w:rsidR="00A85F9F" w:rsidRPr="0020291F" w:rsidRDefault="008B4F23" w:rsidP="006E17E7">
            <w:pPr>
              <w:rPr>
                <w:b/>
                <w:bCs/>
                <w:noProof/>
              </w:rPr>
            </w:pPr>
            <w:r>
              <w:rPr>
                <w:b/>
                <w:noProof/>
              </w:rPr>
              <w:t>Soziale Gerechtigkeit</w:t>
            </w:r>
          </w:p>
        </w:tc>
        <w:tc>
          <w:tcPr>
            <w:tcW w:w="9923" w:type="dxa"/>
            <w:tcBorders>
              <w:bottom w:val="single" w:sz="4" w:space="0" w:color="auto"/>
            </w:tcBorders>
            <w:shd w:val="clear" w:color="auto" w:fill="auto"/>
            <w:tcMar>
              <w:top w:w="85" w:type="dxa"/>
              <w:bottom w:w="85" w:type="dxa"/>
            </w:tcMar>
          </w:tcPr>
          <w:p w14:paraId="76A9BBE0" w14:textId="77777777" w:rsidR="00A85F9F" w:rsidRPr="0020291F" w:rsidRDefault="00A85F9F" w:rsidP="006E17E7">
            <w:pPr>
              <w:jc w:val="both"/>
              <w:rPr>
                <w:b/>
                <w:bCs/>
                <w:noProof/>
                <w:color w:val="000000"/>
              </w:rPr>
            </w:pPr>
            <w:r>
              <w:rPr>
                <w:b/>
                <w:noProof/>
                <w:color w:val="000000"/>
              </w:rPr>
              <w:t xml:space="preserve">Verbraucheragenda 2030, einschließlich eines Aktionsplans für Verbraucherinnen und Verbraucher im Binnenmarkt </w:t>
            </w:r>
            <w:r>
              <w:rPr>
                <w:noProof/>
                <w:color w:val="000000"/>
              </w:rPr>
              <w:t>(nicht legislativ, 4. Quartal 2025)</w:t>
            </w:r>
          </w:p>
        </w:tc>
      </w:tr>
      <w:tr w:rsidR="00A85F9F" w:rsidRPr="008E1F61" w14:paraId="2062701A" w14:textId="77777777" w:rsidTr="004514E1">
        <w:trPr>
          <w:cantSplit/>
          <w:trHeight w:val="300"/>
        </w:trPr>
        <w:tc>
          <w:tcPr>
            <w:tcW w:w="13887" w:type="dxa"/>
            <w:gridSpan w:val="3"/>
            <w:tcBorders>
              <w:top w:val="nil"/>
              <w:bottom w:val="single" w:sz="4" w:space="0" w:color="auto"/>
            </w:tcBorders>
            <w:shd w:val="clear" w:color="auto" w:fill="B07442"/>
          </w:tcPr>
          <w:p w14:paraId="65704DB8" w14:textId="77777777" w:rsidR="00A85F9F" w:rsidRPr="00701930" w:rsidRDefault="00A85F9F" w:rsidP="006E17E7">
            <w:pPr>
              <w:keepNext/>
              <w:keepLines/>
              <w:spacing w:before="60" w:after="60"/>
              <w:jc w:val="both"/>
              <w:rPr>
                <w:b/>
                <w:bCs/>
                <w:noProof/>
                <w:color w:val="FFFFFF"/>
              </w:rPr>
            </w:pPr>
            <w:r>
              <w:rPr>
                <w:b/>
                <w:noProof/>
                <w:color w:val="FFFFFF"/>
              </w:rPr>
              <w:t>Unsere Lebensqualität erhalten: Ernährungssicherheit, Wasser und Natur</w:t>
            </w:r>
          </w:p>
        </w:tc>
      </w:tr>
      <w:tr w:rsidR="007C03DE" w:rsidRPr="008E1F61" w14:paraId="45FC5247" w14:textId="77777777" w:rsidTr="15C1A19F">
        <w:trPr>
          <w:cantSplit/>
          <w:trHeight w:val="300"/>
        </w:trPr>
        <w:tc>
          <w:tcPr>
            <w:tcW w:w="704" w:type="dxa"/>
          </w:tcPr>
          <w:p w14:paraId="0EB5B5A1" w14:textId="77777777" w:rsidR="007C03DE" w:rsidRPr="009022CF" w:rsidRDefault="007C03DE" w:rsidP="006E17E7">
            <w:pPr>
              <w:pStyle w:val="ListParagraph"/>
              <w:keepLines/>
              <w:numPr>
                <w:ilvl w:val="0"/>
                <w:numId w:val="3"/>
              </w:numPr>
              <w:spacing w:after="0"/>
              <w:ind w:left="473"/>
              <w:rPr>
                <w:noProof/>
              </w:rPr>
            </w:pPr>
          </w:p>
        </w:tc>
        <w:tc>
          <w:tcPr>
            <w:tcW w:w="3260" w:type="dxa"/>
            <w:tcMar>
              <w:top w:w="85" w:type="dxa"/>
              <w:bottom w:w="85" w:type="dxa"/>
            </w:tcMar>
          </w:tcPr>
          <w:p w14:paraId="6C05A273" w14:textId="3639361A" w:rsidR="007C03DE" w:rsidRDefault="00D77EE0" w:rsidP="006E17E7">
            <w:pPr>
              <w:keepLines/>
              <w:jc w:val="both"/>
              <w:rPr>
                <w:b/>
                <w:bCs/>
                <w:noProof/>
              </w:rPr>
            </w:pPr>
            <w:r>
              <w:rPr>
                <w:b/>
                <w:noProof/>
              </w:rPr>
              <w:t>Dekarbonisierung</w:t>
            </w:r>
          </w:p>
        </w:tc>
        <w:tc>
          <w:tcPr>
            <w:tcW w:w="9923" w:type="dxa"/>
            <w:tcBorders>
              <w:bottom w:val="single" w:sz="4" w:space="0" w:color="auto"/>
            </w:tcBorders>
            <w:shd w:val="clear" w:color="auto" w:fill="auto"/>
            <w:tcMar>
              <w:top w:w="85" w:type="dxa"/>
              <w:bottom w:w="85" w:type="dxa"/>
            </w:tcMar>
          </w:tcPr>
          <w:p w14:paraId="2F360220" w14:textId="4BDD46CE" w:rsidR="007C03DE" w:rsidRPr="00894E1F" w:rsidRDefault="007C03DE" w:rsidP="006E17E7">
            <w:pPr>
              <w:keepLines/>
              <w:rPr>
                <w:b/>
                <w:noProof/>
              </w:rPr>
            </w:pPr>
            <w:r>
              <w:rPr>
                <w:b/>
                <w:noProof/>
                <w:color w:val="000000" w:themeColor="text1"/>
              </w:rPr>
              <w:t xml:space="preserve">Änderung des Europäischen Klimagesetzes </w:t>
            </w:r>
            <w:r>
              <w:rPr>
                <w:noProof/>
                <w:color w:val="000000" w:themeColor="text1"/>
              </w:rPr>
              <w:t>(legislativ, Artikel 192 Absatz 1 AEUV, 1. Quartal 2025)</w:t>
            </w:r>
          </w:p>
        </w:tc>
      </w:tr>
      <w:tr w:rsidR="00A85F9F" w:rsidRPr="008E1F61" w14:paraId="3647ABDC" w14:textId="77777777" w:rsidTr="00503A69">
        <w:trPr>
          <w:cantSplit/>
          <w:trHeight w:val="300"/>
        </w:trPr>
        <w:tc>
          <w:tcPr>
            <w:tcW w:w="704" w:type="dxa"/>
            <w:tcBorders>
              <w:bottom w:val="single" w:sz="4" w:space="0" w:color="auto"/>
              <w:right w:val="single" w:sz="4" w:space="0" w:color="auto"/>
            </w:tcBorders>
          </w:tcPr>
          <w:p w14:paraId="7B734A44" w14:textId="77777777" w:rsidR="00A85F9F" w:rsidRPr="00D3190F" w:rsidRDefault="00A85F9F" w:rsidP="006E17E7">
            <w:pPr>
              <w:pStyle w:val="ListParagraph"/>
              <w:keepLines/>
              <w:numPr>
                <w:ilvl w:val="0"/>
                <w:numId w:val="3"/>
              </w:numPr>
              <w:spacing w:after="0"/>
              <w:ind w:left="473"/>
              <w:rPr>
                <w:noProof/>
                <w:lang w:val="en-IE"/>
              </w:rPr>
            </w:pPr>
          </w:p>
        </w:tc>
        <w:tc>
          <w:tcPr>
            <w:tcW w:w="3260" w:type="dxa"/>
            <w:tcBorders>
              <w:left w:val="single" w:sz="4" w:space="0" w:color="auto"/>
              <w:bottom w:val="single" w:sz="4" w:space="0" w:color="auto"/>
            </w:tcBorders>
            <w:shd w:val="clear" w:color="auto" w:fill="auto"/>
            <w:tcMar>
              <w:top w:w="85" w:type="dxa"/>
              <w:bottom w:w="85" w:type="dxa"/>
            </w:tcMar>
          </w:tcPr>
          <w:p w14:paraId="10F51515" w14:textId="0166E6ED" w:rsidR="00A85F9F" w:rsidRPr="0020291F" w:rsidRDefault="00203B43" w:rsidP="004514E1">
            <w:pPr>
              <w:keepLines/>
              <w:rPr>
                <w:b/>
                <w:bCs/>
                <w:noProof/>
              </w:rPr>
            </w:pPr>
            <w:r>
              <w:rPr>
                <w:b/>
                <w:noProof/>
              </w:rPr>
              <w:t>Wettbewerbsfähigkeit und Dekarbonisierung</w:t>
            </w:r>
          </w:p>
        </w:tc>
        <w:tc>
          <w:tcPr>
            <w:tcW w:w="9923" w:type="dxa"/>
            <w:tcBorders>
              <w:bottom w:val="single" w:sz="4" w:space="0" w:color="auto"/>
            </w:tcBorders>
            <w:shd w:val="clear" w:color="auto" w:fill="auto"/>
            <w:tcMar>
              <w:top w:w="85" w:type="dxa"/>
              <w:bottom w:w="85" w:type="dxa"/>
            </w:tcMar>
          </w:tcPr>
          <w:p w14:paraId="25367C34" w14:textId="77777777" w:rsidR="00A85F9F" w:rsidRPr="0020291F" w:rsidRDefault="00A85F9F" w:rsidP="006E17E7">
            <w:pPr>
              <w:keepLines/>
              <w:rPr>
                <w:b/>
                <w:bCs/>
                <w:noProof/>
                <w:highlight w:val="green"/>
              </w:rPr>
            </w:pPr>
            <w:r>
              <w:rPr>
                <w:b/>
                <w:noProof/>
              </w:rPr>
              <w:t xml:space="preserve">Vision für Landwirtschaft und Ernährung </w:t>
            </w:r>
            <w:r>
              <w:rPr>
                <w:noProof/>
                <w:color w:val="000000"/>
              </w:rPr>
              <w:t>(nicht legislativ, 1. Quartal 2025)</w:t>
            </w:r>
          </w:p>
        </w:tc>
      </w:tr>
      <w:tr w:rsidR="00A85F9F" w:rsidRPr="008E1F61" w14:paraId="17002562" w14:textId="77777777" w:rsidTr="007614B3">
        <w:trPr>
          <w:cantSplit/>
          <w:trHeight w:val="300"/>
        </w:trPr>
        <w:tc>
          <w:tcPr>
            <w:tcW w:w="704" w:type="dxa"/>
            <w:tcBorders>
              <w:bottom w:val="single" w:sz="4" w:space="0" w:color="auto"/>
              <w:right w:val="single" w:sz="4" w:space="0" w:color="auto"/>
            </w:tcBorders>
          </w:tcPr>
          <w:p w14:paraId="7698F002" w14:textId="77777777" w:rsidR="00A85F9F" w:rsidRPr="00D3190F" w:rsidRDefault="00A85F9F" w:rsidP="006E17E7">
            <w:pPr>
              <w:pStyle w:val="ListParagraph"/>
              <w:keepLines/>
              <w:numPr>
                <w:ilvl w:val="0"/>
                <w:numId w:val="3"/>
              </w:numPr>
              <w:spacing w:after="0"/>
              <w:ind w:left="473"/>
              <w:rPr>
                <w:noProof/>
                <w:lang w:val="en-IE"/>
              </w:rPr>
            </w:pPr>
          </w:p>
        </w:tc>
        <w:tc>
          <w:tcPr>
            <w:tcW w:w="3260" w:type="dxa"/>
            <w:tcBorders>
              <w:left w:val="single" w:sz="4" w:space="0" w:color="auto"/>
              <w:bottom w:val="single" w:sz="4" w:space="0" w:color="auto"/>
            </w:tcBorders>
            <w:tcMar>
              <w:top w:w="85" w:type="dxa"/>
              <w:bottom w:w="85" w:type="dxa"/>
            </w:tcMar>
          </w:tcPr>
          <w:p w14:paraId="643C7BCE" w14:textId="50A7027D" w:rsidR="00A85F9F" w:rsidRPr="0020291F" w:rsidRDefault="00CF143A" w:rsidP="006E17E7">
            <w:pPr>
              <w:keepLines/>
              <w:jc w:val="both"/>
              <w:rPr>
                <w:b/>
                <w:noProof/>
                <w:highlight w:val="cyan"/>
              </w:rPr>
            </w:pPr>
            <w:r>
              <w:rPr>
                <w:b/>
                <w:noProof/>
              </w:rPr>
              <w:t>Vereinfachung</w:t>
            </w:r>
          </w:p>
        </w:tc>
        <w:tc>
          <w:tcPr>
            <w:tcW w:w="9923" w:type="dxa"/>
            <w:tcBorders>
              <w:bottom w:val="single" w:sz="4" w:space="0" w:color="auto"/>
            </w:tcBorders>
            <w:shd w:val="clear" w:color="auto" w:fill="C1E4F5" w:themeFill="accent1" w:themeFillTint="33"/>
            <w:tcMar>
              <w:top w:w="85" w:type="dxa"/>
              <w:bottom w:w="85" w:type="dxa"/>
            </w:tcMar>
          </w:tcPr>
          <w:p w14:paraId="7F666A12" w14:textId="3B73ED4B" w:rsidR="00A85F9F" w:rsidRPr="0020291F" w:rsidRDefault="00A85F9F" w:rsidP="006E17E7">
            <w:pPr>
              <w:keepLines/>
              <w:rPr>
                <w:b/>
                <w:bCs/>
                <w:noProof/>
                <w:highlight w:val="cyan"/>
              </w:rPr>
            </w:pPr>
            <w:r>
              <w:rPr>
                <w:b/>
                <w:noProof/>
              </w:rPr>
              <w:t xml:space="preserve">Paket zur Vereinfachung der Gemeinsamen Agrarpolitik </w:t>
            </w:r>
            <w:r>
              <w:rPr>
                <w:noProof/>
                <w:color w:val="000000"/>
              </w:rPr>
              <w:t>(legislativ, 2. Quartal 2025)</w:t>
            </w:r>
          </w:p>
        </w:tc>
      </w:tr>
      <w:tr w:rsidR="00A85F9F" w:rsidRPr="00DE4016" w14:paraId="7B49B951" w14:textId="77777777" w:rsidTr="00113B86">
        <w:trPr>
          <w:cantSplit/>
          <w:trHeight w:val="300"/>
        </w:trPr>
        <w:tc>
          <w:tcPr>
            <w:tcW w:w="704" w:type="dxa"/>
            <w:tcBorders>
              <w:bottom w:val="single" w:sz="4" w:space="0" w:color="auto"/>
              <w:right w:val="single" w:sz="4" w:space="0" w:color="auto"/>
            </w:tcBorders>
          </w:tcPr>
          <w:p w14:paraId="7BA6E95B" w14:textId="77777777" w:rsidR="00A85F9F" w:rsidRPr="00D3190F" w:rsidRDefault="00A85F9F" w:rsidP="006E17E7">
            <w:pPr>
              <w:pStyle w:val="ListParagraph"/>
              <w:keepLines/>
              <w:numPr>
                <w:ilvl w:val="0"/>
                <w:numId w:val="3"/>
              </w:numPr>
              <w:spacing w:after="0"/>
              <w:ind w:left="473"/>
              <w:rPr>
                <w:noProof/>
                <w:lang w:val="en-IE"/>
              </w:rPr>
            </w:pPr>
          </w:p>
        </w:tc>
        <w:tc>
          <w:tcPr>
            <w:tcW w:w="3260" w:type="dxa"/>
            <w:tcBorders>
              <w:left w:val="single" w:sz="4" w:space="0" w:color="auto"/>
              <w:bottom w:val="single" w:sz="4" w:space="0" w:color="auto"/>
            </w:tcBorders>
            <w:shd w:val="clear" w:color="auto" w:fill="auto"/>
            <w:tcMar>
              <w:top w:w="85" w:type="dxa"/>
              <w:bottom w:w="85" w:type="dxa"/>
            </w:tcMar>
          </w:tcPr>
          <w:p w14:paraId="4D533035" w14:textId="76A79759" w:rsidR="00A85F9F" w:rsidRPr="0020291F" w:rsidRDefault="00C55329" w:rsidP="006E17E7">
            <w:pPr>
              <w:keepLines/>
              <w:rPr>
                <w:b/>
                <w:noProof/>
                <w:color w:val="000000"/>
                <w:highlight w:val="cyan"/>
              </w:rPr>
            </w:pPr>
            <w:r>
              <w:rPr>
                <w:b/>
                <w:noProof/>
                <w:color w:val="000000"/>
              </w:rPr>
              <w:t>Wettbewerbsfähigkeit</w:t>
            </w:r>
          </w:p>
        </w:tc>
        <w:tc>
          <w:tcPr>
            <w:tcW w:w="9923" w:type="dxa"/>
            <w:tcBorders>
              <w:bottom w:val="single" w:sz="4" w:space="0" w:color="auto"/>
            </w:tcBorders>
            <w:shd w:val="clear" w:color="auto" w:fill="auto"/>
            <w:tcMar>
              <w:top w:w="85" w:type="dxa"/>
              <w:bottom w:w="85" w:type="dxa"/>
            </w:tcMar>
          </w:tcPr>
          <w:p w14:paraId="0B6D4DAE" w14:textId="02F231FE" w:rsidR="00A85F9F" w:rsidRPr="00894E1F" w:rsidRDefault="00A85F9F" w:rsidP="006E17E7">
            <w:pPr>
              <w:keepLines/>
              <w:rPr>
                <w:b/>
                <w:noProof/>
                <w:highlight w:val="green"/>
              </w:rPr>
            </w:pPr>
            <w:r>
              <w:rPr>
                <w:b/>
                <w:noProof/>
              </w:rPr>
              <w:t xml:space="preserve">Paket für die Meere </w:t>
            </w:r>
            <w:r>
              <w:rPr>
                <w:noProof/>
                <w:color w:val="000000"/>
              </w:rPr>
              <w:t>(nicht legislativ, 2. Quartal 2025)</w:t>
            </w:r>
          </w:p>
        </w:tc>
      </w:tr>
      <w:tr w:rsidR="00A85F9F" w:rsidRPr="008E1F61" w14:paraId="7C8884E8" w14:textId="77777777" w:rsidTr="00113B86">
        <w:trPr>
          <w:cantSplit/>
          <w:trHeight w:val="300"/>
        </w:trPr>
        <w:tc>
          <w:tcPr>
            <w:tcW w:w="704" w:type="dxa"/>
            <w:tcBorders>
              <w:bottom w:val="single" w:sz="4" w:space="0" w:color="auto"/>
              <w:right w:val="single" w:sz="4" w:space="0" w:color="auto"/>
            </w:tcBorders>
          </w:tcPr>
          <w:p w14:paraId="56573F9A" w14:textId="77777777" w:rsidR="00A85F9F" w:rsidRPr="00894E1F" w:rsidRDefault="00A85F9F" w:rsidP="006E17E7">
            <w:pPr>
              <w:pStyle w:val="ListParagraph"/>
              <w:keepLines/>
              <w:numPr>
                <w:ilvl w:val="0"/>
                <w:numId w:val="3"/>
              </w:numPr>
              <w:spacing w:after="0"/>
              <w:ind w:left="473"/>
              <w:rPr>
                <w:noProof/>
                <w:lang w:val="fr-FR"/>
              </w:rPr>
            </w:pPr>
          </w:p>
        </w:tc>
        <w:tc>
          <w:tcPr>
            <w:tcW w:w="3260" w:type="dxa"/>
            <w:tcBorders>
              <w:left w:val="single" w:sz="4" w:space="0" w:color="auto"/>
            </w:tcBorders>
            <w:shd w:val="clear" w:color="auto" w:fill="auto"/>
            <w:tcMar>
              <w:top w:w="85" w:type="dxa"/>
              <w:bottom w:w="85" w:type="dxa"/>
            </w:tcMar>
          </w:tcPr>
          <w:p w14:paraId="6C2FD56D" w14:textId="0E56360B" w:rsidR="00A85F9F" w:rsidRPr="00160006" w:rsidRDefault="00263F39" w:rsidP="006E17E7">
            <w:pPr>
              <w:keepLines/>
              <w:rPr>
                <w:b/>
                <w:noProof/>
                <w:color w:val="000000"/>
              </w:rPr>
            </w:pPr>
            <w:r>
              <w:rPr>
                <w:b/>
                <w:noProof/>
                <w:color w:val="000000"/>
              </w:rPr>
              <w:t>Krisenvorsorge und Resilienz</w:t>
            </w:r>
          </w:p>
        </w:tc>
        <w:tc>
          <w:tcPr>
            <w:tcW w:w="9923" w:type="dxa"/>
            <w:tcBorders>
              <w:bottom w:val="single" w:sz="4" w:space="0" w:color="auto"/>
            </w:tcBorders>
            <w:shd w:val="clear" w:color="auto" w:fill="auto"/>
            <w:tcMar>
              <w:top w:w="85" w:type="dxa"/>
              <w:bottom w:w="85" w:type="dxa"/>
            </w:tcMar>
          </w:tcPr>
          <w:p w14:paraId="021BB8AD" w14:textId="77777777" w:rsidR="00A85F9F" w:rsidRPr="00160006" w:rsidRDefault="00A85F9F" w:rsidP="006E17E7">
            <w:pPr>
              <w:keepLines/>
              <w:rPr>
                <w:b/>
                <w:noProof/>
                <w:highlight w:val="green"/>
              </w:rPr>
            </w:pPr>
            <w:r>
              <w:rPr>
                <w:b/>
                <w:noProof/>
                <w:color w:val="000000"/>
              </w:rPr>
              <w:t xml:space="preserve">Europäischen Strategie für eine resiliente Wasserversorgung </w:t>
            </w:r>
            <w:r>
              <w:rPr>
                <w:noProof/>
                <w:color w:val="000000"/>
              </w:rPr>
              <w:t>(nicht legislativ, 2. Quartal 2025)</w:t>
            </w:r>
          </w:p>
        </w:tc>
      </w:tr>
      <w:tr w:rsidR="00A85F9F" w:rsidRPr="008E1F61" w14:paraId="20F2E1C1" w14:textId="77777777" w:rsidTr="006E17E7">
        <w:trPr>
          <w:cantSplit/>
          <w:trHeight w:val="300"/>
        </w:trPr>
        <w:tc>
          <w:tcPr>
            <w:tcW w:w="13887" w:type="dxa"/>
            <w:gridSpan w:val="3"/>
            <w:tcBorders>
              <w:bottom w:val="single" w:sz="4" w:space="0" w:color="auto"/>
            </w:tcBorders>
            <w:shd w:val="clear" w:color="auto" w:fill="6400D8"/>
          </w:tcPr>
          <w:p w14:paraId="1C5FC41A" w14:textId="77777777" w:rsidR="00A85F9F" w:rsidRPr="00701930" w:rsidRDefault="00A85F9F" w:rsidP="006E17E7">
            <w:pPr>
              <w:keepNext/>
              <w:spacing w:before="60" w:after="60"/>
              <w:jc w:val="both"/>
              <w:rPr>
                <w:b/>
                <w:bCs/>
                <w:noProof/>
                <w:color w:val="FFFFFF"/>
              </w:rPr>
            </w:pPr>
            <w:r>
              <w:rPr>
                <w:b/>
                <w:noProof/>
                <w:color w:val="FFFFFF"/>
              </w:rPr>
              <w:t>Unsere Demokratie schützen und unsere Werte wahren</w:t>
            </w:r>
          </w:p>
        </w:tc>
      </w:tr>
      <w:tr w:rsidR="00A85F9F" w:rsidRPr="008E1F61" w14:paraId="1D2A6FF4" w14:textId="77777777" w:rsidTr="005B18ED">
        <w:trPr>
          <w:cantSplit/>
          <w:trHeight w:val="300"/>
        </w:trPr>
        <w:tc>
          <w:tcPr>
            <w:tcW w:w="704" w:type="dxa"/>
            <w:vMerge w:val="restart"/>
            <w:tcBorders>
              <w:right w:val="single" w:sz="4" w:space="0" w:color="auto"/>
            </w:tcBorders>
          </w:tcPr>
          <w:p w14:paraId="20CB6775" w14:textId="77777777" w:rsidR="00A85F9F" w:rsidRPr="009022CF" w:rsidRDefault="00A85F9F" w:rsidP="006E17E7">
            <w:pPr>
              <w:pStyle w:val="ListParagraph"/>
              <w:numPr>
                <w:ilvl w:val="0"/>
                <w:numId w:val="3"/>
              </w:numPr>
              <w:spacing w:after="0"/>
              <w:ind w:left="473"/>
              <w:rPr>
                <w:noProof/>
              </w:rPr>
            </w:pPr>
          </w:p>
        </w:tc>
        <w:tc>
          <w:tcPr>
            <w:tcW w:w="3260" w:type="dxa"/>
            <w:vMerge w:val="restart"/>
            <w:tcBorders>
              <w:left w:val="single" w:sz="4" w:space="0" w:color="auto"/>
            </w:tcBorders>
            <w:shd w:val="clear" w:color="auto" w:fill="auto"/>
            <w:tcMar>
              <w:top w:w="85" w:type="dxa"/>
              <w:bottom w:w="85" w:type="dxa"/>
            </w:tcMar>
          </w:tcPr>
          <w:p w14:paraId="364CABC7" w14:textId="69632BD0" w:rsidR="00A85F9F" w:rsidRPr="0020291F" w:rsidRDefault="00A85F9F" w:rsidP="006E17E7">
            <w:pPr>
              <w:jc w:val="both"/>
              <w:rPr>
                <w:b/>
                <w:bCs/>
                <w:noProof/>
                <w:color w:val="000000"/>
              </w:rPr>
            </w:pPr>
            <w:r>
              <w:rPr>
                <w:b/>
                <w:noProof/>
                <w:color w:val="000000"/>
              </w:rPr>
              <w:t>Demokratie</w:t>
            </w:r>
          </w:p>
        </w:tc>
        <w:tc>
          <w:tcPr>
            <w:tcW w:w="9923" w:type="dxa"/>
            <w:shd w:val="clear" w:color="auto" w:fill="auto"/>
            <w:tcMar>
              <w:top w:w="85" w:type="dxa"/>
              <w:bottom w:w="85" w:type="dxa"/>
            </w:tcMar>
          </w:tcPr>
          <w:p w14:paraId="3666B494" w14:textId="207498FE" w:rsidR="00A85F9F" w:rsidRPr="0020291F" w:rsidRDefault="00A85F9F" w:rsidP="006E17E7">
            <w:pPr>
              <w:spacing w:line="240" w:lineRule="atLeast"/>
              <w:rPr>
                <w:b/>
                <w:bCs/>
                <w:noProof/>
              </w:rPr>
            </w:pPr>
            <w:r>
              <w:rPr>
                <w:b/>
                <w:noProof/>
                <w:color w:val="000000"/>
              </w:rPr>
              <w:t xml:space="preserve">Europäischer Schutzschild für die Demokratie </w:t>
            </w:r>
            <w:r>
              <w:rPr>
                <w:noProof/>
                <w:color w:val="000000"/>
              </w:rPr>
              <w:t>(nicht legislativ, 3. Quartal 2025)</w:t>
            </w:r>
          </w:p>
        </w:tc>
      </w:tr>
      <w:tr w:rsidR="00A85F9F" w:rsidRPr="008E1F61" w14:paraId="4A925E47" w14:textId="77777777" w:rsidTr="15C1A19F">
        <w:trPr>
          <w:cantSplit/>
          <w:trHeight w:val="300"/>
        </w:trPr>
        <w:tc>
          <w:tcPr>
            <w:tcW w:w="704" w:type="dxa"/>
            <w:vMerge/>
          </w:tcPr>
          <w:p w14:paraId="0015A37C" w14:textId="77777777" w:rsidR="00A85F9F" w:rsidRPr="009022CF" w:rsidRDefault="00A85F9F" w:rsidP="006E17E7">
            <w:pPr>
              <w:numPr>
                <w:ilvl w:val="0"/>
                <w:numId w:val="3"/>
              </w:numPr>
              <w:ind w:left="0"/>
              <w:contextualSpacing/>
              <w:jc w:val="both"/>
              <w:rPr>
                <w:noProof/>
              </w:rPr>
            </w:pPr>
          </w:p>
        </w:tc>
        <w:tc>
          <w:tcPr>
            <w:tcW w:w="3260" w:type="dxa"/>
            <w:vMerge/>
            <w:tcMar>
              <w:top w:w="85" w:type="dxa"/>
              <w:bottom w:w="85" w:type="dxa"/>
            </w:tcMar>
          </w:tcPr>
          <w:p w14:paraId="592D763B" w14:textId="77777777" w:rsidR="00A85F9F" w:rsidRPr="009022CF" w:rsidRDefault="00A85F9F" w:rsidP="006E17E7">
            <w:pPr>
              <w:rPr>
                <w:b/>
                <w:bCs/>
                <w:noProof/>
              </w:rPr>
            </w:pPr>
          </w:p>
        </w:tc>
        <w:tc>
          <w:tcPr>
            <w:tcW w:w="9923" w:type="dxa"/>
            <w:tcBorders>
              <w:bottom w:val="single" w:sz="4" w:space="0" w:color="auto"/>
            </w:tcBorders>
            <w:shd w:val="clear" w:color="auto" w:fill="auto"/>
            <w:tcMar>
              <w:top w:w="85" w:type="dxa"/>
              <w:bottom w:w="85" w:type="dxa"/>
            </w:tcMar>
          </w:tcPr>
          <w:p w14:paraId="401D9964" w14:textId="341E1933" w:rsidR="00A85F9F" w:rsidRPr="00051869" w:rsidRDefault="00A85F9F" w:rsidP="006E17E7">
            <w:pPr>
              <w:contextualSpacing/>
              <w:jc w:val="both"/>
              <w:rPr>
                <w:b/>
                <w:bCs/>
                <w:noProof/>
                <w:color w:val="000000"/>
              </w:rPr>
            </w:pPr>
            <w:r>
              <w:rPr>
                <w:b/>
                <w:noProof/>
              </w:rPr>
              <w:t xml:space="preserve">EU-Strategie zur Unterstützung, zum Schutz und zur Stärkung der Zivilgesellschaft </w:t>
            </w:r>
            <w:r>
              <w:rPr>
                <w:noProof/>
                <w:color w:val="000000"/>
              </w:rPr>
              <w:t>(nicht legislativ, 3. Quartal 2025)</w:t>
            </w:r>
          </w:p>
        </w:tc>
      </w:tr>
      <w:tr w:rsidR="00A85F9F" w:rsidRPr="008E1F61" w14:paraId="79CE4634" w14:textId="77777777" w:rsidTr="005B18ED">
        <w:trPr>
          <w:cantSplit/>
          <w:trHeight w:val="300"/>
        </w:trPr>
        <w:tc>
          <w:tcPr>
            <w:tcW w:w="704" w:type="dxa"/>
          </w:tcPr>
          <w:p w14:paraId="6C37B889" w14:textId="77777777" w:rsidR="00A85F9F" w:rsidRPr="00D3190F" w:rsidRDefault="00A85F9F" w:rsidP="006E17E7">
            <w:pPr>
              <w:pStyle w:val="ListParagraph"/>
              <w:numPr>
                <w:ilvl w:val="0"/>
                <w:numId w:val="3"/>
              </w:numPr>
              <w:spacing w:after="0"/>
              <w:ind w:left="473"/>
              <w:rPr>
                <w:noProof/>
                <w:lang w:val="en-IE"/>
              </w:rPr>
            </w:pPr>
          </w:p>
        </w:tc>
        <w:tc>
          <w:tcPr>
            <w:tcW w:w="3260" w:type="dxa"/>
            <w:shd w:val="clear" w:color="auto" w:fill="auto"/>
            <w:tcMar>
              <w:top w:w="85" w:type="dxa"/>
              <w:bottom w:w="85" w:type="dxa"/>
            </w:tcMar>
          </w:tcPr>
          <w:p w14:paraId="30AF4B71" w14:textId="370DEF4A" w:rsidR="00A85F9F" w:rsidRPr="0020291F" w:rsidRDefault="00217305" w:rsidP="006E17E7">
            <w:pPr>
              <w:rPr>
                <w:b/>
                <w:bCs/>
                <w:noProof/>
              </w:rPr>
            </w:pPr>
            <w:r>
              <w:rPr>
                <w:b/>
                <w:noProof/>
              </w:rPr>
              <w:t>Gleichstellung</w:t>
            </w:r>
          </w:p>
        </w:tc>
        <w:tc>
          <w:tcPr>
            <w:tcW w:w="9923" w:type="dxa"/>
            <w:tcBorders>
              <w:bottom w:val="single" w:sz="4" w:space="0" w:color="auto"/>
            </w:tcBorders>
            <w:shd w:val="clear" w:color="auto" w:fill="auto"/>
            <w:tcMar>
              <w:top w:w="85" w:type="dxa"/>
              <w:bottom w:w="85" w:type="dxa"/>
            </w:tcMar>
          </w:tcPr>
          <w:p w14:paraId="4FEE08A3" w14:textId="63687BE5" w:rsidR="00A85F9F" w:rsidRPr="0020291F" w:rsidRDefault="00A85F9F" w:rsidP="006E17E7">
            <w:pPr>
              <w:contextualSpacing/>
              <w:jc w:val="both"/>
              <w:rPr>
                <w:b/>
                <w:bCs/>
                <w:noProof/>
                <w:color w:val="000000"/>
                <w:highlight w:val="yellow"/>
              </w:rPr>
            </w:pPr>
            <w:r>
              <w:rPr>
                <w:b/>
                <w:noProof/>
                <w:color w:val="000000"/>
              </w:rPr>
              <w:t xml:space="preserve">Fahrplan für Frauenrechte </w:t>
            </w:r>
            <w:r>
              <w:rPr>
                <w:noProof/>
                <w:color w:val="000000"/>
              </w:rPr>
              <w:t>(nicht legislativ, 1. Quartal 2025)</w:t>
            </w:r>
          </w:p>
        </w:tc>
      </w:tr>
      <w:tr w:rsidR="00A85F9F" w:rsidRPr="008E1F61" w14:paraId="2DC499E9" w14:textId="77777777" w:rsidTr="005B18ED">
        <w:trPr>
          <w:cantSplit/>
          <w:trHeight w:val="300"/>
        </w:trPr>
        <w:tc>
          <w:tcPr>
            <w:tcW w:w="704" w:type="dxa"/>
          </w:tcPr>
          <w:p w14:paraId="796835CB" w14:textId="77777777" w:rsidR="00A85F9F" w:rsidRPr="00D3190F" w:rsidRDefault="00A85F9F" w:rsidP="006E17E7">
            <w:pPr>
              <w:pStyle w:val="ListParagraph"/>
              <w:numPr>
                <w:ilvl w:val="0"/>
                <w:numId w:val="3"/>
              </w:numPr>
              <w:spacing w:after="0"/>
              <w:ind w:left="473"/>
              <w:rPr>
                <w:noProof/>
                <w:lang w:val="en-IE"/>
              </w:rPr>
            </w:pPr>
          </w:p>
        </w:tc>
        <w:tc>
          <w:tcPr>
            <w:tcW w:w="3260" w:type="dxa"/>
            <w:shd w:val="clear" w:color="auto" w:fill="auto"/>
            <w:tcMar>
              <w:top w:w="85" w:type="dxa"/>
              <w:bottom w:w="85" w:type="dxa"/>
            </w:tcMar>
          </w:tcPr>
          <w:p w14:paraId="2DE4A528" w14:textId="513D35D7" w:rsidR="00A85F9F" w:rsidRPr="0020291F" w:rsidRDefault="005144AF" w:rsidP="006E17E7">
            <w:pPr>
              <w:rPr>
                <w:b/>
                <w:bCs/>
                <w:noProof/>
              </w:rPr>
            </w:pPr>
            <w:r>
              <w:rPr>
                <w:b/>
                <w:noProof/>
              </w:rPr>
              <w:t>Gleichstellung</w:t>
            </w:r>
          </w:p>
        </w:tc>
        <w:tc>
          <w:tcPr>
            <w:tcW w:w="9923" w:type="dxa"/>
            <w:tcBorders>
              <w:bottom w:val="single" w:sz="4" w:space="0" w:color="auto"/>
            </w:tcBorders>
            <w:shd w:val="clear" w:color="auto" w:fill="auto"/>
            <w:tcMar>
              <w:top w:w="85" w:type="dxa"/>
              <w:bottom w:w="85" w:type="dxa"/>
            </w:tcMar>
          </w:tcPr>
          <w:p w14:paraId="37A0C57A" w14:textId="1C94B50A" w:rsidR="00A85F9F" w:rsidRPr="007B6B2D" w:rsidRDefault="00A85F9F" w:rsidP="006E17E7">
            <w:pPr>
              <w:contextualSpacing/>
              <w:jc w:val="both"/>
              <w:rPr>
                <w:bCs/>
                <w:noProof/>
                <w:color w:val="000000"/>
                <w:highlight w:val="yellow"/>
              </w:rPr>
            </w:pPr>
            <w:r>
              <w:rPr>
                <w:b/>
                <w:noProof/>
                <w:color w:val="000000"/>
              </w:rPr>
              <w:t xml:space="preserve">Neue Strategien für die Gleichstellung von LGBTIQ-Personen </w:t>
            </w:r>
            <w:r>
              <w:rPr>
                <w:noProof/>
                <w:color w:val="000000"/>
              </w:rPr>
              <w:t xml:space="preserve">(nicht legislativ, 4. Quartal 2025) und </w:t>
            </w:r>
            <w:r>
              <w:rPr>
                <w:b/>
                <w:noProof/>
                <w:color w:val="000000"/>
              </w:rPr>
              <w:t xml:space="preserve">zur Bekämpfung des Rassismus </w:t>
            </w:r>
            <w:r>
              <w:rPr>
                <w:noProof/>
                <w:color w:val="000000"/>
              </w:rPr>
              <w:t>(nicht legislativ, 4. Quartal 2025)</w:t>
            </w:r>
          </w:p>
        </w:tc>
      </w:tr>
      <w:tr w:rsidR="00A85F9F" w:rsidRPr="008E1F61" w14:paraId="2F95E333" w14:textId="77777777" w:rsidTr="006E17E7">
        <w:trPr>
          <w:cantSplit/>
          <w:trHeight w:val="300"/>
        </w:trPr>
        <w:tc>
          <w:tcPr>
            <w:tcW w:w="13887" w:type="dxa"/>
            <w:gridSpan w:val="3"/>
            <w:tcBorders>
              <w:bottom w:val="single" w:sz="4" w:space="0" w:color="auto"/>
            </w:tcBorders>
            <w:shd w:val="clear" w:color="auto" w:fill="000083"/>
          </w:tcPr>
          <w:p w14:paraId="1047DA7F" w14:textId="77777777" w:rsidR="00A85F9F" w:rsidRPr="00701930" w:rsidRDefault="00A85F9F" w:rsidP="006E17E7">
            <w:pPr>
              <w:keepNext/>
              <w:spacing w:before="60" w:after="60"/>
              <w:jc w:val="both"/>
              <w:rPr>
                <w:b/>
                <w:bCs/>
                <w:noProof/>
                <w:color w:val="FFFFFF"/>
              </w:rPr>
            </w:pPr>
            <w:r>
              <w:rPr>
                <w:b/>
                <w:noProof/>
                <w:color w:val="FFFFFF"/>
              </w:rPr>
              <w:t>Europa in der Welt: unseren Einfluss und unsere Partnerschaften nutzen</w:t>
            </w:r>
          </w:p>
        </w:tc>
      </w:tr>
      <w:tr w:rsidR="00A85F9F" w:rsidRPr="008E1F61" w14:paraId="6D208695" w14:textId="77777777" w:rsidTr="005B18ED">
        <w:trPr>
          <w:cantSplit/>
          <w:trHeight w:val="300"/>
        </w:trPr>
        <w:tc>
          <w:tcPr>
            <w:tcW w:w="704" w:type="dxa"/>
            <w:tcBorders>
              <w:bottom w:val="single" w:sz="4" w:space="0" w:color="auto"/>
              <w:right w:val="single" w:sz="4" w:space="0" w:color="auto"/>
            </w:tcBorders>
          </w:tcPr>
          <w:p w14:paraId="2439E3AF" w14:textId="77777777" w:rsidR="00A85F9F" w:rsidRPr="009022CF" w:rsidRDefault="00A85F9F" w:rsidP="006E17E7">
            <w:pPr>
              <w:pStyle w:val="ListParagraph"/>
              <w:numPr>
                <w:ilvl w:val="0"/>
                <w:numId w:val="3"/>
              </w:numPr>
              <w:spacing w:after="0"/>
              <w:ind w:left="473"/>
              <w:rPr>
                <w:noProof/>
              </w:rPr>
            </w:pPr>
          </w:p>
        </w:tc>
        <w:tc>
          <w:tcPr>
            <w:tcW w:w="3260" w:type="dxa"/>
            <w:tcBorders>
              <w:left w:val="single" w:sz="4" w:space="0" w:color="auto"/>
              <w:bottom w:val="single" w:sz="4" w:space="0" w:color="auto"/>
            </w:tcBorders>
            <w:shd w:val="clear" w:color="auto" w:fill="auto"/>
            <w:tcMar>
              <w:top w:w="85" w:type="dxa"/>
              <w:bottom w:w="85" w:type="dxa"/>
            </w:tcMar>
          </w:tcPr>
          <w:p w14:paraId="5BE08757" w14:textId="56CD4F3E" w:rsidR="00A85F9F" w:rsidRPr="0020291F" w:rsidRDefault="00EB3A71" w:rsidP="006E17E7">
            <w:pPr>
              <w:jc w:val="both"/>
              <w:rPr>
                <w:b/>
                <w:noProof/>
              </w:rPr>
            </w:pPr>
            <w:r>
              <w:rPr>
                <w:b/>
                <w:noProof/>
              </w:rPr>
              <w:t>Geopolitik</w:t>
            </w:r>
          </w:p>
        </w:tc>
        <w:tc>
          <w:tcPr>
            <w:tcW w:w="9923" w:type="dxa"/>
            <w:tcBorders>
              <w:bottom w:val="single" w:sz="4" w:space="0" w:color="auto"/>
            </w:tcBorders>
            <w:shd w:val="clear" w:color="auto" w:fill="auto"/>
            <w:tcMar>
              <w:top w:w="85" w:type="dxa"/>
              <w:bottom w:w="85" w:type="dxa"/>
            </w:tcMar>
          </w:tcPr>
          <w:p w14:paraId="4FB4FB7B" w14:textId="77777777" w:rsidR="00A85F9F" w:rsidRPr="0020291F" w:rsidDel="00FC7D73" w:rsidRDefault="00A85F9F" w:rsidP="006E17E7">
            <w:pPr>
              <w:jc w:val="both"/>
              <w:rPr>
                <w:b/>
                <w:bCs/>
                <w:noProof/>
              </w:rPr>
            </w:pPr>
            <w:r>
              <w:rPr>
                <w:b/>
                <w:noProof/>
              </w:rPr>
              <w:t xml:space="preserve">Pakt für den Mittelmeerraum </w:t>
            </w:r>
            <w:r>
              <w:rPr>
                <w:noProof/>
                <w:color w:val="000000"/>
              </w:rPr>
              <w:t>(nicht legislativ, 3. Quartal 2025)</w:t>
            </w:r>
          </w:p>
        </w:tc>
      </w:tr>
      <w:tr w:rsidR="00A85F9F" w:rsidRPr="008E1F61" w14:paraId="2E3C5028" w14:textId="77777777" w:rsidTr="005B18ED">
        <w:trPr>
          <w:cantSplit/>
          <w:trHeight w:val="300"/>
        </w:trPr>
        <w:tc>
          <w:tcPr>
            <w:tcW w:w="704" w:type="dxa"/>
            <w:tcBorders>
              <w:right w:val="single" w:sz="4" w:space="0" w:color="auto"/>
            </w:tcBorders>
          </w:tcPr>
          <w:p w14:paraId="13D7E75C" w14:textId="77777777" w:rsidR="00A85F9F" w:rsidRPr="00D3190F" w:rsidRDefault="00A85F9F" w:rsidP="006E17E7">
            <w:pPr>
              <w:pStyle w:val="ListParagraph"/>
              <w:numPr>
                <w:ilvl w:val="0"/>
                <w:numId w:val="3"/>
              </w:numPr>
              <w:spacing w:after="0"/>
              <w:ind w:left="473"/>
              <w:rPr>
                <w:noProof/>
                <w:lang w:val="en-IE"/>
              </w:rPr>
            </w:pPr>
          </w:p>
        </w:tc>
        <w:tc>
          <w:tcPr>
            <w:tcW w:w="3260" w:type="dxa"/>
            <w:tcBorders>
              <w:left w:val="single" w:sz="4" w:space="0" w:color="auto"/>
            </w:tcBorders>
            <w:shd w:val="clear" w:color="auto" w:fill="auto"/>
            <w:tcMar>
              <w:top w:w="85" w:type="dxa"/>
              <w:bottom w:w="85" w:type="dxa"/>
            </w:tcMar>
          </w:tcPr>
          <w:p w14:paraId="5CD3772E" w14:textId="6B2F0485" w:rsidR="00A85F9F" w:rsidRPr="0020291F" w:rsidRDefault="00CD795D" w:rsidP="006E17E7">
            <w:pPr>
              <w:jc w:val="both"/>
              <w:rPr>
                <w:b/>
                <w:noProof/>
              </w:rPr>
            </w:pPr>
            <w:r>
              <w:rPr>
                <w:b/>
                <w:noProof/>
              </w:rPr>
              <w:t>Geopolitik</w:t>
            </w:r>
          </w:p>
        </w:tc>
        <w:tc>
          <w:tcPr>
            <w:tcW w:w="9923" w:type="dxa"/>
            <w:shd w:val="clear" w:color="auto" w:fill="auto"/>
            <w:tcMar>
              <w:top w:w="85" w:type="dxa"/>
              <w:bottom w:w="85" w:type="dxa"/>
            </w:tcMar>
          </w:tcPr>
          <w:p w14:paraId="379019D8" w14:textId="77777777" w:rsidR="00A85F9F" w:rsidRPr="0020291F" w:rsidRDefault="00A85F9F" w:rsidP="006E17E7">
            <w:pPr>
              <w:jc w:val="both"/>
              <w:rPr>
                <w:b/>
                <w:bCs/>
                <w:noProof/>
              </w:rPr>
            </w:pPr>
            <w:r>
              <w:rPr>
                <w:b/>
                <w:noProof/>
              </w:rPr>
              <w:t xml:space="preserve">Strategischer Ansatz der EU für den Schwarzmeerraum / Schwarzmeerstrategie </w:t>
            </w:r>
            <w:r>
              <w:rPr>
                <w:noProof/>
                <w:color w:val="000000"/>
              </w:rPr>
              <w:t>(nicht legislativ, 2. Quartal 2025)</w:t>
            </w:r>
          </w:p>
        </w:tc>
      </w:tr>
      <w:tr w:rsidR="00A85F9F" w:rsidRPr="008E1F61" w14:paraId="7273276C" w14:textId="77777777" w:rsidTr="005B18ED">
        <w:trPr>
          <w:cantSplit/>
          <w:trHeight w:val="300"/>
        </w:trPr>
        <w:tc>
          <w:tcPr>
            <w:tcW w:w="704" w:type="dxa"/>
            <w:tcBorders>
              <w:right w:val="single" w:sz="4" w:space="0" w:color="auto"/>
            </w:tcBorders>
          </w:tcPr>
          <w:p w14:paraId="4DD57996" w14:textId="77777777" w:rsidR="00A85F9F" w:rsidRPr="00160006" w:rsidRDefault="00A85F9F" w:rsidP="006E17E7">
            <w:pPr>
              <w:pStyle w:val="ListParagraph"/>
              <w:numPr>
                <w:ilvl w:val="0"/>
                <w:numId w:val="3"/>
              </w:numPr>
              <w:spacing w:after="0"/>
              <w:ind w:left="473"/>
              <w:rPr>
                <w:noProof/>
                <w:lang w:val="en-IE"/>
              </w:rPr>
            </w:pPr>
          </w:p>
        </w:tc>
        <w:tc>
          <w:tcPr>
            <w:tcW w:w="3260" w:type="dxa"/>
            <w:tcBorders>
              <w:left w:val="single" w:sz="4" w:space="0" w:color="auto"/>
            </w:tcBorders>
            <w:shd w:val="clear" w:color="auto" w:fill="auto"/>
            <w:tcMar>
              <w:top w:w="85" w:type="dxa"/>
              <w:bottom w:w="85" w:type="dxa"/>
            </w:tcMar>
          </w:tcPr>
          <w:p w14:paraId="11A64AD5" w14:textId="5C5B884B" w:rsidR="00A85F9F" w:rsidRPr="00160006" w:rsidRDefault="00CD795D" w:rsidP="006E17E7">
            <w:pPr>
              <w:jc w:val="both"/>
              <w:rPr>
                <w:b/>
                <w:noProof/>
              </w:rPr>
            </w:pPr>
            <w:r>
              <w:rPr>
                <w:b/>
                <w:noProof/>
              </w:rPr>
              <w:t>Geopolitik</w:t>
            </w:r>
          </w:p>
        </w:tc>
        <w:tc>
          <w:tcPr>
            <w:tcW w:w="9923" w:type="dxa"/>
            <w:shd w:val="clear" w:color="auto" w:fill="auto"/>
            <w:tcMar>
              <w:top w:w="85" w:type="dxa"/>
              <w:bottom w:w="85" w:type="dxa"/>
            </w:tcMar>
          </w:tcPr>
          <w:p w14:paraId="339190F7" w14:textId="6ADD748B" w:rsidR="00A85F9F" w:rsidRPr="00160006" w:rsidRDefault="00DC2A9B" w:rsidP="006E17E7">
            <w:pPr>
              <w:jc w:val="both"/>
              <w:rPr>
                <w:b/>
                <w:noProof/>
                <w:highlight w:val="green"/>
              </w:rPr>
            </w:pPr>
            <w:r>
              <w:rPr>
                <w:b/>
                <w:noProof/>
              </w:rPr>
              <w:t xml:space="preserve">Gemeinsame Mitteilung über eine neue Strategische Agenda EU-Indien </w:t>
            </w:r>
            <w:r>
              <w:rPr>
                <w:noProof/>
              </w:rPr>
              <w:t>(nicht legislativ, 2. Quartal 2025)</w:t>
            </w:r>
          </w:p>
        </w:tc>
      </w:tr>
      <w:tr w:rsidR="00A85F9F" w:rsidRPr="008E1F61" w14:paraId="064D8ED7" w14:textId="77777777" w:rsidTr="006E17E7">
        <w:trPr>
          <w:cantSplit/>
          <w:trHeight w:val="300"/>
        </w:trPr>
        <w:tc>
          <w:tcPr>
            <w:tcW w:w="13887" w:type="dxa"/>
            <w:gridSpan w:val="3"/>
            <w:shd w:val="clear" w:color="auto" w:fill="0EC6D6"/>
          </w:tcPr>
          <w:p w14:paraId="41EEEED7" w14:textId="77777777" w:rsidR="00A85F9F" w:rsidRPr="00701930" w:rsidRDefault="00A85F9F" w:rsidP="00CC462E">
            <w:pPr>
              <w:spacing w:before="60" w:after="60"/>
              <w:jc w:val="both"/>
              <w:rPr>
                <w:b/>
                <w:bCs/>
                <w:noProof/>
              </w:rPr>
            </w:pPr>
            <w:r>
              <w:rPr>
                <w:b/>
                <w:noProof/>
                <w:color w:val="FFFFFF" w:themeColor="background1"/>
              </w:rPr>
              <w:t>Gemeinsam handeln und die Zukunft unserer Union vorbereiten</w:t>
            </w:r>
          </w:p>
        </w:tc>
      </w:tr>
      <w:tr w:rsidR="00A85F9F" w:rsidRPr="008E1F61" w14:paraId="00600F38" w14:textId="77777777" w:rsidTr="005B18ED">
        <w:trPr>
          <w:cantSplit/>
          <w:trHeight w:val="300"/>
        </w:trPr>
        <w:tc>
          <w:tcPr>
            <w:tcW w:w="704" w:type="dxa"/>
            <w:tcBorders>
              <w:right w:val="single" w:sz="4" w:space="0" w:color="auto"/>
            </w:tcBorders>
          </w:tcPr>
          <w:p w14:paraId="686D94B0" w14:textId="77777777" w:rsidR="00A85F9F" w:rsidRPr="009022CF"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4EEE01D2" w14:textId="206B5A2A" w:rsidR="00A85F9F" w:rsidRPr="0020291F" w:rsidRDefault="008767C0" w:rsidP="006E17E7">
            <w:pPr>
              <w:jc w:val="both"/>
              <w:rPr>
                <w:b/>
                <w:noProof/>
              </w:rPr>
            </w:pPr>
            <w:r>
              <w:rPr>
                <w:b/>
                <w:noProof/>
              </w:rPr>
              <w:t>Künftige Prioritäten</w:t>
            </w:r>
          </w:p>
        </w:tc>
        <w:tc>
          <w:tcPr>
            <w:tcW w:w="9923" w:type="dxa"/>
            <w:shd w:val="clear" w:color="auto" w:fill="auto"/>
            <w:tcMar>
              <w:top w:w="85" w:type="dxa"/>
              <w:bottom w:w="85" w:type="dxa"/>
            </w:tcMar>
          </w:tcPr>
          <w:p w14:paraId="1BC8C5FC" w14:textId="70ECCFF5" w:rsidR="00A85F9F" w:rsidRPr="0020291F" w:rsidRDefault="00A85F9F" w:rsidP="006E17E7">
            <w:pPr>
              <w:jc w:val="both"/>
              <w:rPr>
                <w:b/>
                <w:bCs/>
                <w:noProof/>
              </w:rPr>
            </w:pPr>
            <w:r>
              <w:rPr>
                <w:b/>
                <w:noProof/>
              </w:rPr>
              <w:t xml:space="preserve">Vorschläge zum Mehrjährigen Finanzrahmen für die Zeit nach 2027 </w:t>
            </w:r>
            <w:r>
              <w:rPr>
                <w:noProof/>
              </w:rPr>
              <w:t>(legislativ, Artikel 312 AEUV, 3. Quartal 2025)</w:t>
            </w:r>
          </w:p>
        </w:tc>
      </w:tr>
      <w:tr w:rsidR="00A85F9F" w:rsidRPr="008E1F61" w14:paraId="242D778F" w14:textId="77777777" w:rsidTr="005B18ED">
        <w:trPr>
          <w:cantSplit/>
          <w:trHeight w:val="300"/>
        </w:trPr>
        <w:tc>
          <w:tcPr>
            <w:tcW w:w="704" w:type="dxa"/>
            <w:tcBorders>
              <w:right w:val="single" w:sz="4" w:space="0" w:color="auto"/>
            </w:tcBorders>
          </w:tcPr>
          <w:p w14:paraId="00349371" w14:textId="77777777" w:rsidR="00A85F9F" w:rsidRPr="00D3190F" w:rsidRDefault="00A85F9F" w:rsidP="006E17E7">
            <w:pPr>
              <w:pStyle w:val="ListParagraph"/>
              <w:numPr>
                <w:ilvl w:val="0"/>
                <w:numId w:val="3"/>
              </w:numPr>
              <w:spacing w:after="0"/>
              <w:ind w:left="473"/>
              <w:rPr>
                <w:noProof/>
                <w:lang w:val="en-IE"/>
              </w:rPr>
            </w:pPr>
          </w:p>
        </w:tc>
        <w:tc>
          <w:tcPr>
            <w:tcW w:w="3260" w:type="dxa"/>
            <w:tcBorders>
              <w:left w:val="single" w:sz="4" w:space="0" w:color="auto"/>
            </w:tcBorders>
            <w:shd w:val="clear" w:color="auto" w:fill="auto"/>
            <w:tcMar>
              <w:top w:w="85" w:type="dxa"/>
              <w:bottom w:w="85" w:type="dxa"/>
            </w:tcMar>
          </w:tcPr>
          <w:p w14:paraId="7C08FD16" w14:textId="1629DE8F" w:rsidR="00A85F9F" w:rsidRPr="0020291F" w:rsidRDefault="00B91AB3" w:rsidP="006E17E7">
            <w:pPr>
              <w:jc w:val="both"/>
              <w:rPr>
                <w:b/>
                <w:noProof/>
              </w:rPr>
            </w:pPr>
            <w:r>
              <w:rPr>
                <w:b/>
                <w:noProof/>
              </w:rPr>
              <w:t>Künftige Prioritäten</w:t>
            </w:r>
          </w:p>
        </w:tc>
        <w:tc>
          <w:tcPr>
            <w:tcW w:w="9923" w:type="dxa"/>
            <w:shd w:val="clear" w:color="auto" w:fill="auto"/>
            <w:tcMar>
              <w:top w:w="85" w:type="dxa"/>
              <w:bottom w:w="85" w:type="dxa"/>
            </w:tcMar>
          </w:tcPr>
          <w:p w14:paraId="7FE2358E" w14:textId="288A26ED" w:rsidR="00A85F9F" w:rsidRPr="0020291F" w:rsidRDefault="00A85F9F" w:rsidP="006E17E7">
            <w:pPr>
              <w:jc w:val="both"/>
              <w:rPr>
                <w:b/>
                <w:bCs/>
                <w:noProof/>
              </w:rPr>
            </w:pPr>
            <w:r>
              <w:rPr>
                <w:b/>
                <w:noProof/>
              </w:rPr>
              <w:t xml:space="preserve">Eine erweiterungsfähige Union: Überprüfung und Reformen von Politikbereichen </w:t>
            </w:r>
            <w:r>
              <w:rPr>
                <w:noProof/>
                <w:color w:val="000000"/>
              </w:rPr>
              <w:t>(nicht legislativ, noch festzulegen)</w:t>
            </w:r>
          </w:p>
        </w:tc>
      </w:tr>
    </w:tbl>
    <w:p w14:paraId="6CA30F5D" w14:textId="77777777" w:rsidR="00A85F9F" w:rsidRDefault="00A85F9F">
      <w:pPr>
        <w:rPr>
          <w:noProof/>
        </w:rPr>
      </w:pPr>
    </w:p>
    <w:p w14:paraId="30F5B85F" w14:textId="5DAEF146" w:rsidR="006E17E7" w:rsidRDefault="006E17E7">
      <w:pPr>
        <w:rPr>
          <w:noProof/>
        </w:rPr>
      </w:pPr>
      <w:r>
        <w:rPr>
          <w:noProof/>
        </w:rPr>
        <w:br w:type="page"/>
      </w:r>
    </w:p>
    <w:p w14:paraId="7D75AD64" w14:textId="2D458A80" w:rsidR="00961324" w:rsidRPr="00961324" w:rsidRDefault="00961324" w:rsidP="00961324">
      <w:pPr>
        <w:spacing w:after="480"/>
        <w:jc w:val="center"/>
        <w:rPr>
          <w:rFonts w:ascii="Times New Roman" w:eastAsia="Times New Roman" w:hAnsi="Times New Roman" w:cs="Times New Roman"/>
          <w:b/>
          <w:bCs/>
          <w:noProof/>
          <w:sz w:val="28"/>
          <w:szCs w:val="28"/>
          <w:u w:val="single"/>
        </w:rPr>
      </w:pPr>
      <w:bookmarkStart w:id="2" w:name="_Hlk182915704"/>
      <w:r>
        <w:rPr>
          <w:rFonts w:ascii="Times New Roman" w:hAnsi="Times New Roman"/>
          <w:b/>
          <w:noProof/>
          <w:sz w:val="28"/>
          <w:u w:val="single"/>
        </w:rPr>
        <w:t>Anhang II: Jahresplan für Evaluierungen und Eignungsprüfungen</w:t>
      </w:r>
    </w:p>
    <w:tbl>
      <w:tblPr>
        <w:tblStyle w:val="TableGrid"/>
        <w:tblW w:w="13745" w:type="dxa"/>
        <w:jc w:val="center"/>
        <w:tblLayout w:type="fixed"/>
        <w:tblLook w:val="04A0" w:firstRow="1" w:lastRow="0" w:firstColumn="1" w:lastColumn="0" w:noHBand="0" w:noVBand="1"/>
      </w:tblPr>
      <w:tblGrid>
        <w:gridCol w:w="567"/>
        <w:gridCol w:w="11335"/>
        <w:gridCol w:w="1843"/>
      </w:tblGrid>
      <w:tr w:rsidR="00961324" w:rsidRPr="006C1C34" w14:paraId="1F021781" w14:textId="77777777" w:rsidTr="003566BE">
        <w:trPr>
          <w:cantSplit/>
          <w:trHeight w:val="470"/>
          <w:tblHeader/>
          <w:jc w:val="center"/>
        </w:trPr>
        <w:tc>
          <w:tcPr>
            <w:tcW w:w="567" w:type="dxa"/>
            <w:tcBorders>
              <w:bottom w:val="single" w:sz="4" w:space="0" w:color="auto"/>
            </w:tcBorders>
            <w:shd w:val="clear" w:color="auto" w:fill="99CCFF"/>
            <w:tcMar>
              <w:top w:w="85" w:type="dxa"/>
              <w:left w:w="85" w:type="dxa"/>
              <w:bottom w:w="85" w:type="dxa"/>
              <w:right w:w="85" w:type="dxa"/>
            </w:tcMar>
          </w:tcPr>
          <w:p w14:paraId="2689D319" w14:textId="77777777" w:rsidR="00961324" w:rsidRPr="006C1C34" w:rsidRDefault="00961324" w:rsidP="007271D7">
            <w:pPr>
              <w:rPr>
                <w:b/>
                <w:bCs/>
                <w:noProof/>
              </w:rPr>
            </w:pPr>
            <w:r>
              <w:rPr>
                <w:b/>
                <w:noProof/>
              </w:rPr>
              <w:t>Nr.</w:t>
            </w:r>
          </w:p>
        </w:tc>
        <w:tc>
          <w:tcPr>
            <w:tcW w:w="11335" w:type="dxa"/>
            <w:tcBorders>
              <w:bottom w:val="single" w:sz="4" w:space="0" w:color="auto"/>
            </w:tcBorders>
            <w:shd w:val="clear" w:color="auto" w:fill="99CCFF"/>
            <w:tcMar>
              <w:top w:w="85" w:type="dxa"/>
              <w:left w:w="85" w:type="dxa"/>
              <w:bottom w:w="85" w:type="dxa"/>
              <w:right w:w="85" w:type="dxa"/>
            </w:tcMar>
          </w:tcPr>
          <w:p w14:paraId="10742866" w14:textId="77777777" w:rsidR="00961324" w:rsidRPr="006C1C34" w:rsidRDefault="00961324" w:rsidP="007271D7">
            <w:pPr>
              <w:jc w:val="center"/>
              <w:rPr>
                <w:b/>
                <w:bCs/>
                <w:noProof/>
              </w:rPr>
            </w:pPr>
            <w:r>
              <w:rPr>
                <w:b/>
                <w:noProof/>
              </w:rPr>
              <w:t>Genaue Bezeichnung</w:t>
            </w:r>
          </w:p>
        </w:tc>
        <w:tc>
          <w:tcPr>
            <w:tcW w:w="1843" w:type="dxa"/>
            <w:tcBorders>
              <w:bottom w:val="single" w:sz="4" w:space="0" w:color="auto"/>
            </w:tcBorders>
            <w:shd w:val="clear" w:color="auto" w:fill="99CCFF"/>
            <w:tcMar>
              <w:top w:w="85" w:type="dxa"/>
              <w:left w:w="85" w:type="dxa"/>
              <w:bottom w:w="85" w:type="dxa"/>
              <w:right w:w="85" w:type="dxa"/>
            </w:tcMar>
          </w:tcPr>
          <w:p w14:paraId="533E7B04" w14:textId="77777777" w:rsidR="00961324" w:rsidRPr="006C1C34" w:rsidRDefault="00961324" w:rsidP="007271D7">
            <w:pPr>
              <w:jc w:val="center"/>
              <w:rPr>
                <w:b/>
                <w:bCs/>
                <w:noProof/>
              </w:rPr>
            </w:pPr>
            <w:r>
              <w:rPr>
                <w:b/>
                <w:noProof/>
              </w:rPr>
              <w:t>Voraussichtlicher Abschluss</w:t>
            </w:r>
          </w:p>
        </w:tc>
      </w:tr>
      <w:tr w:rsidR="00961324" w:rsidRPr="006C1C34" w14:paraId="094555CC" w14:textId="77777777" w:rsidTr="003566BE">
        <w:trPr>
          <w:trHeight w:val="300"/>
          <w:jc w:val="center"/>
        </w:trPr>
        <w:tc>
          <w:tcPr>
            <w:tcW w:w="567" w:type="dxa"/>
            <w:tcBorders>
              <w:right w:val="nil"/>
            </w:tcBorders>
            <w:shd w:val="clear" w:color="auto" w:fill="auto"/>
            <w:tcMar>
              <w:top w:w="85" w:type="dxa"/>
              <w:left w:w="85" w:type="dxa"/>
              <w:bottom w:w="85" w:type="dxa"/>
            </w:tcMar>
          </w:tcPr>
          <w:p w14:paraId="2E4C7B8B"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72C4881" w14:textId="50D28079" w:rsidR="00961324" w:rsidRPr="00D06013" w:rsidRDefault="00961324" w:rsidP="007271D7">
            <w:pPr>
              <w:tabs>
                <w:tab w:val="left" w:pos="990"/>
              </w:tabs>
              <w:rPr>
                <w:b/>
                <w:noProof/>
              </w:rPr>
            </w:pPr>
            <w:r>
              <w:rPr>
                <w:b/>
                <w:noProof/>
              </w:rPr>
              <w:t>Eignungsprüfung des legislativen Besitzstands im Bereich der Digitalpolitik</w:t>
            </w:r>
          </w:p>
        </w:tc>
        <w:tc>
          <w:tcPr>
            <w:tcW w:w="1843" w:type="dxa"/>
            <w:tcMar>
              <w:top w:w="85" w:type="dxa"/>
              <w:left w:w="85" w:type="dxa"/>
              <w:bottom w:w="85" w:type="dxa"/>
            </w:tcMar>
          </w:tcPr>
          <w:p w14:paraId="08E661DF" w14:textId="77777777" w:rsidR="00961324" w:rsidRPr="00200181" w:rsidRDefault="00961324" w:rsidP="007271D7">
            <w:pPr>
              <w:rPr>
                <w:noProof/>
              </w:rPr>
            </w:pPr>
            <w:r>
              <w:rPr>
                <w:noProof/>
              </w:rPr>
              <w:t>4. Quartal 2025</w:t>
            </w:r>
          </w:p>
        </w:tc>
      </w:tr>
      <w:tr w:rsidR="00961324" w:rsidRPr="006C1C34" w14:paraId="08235AB5" w14:textId="77777777" w:rsidTr="003566BE">
        <w:trPr>
          <w:trHeight w:val="239"/>
          <w:jc w:val="center"/>
        </w:trPr>
        <w:tc>
          <w:tcPr>
            <w:tcW w:w="567" w:type="dxa"/>
            <w:tcBorders>
              <w:right w:val="nil"/>
            </w:tcBorders>
            <w:shd w:val="clear" w:color="auto" w:fill="auto"/>
            <w:tcMar>
              <w:top w:w="85" w:type="dxa"/>
              <w:left w:w="85" w:type="dxa"/>
              <w:bottom w:w="85" w:type="dxa"/>
            </w:tcMar>
          </w:tcPr>
          <w:p w14:paraId="43F925E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8303B54" w14:textId="369776A0" w:rsidR="00961324" w:rsidRPr="00D06013" w:rsidRDefault="00961324" w:rsidP="007271D7">
            <w:pPr>
              <w:tabs>
                <w:tab w:val="left" w:pos="990"/>
              </w:tabs>
              <w:rPr>
                <w:b/>
                <w:noProof/>
              </w:rPr>
            </w:pPr>
            <w:r>
              <w:rPr>
                <w:b/>
                <w:noProof/>
              </w:rPr>
              <w:t>Eignungsprüfung der Architektur im Bereich der Energieversorgungssicherheit</w:t>
            </w:r>
          </w:p>
        </w:tc>
        <w:tc>
          <w:tcPr>
            <w:tcW w:w="1843" w:type="dxa"/>
            <w:tcMar>
              <w:top w:w="85" w:type="dxa"/>
              <w:left w:w="85" w:type="dxa"/>
              <w:bottom w:w="85" w:type="dxa"/>
            </w:tcMar>
          </w:tcPr>
          <w:p w14:paraId="7D60DDA1" w14:textId="77777777" w:rsidR="00961324" w:rsidRPr="00200181" w:rsidRDefault="00961324" w:rsidP="007271D7">
            <w:pPr>
              <w:rPr>
                <w:bCs/>
                <w:noProof/>
              </w:rPr>
            </w:pPr>
            <w:r>
              <w:rPr>
                <w:noProof/>
              </w:rPr>
              <w:t>2. Quartal 2025</w:t>
            </w:r>
          </w:p>
        </w:tc>
      </w:tr>
      <w:tr w:rsidR="00961324" w:rsidRPr="006C1C34" w14:paraId="0107DD9C" w14:textId="77777777" w:rsidTr="003566BE">
        <w:trPr>
          <w:trHeight w:val="300"/>
          <w:jc w:val="center"/>
        </w:trPr>
        <w:tc>
          <w:tcPr>
            <w:tcW w:w="567" w:type="dxa"/>
            <w:tcBorders>
              <w:right w:val="nil"/>
            </w:tcBorders>
            <w:shd w:val="clear" w:color="auto" w:fill="auto"/>
            <w:tcMar>
              <w:top w:w="85" w:type="dxa"/>
              <w:left w:w="85" w:type="dxa"/>
              <w:bottom w:w="85" w:type="dxa"/>
            </w:tcMar>
          </w:tcPr>
          <w:p w14:paraId="4F5B96EA"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7B95B97" w14:textId="6BAEBBB4" w:rsidR="00961324" w:rsidRPr="00D06013" w:rsidRDefault="00961324" w:rsidP="007271D7">
            <w:pPr>
              <w:tabs>
                <w:tab w:val="left" w:pos="990"/>
              </w:tabs>
              <w:rPr>
                <w:b/>
                <w:noProof/>
              </w:rPr>
            </w:pPr>
            <w:r>
              <w:rPr>
                <w:b/>
                <w:noProof/>
              </w:rPr>
              <w:t>Eignungsprüfung des Marktzugangs in der Binnenschifffahrt</w:t>
            </w:r>
          </w:p>
        </w:tc>
        <w:tc>
          <w:tcPr>
            <w:tcW w:w="1843" w:type="dxa"/>
            <w:tcMar>
              <w:top w:w="85" w:type="dxa"/>
              <w:left w:w="85" w:type="dxa"/>
              <w:bottom w:w="85" w:type="dxa"/>
            </w:tcMar>
          </w:tcPr>
          <w:p w14:paraId="6CFB5564" w14:textId="77777777" w:rsidR="00961324" w:rsidRPr="00BF2DCE" w:rsidRDefault="00961324" w:rsidP="007271D7">
            <w:pPr>
              <w:rPr>
                <w:bCs/>
                <w:noProof/>
              </w:rPr>
            </w:pPr>
            <w:r>
              <w:rPr>
                <w:noProof/>
              </w:rPr>
              <w:t>2./3. Quartal 2025</w:t>
            </w:r>
          </w:p>
        </w:tc>
      </w:tr>
      <w:tr w:rsidR="00961324" w:rsidRPr="006C1C34" w14:paraId="5F3BF648" w14:textId="77777777" w:rsidTr="003566BE">
        <w:trPr>
          <w:trHeight w:val="252"/>
          <w:jc w:val="center"/>
        </w:trPr>
        <w:tc>
          <w:tcPr>
            <w:tcW w:w="567" w:type="dxa"/>
            <w:tcBorders>
              <w:right w:val="nil"/>
            </w:tcBorders>
            <w:shd w:val="clear" w:color="auto" w:fill="auto"/>
            <w:tcMar>
              <w:top w:w="85" w:type="dxa"/>
              <w:left w:w="85" w:type="dxa"/>
              <w:bottom w:w="85" w:type="dxa"/>
            </w:tcMar>
          </w:tcPr>
          <w:p w14:paraId="25CD5BF3"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24D4E8C" w14:textId="77777777" w:rsidR="00961324" w:rsidRPr="00D06013" w:rsidRDefault="00961324" w:rsidP="007271D7">
            <w:pPr>
              <w:tabs>
                <w:tab w:val="left" w:pos="990"/>
              </w:tabs>
              <w:rPr>
                <w:b/>
                <w:noProof/>
              </w:rPr>
            </w:pPr>
            <w:r>
              <w:rPr>
                <w:b/>
                <w:noProof/>
              </w:rPr>
              <w:t>Eignungsprüfung der EU-Flughafenvorschriften</w:t>
            </w:r>
          </w:p>
        </w:tc>
        <w:tc>
          <w:tcPr>
            <w:tcW w:w="1843" w:type="dxa"/>
            <w:tcMar>
              <w:top w:w="85" w:type="dxa"/>
              <w:left w:w="85" w:type="dxa"/>
              <w:bottom w:w="85" w:type="dxa"/>
            </w:tcMar>
          </w:tcPr>
          <w:p w14:paraId="7ACB2AF5" w14:textId="77777777" w:rsidR="00961324" w:rsidRPr="00493346" w:rsidRDefault="00961324" w:rsidP="007271D7">
            <w:pPr>
              <w:rPr>
                <w:bCs/>
                <w:noProof/>
              </w:rPr>
            </w:pPr>
            <w:r>
              <w:rPr>
                <w:noProof/>
              </w:rPr>
              <w:t>4. Quartal 2025</w:t>
            </w:r>
          </w:p>
        </w:tc>
      </w:tr>
      <w:tr w:rsidR="00961324" w:rsidRPr="006C1C34" w14:paraId="382E4694" w14:textId="77777777" w:rsidTr="003566BE">
        <w:trPr>
          <w:trHeight w:val="252"/>
          <w:jc w:val="center"/>
        </w:trPr>
        <w:tc>
          <w:tcPr>
            <w:tcW w:w="567" w:type="dxa"/>
            <w:tcBorders>
              <w:right w:val="nil"/>
            </w:tcBorders>
            <w:shd w:val="clear" w:color="auto" w:fill="auto"/>
            <w:tcMar>
              <w:top w:w="85" w:type="dxa"/>
              <w:left w:w="85" w:type="dxa"/>
              <w:bottom w:w="85" w:type="dxa"/>
            </w:tcMar>
          </w:tcPr>
          <w:p w14:paraId="1A641CF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DB836C1" w14:textId="2963D197" w:rsidR="00961324" w:rsidRPr="00D06013" w:rsidRDefault="00961324" w:rsidP="007271D7">
            <w:pPr>
              <w:tabs>
                <w:tab w:val="left" w:pos="990"/>
              </w:tabs>
              <w:rPr>
                <w:b/>
                <w:noProof/>
              </w:rPr>
            </w:pPr>
            <w:r>
              <w:rPr>
                <w:b/>
                <w:noProof/>
              </w:rPr>
              <w:t>Evaluierung der Richtlinien über die Vergabe öffentlicher Aufträge</w:t>
            </w:r>
          </w:p>
        </w:tc>
        <w:tc>
          <w:tcPr>
            <w:tcW w:w="1843" w:type="dxa"/>
            <w:tcMar>
              <w:top w:w="85" w:type="dxa"/>
              <w:left w:w="85" w:type="dxa"/>
              <w:bottom w:w="85" w:type="dxa"/>
            </w:tcMar>
          </w:tcPr>
          <w:p w14:paraId="6F1949BA" w14:textId="77777777" w:rsidR="00961324" w:rsidRDefault="00961324" w:rsidP="007271D7">
            <w:pPr>
              <w:rPr>
                <w:bCs/>
                <w:noProof/>
              </w:rPr>
            </w:pPr>
            <w:r>
              <w:rPr>
                <w:noProof/>
              </w:rPr>
              <w:t>3. Quartal 2025</w:t>
            </w:r>
          </w:p>
        </w:tc>
      </w:tr>
      <w:tr w:rsidR="00961324" w:rsidRPr="006C1C34" w:rsidDel="00E556B4" w14:paraId="454D34A4" w14:textId="77777777" w:rsidTr="003566BE">
        <w:trPr>
          <w:trHeight w:val="300"/>
          <w:jc w:val="center"/>
        </w:trPr>
        <w:tc>
          <w:tcPr>
            <w:tcW w:w="567" w:type="dxa"/>
            <w:tcBorders>
              <w:right w:val="nil"/>
            </w:tcBorders>
            <w:shd w:val="clear" w:color="auto" w:fill="auto"/>
            <w:tcMar>
              <w:top w:w="85" w:type="dxa"/>
              <w:left w:w="85" w:type="dxa"/>
              <w:bottom w:w="85" w:type="dxa"/>
            </w:tcMar>
          </w:tcPr>
          <w:p w14:paraId="625665B8" w14:textId="77777777" w:rsidR="00961324" w:rsidRPr="006C1C34" w:rsidDel="00E556B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7892866" w14:textId="77777777" w:rsidR="00961324" w:rsidRPr="00D06013" w:rsidDel="00E556B4" w:rsidRDefault="00961324" w:rsidP="007271D7">
            <w:pPr>
              <w:tabs>
                <w:tab w:val="left" w:pos="990"/>
              </w:tabs>
              <w:rPr>
                <w:b/>
                <w:noProof/>
              </w:rPr>
            </w:pPr>
            <w:r>
              <w:rPr>
                <w:b/>
                <w:noProof/>
              </w:rPr>
              <w:t>Evaluierung der EU-Vorschriften über Medizinprodukte und In-vitro-Diagnostika</w:t>
            </w:r>
          </w:p>
        </w:tc>
        <w:tc>
          <w:tcPr>
            <w:tcW w:w="1843" w:type="dxa"/>
            <w:tcMar>
              <w:top w:w="85" w:type="dxa"/>
              <w:left w:w="85" w:type="dxa"/>
              <w:bottom w:w="85" w:type="dxa"/>
            </w:tcMar>
          </w:tcPr>
          <w:p w14:paraId="53DFA1C0" w14:textId="77777777" w:rsidR="00961324" w:rsidDel="00E556B4" w:rsidRDefault="00961324" w:rsidP="007271D7">
            <w:pPr>
              <w:rPr>
                <w:bCs/>
                <w:noProof/>
              </w:rPr>
            </w:pPr>
            <w:r>
              <w:rPr>
                <w:noProof/>
              </w:rPr>
              <w:t>4. Quartal 2025</w:t>
            </w:r>
          </w:p>
        </w:tc>
      </w:tr>
      <w:tr w:rsidR="00961324" w:rsidRPr="006C1C34" w14:paraId="10D7746D" w14:textId="77777777" w:rsidTr="003566BE">
        <w:trPr>
          <w:trHeight w:val="300"/>
          <w:jc w:val="center"/>
        </w:trPr>
        <w:tc>
          <w:tcPr>
            <w:tcW w:w="567" w:type="dxa"/>
            <w:tcBorders>
              <w:right w:val="nil"/>
            </w:tcBorders>
            <w:shd w:val="clear" w:color="auto" w:fill="auto"/>
            <w:tcMar>
              <w:top w:w="85" w:type="dxa"/>
              <w:left w:w="85" w:type="dxa"/>
              <w:bottom w:w="85" w:type="dxa"/>
            </w:tcMar>
          </w:tcPr>
          <w:p w14:paraId="3DE95504"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B6F4156" w14:textId="77777777" w:rsidR="00961324" w:rsidRPr="00D06013" w:rsidRDefault="00961324" w:rsidP="007271D7">
            <w:pPr>
              <w:tabs>
                <w:tab w:val="left" w:pos="990"/>
              </w:tabs>
              <w:rPr>
                <w:b/>
                <w:noProof/>
              </w:rPr>
            </w:pPr>
            <w:r>
              <w:rPr>
                <w:b/>
                <w:noProof/>
              </w:rPr>
              <w:t>Evaluierung der Richtlinie über die Reduktion der nationalen Emissionen</w:t>
            </w:r>
          </w:p>
        </w:tc>
        <w:tc>
          <w:tcPr>
            <w:tcW w:w="1843" w:type="dxa"/>
            <w:tcMar>
              <w:top w:w="85" w:type="dxa"/>
              <w:left w:w="85" w:type="dxa"/>
              <w:bottom w:w="85" w:type="dxa"/>
            </w:tcMar>
          </w:tcPr>
          <w:p w14:paraId="362A53A3" w14:textId="77777777" w:rsidR="00961324" w:rsidRDefault="00961324" w:rsidP="007271D7">
            <w:pPr>
              <w:rPr>
                <w:noProof/>
              </w:rPr>
            </w:pPr>
            <w:r>
              <w:rPr>
                <w:noProof/>
              </w:rPr>
              <w:t>4. Quartal 2025</w:t>
            </w:r>
          </w:p>
        </w:tc>
      </w:tr>
      <w:tr w:rsidR="00961324" w:rsidRPr="006C1C34" w14:paraId="59A44C7E" w14:textId="77777777" w:rsidTr="003566BE">
        <w:trPr>
          <w:trHeight w:val="300"/>
          <w:jc w:val="center"/>
        </w:trPr>
        <w:tc>
          <w:tcPr>
            <w:tcW w:w="567" w:type="dxa"/>
            <w:tcBorders>
              <w:right w:val="nil"/>
            </w:tcBorders>
            <w:shd w:val="clear" w:color="auto" w:fill="auto"/>
            <w:tcMar>
              <w:top w:w="85" w:type="dxa"/>
              <w:left w:w="85" w:type="dxa"/>
              <w:bottom w:w="85" w:type="dxa"/>
            </w:tcMar>
          </w:tcPr>
          <w:p w14:paraId="349A35C4"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B0D7493" w14:textId="77777777" w:rsidR="00961324" w:rsidRPr="00D06013" w:rsidRDefault="00961324" w:rsidP="007271D7">
            <w:pPr>
              <w:tabs>
                <w:tab w:val="left" w:pos="990"/>
              </w:tabs>
              <w:rPr>
                <w:b/>
                <w:noProof/>
              </w:rPr>
            </w:pPr>
            <w:r>
              <w:rPr>
                <w:b/>
                <w:noProof/>
              </w:rPr>
              <w:t>Evaluierung der Richtlinien über radioaktive Abfälle</w:t>
            </w:r>
          </w:p>
        </w:tc>
        <w:tc>
          <w:tcPr>
            <w:tcW w:w="1843" w:type="dxa"/>
            <w:tcMar>
              <w:top w:w="85" w:type="dxa"/>
              <w:left w:w="85" w:type="dxa"/>
              <w:bottom w:w="85" w:type="dxa"/>
            </w:tcMar>
          </w:tcPr>
          <w:p w14:paraId="6E3DF31B" w14:textId="77777777" w:rsidR="00961324" w:rsidRDefault="00961324" w:rsidP="007271D7">
            <w:pPr>
              <w:rPr>
                <w:bCs/>
                <w:noProof/>
              </w:rPr>
            </w:pPr>
            <w:r>
              <w:rPr>
                <w:noProof/>
              </w:rPr>
              <w:t>4. Quartal 2025</w:t>
            </w:r>
          </w:p>
        </w:tc>
      </w:tr>
      <w:tr w:rsidR="00961324" w:rsidRPr="006C1C34" w14:paraId="5619180B" w14:textId="77777777" w:rsidTr="003566BE">
        <w:trPr>
          <w:trHeight w:val="300"/>
          <w:jc w:val="center"/>
        </w:trPr>
        <w:tc>
          <w:tcPr>
            <w:tcW w:w="567" w:type="dxa"/>
            <w:tcBorders>
              <w:right w:val="nil"/>
            </w:tcBorders>
            <w:shd w:val="clear" w:color="auto" w:fill="auto"/>
            <w:tcMar>
              <w:top w:w="85" w:type="dxa"/>
              <w:left w:w="85" w:type="dxa"/>
              <w:bottom w:w="85" w:type="dxa"/>
            </w:tcMar>
          </w:tcPr>
          <w:p w14:paraId="0F175704"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D71F4BF" w14:textId="77777777" w:rsidR="00961324" w:rsidRPr="00D06013" w:rsidRDefault="00961324" w:rsidP="007271D7">
            <w:pPr>
              <w:tabs>
                <w:tab w:val="left" w:pos="990"/>
              </w:tabs>
              <w:rPr>
                <w:b/>
                <w:noProof/>
              </w:rPr>
            </w:pPr>
            <w:r>
              <w:rPr>
                <w:b/>
                <w:noProof/>
              </w:rPr>
              <w:t>Evaluierung der Druckgeräterichtlinie und der Richtlinie über einfache Druckbehälter</w:t>
            </w:r>
          </w:p>
        </w:tc>
        <w:tc>
          <w:tcPr>
            <w:tcW w:w="1843" w:type="dxa"/>
            <w:tcMar>
              <w:top w:w="85" w:type="dxa"/>
              <w:left w:w="85" w:type="dxa"/>
              <w:bottom w:w="85" w:type="dxa"/>
            </w:tcMar>
          </w:tcPr>
          <w:p w14:paraId="67C6F104" w14:textId="77777777" w:rsidR="00961324" w:rsidRDefault="00961324" w:rsidP="007271D7">
            <w:pPr>
              <w:rPr>
                <w:noProof/>
              </w:rPr>
            </w:pPr>
            <w:r>
              <w:rPr>
                <w:noProof/>
              </w:rPr>
              <w:t>4. Quartal 2025</w:t>
            </w:r>
          </w:p>
        </w:tc>
      </w:tr>
      <w:tr w:rsidR="00961324" w:rsidRPr="006C1C34" w14:paraId="65E668E6" w14:textId="77777777" w:rsidTr="003566BE">
        <w:trPr>
          <w:trHeight w:val="300"/>
          <w:jc w:val="center"/>
        </w:trPr>
        <w:tc>
          <w:tcPr>
            <w:tcW w:w="567" w:type="dxa"/>
            <w:tcBorders>
              <w:right w:val="nil"/>
            </w:tcBorders>
            <w:shd w:val="clear" w:color="auto" w:fill="auto"/>
            <w:tcMar>
              <w:top w:w="85" w:type="dxa"/>
              <w:left w:w="85" w:type="dxa"/>
              <w:bottom w:w="85" w:type="dxa"/>
            </w:tcMar>
          </w:tcPr>
          <w:p w14:paraId="1BBC45ED"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0D3461A" w14:textId="77777777" w:rsidR="00961324" w:rsidRPr="00D06013" w:rsidRDefault="00961324" w:rsidP="007271D7">
            <w:pPr>
              <w:tabs>
                <w:tab w:val="left" w:pos="990"/>
              </w:tabs>
              <w:rPr>
                <w:b/>
                <w:noProof/>
              </w:rPr>
            </w:pPr>
            <w:r>
              <w:rPr>
                <w:b/>
                <w:noProof/>
              </w:rPr>
              <w:t>Evaluierung der EU-Aufzugrichtlinie</w:t>
            </w:r>
          </w:p>
        </w:tc>
        <w:tc>
          <w:tcPr>
            <w:tcW w:w="1843" w:type="dxa"/>
            <w:tcMar>
              <w:top w:w="85" w:type="dxa"/>
              <w:left w:w="85" w:type="dxa"/>
              <w:bottom w:w="85" w:type="dxa"/>
            </w:tcMar>
          </w:tcPr>
          <w:p w14:paraId="64352557" w14:textId="77777777" w:rsidR="00961324" w:rsidRDefault="00961324" w:rsidP="007271D7">
            <w:pPr>
              <w:rPr>
                <w:noProof/>
              </w:rPr>
            </w:pPr>
            <w:r>
              <w:rPr>
                <w:noProof/>
              </w:rPr>
              <w:t>2. Quartal 2025</w:t>
            </w:r>
          </w:p>
        </w:tc>
      </w:tr>
      <w:tr w:rsidR="00961324" w:rsidRPr="006C1C34" w14:paraId="061EC982" w14:textId="77777777" w:rsidTr="003566BE">
        <w:trPr>
          <w:trHeight w:val="300"/>
          <w:jc w:val="center"/>
        </w:trPr>
        <w:tc>
          <w:tcPr>
            <w:tcW w:w="567" w:type="dxa"/>
            <w:tcBorders>
              <w:right w:val="nil"/>
            </w:tcBorders>
            <w:shd w:val="clear" w:color="auto" w:fill="auto"/>
            <w:tcMar>
              <w:top w:w="85" w:type="dxa"/>
              <w:left w:w="85" w:type="dxa"/>
              <w:bottom w:w="85" w:type="dxa"/>
            </w:tcMar>
          </w:tcPr>
          <w:p w14:paraId="535327C7"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829F089" w14:textId="77777777" w:rsidR="00961324" w:rsidRPr="00D06013" w:rsidRDefault="00961324" w:rsidP="007271D7">
            <w:pPr>
              <w:tabs>
                <w:tab w:val="left" w:pos="990"/>
              </w:tabs>
              <w:rPr>
                <w:b/>
                <w:noProof/>
              </w:rPr>
            </w:pPr>
            <w:r>
              <w:rPr>
                <w:b/>
                <w:noProof/>
              </w:rPr>
              <w:t>Evaluierung der Richtlinie über unlautere Handelspraktiken in der Versorgungskette für Agrarerzeugnisse und Lebensmittel</w:t>
            </w:r>
          </w:p>
        </w:tc>
        <w:tc>
          <w:tcPr>
            <w:tcW w:w="1843" w:type="dxa"/>
            <w:tcMar>
              <w:top w:w="85" w:type="dxa"/>
              <w:left w:w="85" w:type="dxa"/>
              <w:bottom w:w="85" w:type="dxa"/>
            </w:tcMar>
          </w:tcPr>
          <w:p w14:paraId="3BFD792F" w14:textId="77777777" w:rsidR="00961324" w:rsidRDefault="00961324" w:rsidP="007271D7">
            <w:pPr>
              <w:rPr>
                <w:noProof/>
              </w:rPr>
            </w:pPr>
            <w:r>
              <w:rPr>
                <w:noProof/>
              </w:rPr>
              <w:t>3. Quartal 2025</w:t>
            </w:r>
          </w:p>
        </w:tc>
      </w:tr>
      <w:tr w:rsidR="00961324" w:rsidRPr="006C1C34" w14:paraId="7FD91EEC" w14:textId="77777777" w:rsidTr="003566BE">
        <w:trPr>
          <w:trHeight w:val="300"/>
          <w:jc w:val="center"/>
        </w:trPr>
        <w:tc>
          <w:tcPr>
            <w:tcW w:w="567" w:type="dxa"/>
            <w:tcBorders>
              <w:right w:val="nil"/>
            </w:tcBorders>
            <w:shd w:val="clear" w:color="auto" w:fill="auto"/>
            <w:tcMar>
              <w:top w:w="85" w:type="dxa"/>
              <w:left w:w="85" w:type="dxa"/>
              <w:bottom w:w="85" w:type="dxa"/>
            </w:tcMar>
          </w:tcPr>
          <w:p w14:paraId="66253400"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C48D18C" w14:textId="0EEE58E1" w:rsidR="00961324" w:rsidRPr="00D06013" w:rsidRDefault="00961324" w:rsidP="007271D7">
            <w:pPr>
              <w:tabs>
                <w:tab w:val="left" w:pos="990"/>
              </w:tabs>
              <w:rPr>
                <w:b/>
                <w:noProof/>
              </w:rPr>
            </w:pPr>
            <w:r>
              <w:rPr>
                <w:b/>
                <w:noProof/>
              </w:rPr>
              <w:t>Evaluierung der Verordnung über Landnutzung, Landnutzungsänderung und Forstwirtschaft (LULUCF)</w:t>
            </w:r>
          </w:p>
        </w:tc>
        <w:tc>
          <w:tcPr>
            <w:tcW w:w="1843" w:type="dxa"/>
            <w:tcMar>
              <w:top w:w="85" w:type="dxa"/>
              <w:left w:w="85" w:type="dxa"/>
              <w:bottom w:w="85" w:type="dxa"/>
            </w:tcMar>
          </w:tcPr>
          <w:p w14:paraId="509BB0C4" w14:textId="01B98A9B" w:rsidR="00961324" w:rsidRDefault="00961324" w:rsidP="007271D7">
            <w:pPr>
              <w:rPr>
                <w:noProof/>
              </w:rPr>
            </w:pPr>
            <w:r>
              <w:rPr>
                <w:noProof/>
              </w:rPr>
              <w:t>4. Quartal 2025</w:t>
            </w:r>
          </w:p>
        </w:tc>
      </w:tr>
      <w:tr w:rsidR="00961324" w:rsidRPr="006C1C34" w14:paraId="4C296DCA" w14:textId="77777777" w:rsidTr="003566BE">
        <w:trPr>
          <w:trHeight w:val="300"/>
          <w:jc w:val="center"/>
        </w:trPr>
        <w:tc>
          <w:tcPr>
            <w:tcW w:w="567" w:type="dxa"/>
            <w:tcBorders>
              <w:right w:val="nil"/>
            </w:tcBorders>
            <w:shd w:val="clear" w:color="auto" w:fill="auto"/>
            <w:tcMar>
              <w:top w:w="85" w:type="dxa"/>
              <w:left w:w="85" w:type="dxa"/>
              <w:bottom w:w="85" w:type="dxa"/>
            </w:tcMar>
          </w:tcPr>
          <w:p w14:paraId="39641006"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EC77CD6" w14:textId="77777777" w:rsidR="00961324" w:rsidRPr="00D06013" w:rsidRDefault="00961324" w:rsidP="007271D7">
            <w:pPr>
              <w:tabs>
                <w:tab w:val="left" w:pos="990"/>
              </w:tabs>
              <w:rPr>
                <w:b/>
                <w:noProof/>
              </w:rPr>
            </w:pPr>
            <w:r>
              <w:rPr>
                <w:b/>
                <w:noProof/>
              </w:rPr>
              <w:t>Evaluierung der Richtlinie über die Sicherheit von Fischereifahrzeugen</w:t>
            </w:r>
          </w:p>
        </w:tc>
        <w:tc>
          <w:tcPr>
            <w:tcW w:w="1843" w:type="dxa"/>
            <w:tcMar>
              <w:top w:w="85" w:type="dxa"/>
              <w:left w:w="85" w:type="dxa"/>
              <w:bottom w:w="85" w:type="dxa"/>
            </w:tcMar>
          </w:tcPr>
          <w:p w14:paraId="560D0298" w14:textId="77777777" w:rsidR="00961324" w:rsidRDefault="00961324" w:rsidP="007271D7">
            <w:pPr>
              <w:rPr>
                <w:noProof/>
              </w:rPr>
            </w:pPr>
            <w:r>
              <w:rPr>
                <w:noProof/>
              </w:rPr>
              <w:t>1./2. Quartal 2025</w:t>
            </w:r>
          </w:p>
        </w:tc>
      </w:tr>
      <w:tr w:rsidR="00961324" w:rsidRPr="006C1C34" w14:paraId="3C2FE110" w14:textId="77777777" w:rsidTr="003566BE">
        <w:trPr>
          <w:trHeight w:val="300"/>
          <w:jc w:val="center"/>
        </w:trPr>
        <w:tc>
          <w:tcPr>
            <w:tcW w:w="567" w:type="dxa"/>
            <w:tcBorders>
              <w:right w:val="nil"/>
            </w:tcBorders>
            <w:shd w:val="clear" w:color="auto" w:fill="auto"/>
            <w:tcMar>
              <w:top w:w="85" w:type="dxa"/>
              <w:left w:w="85" w:type="dxa"/>
              <w:bottom w:w="85" w:type="dxa"/>
            </w:tcMar>
          </w:tcPr>
          <w:p w14:paraId="6C65BFCA"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67B8752" w14:textId="756C6897" w:rsidR="00961324" w:rsidRPr="00D06013" w:rsidRDefault="00961324" w:rsidP="007271D7">
            <w:pPr>
              <w:tabs>
                <w:tab w:val="left" w:pos="990"/>
              </w:tabs>
              <w:rPr>
                <w:b/>
                <w:noProof/>
              </w:rPr>
            </w:pPr>
            <w:r>
              <w:rPr>
                <w:b/>
                <w:noProof/>
              </w:rPr>
              <w:t>Evaluierung der Geoblocking-Verordnung (GBR)</w:t>
            </w:r>
          </w:p>
        </w:tc>
        <w:tc>
          <w:tcPr>
            <w:tcW w:w="1843" w:type="dxa"/>
            <w:tcMar>
              <w:top w:w="85" w:type="dxa"/>
              <w:left w:w="85" w:type="dxa"/>
              <w:bottom w:w="85" w:type="dxa"/>
            </w:tcMar>
          </w:tcPr>
          <w:p w14:paraId="1C030DAA" w14:textId="77777777" w:rsidR="00961324" w:rsidRDefault="00961324" w:rsidP="007271D7">
            <w:pPr>
              <w:rPr>
                <w:bCs/>
                <w:noProof/>
              </w:rPr>
            </w:pPr>
            <w:r>
              <w:rPr>
                <w:noProof/>
              </w:rPr>
              <w:t>4. Quartal 2025</w:t>
            </w:r>
          </w:p>
        </w:tc>
      </w:tr>
      <w:tr w:rsidR="00961324" w:rsidRPr="006C1C34" w14:paraId="45375D39" w14:textId="77777777" w:rsidTr="003566BE">
        <w:trPr>
          <w:trHeight w:val="300"/>
          <w:jc w:val="center"/>
        </w:trPr>
        <w:tc>
          <w:tcPr>
            <w:tcW w:w="567" w:type="dxa"/>
            <w:tcBorders>
              <w:right w:val="nil"/>
            </w:tcBorders>
            <w:shd w:val="clear" w:color="auto" w:fill="auto"/>
            <w:tcMar>
              <w:top w:w="85" w:type="dxa"/>
              <w:left w:w="85" w:type="dxa"/>
              <w:bottom w:w="85" w:type="dxa"/>
            </w:tcMar>
          </w:tcPr>
          <w:p w14:paraId="13DA0665"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E341387" w14:textId="77777777" w:rsidR="00961324" w:rsidRPr="00D06013" w:rsidRDefault="00961324" w:rsidP="007271D7">
            <w:pPr>
              <w:tabs>
                <w:tab w:val="left" w:pos="990"/>
              </w:tabs>
              <w:rPr>
                <w:b/>
                <w:noProof/>
              </w:rPr>
            </w:pPr>
            <w:r>
              <w:rPr>
                <w:b/>
                <w:noProof/>
              </w:rPr>
              <w:t>Evaluierung der Beihilfevorschriften für Banken in Schwierigkeiten</w:t>
            </w:r>
          </w:p>
        </w:tc>
        <w:tc>
          <w:tcPr>
            <w:tcW w:w="1843" w:type="dxa"/>
            <w:tcMar>
              <w:top w:w="85" w:type="dxa"/>
              <w:left w:w="85" w:type="dxa"/>
              <w:bottom w:w="85" w:type="dxa"/>
            </w:tcMar>
          </w:tcPr>
          <w:p w14:paraId="1EDDFCC9" w14:textId="77777777" w:rsidR="00961324" w:rsidRDefault="00961324" w:rsidP="007271D7">
            <w:pPr>
              <w:rPr>
                <w:bCs/>
                <w:noProof/>
              </w:rPr>
            </w:pPr>
            <w:r>
              <w:rPr>
                <w:noProof/>
              </w:rPr>
              <w:t>4. Quartal 2025</w:t>
            </w:r>
          </w:p>
        </w:tc>
      </w:tr>
      <w:tr w:rsidR="00961324" w:rsidRPr="006C1C34" w14:paraId="703F401B" w14:textId="77777777" w:rsidTr="003566BE">
        <w:trPr>
          <w:trHeight w:val="300"/>
          <w:jc w:val="center"/>
        </w:trPr>
        <w:tc>
          <w:tcPr>
            <w:tcW w:w="567" w:type="dxa"/>
            <w:tcBorders>
              <w:right w:val="nil"/>
            </w:tcBorders>
            <w:shd w:val="clear" w:color="auto" w:fill="auto"/>
            <w:tcMar>
              <w:top w:w="85" w:type="dxa"/>
              <w:left w:w="85" w:type="dxa"/>
              <w:bottom w:w="85" w:type="dxa"/>
            </w:tcMar>
          </w:tcPr>
          <w:p w14:paraId="78002201"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8257973" w14:textId="77777777" w:rsidR="00961324" w:rsidRPr="00D06013" w:rsidRDefault="00961324" w:rsidP="007271D7">
            <w:pPr>
              <w:tabs>
                <w:tab w:val="left" w:pos="990"/>
              </w:tabs>
              <w:rPr>
                <w:b/>
                <w:noProof/>
              </w:rPr>
            </w:pPr>
            <w:r>
              <w:rPr>
                <w:b/>
                <w:noProof/>
              </w:rPr>
              <w:t>Evaluierung der Garantiemitteilung</w:t>
            </w:r>
          </w:p>
        </w:tc>
        <w:tc>
          <w:tcPr>
            <w:tcW w:w="1843" w:type="dxa"/>
            <w:tcMar>
              <w:top w:w="85" w:type="dxa"/>
              <w:left w:w="85" w:type="dxa"/>
              <w:bottom w:w="85" w:type="dxa"/>
            </w:tcMar>
          </w:tcPr>
          <w:p w14:paraId="10B0F8A3" w14:textId="23797F43" w:rsidR="00961324" w:rsidRDefault="004F4928" w:rsidP="007271D7">
            <w:pPr>
              <w:rPr>
                <w:bCs/>
                <w:noProof/>
              </w:rPr>
            </w:pPr>
            <w:r>
              <w:rPr>
                <w:noProof/>
              </w:rPr>
              <w:t>3. Quartal 2025</w:t>
            </w:r>
          </w:p>
        </w:tc>
      </w:tr>
      <w:tr w:rsidR="00961324" w:rsidRPr="006C1C34" w14:paraId="38DA81A0" w14:textId="77777777" w:rsidTr="003566BE">
        <w:trPr>
          <w:trHeight w:val="300"/>
          <w:jc w:val="center"/>
        </w:trPr>
        <w:tc>
          <w:tcPr>
            <w:tcW w:w="567" w:type="dxa"/>
            <w:tcBorders>
              <w:right w:val="nil"/>
            </w:tcBorders>
            <w:shd w:val="clear" w:color="auto" w:fill="auto"/>
            <w:tcMar>
              <w:top w:w="85" w:type="dxa"/>
              <w:left w:w="85" w:type="dxa"/>
              <w:bottom w:w="85" w:type="dxa"/>
            </w:tcMar>
          </w:tcPr>
          <w:p w14:paraId="458B432B"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A9CB01A" w14:textId="139B5879" w:rsidR="00961324" w:rsidRPr="00D06013" w:rsidRDefault="00961324" w:rsidP="007271D7">
            <w:pPr>
              <w:tabs>
                <w:tab w:val="left" w:pos="990"/>
              </w:tabs>
              <w:rPr>
                <w:b/>
                <w:noProof/>
              </w:rPr>
            </w:pPr>
            <w:r>
              <w:rPr>
                <w:b/>
                <w:noProof/>
              </w:rPr>
              <w:t>Evaluierung der Richtlinie zur Bekämpfung von Steuervermeidung (ATAD)</w:t>
            </w:r>
          </w:p>
        </w:tc>
        <w:tc>
          <w:tcPr>
            <w:tcW w:w="1843" w:type="dxa"/>
            <w:tcMar>
              <w:top w:w="85" w:type="dxa"/>
              <w:left w:w="85" w:type="dxa"/>
              <w:bottom w:w="85" w:type="dxa"/>
            </w:tcMar>
          </w:tcPr>
          <w:p w14:paraId="381C8301" w14:textId="77777777" w:rsidR="00961324" w:rsidRDefault="00961324" w:rsidP="007271D7">
            <w:pPr>
              <w:rPr>
                <w:noProof/>
              </w:rPr>
            </w:pPr>
            <w:r>
              <w:rPr>
                <w:noProof/>
              </w:rPr>
              <w:t>4. Quartal 2025</w:t>
            </w:r>
          </w:p>
        </w:tc>
      </w:tr>
      <w:tr w:rsidR="00961324" w:rsidRPr="006C1C34" w14:paraId="692D61E1" w14:textId="77777777" w:rsidTr="003566BE">
        <w:trPr>
          <w:trHeight w:val="300"/>
          <w:jc w:val="center"/>
        </w:trPr>
        <w:tc>
          <w:tcPr>
            <w:tcW w:w="567" w:type="dxa"/>
            <w:tcBorders>
              <w:right w:val="nil"/>
            </w:tcBorders>
            <w:shd w:val="clear" w:color="auto" w:fill="auto"/>
            <w:tcMar>
              <w:top w:w="85" w:type="dxa"/>
              <w:left w:w="85" w:type="dxa"/>
              <w:bottom w:w="85" w:type="dxa"/>
            </w:tcMar>
          </w:tcPr>
          <w:p w14:paraId="31AB9CCF"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FAB8831" w14:textId="77777777" w:rsidR="00961324" w:rsidRPr="00D06013" w:rsidRDefault="00961324" w:rsidP="007271D7">
            <w:pPr>
              <w:tabs>
                <w:tab w:val="left" w:pos="990"/>
              </w:tabs>
              <w:rPr>
                <w:b/>
                <w:noProof/>
              </w:rPr>
            </w:pPr>
            <w:r>
              <w:rPr>
                <w:b/>
                <w:noProof/>
              </w:rPr>
              <w:t>Evaluierung der EU-Ursprungsregeln</w:t>
            </w:r>
          </w:p>
        </w:tc>
        <w:tc>
          <w:tcPr>
            <w:tcW w:w="1843" w:type="dxa"/>
            <w:tcMar>
              <w:top w:w="85" w:type="dxa"/>
              <w:left w:w="85" w:type="dxa"/>
              <w:bottom w:w="85" w:type="dxa"/>
            </w:tcMar>
          </w:tcPr>
          <w:p w14:paraId="12949539" w14:textId="77777777" w:rsidR="00961324" w:rsidRDefault="00961324" w:rsidP="007271D7">
            <w:pPr>
              <w:rPr>
                <w:noProof/>
              </w:rPr>
            </w:pPr>
            <w:r>
              <w:rPr>
                <w:noProof/>
              </w:rPr>
              <w:t>4. Quartal 2025</w:t>
            </w:r>
          </w:p>
        </w:tc>
      </w:tr>
      <w:tr w:rsidR="00961324" w:rsidRPr="006C1C34" w14:paraId="13A9365B" w14:textId="77777777" w:rsidTr="003566BE">
        <w:trPr>
          <w:trHeight w:val="300"/>
          <w:jc w:val="center"/>
        </w:trPr>
        <w:tc>
          <w:tcPr>
            <w:tcW w:w="567" w:type="dxa"/>
            <w:tcBorders>
              <w:right w:val="nil"/>
            </w:tcBorders>
            <w:shd w:val="clear" w:color="auto" w:fill="auto"/>
            <w:tcMar>
              <w:top w:w="85" w:type="dxa"/>
              <w:left w:w="85" w:type="dxa"/>
              <w:bottom w:w="85" w:type="dxa"/>
            </w:tcMar>
          </w:tcPr>
          <w:p w14:paraId="0D10DB18"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AB1DFD7" w14:textId="499DD440" w:rsidR="00961324" w:rsidRPr="00D06013" w:rsidRDefault="00961324" w:rsidP="007271D7">
            <w:pPr>
              <w:tabs>
                <w:tab w:val="left" w:pos="990"/>
              </w:tabs>
              <w:rPr>
                <w:b/>
                <w:noProof/>
              </w:rPr>
            </w:pPr>
            <w:r>
              <w:rPr>
                <w:b/>
                <w:noProof/>
              </w:rPr>
              <w:t>Evaluierung der Richtlinie über die Verbringung von Verteidigungsgütern</w:t>
            </w:r>
          </w:p>
        </w:tc>
        <w:tc>
          <w:tcPr>
            <w:tcW w:w="1843" w:type="dxa"/>
            <w:tcMar>
              <w:top w:w="85" w:type="dxa"/>
              <w:left w:w="85" w:type="dxa"/>
              <w:bottom w:w="85" w:type="dxa"/>
            </w:tcMar>
          </w:tcPr>
          <w:p w14:paraId="74E516D1" w14:textId="77777777" w:rsidR="00961324" w:rsidRDefault="00961324" w:rsidP="007271D7">
            <w:pPr>
              <w:rPr>
                <w:noProof/>
              </w:rPr>
            </w:pPr>
            <w:r>
              <w:rPr>
                <w:noProof/>
              </w:rPr>
              <w:t>4. Quartal 2025</w:t>
            </w:r>
          </w:p>
        </w:tc>
      </w:tr>
      <w:tr w:rsidR="00961324" w:rsidRPr="006C1C34" w14:paraId="1496E9E9" w14:textId="77777777" w:rsidTr="003566BE">
        <w:trPr>
          <w:trHeight w:val="300"/>
          <w:jc w:val="center"/>
        </w:trPr>
        <w:tc>
          <w:tcPr>
            <w:tcW w:w="567" w:type="dxa"/>
            <w:tcBorders>
              <w:right w:val="nil"/>
            </w:tcBorders>
            <w:shd w:val="clear" w:color="auto" w:fill="auto"/>
            <w:tcMar>
              <w:top w:w="85" w:type="dxa"/>
              <w:left w:w="85" w:type="dxa"/>
              <w:bottom w:w="85" w:type="dxa"/>
            </w:tcMar>
          </w:tcPr>
          <w:p w14:paraId="5D97003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4F06945" w14:textId="77777777" w:rsidR="00961324" w:rsidRPr="00D06013" w:rsidRDefault="00961324" w:rsidP="007271D7">
            <w:pPr>
              <w:tabs>
                <w:tab w:val="left" w:pos="990"/>
              </w:tabs>
              <w:rPr>
                <w:b/>
                <w:noProof/>
              </w:rPr>
            </w:pPr>
            <w:r>
              <w:rPr>
                <w:b/>
                <w:noProof/>
              </w:rPr>
              <w:t>Evaluierung der Feuerwaffenrichtlinie</w:t>
            </w:r>
          </w:p>
        </w:tc>
        <w:tc>
          <w:tcPr>
            <w:tcW w:w="1843" w:type="dxa"/>
            <w:tcMar>
              <w:top w:w="85" w:type="dxa"/>
              <w:left w:w="85" w:type="dxa"/>
              <w:bottom w:w="85" w:type="dxa"/>
            </w:tcMar>
          </w:tcPr>
          <w:p w14:paraId="16033863" w14:textId="77777777" w:rsidR="00961324" w:rsidRDefault="00961324" w:rsidP="007271D7">
            <w:pPr>
              <w:rPr>
                <w:noProof/>
              </w:rPr>
            </w:pPr>
            <w:r>
              <w:rPr>
                <w:noProof/>
              </w:rPr>
              <w:t>4. Quartal 2025</w:t>
            </w:r>
          </w:p>
        </w:tc>
      </w:tr>
      <w:tr w:rsidR="00961324" w:rsidRPr="006C1C34" w14:paraId="0FDBA378" w14:textId="77777777" w:rsidTr="003566BE">
        <w:trPr>
          <w:trHeight w:val="300"/>
          <w:jc w:val="center"/>
        </w:trPr>
        <w:tc>
          <w:tcPr>
            <w:tcW w:w="567" w:type="dxa"/>
            <w:tcBorders>
              <w:right w:val="nil"/>
            </w:tcBorders>
            <w:shd w:val="clear" w:color="auto" w:fill="auto"/>
            <w:tcMar>
              <w:top w:w="85" w:type="dxa"/>
              <w:left w:w="85" w:type="dxa"/>
              <w:bottom w:w="85" w:type="dxa"/>
            </w:tcMar>
          </w:tcPr>
          <w:p w14:paraId="7C984F1B"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A1FB93D" w14:textId="77777777" w:rsidR="00961324" w:rsidRPr="00D06013" w:rsidRDefault="00961324" w:rsidP="007271D7">
            <w:pPr>
              <w:tabs>
                <w:tab w:val="left" w:pos="990"/>
              </w:tabs>
              <w:rPr>
                <w:b/>
                <w:noProof/>
              </w:rPr>
            </w:pPr>
            <w:r>
              <w:rPr>
                <w:b/>
                <w:noProof/>
              </w:rPr>
              <w:t>Evaluierung des Innovationsfonds</w:t>
            </w:r>
          </w:p>
        </w:tc>
        <w:tc>
          <w:tcPr>
            <w:tcW w:w="1843" w:type="dxa"/>
            <w:tcMar>
              <w:top w:w="85" w:type="dxa"/>
              <w:left w:w="85" w:type="dxa"/>
              <w:bottom w:w="85" w:type="dxa"/>
            </w:tcMar>
          </w:tcPr>
          <w:p w14:paraId="2E1251DF" w14:textId="77777777" w:rsidR="00961324" w:rsidRPr="00F515D1" w:rsidRDefault="00961324" w:rsidP="007271D7">
            <w:pPr>
              <w:rPr>
                <w:noProof/>
              </w:rPr>
            </w:pPr>
            <w:r>
              <w:rPr>
                <w:noProof/>
              </w:rPr>
              <w:t>4. Quartal 2025</w:t>
            </w:r>
          </w:p>
        </w:tc>
      </w:tr>
      <w:tr w:rsidR="00961324" w:rsidRPr="006C1C34" w14:paraId="16E090B3" w14:textId="77777777" w:rsidTr="003566BE">
        <w:trPr>
          <w:trHeight w:val="300"/>
          <w:jc w:val="center"/>
        </w:trPr>
        <w:tc>
          <w:tcPr>
            <w:tcW w:w="567" w:type="dxa"/>
            <w:tcBorders>
              <w:right w:val="nil"/>
            </w:tcBorders>
            <w:shd w:val="clear" w:color="auto" w:fill="auto"/>
            <w:tcMar>
              <w:top w:w="85" w:type="dxa"/>
              <w:left w:w="85" w:type="dxa"/>
              <w:bottom w:w="85" w:type="dxa"/>
            </w:tcMar>
          </w:tcPr>
          <w:p w14:paraId="781AE2B2"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A77B808" w14:textId="77777777" w:rsidR="00961324" w:rsidRPr="00D06013" w:rsidRDefault="00961324" w:rsidP="007271D7">
            <w:pPr>
              <w:tabs>
                <w:tab w:val="left" w:pos="990"/>
              </w:tabs>
              <w:rPr>
                <w:b/>
                <w:noProof/>
              </w:rPr>
            </w:pPr>
            <w:r>
              <w:rPr>
                <w:b/>
                <w:noProof/>
              </w:rPr>
              <w:t>Evaluierung des Modernisierungsfonds</w:t>
            </w:r>
          </w:p>
        </w:tc>
        <w:tc>
          <w:tcPr>
            <w:tcW w:w="1843" w:type="dxa"/>
            <w:tcMar>
              <w:top w:w="85" w:type="dxa"/>
              <w:left w:w="85" w:type="dxa"/>
              <w:bottom w:w="85" w:type="dxa"/>
            </w:tcMar>
          </w:tcPr>
          <w:p w14:paraId="1DDBDE01" w14:textId="77777777" w:rsidR="00961324" w:rsidRPr="00F515D1" w:rsidRDefault="00961324" w:rsidP="007271D7">
            <w:pPr>
              <w:rPr>
                <w:noProof/>
              </w:rPr>
            </w:pPr>
            <w:r>
              <w:rPr>
                <w:noProof/>
              </w:rPr>
              <w:t>4. Quartal 2025</w:t>
            </w:r>
          </w:p>
        </w:tc>
      </w:tr>
      <w:tr w:rsidR="00565992" w:rsidRPr="006C1C34" w14:paraId="6C36292A" w14:textId="77777777" w:rsidTr="003566BE">
        <w:trPr>
          <w:trHeight w:val="300"/>
          <w:jc w:val="center"/>
        </w:trPr>
        <w:tc>
          <w:tcPr>
            <w:tcW w:w="567" w:type="dxa"/>
            <w:tcBorders>
              <w:right w:val="nil"/>
            </w:tcBorders>
            <w:shd w:val="clear" w:color="auto" w:fill="auto"/>
            <w:tcMar>
              <w:top w:w="85" w:type="dxa"/>
              <w:left w:w="85" w:type="dxa"/>
              <w:bottom w:w="85" w:type="dxa"/>
            </w:tcMar>
          </w:tcPr>
          <w:p w14:paraId="29960C62" w14:textId="77777777" w:rsidR="00565992" w:rsidRPr="006C1C34" w:rsidRDefault="00565992" w:rsidP="00565992">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C65C392" w14:textId="4A14F56B" w:rsidR="00565992" w:rsidRPr="00D06013" w:rsidRDefault="00565992" w:rsidP="00565992">
            <w:pPr>
              <w:tabs>
                <w:tab w:val="left" w:pos="990"/>
              </w:tabs>
              <w:rPr>
                <w:b/>
                <w:noProof/>
              </w:rPr>
            </w:pPr>
            <w:r>
              <w:rPr>
                <w:b/>
                <w:noProof/>
              </w:rPr>
              <w:t>Evaluierung der Verordnung (EU) 2016/796 der Eisenbahnagentur der Europäischen Union</w:t>
            </w:r>
          </w:p>
        </w:tc>
        <w:tc>
          <w:tcPr>
            <w:tcW w:w="1843" w:type="dxa"/>
            <w:tcMar>
              <w:top w:w="85" w:type="dxa"/>
              <w:left w:w="85" w:type="dxa"/>
              <w:bottom w:w="85" w:type="dxa"/>
            </w:tcMar>
          </w:tcPr>
          <w:p w14:paraId="670CAC2D" w14:textId="4CEA5702" w:rsidR="00565992" w:rsidRDefault="00565992" w:rsidP="00565992">
            <w:pPr>
              <w:rPr>
                <w:noProof/>
              </w:rPr>
            </w:pPr>
            <w:r>
              <w:rPr>
                <w:noProof/>
              </w:rPr>
              <w:t>3. Quartal 2025</w:t>
            </w:r>
          </w:p>
        </w:tc>
      </w:tr>
      <w:tr w:rsidR="00961324" w:rsidRPr="006C1C34" w14:paraId="02C97841" w14:textId="77777777" w:rsidTr="003566BE">
        <w:trPr>
          <w:trHeight w:val="300"/>
          <w:jc w:val="center"/>
        </w:trPr>
        <w:tc>
          <w:tcPr>
            <w:tcW w:w="567" w:type="dxa"/>
            <w:tcBorders>
              <w:right w:val="nil"/>
            </w:tcBorders>
            <w:shd w:val="clear" w:color="auto" w:fill="auto"/>
            <w:tcMar>
              <w:top w:w="85" w:type="dxa"/>
              <w:left w:w="85" w:type="dxa"/>
              <w:bottom w:w="85" w:type="dxa"/>
            </w:tcMar>
          </w:tcPr>
          <w:p w14:paraId="401BEFAE"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AC6B916" w14:textId="77777777" w:rsidR="00961324" w:rsidRPr="00D06013" w:rsidRDefault="00961324" w:rsidP="007271D7">
            <w:pPr>
              <w:tabs>
                <w:tab w:val="left" w:pos="990"/>
              </w:tabs>
              <w:rPr>
                <w:b/>
                <w:noProof/>
              </w:rPr>
            </w:pPr>
            <w:r>
              <w:rPr>
                <w:b/>
                <w:noProof/>
              </w:rPr>
              <w:t>Ex-post-Bewertung der Fazilität „Connecting Europe“ (CEF) 2014-2020</w:t>
            </w:r>
          </w:p>
        </w:tc>
        <w:tc>
          <w:tcPr>
            <w:tcW w:w="1843" w:type="dxa"/>
            <w:tcMar>
              <w:top w:w="85" w:type="dxa"/>
              <w:left w:w="85" w:type="dxa"/>
              <w:bottom w:w="85" w:type="dxa"/>
            </w:tcMar>
          </w:tcPr>
          <w:p w14:paraId="04B7306D" w14:textId="77777777" w:rsidR="00961324" w:rsidRDefault="00961324" w:rsidP="007271D7">
            <w:pPr>
              <w:rPr>
                <w:noProof/>
              </w:rPr>
            </w:pPr>
            <w:r>
              <w:rPr>
                <w:noProof/>
              </w:rPr>
              <w:t>3./4. Quartal 2025</w:t>
            </w:r>
          </w:p>
        </w:tc>
      </w:tr>
      <w:tr w:rsidR="00961324" w:rsidRPr="006C1C34" w14:paraId="24EFA770" w14:textId="77777777" w:rsidTr="003566BE">
        <w:trPr>
          <w:trHeight w:val="300"/>
          <w:jc w:val="center"/>
        </w:trPr>
        <w:tc>
          <w:tcPr>
            <w:tcW w:w="567" w:type="dxa"/>
            <w:tcBorders>
              <w:right w:val="nil"/>
            </w:tcBorders>
            <w:shd w:val="clear" w:color="auto" w:fill="auto"/>
            <w:tcMar>
              <w:top w:w="85" w:type="dxa"/>
              <w:left w:w="85" w:type="dxa"/>
              <w:bottom w:w="85" w:type="dxa"/>
            </w:tcMar>
          </w:tcPr>
          <w:p w14:paraId="06170100"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B8E16FF" w14:textId="77777777" w:rsidR="00961324" w:rsidRPr="00D06013" w:rsidRDefault="00961324" w:rsidP="007271D7">
            <w:pPr>
              <w:tabs>
                <w:tab w:val="left" w:pos="990"/>
              </w:tabs>
              <w:rPr>
                <w:b/>
                <w:noProof/>
              </w:rPr>
            </w:pPr>
            <w:r>
              <w:rPr>
                <w:b/>
                <w:noProof/>
              </w:rPr>
              <w:t>Ex-post-Bewertung des Asyl-, Migrations- und Integrationsfonds (AMIF) 2014-2020</w:t>
            </w:r>
          </w:p>
        </w:tc>
        <w:tc>
          <w:tcPr>
            <w:tcW w:w="1843" w:type="dxa"/>
            <w:tcMar>
              <w:top w:w="85" w:type="dxa"/>
              <w:left w:w="85" w:type="dxa"/>
              <w:bottom w:w="85" w:type="dxa"/>
            </w:tcMar>
          </w:tcPr>
          <w:p w14:paraId="551515BC" w14:textId="77777777" w:rsidR="00961324" w:rsidRDefault="00961324" w:rsidP="007271D7">
            <w:pPr>
              <w:rPr>
                <w:noProof/>
              </w:rPr>
            </w:pPr>
            <w:r>
              <w:rPr>
                <w:noProof/>
              </w:rPr>
              <w:t>2. Quartal 2025</w:t>
            </w:r>
          </w:p>
        </w:tc>
      </w:tr>
      <w:tr w:rsidR="00961324" w:rsidRPr="006C1C34" w14:paraId="0C9E34C0" w14:textId="77777777" w:rsidTr="003566BE">
        <w:trPr>
          <w:trHeight w:val="300"/>
          <w:jc w:val="center"/>
        </w:trPr>
        <w:tc>
          <w:tcPr>
            <w:tcW w:w="567" w:type="dxa"/>
            <w:tcBorders>
              <w:right w:val="nil"/>
            </w:tcBorders>
            <w:shd w:val="clear" w:color="auto" w:fill="auto"/>
            <w:tcMar>
              <w:top w:w="85" w:type="dxa"/>
              <w:left w:w="85" w:type="dxa"/>
              <w:bottom w:w="85" w:type="dxa"/>
            </w:tcMar>
          </w:tcPr>
          <w:p w14:paraId="18F73ADF"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F9A45EA" w14:textId="77777777" w:rsidR="00961324" w:rsidRPr="00D06013" w:rsidRDefault="00961324" w:rsidP="007271D7">
            <w:pPr>
              <w:tabs>
                <w:tab w:val="left" w:pos="990"/>
              </w:tabs>
              <w:rPr>
                <w:b/>
                <w:noProof/>
              </w:rPr>
            </w:pPr>
            <w:r>
              <w:rPr>
                <w:b/>
                <w:noProof/>
              </w:rPr>
              <w:t>Ex-post-Bewertung des Fonds für die innere Sicherheit – Grenzen und Visa (ISF-BV) 2014-2020</w:t>
            </w:r>
          </w:p>
        </w:tc>
        <w:tc>
          <w:tcPr>
            <w:tcW w:w="1843" w:type="dxa"/>
            <w:tcMar>
              <w:top w:w="85" w:type="dxa"/>
              <w:left w:w="85" w:type="dxa"/>
              <w:bottom w:w="85" w:type="dxa"/>
            </w:tcMar>
          </w:tcPr>
          <w:p w14:paraId="3C791818" w14:textId="77777777" w:rsidR="00961324" w:rsidRDefault="00961324" w:rsidP="007271D7">
            <w:pPr>
              <w:rPr>
                <w:noProof/>
              </w:rPr>
            </w:pPr>
            <w:r>
              <w:rPr>
                <w:noProof/>
              </w:rPr>
              <w:t>2. Quartal 2025</w:t>
            </w:r>
          </w:p>
        </w:tc>
      </w:tr>
      <w:tr w:rsidR="00961324" w:rsidRPr="006C1C34" w14:paraId="176700A1" w14:textId="77777777" w:rsidTr="003566BE">
        <w:trPr>
          <w:trHeight w:val="300"/>
          <w:jc w:val="center"/>
        </w:trPr>
        <w:tc>
          <w:tcPr>
            <w:tcW w:w="567" w:type="dxa"/>
            <w:tcBorders>
              <w:right w:val="nil"/>
            </w:tcBorders>
            <w:shd w:val="clear" w:color="auto" w:fill="auto"/>
            <w:tcMar>
              <w:top w:w="85" w:type="dxa"/>
              <w:left w:w="85" w:type="dxa"/>
              <w:bottom w:w="85" w:type="dxa"/>
            </w:tcMar>
          </w:tcPr>
          <w:p w14:paraId="2C5A700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488CB49" w14:textId="77777777" w:rsidR="00961324" w:rsidRPr="00D06013" w:rsidRDefault="00961324" w:rsidP="007271D7">
            <w:pPr>
              <w:tabs>
                <w:tab w:val="left" w:pos="990"/>
              </w:tabs>
              <w:rPr>
                <w:b/>
                <w:noProof/>
              </w:rPr>
            </w:pPr>
            <w:r>
              <w:rPr>
                <w:b/>
                <w:noProof/>
              </w:rPr>
              <w:t>Ex-post-Bewertung des Fonds für die innere Sicherheit – Polizei (ISF-P) 2014-2020</w:t>
            </w:r>
          </w:p>
        </w:tc>
        <w:tc>
          <w:tcPr>
            <w:tcW w:w="1843" w:type="dxa"/>
            <w:tcMar>
              <w:top w:w="85" w:type="dxa"/>
              <w:left w:w="85" w:type="dxa"/>
              <w:bottom w:w="85" w:type="dxa"/>
            </w:tcMar>
          </w:tcPr>
          <w:p w14:paraId="2EEB63F9" w14:textId="77777777" w:rsidR="00961324" w:rsidRDefault="00961324" w:rsidP="007271D7">
            <w:pPr>
              <w:rPr>
                <w:noProof/>
              </w:rPr>
            </w:pPr>
            <w:r>
              <w:rPr>
                <w:noProof/>
              </w:rPr>
              <w:t>2. Quartal 2025</w:t>
            </w:r>
          </w:p>
        </w:tc>
      </w:tr>
      <w:tr w:rsidR="00CC0B4E" w:rsidRPr="006C1C34" w14:paraId="08047C7D" w14:textId="77777777" w:rsidTr="003566BE">
        <w:trPr>
          <w:trHeight w:val="300"/>
          <w:jc w:val="center"/>
        </w:trPr>
        <w:tc>
          <w:tcPr>
            <w:tcW w:w="567" w:type="dxa"/>
            <w:tcBorders>
              <w:right w:val="nil"/>
            </w:tcBorders>
            <w:shd w:val="clear" w:color="auto" w:fill="auto"/>
            <w:tcMar>
              <w:top w:w="85" w:type="dxa"/>
              <w:left w:w="85" w:type="dxa"/>
              <w:bottom w:w="85" w:type="dxa"/>
            </w:tcMar>
          </w:tcPr>
          <w:p w14:paraId="4B39684B" w14:textId="77777777" w:rsidR="00CC0B4E" w:rsidRPr="006C1C34" w:rsidRDefault="00CC0B4E" w:rsidP="00CC0B4E">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462D5F1" w14:textId="550778C6" w:rsidR="00CC0B4E" w:rsidRPr="00D06013" w:rsidRDefault="00CC0B4E" w:rsidP="00CC0B4E">
            <w:pPr>
              <w:tabs>
                <w:tab w:val="left" w:pos="990"/>
              </w:tabs>
              <w:rPr>
                <w:b/>
                <w:noProof/>
              </w:rPr>
            </w:pPr>
            <w:r>
              <w:rPr>
                <w:b/>
                <w:noProof/>
              </w:rPr>
              <w:t>Ex-post-Bewertung des Europäischen Fonds für regionale Entwicklung und des Kohäsionsfonds 2014-2020</w:t>
            </w:r>
          </w:p>
        </w:tc>
        <w:tc>
          <w:tcPr>
            <w:tcW w:w="1843" w:type="dxa"/>
            <w:tcMar>
              <w:top w:w="85" w:type="dxa"/>
              <w:left w:w="85" w:type="dxa"/>
              <w:bottom w:w="85" w:type="dxa"/>
            </w:tcMar>
          </w:tcPr>
          <w:p w14:paraId="0EB67072" w14:textId="14FA1888" w:rsidR="00CC0B4E" w:rsidRDefault="00CC0B4E" w:rsidP="00CC0B4E">
            <w:pPr>
              <w:rPr>
                <w:noProof/>
              </w:rPr>
            </w:pPr>
            <w:r>
              <w:rPr>
                <w:noProof/>
              </w:rPr>
              <w:t xml:space="preserve">2. Quartal 2025 </w:t>
            </w:r>
          </w:p>
        </w:tc>
      </w:tr>
      <w:tr w:rsidR="0094680D" w:rsidRPr="006C1C34" w14:paraId="6A51E9FD" w14:textId="77777777" w:rsidTr="003566BE">
        <w:trPr>
          <w:trHeight w:val="300"/>
          <w:jc w:val="center"/>
        </w:trPr>
        <w:tc>
          <w:tcPr>
            <w:tcW w:w="567" w:type="dxa"/>
            <w:tcBorders>
              <w:right w:val="nil"/>
            </w:tcBorders>
            <w:shd w:val="clear" w:color="auto" w:fill="auto"/>
            <w:tcMar>
              <w:top w:w="85" w:type="dxa"/>
              <w:left w:w="85" w:type="dxa"/>
              <w:bottom w:w="85" w:type="dxa"/>
            </w:tcMar>
          </w:tcPr>
          <w:p w14:paraId="10CFF4B5" w14:textId="77777777" w:rsidR="0094680D" w:rsidRPr="006C1C34" w:rsidRDefault="0094680D" w:rsidP="00CC0B4E">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4EB8F5C" w14:textId="4890C3E3" w:rsidR="0094680D" w:rsidRDefault="00066690" w:rsidP="00CC0B4E">
            <w:pPr>
              <w:tabs>
                <w:tab w:val="left" w:pos="990"/>
              </w:tabs>
              <w:rPr>
                <w:b/>
                <w:noProof/>
              </w:rPr>
            </w:pPr>
            <w:r>
              <w:rPr>
                <w:b/>
                <w:noProof/>
              </w:rPr>
              <w:t>Ex-post-Bewertung des Europäischen Hilfsfonds für die am stärksten benachteiligten Personen 2014-2020</w:t>
            </w:r>
          </w:p>
        </w:tc>
        <w:tc>
          <w:tcPr>
            <w:tcW w:w="1843" w:type="dxa"/>
            <w:tcMar>
              <w:top w:w="85" w:type="dxa"/>
              <w:left w:w="85" w:type="dxa"/>
              <w:bottom w:w="85" w:type="dxa"/>
            </w:tcMar>
          </w:tcPr>
          <w:p w14:paraId="2BE77A77" w14:textId="1868F4E9" w:rsidR="0094680D" w:rsidRDefault="00066690" w:rsidP="00CC0B4E">
            <w:pPr>
              <w:rPr>
                <w:noProof/>
              </w:rPr>
            </w:pPr>
            <w:r>
              <w:rPr>
                <w:noProof/>
              </w:rPr>
              <w:t>2. Quartal 2025</w:t>
            </w:r>
          </w:p>
        </w:tc>
      </w:tr>
      <w:tr w:rsidR="00066690" w:rsidRPr="006C1C34" w14:paraId="6ACBE5F0" w14:textId="77777777" w:rsidTr="003566BE">
        <w:trPr>
          <w:trHeight w:val="300"/>
          <w:jc w:val="center"/>
        </w:trPr>
        <w:tc>
          <w:tcPr>
            <w:tcW w:w="567" w:type="dxa"/>
            <w:tcBorders>
              <w:right w:val="nil"/>
            </w:tcBorders>
            <w:shd w:val="clear" w:color="auto" w:fill="auto"/>
            <w:tcMar>
              <w:top w:w="85" w:type="dxa"/>
              <w:left w:w="85" w:type="dxa"/>
              <w:bottom w:w="85" w:type="dxa"/>
            </w:tcMar>
          </w:tcPr>
          <w:p w14:paraId="6283F0EE" w14:textId="77777777" w:rsidR="00066690" w:rsidRPr="006C1C34" w:rsidRDefault="00066690"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ABED2B8" w14:textId="12CEAF9D" w:rsidR="00066690" w:rsidRPr="00D06013" w:rsidRDefault="00066690" w:rsidP="007271D7">
            <w:pPr>
              <w:tabs>
                <w:tab w:val="left" w:pos="990"/>
              </w:tabs>
              <w:rPr>
                <w:b/>
                <w:noProof/>
              </w:rPr>
            </w:pPr>
            <w:r>
              <w:rPr>
                <w:b/>
                <w:noProof/>
              </w:rPr>
              <w:t>Ex-post-Bewertung des Europäischen Sozialfonds und der Beschäftigungsinitiative für junge Menschen 2014-2020</w:t>
            </w:r>
          </w:p>
        </w:tc>
        <w:tc>
          <w:tcPr>
            <w:tcW w:w="1843" w:type="dxa"/>
            <w:tcMar>
              <w:top w:w="85" w:type="dxa"/>
              <w:left w:w="85" w:type="dxa"/>
              <w:bottom w:w="85" w:type="dxa"/>
            </w:tcMar>
          </w:tcPr>
          <w:p w14:paraId="05A6CB24" w14:textId="53A8A69C" w:rsidR="00066690" w:rsidRDefault="005670D6" w:rsidP="007271D7">
            <w:pPr>
              <w:rPr>
                <w:noProof/>
              </w:rPr>
            </w:pPr>
            <w:r>
              <w:rPr>
                <w:noProof/>
              </w:rPr>
              <w:t>3. Quartal 2025</w:t>
            </w:r>
          </w:p>
        </w:tc>
      </w:tr>
      <w:tr w:rsidR="00961324" w:rsidRPr="006C1C34" w14:paraId="5F7D44DC" w14:textId="77777777" w:rsidTr="003566BE">
        <w:trPr>
          <w:trHeight w:val="300"/>
          <w:jc w:val="center"/>
        </w:trPr>
        <w:tc>
          <w:tcPr>
            <w:tcW w:w="567" w:type="dxa"/>
            <w:tcBorders>
              <w:right w:val="nil"/>
            </w:tcBorders>
            <w:shd w:val="clear" w:color="auto" w:fill="auto"/>
            <w:tcMar>
              <w:top w:w="85" w:type="dxa"/>
              <w:left w:w="85" w:type="dxa"/>
              <w:bottom w:w="85" w:type="dxa"/>
            </w:tcMar>
          </w:tcPr>
          <w:p w14:paraId="658FEAAA"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D2A7537" w14:textId="77777777" w:rsidR="00961324" w:rsidRPr="00D06013" w:rsidRDefault="00961324" w:rsidP="007271D7">
            <w:pPr>
              <w:tabs>
                <w:tab w:val="left" w:pos="990"/>
              </w:tabs>
              <w:rPr>
                <w:b/>
                <w:noProof/>
              </w:rPr>
            </w:pPr>
            <w:r>
              <w:rPr>
                <w:b/>
                <w:noProof/>
              </w:rPr>
              <w:t>Zwischenevaluierung des Europäischen Verteidigungsfonds</w:t>
            </w:r>
          </w:p>
        </w:tc>
        <w:tc>
          <w:tcPr>
            <w:tcW w:w="1843" w:type="dxa"/>
            <w:tcMar>
              <w:top w:w="85" w:type="dxa"/>
              <w:left w:w="85" w:type="dxa"/>
              <w:bottom w:w="85" w:type="dxa"/>
            </w:tcMar>
          </w:tcPr>
          <w:p w14:paraId="40DFA9AE" w14:textId="77777777" w:rsidR="00961324" w:rsidRPr="00DC59C9" w:rsidRDefault="00961324" w:rsidP="007271D7">
            <w:pPr>
              <w:rPr>
                <w:noProof/>
              </w:rPr>
            </w:pPr>
            <w:r>
              <w:rPr>
                <w:noProof/>
              </w:rPr>
              <w:t>1.-2. Quartal 2025</w:t>
            </w:r>
          </w:p>
        </w:tc>
      </w:tr>
      <w:tr w:rsidR="00961324" w:rsidRPr="006C1C34" w14:paraId="7333755D" w14:textId="77777777" w:rsidTr="003566BE">
        <w:trPr>
          <w:trHeight w:val="300"/>
          <w:jc w:val="center"/>
        </w:trPr>
        <w:tc>
          <w:tcPr>
            <w:tcW w:w="567" w:type="dxa"/>
            <w:tcBorders>
              <w:right w:val="nil"/>
            </w:tcBorders>
            <w:shd w:val="clear" w:color="auto" w:fill="auto"/>
            <w:tcMar>
              <w:top w:w="85" w:type="dxa"/>
              <w:left w:w="85" w:type="dxa"/>
              <w:bottom w:w="85" w:type="dxa"/>
            </w:tcMar>
          </w:tcPr>
          <w:p w14:paraId="63C7A527"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D17C552" w14:textId="77777777" w:rsidR="00961324" w:rsidRPr="00D06013" w:rsidRDefault="00961324" w:rsidP="007271D7">
            <w:pPr>
              <w:tabs>
                <w:tab w:val="left" w:pos="990"/>
              </w:tabs>
              <w:rPr>
                <w:b/>
                <w:noProof/>
              </w:rPr>
            </w:pPr>
            <w:r>
              <w:rPr>
                <w:b/>
                <w:noProof/>
              </w:rPr>
              <w:t>Zwischenevaluierung des Aktionsprogramms für das Zollwesen für die Jahre 2021-2027</w:t>
            </w:r>
          </w:p>
        </w:tc>
        <w:tc>
          <w:tcPr>
            <w:tcW w:w="1843" w:type="dxa"/>
            <w:tcMar>
              <w:top w:w="85" w:type="dxa"/>
              <w:left w:w="85" w:type="dxa"/>
              <w:bottom w:w="85" w:type="dxa"/>
            </w:tcMar>
          </w:tcPr>
          <w:p w14:paraId="13F9DA2C" w14:textId="77777777" w:rsidR="00961324" w:rsidRPr="00DC59C9" w:rsidRDefault="00961324" w:rsidP="007271D7">
            <w:pPr>
              <w:rPr>
                <w:noProof/>
              </w:rPr>
            </w:pPr>
            <w:r>
              <w:rPr>
                <w:noProof/>
              </w:rPr>
              <w:t>3. Quartal 2025</w:t>
            </w:r>
          </w:p>
        </w:tc>
      </w:tr>
      <w:tr w:rsidR="00961324" w:rsidRPr="006C1C34" w14:paraId="6F4A2DF6" w14:textId="77777777" w:rsidTr="003566BE">
        <w:trPr>
          <w:trHeight w:val="300"/>
          <w:jc w:val="center"/>
        </w:trPr>
        <w:tc>
          <w:tcPr>
            <w:tcW w:w="567" w:type="dxa"/>
            <w:tcBorders>
              <w:right w:val="nil"/>
            </w:tcBorders>
            <w:shd w:val="clear" w:color="auto" w:fill="auto"/>
            <w:tcMar>
              <w:top w:w="85" w:type="dxa"/>
              <w:left w:w="85" w:type="dxa"/>
              <w:bottom w:w="85" w:type="dxa"/>
            </w:tcMar>
          </w:tcPr>
          <w:p w14:paraId="182A7782"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037807B" w14:textId="77777777" w:rsidR="00961324" w:rsidRPr="00D06013" w:rsidRDefault="00961324" w:rsidP="007271D7">
            <w:pPr>
              <w:tabs>
                <w:tab w:val="left" w:pos="990"/>
              </w:tabs>
              <w:rPr>
                <w:b/>
                <w:noProof/>
              </w:rPr>
            </w:pPr>
            <w:r>
              <w:rPr>
                <w:b/>
                <w:noProof/>
              </w:rPr>
              <w:t>Zwischenevaluierung des Instruments für Zollkontrollausrüstung (CCEI)</w:t>
            </w:r>
          </w:p>
        </w:tc>
        <w:tc>
          <w:tcPr>
            <w:tcW w:w="1843" w:type="dxa"/>
            <w:tcMar>
              <w:top w:w="85" w:type="dxa"/>
              <w:left w:w="85" w:type="dxa"/>
              <w:bottom w:w="85" w:type="dxa"/>
            </w:tcMar>
          </w:tcPr>
          <w:p w14:paraId="5C48C8BF" w14:textId="77777777" w:rsidR="00961324" w:rsidRDefault="00961324" w:rsidP="007271D7">
            <w:pPr>
              <w:rPr>
                <w:noProof/>
              </w:rPr>
            </w:pPr>
            <w:r>
              <w:rPr>
                <w:noProof/>
              </w:rPr>
              <w:t>2. Quartal 2025</w:t>
            </w:r>
          </w:p>
        </w:tc>
      </w:tr>
      <w:tr w:rsidR="00961324" w:rsidRPr="006C1C34" w14:paraId="6A46C9C7" w14:textId="77777777" w:rsidTr="003566BE">
        <w:trPr>
          <w:trHeight w:val="300"/>
          <w:jc w:val="center"/>
        </w:trPr>
        <w:tc>
          <w:tcPr>
            <w:tcW w:w="567" w:type="dxa"/>
            <w:tcBorders>
              <w:right w:val="nil"/>
            </w:tcBorders>
            <w:shd w:val="clear" w:color="auto" w:fill="auto"/>
            <w:tcMar>
              <w:top w:w="85" w:type="dxa"/>
              <w:left w:w="85" w:type="dxa"/>
              <w:bottom w:w="85" w:type="dxa"/>
            </w:tcMar>
          </w:tcPr>
          <w:p w14:paraId="0BD229C3"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898C6D4" w14:textId="77777777" w:rsidR="00961324" w:rsidRPr="00D06013" w:rsidRDefault="00961324" w:rsidP="007271D7">
            <w:pPr>
              <w:tabs>
                <w:tab w:val="left" w:pos="990"/>
              </w:tabs>
              <w:rPr>
                <w:b/>
                <w:noProof/>
              </w:rPr>
            </w:pPr>
            <w:r>
              <w:rPr>
                <w:b/>
                <w:noProof/>
              </w:rPr>
              <w:t>Zwischenevaluierung des Programms Fiscalis 2021-2027</w:t>
            </w:r>
          </w:p>
        </w:tc>
        <w:tc>
          <w:tcPr>
            <w:tcW w:w="1843" w:type="dxa"/>
            <w:tcMar>
              <w:top w:w="85" w:type="dxa"/>
              <w:left w:w="85" w:type="dxa"/>
              <w:bottom w:w="85" w:type="dxa"/>
            </w:tcMar>
          </w:tcPr>
          <w:p w14:paraId="38107434" w14:textId="0713F846" w:rsidR="00961324" w:rsidRDefault="00960637" w:rsidP="007271D7">
            <w:pPr>
              <w:rPr>
                <w:noProof/>
              </w:rPr>
            </w:pPr>
            <w:r>
              <w:rPr>
                <w:noProof/>
              </w:rPr>
              <w:t>4. Quartal 2025</w:t>
            </w:r>
          </w:p>
        </w:tc>
      </w:tr>
      <w:tr w:rsidR="000B560F" w:rsidRPr="006C1C34" w14:paraId="7BFCE8FB" w14:textId="77777777" w:rsidTr="003566BE">
        <w:trPr>
          <w:trHeight w:val="300"/>
          <w:jc w:val="center"/>
        </w:trPr>
        <w:tc>
          <w:tcPr>
            <w:tcW w:w="567" w:type="dxa"/>
            <w:tcBorders>
              <w:right w:val="nil"/>
            </w:tcBorders>
            <w:shd w:val="clear" w:color="auto" w:fill="auto"/>
            <w:tcMar>
              <w:top w:w="85" w:type="dxa"/>
              <w:left w:w="85" w:type="dxa"/>
              <w:bottom w:w="85" w:type="dxa"/>
            </w:tcMar>
          </w:tcPr>
          <w:p w14:paraId="5CF1B969" w14:textId="77777777" w:rsidR="000B560F" w:rsidRPr="006C1C34" w:rsidRDefault="000B560F"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062CF78" w14:textId="7BAF251B" w:rsidR="000B560F" w:rsidRPr="00D06013" w:rsidRDefault="003A6C53" w:rsidP="007271D7">
            <w:pPr>
              <w:tabs>
                <w:tab w:val="left" w:pos="990"/>
              </w:tabs>
              <w:rPr>
                <w:b/>
                <w:noProof/>
              </w:rPr>
            </w:pPr>
            <w:r>
              <w:rPr>
                <w:b/>
                <w:noProof/>
              </w:rPr>
              <w:t>Zwischenevaluierung des Rahmenprogramms für Forschung und Innovation „Horizont Europa“</w:t>
            </w:r>
          </w:p>
        </w:tc>
        <w:tc>
          <w:tcPr>
            <w:tcW w:w="1843" w:type="dxa"/>
            <w:tcMar>
              <w:top w:w="85" w:type="dxa"/>
              <w:left w:w="85" w:type="dxa"/>
              <w:bottom w:w="85" w:type="dxa"/>
            </w:tcMar>
          </w:tcPr>
          <w:p w14:paraId="29BE1373" w14:textId="3C264CD5" w:rsidR="000B560F" w:rsidRDefault="005A0028" w:rsidP="007271D7">
            <w:pPr>
              <w:rPr>
                <w:noProof/>
              </w:rPr>
            </w:pPr>
            <w:r>
              <w:rPr>
                <w:noProof/>
              </w:rPr>
              <w:t>2. Quartal 2025</w:t>
            </w:r>
          </w:p>
        </w:tc>
      </w:tr>
      <w:tr w:rsidR="00813853" w:rsidRPr="006C1C34" w14:paraId="70E72AA4" w14:textId="77777777" w:rsidTr="003566BE">
        <w:trPr>
          <w:trHeight w:val="300"/>
          <w:jc w:val="center"/>
        </w:trPr>
        <w:tc>
          <w:tcPr>
            <w:tcW w:w="567" w:type="dxa"/>
            <w:tcBorders>
              <w:right w:val="nil"/>
            </w:tcBorders>
            <w:shd w:val="clear" w:color="auto" w:fill="auto"/>
            <w:tcMar>
              <w:top w:w="85" w:type="dxa"/>
              <w:left w:w="85" w:type="dxa"/>
              <w:bottom w:w="85" w:type="dxa"/>
            </w:tcMar>
          </w:tcPr>
          <w:p w14:paraId="5C5E60B9" w14:textId="77777777" w:rsidR="00813853" w:rsidRPr="006C1C34" w:rsidRDefault="00813853"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BB17D17" w14:textId="67B15F72" w:rsidR="00813853" w:rsidRPr="00F756DE" w:rsidRDefault="00813853" w:rsidP="007271D7">
            <w:pPr>
              <w:tabs>
                <w:tab w:val="left" w:pos="990"/>
              </w:tabs>
              <w:rPr>
                <w:b/>
                <w:noProof/>
              </w:rPr>
            </w:pPr>
            <w:r>
              <w:rPr>
                <w:b/>
                <w:noProof/>
              </w:rPr>
              <w:t>Halbzeitevaluierung des Europäischen Fonds für regionale Entwicklung, des Kohäsionsfonds und des Fonds für einen gerechten Übergang (2021-2027)</w:t>
            </w:r>
          </w:p>
        </w:tc>
        <w:tc>
          <w:tcPr>
            <w:tcW w:w="1843" w:type="dxa"/>
            <w:tcMar>
              <w:top w:w="85" w:type="dxa"/>
              <w:left w:w="85" w:type="dxa"/>
              <w:bottom w:w="85" w:type="dxa"/>
            </w:tcMar>
          </w:tcPr>
          <w:p w14:paraId="531893B3" w14:textId="6E6D99A8" w:rsidR="00813853" w:rsidRDefault="00AD5105" w:rsidP="007271D7">
            <w:pPr>
              <w:rPr>
                <w:noProof/>
              </w:rPr>
            </w:pPr>
            <w:r>
              <w:rPr>
                <w:noProof/>
              </w:rPr>
              <w:t xml:space="preserve">2. Quartal 2025 </w:t>
            </w:r>
          </w:p>
        </w:tc>
      </w:tr>
      <w:tr w:rsidR="005670D6" w:rsidRPr="006C1C34" w14:paraId="2D5917B0" w14:textId="77777777" w:rsidTr="003566BE">
        <w:trPr>
          <w:trHeight w:val="300"/>
          <w:jc w:val="center"/>
        </w:trPr>
        <w:tc>
          <w:tcPr>
            <w:tcW w:w="567" w:type="dxa"/>
            <w:tcBorders>
              <w:right w:val="nil"/>
            </w:tcBorders>
            <w:shd w:val="clear" w:color="auto" w:fill="auto"/>
            <w:tcMar>
              <w:top w:w="85" w:type="dxa"/>
              <w:left w:w="85" w:type="dxa"/>
              <w:bottom w:w="85" w:type="dxa"/>
            </w:tcMar>
          </w:tcPr>
          <w:p w14:paraId="4F0C7463" w14:textId="77777777" w:rsidR="005670D6" w:rsidRPr="006C1C34" w:rsidRDefault="005670D6"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BD9E362" w14:textId="67EEA00B" w:rsidR="005670D6" w:rsidRPr="00813853" w:rsidRDefault="00BF0448" w:rsidP="007271D7">
            <w:pPr>
              <w:tabs>
                <w:tab w:val="left" w:pos="990"/>
              </w:tabs>
              <w:rPr>
                <w:b/>
                <w:noProof/>
              </w:rPr>
            </w:pPr>
            <w:r>
              <w:rPr>
                <w:b/>
                <w:noProof/>
              </w:rPr>
              <w:t>Halbzeitevaluierung des Europäischen Sozialfonds Plus (2021-2027)</w:t>
            </w:r>
          </w:p>
        </w:tc>
        <w:tc>
          <w:tcPr>
            <w:tcW w:w="1843" w:type="dxa"/>
            <w:tcMar>
              <w:top w:w="85" w:type="dxa"/>
              <w:left w:w="85" w:type="dxa"/>
              <w:bottom w:w="85" w:type="dxa"/>
            </w:tcMar>
          </w:tcPr>
          <w:p w14:paraId="60F4E098" w14:textId="11BE8DA3" w:rsidR="005670D6" w:rsidRDefault="00BF0448" w:rsidP="007271D7">
            <w:pPr>
              <w:rPr>
                <w:noProof/>
              </w:rPr>
            </w:pPr>
            <w:r>
              <w:rPr>
                <w:noProof/>
              </w:rPr>
              <w:t>2. Quartal 2025</w:t>
            </w:r>
          </w:p>
        </w:tc>
      </w:tr>
      <w:bookmarkEnd w:id="2"/>
    </w:tbl>
    <w:p w14:paraId="12AA31AB" w14:textId="77777777" w:rsidR="00D810BC" w:rsidRDefault="00D810BC" w:rsidP="00B547C9">
      <w:pPr>
        <w:spacing w:after="480" w:line="278" w:lineRule="auto"/>
        <w:jc w:val="center"/>
        <w:rPr>
          <w:rFonts w:ascii="Times New Roman" w:eastAsia="Times New Roman" w:hAnsi="Times New Roman" w:cs="Times New Roman"/>
          <w:b/>
          <w:bCs/>
          <w:noProof/>
          <w:sz w:val="28"/>
          <w:szCs w:val="28"/>
          <w:u w:val="single"/>
          <w:lang w:val="en-GB" w:eastAsia="en-GB"/>
        </w:rPr>
      </w:pPr>
    </w:p>
    <w:p w14:paraId="08D87519" w14:textId="6B076C69" w:rsidR="00D810BC" w:rsidRDefault="00D810BC">
      <w:pPr>
        <w:rPr>
          <w:rFonts w:ascii="Times New Roman" w:eastAsia="Times New Roman" w:hAnsi="Times New Roman" w:cs="Times New Roman"/>
          <w:b/>
          <w:bCs/>
          <w:noProof/>
          <w:sz w:val="28"/>
          <w:szCs w:val="28"/>
          <w:u w:val="single"/>
          <w:lang w:val="en-GB" w:eastAsia="en-GB"/>
        </w:rPr>
      </w:pPr>
    </w:p>
    <w:p w14:paraId="73FF7FB4" w14:textId="7EA08FBA" w:rsidR="00AB66A8" w:rsidRPr="001D1E77" w:rsidRDefault="00E51030" w:rsidP="00B547C9">
      <w:pPr>
        <w:spacing w:after="480" w:line="278" w:lineRule="auto"/>
        <w:jc w:val="center"/>
        <w:rPr>
          <w:rFonts w:ascii="Times New Roman" w:eastAsia="Times New Roman" w:hAnsi="Times New Roman" w:cs="Times New Roman"/>
          <w:b/>
          <w:bCs/>
          <w:i/>
          <w:iCs/>
          <w:noProof/>
          <w:sz w:val="28"/>
          <w:szCs w:val="28"/>
        </w:rPr>
      </w:pPr>
      <w:r>
        <w:rPr>
          <w:rFonts w:ascii="Times New Roman" w:hAnsi="Times New Roman"/>
          <w:b/>
          <w:noProof/>
          <w:sz w:val="28"/>
          <w:u w:val="single"/>
        </w:rPr>
        <w:t>Anhang III: Anhängige Vorschläge</w:t>
      </w:r>
    </w:p>
    <w:tbl>
      <w:tblPr>
        <w:tblStyle w:val="TableGrid"/>
        <w:tblW w:w="14029" w:type="dxa"/>
        <w:jc w:val="center"/>
        <w:tblLayout w:type="fixed"/>
        <w:tblLook w:val="04A0" w:firstRow="1" w:lastRow="0" w:firstColumn="1" w:lastColumn="0" w:noHBand="0" w:noVBand="1"/>
      </w:tblPr>
      <w:tblGrid>
        <w:gridCol w:w="562"/>
        <w:gridCol w:w="11464"/>
        <w:gridCol w:w="2003"/>
      </w:tblGrid>
      <w:tr w:rsidR="00AB66A8" w:rsidRPr="006C1C34" w14:paraId="5B048948" w14:textId="77777777" w:rsidTr="00C12335">
        <w:trPr>
          <w:cantSplit/>
          <w:trHeight w:val="145"/>
          <w:tblHeader/>
          <w:jc w:val="center"/>
        </w:trPr>
        <w:tc>
          <w:tcPr>
            <w:tcW w:w="562" w:type="dxa"/>
            <w:tcBorders>
              <w:bottom w:val="single" w:sz="4" w:space="0" w:color="auto"/>
            </w:tcBorders>
            <w:shd w:val="clear" w:color="auto" w:fill="99CCFF"/>
            <w:tcMar>
              <w:top w:w="85" w:type="dxa"/>
              <w:left w:w="85" w:type="dxa"/>
              <w:bottom w:w="85" w:type="dxa"/>
              <w:right w:w="85" w:type="dxa"/>
            </w:tcMar>
          </w:tcPr>
          <w:p w14:paraId="2BD31AB9" w14:textId="77777777" w:rsidR="00AB66A8" w:rsidRPr="006C1C34" w:rsidRDefault="00AB66A8" w:rsidP="00E34677">
            <w:pPr>
              <w:spacing w:before="60" w:after="60"/>
              <w:rPr>
                <w:b/>
                <w:bCs/>
                <w:noProof/>
              </w:rPr>
            </w:pPr>
            <w:r>
              <w:rPr>
                <w:b/>
                <w:noProof/>
              </w:rPr>
              <w:t>Nr.</w:t>
            </w:r>
          </w:p>
        </w:tc>
        <w:tc>
          <w:tcPr>
            <w:tcW w:w="11464" w:type="dxa"/>
            <w:tcBorders>
              <w:bottom w:val="single" w:sz="4" w:space="0" w:color="auto"/>
            </w:tcBorders>
            <w:shd w:val="clear" w:color="auto" w:fill="99CCFF"/>
            <w:tcMar>
              <w:top w:w="85" w:type="dxa"/>
              <w:left w:w="85" w:type="dxa"/>
              <w:bottom w:w="85" w:type="dxa"/>
              <w:right w:w="85" w:type="dxa"/>
            </w:tcMar>
          </w:tcPr>
          <w:p w14:paraId="5CB4E846" w14:textId="77777777" w:rsidR="00AB66A8" w:rsidRPr="006C1C34" w:rsidRDefault="00AB66A8" w:rsidP="00E34677">
            <w:pPr>
              <w:spacing w:before="60" w:after="60"/>
              <w:jc w:val="center"/>
              <w:rPr>
                <w:b/>
                <w:bCs/>
                <w:noProof/>
              </w:rPr>
            </w:pPr>
            <w:r>
              <w:rPr>
                <w:b/>
                <w:noProof/>
              </w:rPr>
              <w:t>Genaue Bezeichnung</w:t>
            </w:r>
          </w:p>
        </w:tc>
        <w:tc>
          <w:tcPr>
            <w:tcW w:w="2003" w:type="dxa"/>
            <w:tcBorders>
              <w:bottom w:val="single" w:sz="4" w:space="0" w:color="auto"/>
            </w:tcBorders>
            <w:shd w:val="clear" w:color="auto" w:fill="99CCFF"/>
            <w:tcMar>
              <w:top w:w="85" w:type="dxa"/>
              <w:left w:w="85" w:type="dxa"/>
              <w:bottom w:w="85" w:type="dxa"/>
              <w:right w:w="85" w:type="dxa"/>
            </w:tcMar>
          </w:tcPr>
          <w:p w14:paraId="233FA0B2" w14:textId="77777777" w:rsidR="00AB66A8" w:rsidRPr="006C1C34" w:rsidRDefault="00AB66A8" w:rsidP="00E34677">
            <w:pPr>
              <w:spacing w:before="60" w:after="60"/>
              <w:jc w:val="center"/>
              <w:rPr>
                <w:b/>
                <w:bCs/>
                <w:noProof/>
              </w:rPr>
            </w:pPr>
            <w:r>
              <w:rPr>
                <w:b/>
                <w:noProof/>
              </w:rPr>
              <w:t>Bezugsdokumente</w:t>
            </w:r>
          </w:p>
        </w:tc>
      </w:tr>
      <w:tr w:rsidR="00AB66A8" w:rsidRPr="006C1C34" w14:paraId="7B6233CC" w14:textId="77777777" w:rsidTr="00FF69A3">
        <w:trPr>
          <w:cantSplit/>
          <w:trHeight w:val="145"/>
          <w:jc w:val="center"/>
        </w:trPr>
        <w:tc>
          <w:tcPr>
            <w:tcW w:w="14029" w:type="dxa"/>
            <w:gridSpan w:val="3"/>
            <w:shd w:val="clear" w:color="auto" w:fill="0046FF"/>
            <w:tcMar>
              <w:top w:w="85" w:type="dxa"/>
              <w:left w:w="85" w:type="dxa"/>
              <w:bottom w:w="85" w:type="dxa"/>
              <w:right w:w="85" w:type="dxa"/>
            </w:tcMar>
          </w:tcPr>
          <w:p w14:paraId="581366F9" w14:textId="77777777" w:rsidR="00AB66A8" w:rsidRPr="006C1C34" w:rsidRDefault="00AB66A8" w:rsidP="009E7831">
            <w:pPr>
              <w:keepNext/>
              <w:spacing w:before="60" w:after="60"/>
              <w:rPr>
                <w:b/>
                <w:bCs/>
                <w:noProof/>
                <w:color w:val="FFFFFF"/>
              </w:rPr>
            </w:pPr>
            <w:r>
              <w:rPr>
                <w:b/>
                <w:noProof/>
                <w:color w:val="FFFFFF" w:themeColor="background1"/>
              </w:rPr>
              <w:t>Ein neuer Plan für nachhaltigen Wohlstand und nachhaltige Wettbewerbsfähigkeit in Europa</w:t>
            </w:r>
          </w:p>
        </w:tc>
      </w:tr>
      <w:tr w:rsidR="00AB66A8" w:rsidRPr="006C1C34" w14:paraId="7E853DD9" w14:textId="77777777" w:rsidTr="00C12335">
        <w:trPr>
          <w:jc w:val="center"/>
        </w:trPr>
        <w:tc>
          <w:tcPr>
            <w:tcW w:w="562" w:type="dxa"/>
            <w:tcBorders>
              <w:right w:val="nil"/>
            </w:tcBorders>
            <w:shd w:val="clear" w:color="auto" w:fill="auto"/>
            <w:tcMar>
              <w:top w:w="85" w:type="dxa"/>
              <w:left w:w="85" w:type="dxa"/>
              <w:bottom w:w="85" w:type="dxa"/>
            </w:tcMar>
          </w:tcPr>
          <w:p w14:paraId="016A150C" w14:textId="77777777" w:rsidR="00AB66A8" w:rsidRPr="006C1C34" w:rsidRDefault="00AB66A8" w:rsidP="006E2351">
            <w:pPr>
              <w:numPr>
                <w:ilvl w:val="0"/>
                <w:numId w:val="6"/>
              </w:numPr>
              <w:ind w:left="431"/>
              <w:contextualSpacing/>
              <w:rPr>
                <w:b/>
                <w:noProof/>
              </w:rPr>
            </w:pPr>
          </w:p>
        </w:tc>
        <w:tc>
          <w:tcPr>
            <w:tcW w:w="11464" w:type="dxa"/>
            <w:shd w:val="clear" w:color="auto" w:fill="auto"/>
            <w:tcMar>
              <w:top w:w="85" w:type="dxa"/>
              <w:left w:w="85" w:type="dxa"/>
              <w:bottom w:w="85" w:type="dxa"/>
              <w:right w:w="85" w:type="dxa"/>
            </w:tcMar>
          </w:tcPr>
          <w:p w14:paraId="5DB60B41" w14:textId="77777777" w:rsidR="00AB66A8" w:rsidRPr="00CA6E7F" w:rsidRDefault="00AB66A8" w:rsidP="00E34677">
            <w:pPr>
              <w:tabs>
                <w:tab w:val="left" w:pos="990"/>
              </w:tabs>
              <w:jc w:val="both"/>
              <w:rPr>
                <w:noProof/>
              </w:rPr>
            </w:pPr>
            <w:r>
              <w:rPr>
                <w:noProof/>
              </w:rPr>
              <w:t>Vorschlag für eine RICHTLINIE DES EUROPÄISCHEN PARLAMENTS UND DES RATES zur Änderung der Richtlinie 2014/32/EU im Hinblick auf Ladeausrüstung für Elektrofahrzeuge, Druckgas-Zapfsäulen, Strom- und Gaszähler sowie Messgeräte für thermische Energie</w:t>
            </w:r>
          </w:p>
        </w:tc>
        <w:tc>
          <w:tcPr>
            <w:tcW w:w="2003" w:type="dxa"/>
            <w:tcMar>
              <w:top w:w="85" w:type="dxa"/>
              <w:left w:w="85" w:type="dxa"/>
              <w:bottom w:w="85" w:type="dxa"/>
            </w:tcMar>
          </w:tcPr>
          <w:p w14:paraId="2BDAA8AA" w14:textId="473E7014" w:rsidR="00AB66A8" w:rsidRPr="00200181" w:rsidRDefault="00AB66A8" w:rsidP="006C6FCD">
            <w:pPr>
              <w:rPr>
                <w:noProof/>
              </w:rPr>
            </w:pPr>
            <w:r>
              <w:rPr>
                <w:noProof/>
              </w:rPr>
              <w:t>COM(2024) 561 final</w:t>
            </w:r>
            <w:r>
              <w:rPr>
                <w:noProof/>
              </w:rPr>
              <w:br/>
              <w:t>2024/0311(COD)</w:t>
            </w:r>
            <w:r>
              <w:rPr>
                <w:noProof/>
              </w:rPr>
              <w:br/>
              <w:t>29.11.2024</w:t>
            </w:r>
          </w:p>
        </w:tc>
      </w:tr>
      <w:tr w:rsidR="00AB66A8" w:rsidRPr="006C1C34" w14:paraId="51871202" w14:textId="77777777" w:rsidTr="00C12335">
        <w:trPr>
          <w:jc w:val="center"/>
        </w:trPr>
        <w:tc>
          <w:tcPr>
            <w:tcW w:w="562" w:type="dxa"/>
            <w:tcBorders>
              <w:right w:val="nil"/>
            </w:tcBorders>
            <w:shd w:val="clear" w:color="auto" w:fill="auto"/>
            <w:tcMar>
              <w:top w:w="85" w:type="dxa"/>
              <w:left w:w="85" w:type="dxa"/>
              <w:bottom w:w="85" w:type="dxa"/>
            </w:tcMar>
          </w:tcPr>
          <w:p w14:paraId="58A2A19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21E367B" w14:textId="77777777" w:rsidR="00AB66A8" w:rsidRPr="004E2398" w:rsidRDefault="00AB66A8" w:rsidP="00E34677">
            <w:pPr>
              <w:tabs>
                <w:tab w:val="left" w:pos="990"/>
              </w:tabs>
              <w:jc w:val="both"/>
              <w:rPr>
                <w:bCs/>
                <w:noProof/>
              </w:rPr>
            </w:pPr>
            <w:r>
              <w:rPr>
                <w:noProof/>
              </w:rPr>
              <w:t>Vorschlag für eine VERORDNUNG DES EUROPÄISCHEN PARLAMENTS UND DES RATES über eine mit dem Binnenmarktinformationssystem verbundene öffentliche Schnittstelle für die Erklärung über die Entsendung von Arbeitnehmern und zur Änderung der Verordnung (EU) Nr. 1024/2012</w:t>
            </w:r>
          </w:p>
        </w:tc>
        <w:tc>
          <w:tcPr>
            <w:tcW w:w="2003" w:type="dxa"/>
            <w:tcMar>
              <w:top w:w="85" w:type="dxa"/>
              <w:left w:w="85" w:type="dxa"/>
              <w:bottom w:w="85" w:type="dxa"/>
            </w:tcMar>
          </w:tcPr>
          <w:p w14:paraId="0C1D0CF7" w14:textId="605D3DE5" w:rsidR="00AB66A8" w:rsidRPr="00200181" w:rsidRDefault="00AB66A8" w:rsidP="006C6FCD">
            <w:pPr>
              <w:rPr>
                <w:bCs/>
                <w:noProof/>
              </w:rPr>
            </w:pPr>
            <w:r>
              <w:rPr>
                <w:noProof/>
              </w:rPr>
              <w:t>COM(2024) 531 final</w:t>
            </w:r>
            <w:r>
              <w:rPr>
                <w:noProof/>
              </w:rPr>
              <w:br/>
              <w:t>2024/0301(COD)</w:t>
            </w:r>
            <w:r>
              <w:rPr>
                <w:noProof/>
              </w:rPr>
              <w:br/>
              <w:t>13.11.2024</w:t>
            </w:r>
          </w:p>
        </w:tc>
      </w:tr>
      <w:tr w:rsidR="00AB66A8" w:rsidRPr="006C1C34" w14:paraId="1767DA11" w14:textId="77777777" w:rsidTr="00C12335">
        <w:trPr>
          <w:jc w:val="center"/>
        </w:trPr>
        <w:tc>
          <w:tcPr>
            <w:tcW w:w="562" w:type="dxa"/>
            <w:tcBorders>
              <w:right w:val="nil"/>
            </w:tcBorders>
            <w:shd w:val="clear" w:color="auto" w:fill="auto"/>
            <w:tcMar>
              <w:top w:w="85" w:type="dxa"/>
              <w:left w:w="85" w:type="dxa"/>
              <w:bottom w:w="85" w:type="dxa"/>
            </w:tcMar>
          </w:tcPr>
          <w:p w14:paraId="45CAABFF"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B35243D" w14:textId="77777777" w:rsidR="00AB66A8" w:rsidRPr="005A6B85" w:rsidRDefault="00AB66A8" w:rsidP="00E34677">
            <w:pPr>
              <w:tabs>
                <w:tab w:val="left" w:pos="990"/>
              </w:tabs>
              <w:jc w:val="both"/>
              <w:rPr>
                <w:bCs/>
                <w:noProof/>
              </w:rPr>
            </w:pPr>
            <w:r>
              <w:rPr>
                <w:noProof/>
              </w:rPr>
              <w:t>Vorschlag für eine RICHTLINIE DES RATES zur Änderung der Richtlinie 2011/16/EU über die Zusammenarbeit der Verwaltungsbehörden im Bereich der Besteuerung</w:t>
            </w:r>
          </w:p>
        </w:tc>
        <w:tc>
          <w:tcPr>
            <w:tcW w:w="2003" w:type="dxa"/>
            <w:tcMar>
              <w:top w:w="85" w:type="dxa"/>
              <w:left w:w="85" w:type="dxa"/>
              <w:bottom w:w="85" w:type="dxa"/>
            </w:tcMar>
          </w:tcPr>
          <w:p w14:paraId="10BC0065" w14:textId="02319625" w:rsidR="00AB66A8" w:rsidRPr="00C5322F" w:rsidRDefault="00AB66A8" w:rsidP="006C6FCD">
            <w:pPr>
              <w:rPr>
                <w:bCs/>
                <w:noProof/>
              </w:rPr>
            </w:pPr>
            <w:r>
              <w:rPr>
                <w:noProof/>
              </w:rPr>
              <w:t>COM(2024) 497 final</w:t>
            </w:r>
            <w:r>
              <w:rPr>
                <w:noProof/>
              </w:rPr>
              <w:br/>
              <w:t>2024/0276(CNS)</w:t>
            </w:r>
            <w:r>
              <w:rPr>
                <w:noProof/>
              </w:rPr>
              <w:br/>
              <w:t>28.10.2024</w:t>
            </w:r>
          </w:p>
        </w:tc>
      </w:tr>
      <w:tr w:rsidR="00AB66A8" w:rsidRPr="006C1C34" w14:paraId="5FE14AD3" w14:textId="77777777" w:rsidTr="00C12335">
        <w:trPr>
          <w:jc w:val="center"/>
        </w:trPr>
        <w:tc>
          <w:tcPr>
            <w:tcW w:w="562" w:type="dxa"/>
            <w:tcBorders>
              <w:right w:val="nil"/>
            </w:tcBorders>
            <w:shd w:val="clear" w:color="auto" w:fill="auto"/>
            <w:tcMar>
              <w:top w:w="85" w:type="dxa"/>
              <w:left w:w="85" w:type="dxa"/>
              <w:bottom w:w="85" w:type="dxa"/>
            </w:tcMar>
          </w:tcPr>
          <w:p w14:paraId="7AC465F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B87EA7A" w14:textId="77777777" w:rsidR="00AB66A8" w:rsidRPr="00662F74" w:rsidRDefault="00AB66A8" w:rsidP="00E53571">
            <w:pPr>
              <w:tabs>
                <w:tab w:val="left" w:pos="990"/>
              </w:tabs>
              <w:jc w:val="both"/>
              <w:rPr>
                <w:noProof/>
              </w:rPr>
            </w:pPr>
            <w:r>
              <w:rPr>
                <w:noProof/>
              </w:rPr>
              <w:t>Vorschlag für eine VERORDNUNG DES EUROPÄISCHEN PARLAMENTS UND DES RATES zur Landwirtschaftlichen Gesamtrechnung in der Union (kodifizierter Text)</w:t>
            </w:r>
          </w:p>
        </w:tc>
        <w:tc>
          <w:tcPr>
            <w:tcW w:w="2003" w:type="dxa"/>
            <w:tcMar>
              <w:top w:w="85" w:type="dxa"/>
              <w:left w:w="85" w:type="dxa"/>
              <w:bottom w:w="85" w:type="dxa"/>
            </w:tcMar>
          </w:tcPr>
          <w:p w14:paraId="083B2403" w14:textId="653B4ED6" w:rsidR="00AB66A8" w:rsidRPr="00BF2DCE" w:rsidRDefault="00AB66A8" w:rsidP="006C6FCD">
            <w:pPr>
              <w:rPr>
                <w:bCs/>
                <w:noProof/>
              </w:rPr>
            </w:pPr>
            <w:r>
              <w:rPr>
                <w:noProof/>
              </w:rPr>
              <w:t>COM(2024) 255 final</w:t>
            </w:r>
            <w:r>
              <w:rPr>
                <w:noProof/>
              </w:rPr>
              <w:br/>
              <w:t>2024/0144(COD)</w:t>
            </w:r>
            <w:r>
              <w:rPr>
                <w:noProof/>
              </w:rPr>
              <w:br/>
              <w:t>20.6.2024</w:t>
            </w:r>
          </w:p>
        </w:tc>
      </w:tr>
      <w:tr w:rsidR="00AB66A8" w:rsidRPr="006C1C34" w14:paraId="56BC0526" w14:textId="77777777" w:rsidTr="00C12335">
        <w:trPr>
          <w:jc w:val="center"/>
        </w:trPr>
        <w:tc>
          <w:tcPr>
            <w:tcW w:w="562" w:type="dxa"/>
            <w:tcBorders>
              <w:right w:val="nil"/>
            </w:tcBorders>
            <w:shd w:val="clear" w:color="auto" w:fill="auto"/>
            <w:tcMar>
              <w:top w:w="85" w:type="dxa"/>
              <w:left w:w="85" w:type="dxa"/>
              <w:bottom w:w="85" w:type="dxa"/>
            </w:tcMar>
          </w:tcPr>
          <w:p w14:paraId="6100624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6C757FE" w14:textId="77777777" w:rsidR="00AB66A8" w:rsidRPr="00BE5426" w:rsidRDefault="00AB66A8" w:rsidP="005336FA">
            <w:pPr>
              <w:tabs>
                <w:tab w:val="left" w:pos="990"/>
              </w:tabs>
              <w:jc w:val="both"/>
              <w:rPr>
                <w:noProof/>
              </w:rPr>
            </w:pPr>
            <w:r>
              <w:rPr>
                <w:noProof/>
              </w:rPr>
              <w:t>Vorschlag für einen Beschluss des Rates über den Abschluss der Vereinbarung zwischen der Europäischen Union und Kanada über die Teilnahme Kanadas an Programmen der Union und die Assoziierung Kanadas mit „Horizont Europa“</w:t>
            </w:r>
          </w:p>
        </w:tc>
        <w:tc>
          <w:tcPr>
            <w:tcW w:w="2003" w:type="dxa"/>
            <w:tcMar>
              <w:top w:w="85" w:type="dxa"/>
              <w:left w:w="85" w:type="dxa"/>
              <w:bottom w:w="85" w:type="dxa"/>
            </w:tcMar>
          </w:tcPr>
          <w:p w14:paraId="0887A470" w14:textId="0F1DB51A" w:rsidR="00AB66A8" w:rsidRPr="00BE5426" w:rsidRDefault="00AB66A8" w:rsidP="006C6FCD">
            <w:pPr>
              <w:rPr>
                <w:noProof/>
              </w:rPr>
            </w:pPr>
            <w:r>
              <w:rPr>
                <w:noProof/>
              </w:rPr>
              <w:t>COM(2024) 67 final</w:t>
            </w:r>
            <w:r>
              <w:rPr>
                <w:noProof/>
              </w:rPr>
              <w:br/>
              <w:t>2024/0038(NLE)</w:t>
            </w:r>
            <w:r>
              <w:rPr>
                <w:noProof/>
              </w:rPr>
              <w:br/>
              <w:t>9.2.2024</w:t>
            </w:r>
          </w:p>
        </w:tc>
      </w:tr>
      <w:tr w:rsidR="00AB66A8" w:rsidRPr="006C1C34" w14:paraId="5642BBBE" w14:textId="77777777" w:rsidTr="00C12335">
        <w:trPr>
          <w:jc w:val="center"/>
        </w:trPr>
        <w:tc>
          <w:tcPr>
            <w:tcW w:w="562" w:type="dxa"/>
            <w:tcBorders>
              <w:right w:val="nil"/>
            </w:tcBorders>
            <w:shd w:val="clear" w:color="auto" w:fill="auto"/>
            <w:tcMar>
              <w:top w:w="85" w:type="dxa"/>
              <w:left w:w="85" w:type="dxa"/>
              <w:bottom w:w="85" w:type="dxa"/>
            </w:tcMar>
          </w:tcPr>
          <w:p w14:paraId="061E5FF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65371EC" w14:textId="77777777" w:rsidR="00AB66A8" w:rsidRPr="00CA6E7F" w:rsidRDefault="00AB66A8" w:rsidP="005336FA">
            <w:pPr>
              <w:tabs>
                <w:tab w:val="left" w:pos="990"/>
              </w:tabs>
              <w:jc w:val="both"/>
              <w:rPr>
                <w:noProof/>
              </w:rPr>
            </w:pPr>
            <w:r>
              <w:rPr>
                <w:noProof/>
              </w:rPr>
              <w:t>Vorschlag für einen BESCHLUSS DES EUROPÄISCHEN PARLAMENTS UND DES RATES zur Änderung der Entscheidung 2003/17/EG des Rates zur Gleichstellung von Feldbesichtigungen der Vermehrungsbestände von Futterpflanzensaatgut in der Republik Moldau und der Gleichstellung des in der Republik Moldau erzeugtem Futterpflanzensaatguts sowie zur Gleichstellung von Feldbesichtigungen der Vermehrungsbestände von Betarüben- und Ölpflanzensaatgut in der Ukraine und der Gleichstellung des in der Ukraine erzeugten Betarüben- und Ölpflanzensaatguts</w:t>
            </w:r>
          </w:p>
        </w:tc>
        <w:tc>
          <w:tcPr>
            <w:tcW w:w="2003" w:type="dxa"/>
            <w:tcMar>
              <w:top w:w="85" w:type="dxa"/>
              <w:left w:w="85" w:type="dxa"/>
              <w:bottom w:w="85" w:type="dxa"/>
            </w:tcMar>
          </w:tcPr>
          <w:p w14:paraId="5A464E9D" w14:textId="4C0064FB" w:rsidR="00AB66A8" w:rsidRPr="00BB4F8E" w:rsidRDefault="00AB66A8" w:rsidP="006C6FCD">
            <w:pPr>
              <w:rPr>
                <w:noProof/>
              </w:rPr>
            </w:pPr>
            <w:r>
              <w:rPr>
                <w:noProof/>
              </w:rPr>
              <w:t>COM(2024) 52 final</w:t>
            </w:r>
            <w:r>
              <w:rPr>
                <w:noProof/>
              </w:rPr>
              <w:br/>
              <w:t>2024/0027(COD)</w:t>
            </w:r>
            <w:r>
              <w:rPr>
                <w:noProof/>
              </w:rPr>
              <w:br/>
              <w:t>5.2.2024</w:t>
            </w:r>
          </w:p>
        </w:tc>
      </w:tr>
      <w:tr w:rsidR="00AB66A8" w:rsidRPr="006C1C34" w14:paraId="5F366A8E" w14:textId="77777777" w:rsidTr="00C12335">
        <w:trPr>
          <w:jc w:val="center"/>
        </w:trPr>
        <w:tc>
          <w:tcPr>
            <w:tcW w:w="562" w:type="dxa"/>
            <w:tcBorders>
              <w:right w:val="nil"/>
            </w:tcBorders>
            <w:shd w:val="clear" w:color="auto" w:fill="auto"/>
            <w:tcMar>
              <w:top w:w="85" w:type="dxa"/>
              <w:left w:w="85" w:type="dxa"/>
              <w:bottom w:w="85" w:type="dxa"/>
            </w:tcMar>
          </w:tcPr>
          <w:p w14:paraId="592958A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23A65A5" w14:textId="77777777" w:rsidR="00AB66A8" w:rsidRPr="00CA6E7F" w:rsidRDefault="00AB66A8" w:rsidP="005336FA">
            <w:pPr>
              <w:tabs>
                <w:tab w:val="left" w:pos="990"/>
              </w:tabs>
              <w:jc w:val="both"/>
              <w:rPr>
                <w:noProof/>
              </w:rPr>
            </w:pPr>
            <w:r>
              <w:rPr>
                <w:noProof/>
              </w:rPr>
              <w:t>Vorschlag für eine RICHTLINIE DES EUROPÄISCHEN PARLAMENTS UND DES RATES zur Änderung der Richtlinie 2005/44/EG über harmonisierte Binnenschifffahrtsinformationsdienste (RIS) auf den Binnenwasserstraßen der Gemeinschaft</w:t>
            </w:r>
          </w:p>
        </w:tc>
        <w:tc>
          <w:tcPr>
            <w:tcW w:w="2003" w:type="dxa"/>
            <w:tcMar>
              <w:top w:w="85" w:type="dxa"/>
              <w:left w:w="85" w:type="dxa"/>
              <w:bottom w:w="85" w:type="dxa"/>
            </w:tcMar>
          </w:tcPr>
          <w:p w14:paraId="355A2B28" w14:textId="2C29FA4F" w:rsidR="00AB66A8" w:rsidRPr="00BB4F8E" w:rsidRDefault="00AB66A8" w:rsidP="006C6FCD">
            <w:pPr>
              <w:rPr>
                <w:noProof/>
              </w:rPr>
            </w:pPr>
            <w:r>
              <w:rPr>
                <w:noProof/>
              </w:rPr>
              <w:t>COM(2024) 33 final</w:t>
            </w:r>
            <w:r>
              <w:rPr>
                <w:noProof/>
              </w:rPr>
              <w:br/>
              <w:t>2024/0011(COD)</w:t>
            </w:r>
            <w:r>
              <w:rPr>
                <w:noProof/>
              </w:rPr>
              <w:br/>
              <w:t>26.1.2024</w:t>
            </w:r>
          </w:p>
        </w:tc>
      </w:tr>
      <w:tr w:rsidR="00AB66A8" w:rsidRPr="006C1C34" w14:paraId="5BC32028" w14:textId="77777777" w:rsidTr="00C12335">
        <w:trPr>
          <w:jc w:val="center"/>
        </w:trPr>
        <w:tc>
          <w:tcPr>
            <w:tcW w:w="562" w:type="dxa"/>
            <w:tcBorders>
              <w:right w:val="nil"/>
            </w:tcBorders>
            <w:shd w:val="clear" w:color="auto" w:fill="auto"/>
            <w:tcMar>
              <w:top w:w="85" w:type="dxa"/>
              <w:left w:w="85" w:type="dxa"/>
              <w:bottom w:w="85" w:type="dxa"/>
            </w:tcMar>
          </w:tcPr>
          <w:p w14:paraId="45A2BF4C"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F91AE2A" w14:textId="77777777" w:rsidR="00AB66A8" w:rsidRPr="002406AF" w:rsidRDefault="00AB66A8" w:rsidP="005336FA">
            <w:pPr>
              <w:tabs>
                <w:tab w:val="left" w:pos="990"/>
              </w:tabs>
              <w:jc w:val="both"/>
              <w:rPr>
                <w:bCs/>
                <w:noProof/>
              </w:rPr>
            </w:pPr>
            <w:r>
              <w:rPr>
                <w:noProof/>
              </w:rPr>
              <w:t>Vorschlag für einen BESCHLUSS DES RATES zur Billigung einer Verordnung (Euratom) der Kommission über die Anwendung der Euratom-Sicherungsmaßnahmen</w:t>
            </w:r>
          </w:p>
        </w:tc>
        <w:tc>
          <w:tcPr>
            <w:tcW w:w="2003" w:type="dxa"/>
            <w:tcMar>
              <w:top w:w="85" w:type="dxa"/>
              <w:left w:w="85" w:type="dxa"/>
              <w:bottom w:w="85" w:type="dxa"/>
            </w:tcMar>
          </w:tcPr>
          <w:p w14:paraId="62D335C8" w14:textId="5D258000" w:rsidR="00AB66A8" w:rsidRPr="001D5664" w:rsidRDefault="00AB66A8" w:rsidP="006C6FCD">
            <w:pPr>
              <w:rPr>
                <w:bCs/>
                <w:noProof/>
              </w:rPr>
            </w:pPr>
            <w:r>
              <w:rPr>
                <w:noProof/>
              </w:rPr>
              <w:t>COM(2023) 793 final</w:t>
            </w:r>
            <w:r>
              <w:rPr>
                <w:noProof/>
              </w:rPr>
              <w:br/>
              <w:t>2023/0465(NLE)</w:t>
            </w:r>
            <w:r>
              <w:rPr>
                <w:noProof/>
              </w:rPr>
              <w:br/>
              <w:t>21.12.2023</w:t>
            </w:r>
          </w:p>
        </w:tc>
      </w:tr>
      <w:tr w:rsidR="00AB66A8" w:rsidRPr="006C1C34" w14:paraId="7EFD7FBD" w14:textId="77777777" w:rsidTr="00C12335">
        <w:trPr>
          <w:jc w:val="center"/>
        </w:trPr>
        <w:tc>
          <w:tcPr>
            <w:tcW w:w="562" w:type="dxa"/>
            <w:tcBorders>
              <w:right w:val="nil"/>
            </w:tcBorders>
            <w:shd w:val="clear" w:color="auto" w:fill="auto"/>
            <w:tcMar>
              <w:top w:w="85" w:type="dxa"/>
              <w:left w:w="85" w:type="dxa"/>
              <w:bottom w:w="85" w:type="dxa"/>
            </w:tcMar>
          </w:tcPr>
          <w:p w14:paraId="67B58AF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AA0861D" w14:textId="77777777" w:rsidR="00AB66A8" w:rsidRPr="00BE5426" w:rsidRDefault="00AB66A8" w:rsidP="005336FA">
            <w:pPr>
              <w:tabs>
                <w:tab w:val="left" w:pos="990"/>
              </w:tabs>
              <w:jc w:val="both"/>
              <w:rPr>
                <w:noProof/>
                <w:highlight w:val="yellow"/>
              </w:rPr>
            </w:pPr>
            <w:r>
              <w:rPr>
                <w:noProof/>
              </w:rPr>
              <w:t>Vorschlag für eine VERORDNUNG DES EUROPÄISCHEN PARLAMENTS UND DES RATES zur Änderung der Verordnungen (EG) Nr. 178/2002, (EG) Nr. 401/2009, (EU) 2017/745 und (EU) 2019/1021 des Europäischen Parlaments und des Rates im Hinblick auf die Neuzuweisung wissenschaftlicher und technischer Aufgaben und die Verbesserung der Zusammenarbeit zwischen den Agenturen der Union im Bereich Chemikalien</w:t>
            </w:r>
          </w:p>
        </w:tc>
        <w:tc>
          <w:tcPr>
            <w:tcW w:w="2003" w:type="dxa"/>
            <w:tcMar>
              <w:top w:w="85" w:type="dxa"/>
              <w:left w:w="85" w:type="dxa"/>
              <w:bottom w:w="85" w:type="dxa"/>
            </w:tcMar>
          </w:tcPr>
          <w:p w14:paraId="3B45C759" w14:textId="3031577F" w:rsidR="00AB66A8" w:rsidRPr="00BE5426" w:rsidRDefault="00AB66A8" w:rsidP="006C6FCD">
            <w:pPr>
              <w:rPr>
                <w:noProof/>
                <w:highlight w:val="yellow"/>
              </w:rPr>
            </w:pPr>
            <w:r>
              <w:rPr>
                <w:noProof/>
              </w:rPr>
              <w:t>COM(2023) 783 final</w:t>
            </w:r>
            <w:r>
              <w:rPr>
                <w:noProof/>
              </w:rPr>
              <w:br/>
              <w:t>2023/0455(COD)</w:t>
            </w:r>
            <w:r>
              <w:rPr>
                <w:noProof/>
              </w:rPr>
              <w:br/>
              <w:t>7.12.2023</w:t>
            </w:r>
          </w:p>
        </w:tc>
      </w:tr>
      <w:tr w:rsidR="00AB66A8" w:rsidRPr="006C1C34" w14:paraId="67EE4D04" w14:textId="77777777" w:rsidTr="00C12335">
        <w:trPr>
          <w:jc w:val="center"/>
        </w:trPr>
        <w:tc>
          <w:tcPr>
            <w:tcW w:w="562" w:type="dxa"/>
            <w:tcBorders>
              <w:right w:val="nil"/>
            </w:tcBorders>
            <w:shd w:val="clear" w:color="auto" w:fill="auto"/>
            <w:tcMar>
              <w:top w:w="85" w:type="dxa"/>
              <w:left w:w="85" w:type="dxa"/>
              <w:bottom w:w="85" w:type="dxa"/>
            </w:tcMar>
          </w:tcPr>
          <w:p w14:paraId="5E1A70C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764F9D4" w14:textId="77777777" w:rsidR="00AB66A8" w:rsidRPr="00BE5426" w:rsidRDefault="00AB66A8" w:rsidP="005336FA">
            <w:pPr>
              <w:tabs>
                <w:tab w:val="left" w:pos="990"/>
              </w:tabs>
              <w:jc w:val="both"/>
              <w:rPr>
                <w:noProof/>
              </w:rPr>
            </w:pPr>
            <w:r>
              <w:rPr>
                <w:noProof/>
              </w:rPr>
              <w:t>Vorschlag für eine RICHTLINIE DES EUROPÄISCHEN PARLAMENTS UND DES RATES zur Änderung der Richtlinie 2011/65/EU des Europäischen Parlaments und des Rates im Hinblick auf die Neuzuweisung wissenschaftlicher und technischer Aufgaben an die Europäische Chemikalienagentur</w:t>
            </w:r>
          </w:p>
        </w:tc>
        <w:tc>
          <w:tcPr>
            <w:tcW w:w="2003" w:type="dxa"/>
            <w:tcMar>
              <w:top w:w="85" w:type="dxa"/>
              <w:left w:w="85" w:type="dxa"/>
              <w:bottom w:w="85" w:type="dxa"/>
            </w:tcMar>
          </w:tcPr>
          <w:p w14:paraId="37D0FFB3" w14:textId="3776D1A3" w:rsidR="00AB66A8" w:rsidRPr="00BE5426" w:rsidRDefault="00AB66A8" w:rsidP="006C6FCD">
            <w:pPr>
              <w:rPr>
                <w:noProof/>
              </w:rPr>
            </w:pPr>
            <w:r>
              <w:rPr>
                <w:noProof/>
              </w:rPr>
              <w:t>COM(2023) 781 final</w:t>
            </w:r>
            <w:r>
              <w:rPr>
                <w:noProof/>
              </w:rPr>
              <w:br/>
              <w:t>2023/0454(COD)</w:t>
            </w:r>
            <w:r>
              <w:rPr>
                <w:noProof/>
              </w:rPr>
              <w:br/>
              <w:t>7.12.2023</w:t>
            </w:r>
          </w:p>
        </w:tc>
      </w:tr>
      <w:tr w:rsidR="00AB66A8" w:rsidRPr="006C1C34" w14:paraId="1AE5DD12" w14:textId="77777777" w:rsidTr="00C12335">
        <w:trPr>
          <w:jc w:val="center"/>
        </w:trPr>
        <w:tc>
          <w:tcPr>
            <w:tcW w:w="562" w:type="dxa"/>
            <w:tcBorders>
              <w:right w:val="nil"/>
            </w:tcBorders>
            <w:shd w:val="clear" w:color="auto" w:fill="auto"/>
            <w:tcMar>
              <w:top w:w="85" w:type="dxa"/>
              <w:left w:w="85" w:type="dxa"/>
              <w:bottom w:w="85" w:type="dxa"/>
            </w:tcMar>
          </w:tcPr>
          <w:p w14:paraId="3C0D8E3C"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F167055" w14:textId="217430BB" w:rsidR="00AB66A8" w:rsidRPr="00BE5426" w:rsidRDefault="00AB66A8" w:rsidP="005336FA">
            <w:pPr>
              <w:tabs>
                <w:tab w:val="left" w:pos="990"/>
              </w:tabs>
              <w:jc w:val="both"/>
              <w:rPr>
                <w:noProof/>
              </w:rPr>
            </w:pPr>
            <w:r>
              <w:rPr>
                <w:noProof/>
              </w:rPr>
              <w:t>Vorschlag für eine VERORDNUNG DES EUROPÄISCHEN PARLAMENTS UND DES RATES zur Einrichtung einer gemeinsamen Datenplattform für Chemikalien und zur Festlegung von Vorschriften, die sicherstellen sollen, dass die darin enthaltenen Daten auffindbar, zugänglich, interoperabel und wiederverwendbar sind, sowie zur Schaffung eines Überwachungs- und Prospektivrahmens für Chemikalien</w:t>
            </w:r>
          </w:p>
        </w:tc>
        <w:tc>
          <w:tcPr>
            <w:tcW w:w="2003" w:type="dxa"/>
            <w:tcMar>
              <w:top w:w="85" w:type="dxa"/>
              <w:left w:w="85" w:type="dxa"/>
              <w:bottom w:w="85" w:type="dxa"/>
            </w:tcMar>
          </w:tcPr>
          <w:p w14:paraId="4AE0533B" w14:textId="0FABDA46" w:rsidR="00AB66A8" w:rsidRPr="00BE5426" w:rsidRDefault="00AB66A8" w:rsidP="006C6FCD">
            <w:pPr>
              <w:rPr>
                <w:noProof/>
              </w:rPr>
            </w:pPr>
            <w:r>
              <w:rPr>
                <w:noProof/>
              </w:rPr>
              <w:t>COM(2023) 779 final</w:t>
            </w:r>
            <w:r>
              <w:rPr>
                <w:noProof/>
              </w:rPr>
              <w:br/>
              <w:t>2023/0453(COD)</w:t>
            </w:r>
            <w:r>
              <w:rPr>
                <w:noProof/>
              </w:rPr>
              <w:br/>
              <w:t>7.12.2023</w:t>
            </w:r>
          </w:p>
        </w:tc>
      </w:tr>
      <w:tr w:rsidR="00AB66A8" w:rsidRPr="006C1C34" w14:paraId="73F6C168" w14:textId="77777777" w:rsidTr="00C12335">
        <w:trPr>
          <w:jc w:val="center"/>
        </w:trPr>
        <w:tc>
          <w:tcPr>
            <w:tcW w:w="562" w:type="dxa"/>
            <w:tcBorders>
              <w:right w:val="nil"/>
            </w:tcBorders>
            <w:shd w:val="clear" w:color="auto" w:fill="auto"/>
            <w:tcMar>
              <w:top w:w="85" w:type="dxa"/>
              <w:left w:w="85" w:type="dxa"/>
              <w:bottom w:w="85" w:type="dxa"/>
            </w:tcMar>
          </w:tcPr>
          <w:p w14:paraId="7F5EBED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0CB82D6" w14:textId="77777777" w:rsidR="00AB66A8" w:rsidRPr="00BE5426" w:rsidRDefault="00AB66A8" w:rsidP="005336FA">
            <w:pPr>
              <w:tabs>
                <w:tab w:val="left" w:pos="990"/>
              </w:tabs>
              <w:jc w:val="both"/>
              <w:rPr>
                <w:noProof/>
              </w:rPr>
            </w:pPr>
            <w:r>
              <w:rPr>
                <w:noProof/>
              </w:rPr>
              <w:t>Vorschlag für eine VERORDNUNG DES EUROPÄISCHEN PARLAMENTS UND DES RATES über den Schutz von Tieren beim Transport und damit zusammenhängenden Vorgängen sowie zur Änderung der Verordnung (EG) Nr. 1255/97 des Rates und zur Aufhebung der Verordnung (EG) Nr. 1/2005 des Rates</w:t>
            </w:r>
          </w:p>
        </w:tc>
        <w:tc>
          <w:tcPr>
            <w:tcW w:w="2003" w:type="dxa"/>
            <w:tcMar>
              <w:top w:w="85" w:type="dxa"/>
              <w:left w:w="85" w:type="dxa"/>
              <w:bottom w:w="85" w:type="dxa"/>
            </w:tcMar>
          </w:tcPr>
          <w:p w14:paraId="4A673205" w14:textId="38972853" w:rsidR="00AB66A8" w:rsidRPr="00BE5426" w:rsidRDefault="00AB66A8" w:rsidP="006C6FCD">
            <w:pPr>
              <w:rPr>
                <w:noProof/>
              </w:rPr>
            </w:pPr>
            <w:r>
              <w:rPr>
                <w:noProof/>
              </w:rPr>
              <w:t>COM(2023) 770 final</w:t>
            </w:r>
            <w:r>
              <w:rPr>
                <w:noProof/>
              </w:rPr>
              <w:br/>
              <w:t>2023/0448(COD)</w:t>
            </w:r>
            <w:r>
              <w:rPr>
                <w:noProof/>
              </w:rPr>
              <w:br/>
              <w:t>7.12.2023</w:t>
            </w:r>
          </w:p>
        </w:tc>
      </w:tr>
      <w:tr w:rsidR="00AB66A8" w:rsidRPr="006C1C34" w14:paraId="57A965C8" w14:textId="77777777" w:rsidTr="00C12335">
        <w:trPr>
          <w:jc w:val="center"/>
        </w:trPr>
        <w:tc>
          <w:tcPr>
            <w:tcW w:w="562" w:type="dxa"/>
            <w:tcBorders>
              <w:right w:val="nil"/>
            </w:tcBorders>
            <w:shd w:val="clear" w:color="auto" w:fill="auto"/>
            <w:tcMar>
              <w:top w:w="85" w:type="dxa"/>
              <w:left w:w="85" w:type="dxa"/>
              <w:bottom w:w="85" w:type="dxa"/>
            </w:tcMar>
          </w:tcPr>
          <w:p w14:paraId="5C66999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71ECB0F" w14:textId="77777777" w:rsidR="00AB66A8" w:rsidRPr="00BE5426" w:rsidRDefault="00AB66A8" w:rsidP="005336FA">
            <w:pPr>
              <w:tabs>
                <w:tab w:val="left" w:pos="990"/>
              </w:tabs>
              <w:jc w:val="both"/>
              <w:rPr>
                <w:noProof/>
              </w:rPr>
            </w:pPr>
            <w:r>
              <w:rPr>
                <w:noProof/>
              </w:rPr>
              <w:t>Vorschlag für eine VERORDNUNG DES EUROPÄISCHEN PARLAMENTS UND DES RATES über das Wohlergehen von Hunden und Katzen und ihre Rückverfolgbarkeit</w:t>
            </w:r>
          </w:p>
        </w:tc>
        <w:tc>
          <w:tcPr>
            <w:tcW w:w="2003" w:type="dxa"/>
            <w:tcMar>
              <w:top w:w="85" w:type="dxa"/>
              <w:left w:w="85" w:type="dxa"/>
              <w:bottom w:w="85" w:type="dxa"/>
            </w:tcMar>
          </w:tcPr>
          <w:p w14:paraId="2360E7CD" w14:textId="1DF80639" w:rsidR="00AB66A8" w:rsidRPr="00BE5426" w:rsidRDefault="00AB66A8" w:rsidP="006C6FCD">
            <w:pPr>
              <w:rPr>
                <w:noProof/>
              </w:rPr>
            </w:pPr>
            <w:r>
              <w:rPr>
                <w:noProof/>
              </w:rPr>
              <w:t>COM(2023) 769 final</w:t>
            </w:r>
            <w:r>
              <w:rPr>
                <w:noProof/>
              </w:rPr>
              <w:br/>
              <w:t>2023/0447(COD)</w:t>
            </w:r>
            <w:r>
              <w:rPr>
                <w:noProof/>
              </w:rPr>
              <w:br/>
              <w:t>7.12.2023</w:t>
            </w:r>
          </w:p>
        </w:tc>
      </w:tr>
      <w:tr w:rsidR="00AB66A8" w:rsidRPr="006C1C34" w14:paraId="13D6A326" w14:textId="77777777" w:rsidTr="00C12335">
        <w:trPr>
          <w:jc w:val="center"/>
        </w:trPr>
        <w:tc>
          <w:tcPr>
            <w:tcW w:w="562" w:type="dxa"/>
            <w:tcBorders>
              <w:right w:val="nil"/>
            </w:tcBorders>
            <w:shd w:val="clear" w:color="auto" w:fill="auto"/>
            <w:tcMar>
              <w:top w:w="85" w:type="dxa"/>
              <w:left w:w="85" w:type="dxa"/>
              <w:bottom w:w="85" w:type="dxa"/>
            </w:tcMar>
          </w:tcPr>
          <w:p w14:paraId="18B2A05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7BE1F05" w14:textId="77777777" w:rsidR="00AB66A8" w:rsidRPr="00F515D1" w:rsidRDefault="00AB66A8" w:rsidP="005336FA">
            <w:pPr>
              <w:tabs>
                <w:tab w:val="left" w:pos="990"/>
              </w:tabs>
              <w:jc w:val="both"/>
              <w:rPr>
                <w:noProof/>
              </w:rPr>
            </w:pPr>
            <w:r>
              <w:rPr>
                <w:noProof/>
              </w:rPr>
              <w:t>Vorschlag für eine VERORDNUNG DES EUROPÄISCHEN PARLAMENTS UND DES RATES zur Änderung der Verordnungen (EG) Nr. 261/2004, (EG) Nr. 1107/2006, (EU) Nr. 1177/2010, (EU) Nr. 181/2011 und (EU) 2021/782 in Bezug auf die Durchsetzung der Fahr- und Fluggastrechte in der Union</w:t>
            </w:r>
          </w:p>
        </w:tc>
        <w:tc>
          <w:tcPr>
            <w:tcW w:w="2003" w:type="dxa"/>
            <w:tcMar>
              <w:top w:w="85" w:type="dxa"/>
              <w:left w:w="85" w:type="dxa"/>
              <w:bottom w:w="85" w:type="dxa"/>
            </w:tcMar>
          </w:tcPr>
          <w:p w14:paraId="73B8CE7E" w14:textId="221EBED5" w:rsidR="00AB66A8" w:rsidRPr="00F515D1" w:rsidRDefault="00AB66A8" w:rsidP="006C6FCD">
            <w:pPr>
              <w:rPr>
                <w:noProof/>
              </w:rPr>
            </w:pPr>
            <w:r>
              <w:rPr>
                <w:noProof/>
              </w:rPr>
              <w:t>COM(2023) 753 final</w:t>
            </w:r>
            <w:r>
              <w:rPr>
                <w:noProof/>
              </w:rPr>
              <w:br/>
              <w:t>2023/0437(COD)</w:t>
            </w:r>
            <w:r>
              <w:rPr>
                <w:noProof/>
              </w:rPr>
              <w:br/>
              <w:t>29.11.2023</w:t>
            </w:r>
          </w:p>
        </w:tc>
      </w:tr>
      <w:tr w:rsidR="00AB66A8" w:rsidRPr="006C1C34" w14:paraId="7388876B" w14:textId="77777777" w:rsidTr="00C12335">
        <w:trPr>
          <w:jc w:val="center"/>
        </w:trPr>
        <w:tc>
          <w:tcPr>
            <w:tcW w:w="562" w:type="dxa"/>
            <w:tcBorders>
              <w:right w:val="nil"/>
            </w:tcBorders>
            <w:shd w:val="clear" w:color="auto" w:fill="auto"/>
            <w:tcMar>
              <w:top w:w="85" w:type="dxa"/>
              <w:left w:w="85" w:type="dxa"/>
              <w:bottom w:w="85" w:type="dxa"/>
            </w:tcMar>
          </w:tcPr>
          <w:p w14:paraId="2C3DA78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450746E" w14:textId="77777777" w:rsidR="00AB66A8" w:rsidRPr="00F515D1" w:rsidRDefault="00AB66A8" w:rsidP="005336FA">
            <w:pPr>
              <w:tabs>
                <w:tab w:val="left" w:pos="990"/>
              </w:tabs>
              <w:jc w:val="both"/>
              <w:rPr>
                <w:noProof/>
              </w:rPr>
            </w:pPr>
            <w:r>
              <w:rPr>
                <w:noProof/>
              </w:rPr>
              <w:t>Vorschlag für eine VERORDNUNG DES EUROPÄISCHEN PARLAMENTS UND DES RATES über Fahr- bzw. Fluggastrechte im Zusammenhang mit multimodalen Reisen</w:t>
            </w:r>
          </w:p>
        </w:tc>
        <w:tc>
          <w:tcPr>
            <w:tcW w:w="2003" w:type="dxa"/>
            <w:tcMar>
              <w:top w:w="85" w:type="dxa"/>
              <w:left w:w="85" w:type="dxa"/>
              <w:bottom w:w="85" w:type="dxa"/>
            </w:tcMar>
          </w:tcPr>
          <w:p w14:paraId="2D8F7502" w14:textId="41D7AB66" w:rsidR="00AB66A8" w:rsidRPr="00F515D1" w:rsidRDefault="00AB66A8" w:rsidP="006C6FCD">
            <w:pPr>
              <w:rPr>
                <w:noProof/>
              </w:rPr>
            </w:pPr>
            <w:r>
              <w:rPr>
                <w:noProof/>
              </w:rPr>
              <w:t>COM(2023) 752 final</w:t>
            </w:r>
            <w:r>
              <w:rPr>
                <w:noProof/>
              </w:rPr>
              <w:br/>
              <w:t>2023/0436(COD)</w:t>
            </w:r>
            <w:r>
              <w:rPr>
                <w:noProof/>
              </w:rPr>
              <w:br/>
              <w:t>29.11.2023</w:t>
            </w:r>
          </w:p>
        </w:tc>
      </w:tr>
      <w:tr w:rsidR="00AB66A8" w:rsidRPr="006C1C34" w14:paraId="13ADF3AC" w14:textId="77777777" w:rsidTr="00C12335">
        <w:trPr>
          <w:jc w:val="center"/>
        </w:trPr>
        <w:tc>
          <w:tcPr>
            <w:tcW w:w="562" w:type="dxa"/>
            <w:tcBorders>
              <w:right w:val="nil"/>
            </w:tcBorders>
            <w:shd w:val="clear" w:color="auto" w:fill="auto"/>
            <w:tcMar>
              <w:top w:w="85" w:type="dxa"/>
              <w:left w:w="85" w:type="dxa"/>
              <w:bottom w:w="85" w:type="dxa"/>
            </w:tcMar>
          </w:tcPr>
          <w:p w14:paraId="57C00ED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E05B7B3" w14:textId="6CD3DEEA" w:rsidR="00AB66A8" w:rsidRPr="00F515D1" w:rsidRDefault="00AB66A8" w:rsidP="005336FA">
            <w:pPr>
              <w:tabs>
                <w:tab w:val="left" w:pos="990"/>
              </w:tabs>
              <w:jc w:val="both"/>
              <w:rPr>
                <w:noProof/>
              </w:rPr>
            </w:pPr>
            <w:r>
              <w:rPr>
                <w:noProof/>
              </w:rPr>
              <w:t>Vorschlag für eine RICHTLINIE DES EUROPÄISCHEN PARLAMENTS UND DES RATES zur Änderung der Entscheidung 92/106/EWG des Rates im Hinblick auf einen Unterstützungsrahmens für den intermodalen Güterverkehr und der Verordnung (EU) 2020/1056 des Europäischen Parlaments und des Rates im Hinblick auf die Berechnung der Einsparungen bei externen Kosten und die Erhebung aggregierter Daten</w:t>
            </w:r>
          </w:p>
        </w:tc>
        <w:tc>
          <w:tcPr>
            <w:tcW w:w="2003" w:type="dxa"/>
            <w:tcMar>
              <w:top w:w="85" w:type="dxa"/>
              <w:left w:w="85" w:type="dxa"/>
              <w:bottom w:w="85" w:type="dxa"/>
            </w:tcMar>
          </w:tcPr>
          <w:p w14:paraId="3C654251" w14:textId="389C079F" w:rsidR="00AB66A8" w:rsidRPr="00F515D1" w:rsidRDefault="00AB66A8" w:rsidP="006C6FCD">
            <w:pPr>
              <w:rPr>
                <w:noProof/>
              </w:rPr>
            </w:pPr>
            <w:r>
              <w:rPr>
                <w:noProof/>
              </w:rPr>
              <w:t>COM(2023) 702 final</w:t>
            </w:r>
            <w:r>
              <w:rPr>
                <w:noProof/>
              </w:rPr>
              <w:br/>
              <w:t>2023/0396(COD)</w:t>
            </w:r>
            <w:r>
              <w:rPr>
                <w:noProof/>
              </w:rPr>
              <w:br/>
              <w:t>7.11.2023</w:t>
            </w:r>
          </w:p>
        </w:tc>
      </w:tr>
      <w:tr w:rsidR="00AB66A8" w:rsidRPr="006C1C34" w14:paraId="5C2F2780" w14:textId="77777777" w:rsidTr="00C12335">
        <w:trPr>
          <w:jc w:val="center"/>
        </w:trPr>
        <w:tc>
          <w:tcPr>
            <w:tcW w:w="562" w:type="dxa"/>
            <w:tcBorders>
              <w:right w:val="nil"/>
            </w:tcBorders>
            <w:shd w:val="clear" w:color="auto" w:fill="auto"/>
            <w:tcMar>
              <w:top w:w="85" w:type="dxa"/>
              <w:left w:w="85" w:type="dxa"/>
              <w:bottom w:w="85" w:type="dxa"/>
            </w:tcMar>
          </w:tcPr>
          <w:p w14:paraId="1369C39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B810A83" w14:textId="77777777" w:rsidR="00AB66A8" w:rsidRPr="00F515D1" w:rsidRDefault="00AB66A8" w:rsidP="005336FA">
            <w:pPr>
              <w:tabs>
                <w:tab w:val="left" w:pos="990"/>
              </w:tabs>
              <w:jc w:val="both"/>
              <w:rPr>
                <w:noProof/>
              </w:rPr>
            </w:pPr>
            <w:r>
              <w:rPr>
                <w:noProof/>
              </w:rPr>
              <w:t>Vorschlag für eine VERORDNUNG DES EUROPÄISCHEN PARLAMENTS UND DES RATES über die Vermeidung der Freisetzung von Kunststoffgranulat zur Verringerung der Umweltverschmutzung durch Mikroplastik</w:t>
            </w:r>
          </w:p>
        </w:tc>
        <w:tc>
          <w:tcPr>
            <w:tcW w:w="2003" w:type="dxa"/>
            <w:tcMar>
              <w:top w:w="85" w:type="dxa"/>
              <w:left w:w="85" w:type="dxa"/>
              <w:bottom w:w="85" w:type="dxa"/>
            </w:tcMar>
          </w:tcPr>
          <w:p w14:paraId="007D2633" w14:textId="1074215F" w:rsidR="00AB66A8" w:rsidRPr="00F515D1" w:rsidRDefault="00AB66A8" w:rsidP="006C6FCD">
            <w:pPr>
              <w:rPr>
                <w:noProof/>
              </w:rPr>
            </w:pPr>
            <w:r>
              <w:rPr>
                <w:noProof/>
              </w:rPr>
              <w:t>COM(2023) 645 final</w:t>
            </w:r>
            <w:r>
              <w:rPr>
                <w:noProof/>
              </w:rPr>
              <w:br/>
              <w:t>2023/0373(COD)</w:t>
            </w:r>
            <w:r>
              <w:rPr>
                <w:noProof/>
              </w:rPr>
              <w:br/>
              <w:t>16.10.2023</w:t>
            </w:r>
          </w:p>
        </w:tc>
      </w:tr>
      <w:tr w:rsidR="00AB66A8" w:rsidRPr="006C1C34" w14:paraId="2062D92C" w14:textId="77777777" w:rsidTr="00C12335">
        <w:trPr>
          <w:jc w:val="center"/>
        </w:trPr>
        <w:tc>
          <w:tcPr>
            <w:tcW w:w="562" w:type="dxa"/>
            <w:tcBorders>
              <w:right w:val="nil"/>
            </w:tcBorders>
            <w:shd w:val="clear" w:color="auto" w:fill="auto"/>
            <w:tcMar>
              <w:top w:w="85" w:type="dxa"/>
              <w:left w:w="85" w:type="dxa"/>
              <w:bottom w:w="85" w:type="dxa"/>
            </w:tcMar>
          </w:tcPr>
          <w:p w14:paraId="180B437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32771F1" w14:textId="77777777" w:rsidR="00AB66A8" w:rsidRPr="00BE5426" w:rsidRDefault="00AB66A8" w:rsidP="005336FA">
            <w:pPr>
              <w:tabs>
                <w:tab w:val="left" w:pos="990"/>
              </w:tabs>
              <w:jc w:val="both"/>
              <w:rPr>
                <w:noProof/>
              </w:rPr>
            </w:pPr>
            <w:r>
              <w:rPr>
                <w:noProof/>
              </w:rPr>
              <w:t>Vorschlag für eine VERORDNUNG DES EUROPÄISCHEN PARLAMENTS UND DES RATES zur Bekämpfung von Zahlungsverzug im Geschäftsverkehr</w:t>
            </w:r>
          </w:p>
        </w:tc>
        <w:tc>
          <w:tcPr>
            <w:tcW w:w="2003" w:type="dxa"/>
            <w:tcMar>
              <w:top w:w="85" w:type="dxa"/>
              <w:left w:w="85" w:type="dxa"/>
              <w:bottom w:w="85" w:type="dxa"/>
            </w:tcMar>
          </w:tcPr>
          <w:p w14:paraId="1B4AD1E4" w14:textId="34C7EB69" w:rsidR="00AB66A8" w:rsidRPr="00BE5426" w:rsidRDefault="00AB66A8" w:rsidP="006C6FCD">
            <w:pPr>
              <w:rPr>
                <w:noProof/>
              </w:rPr>
            </w:pPr>
            <w:r>
              <w:rPr>
                <w:noProof/>
              </w:rPr>
              <w:t>COM(2023) 533 final</w:t>
            </w:r>
            <w:r>
              <w:rPr>
                <w:noProof/>
              </w:rPr>
              <w:br/>
              <w:t>2023/0323(COD)</w:t>
            </w:r>
            <w:r>
              <w:rPr>
                <w:noProof/>
              </w:rPr>
              <w:br/>
              <w:t>12.9.2023</w:t>
            </w:r>
          </w:p>
        </w:tc>
      </w:tr>
      <w:tr w:rsidR="00AB66A8" w:rsidRPr="006C1C34" w14:paraId="70487CE3" w14:textId="77777777" w:rsidTr="00C12335">
        <w:trPr>
          <w:jc w:val="center"/>
        </w:trPr>
        <w:tc>
          <w:tcPr>
            <w:tcW w:w="562" w:type="dxa"/>
            <w:tcBorders>
              <w:right w:val="nil"/>
            </w:tcBorders>
            <w:shd w:val="clear" w:color="auto" w:fill="auto"/>
            <w:tcMar>
              <w:top w:w="85" w:type="dxa"/>
              <w:left w:w="85" w:type="dxa"/>
              <w:bottom w:w="85" w:type="dxa"/>
            </w:tcMar>
          </w:tcPr>
          <w:p w14:paraId="0B32201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D05C130" w14:textId="77777777" w:rsidR="00AB66A8" w:rsidRPr="006C1C34" w:rsidRDefault="00AB66A8" w:rsidP="005336FA">
            <w:pPr>
              <w:tabs>
                <w:tab w:val="left" w:pos="990"/>
              </w:tabs>
              <w:jc w:val="both"/>
              <w:rPr>
                <w:noProof/>
              </w:rPr>
            </w:pPr>
            <w:r>
              <w:rPr>
                <w:noProof/>
              </w:rPr>
              <w:t>Vorschlag für eine RICHTLINIE DES RATES zur Schaffung eines Rahmens für die Unternehmensbesteuerung in Europa (BEFIT)</w:t>
            </w:r>
          </w:p>
        </w:tc>
        <w:tc>
          <w:tcPr>
            <w:tcW w:w="2003" w:type="dxa"/>
            <w:tcMar>
              <w:top w:w="85" w:type="dxa"/>
              <w:left w:w="85" w:type="dxa"/>
              <w:bottom w:w="85" w:type="dxa"/>
            </w:tcMar>
          </w:tcPr>
          <w:p w14:paraId="00D11613" w14:textId="18DED13F" w:rsidR="00AB66A8" w:rsidRPr="006C1C34" w:rsidRDefault="00AB66A8" w:rsidP="006C6FCD">
            <w:pPr>
              <w:rPr>
                <w:noProof/>
              </w:rPr>
            </w:pPr>
            <w:r>
              <w:rPr>
                <w:noProof/>
              </w:rPr>
              <w:t>COM(2023) 532 final</w:t>
            </w:r>
            <w:r>
              <w:rPr>
                <w:noProof/>
              </w:rPr>
              <w:br/>
              <w:t>2023/0321(CNS)</w:t>
            </w:r>
            <w:r>
              <w:rPr>
                <w:noProof/>
              </w:rPr>
              <w:br/>
              <w:t>12.9.2023</w:t>
            </w:r>
          </w:p>
        </w:tc>
      </w:tr>
      <w:tr w:rsidR="002148B4" w:rsidRPr="006C1C34" w14:paraId="4A6FB9E1" w14:textId="77777777" w:rsidTr="00C12335">
        <w:trPr>
          <w:jc w:val="center"/>
        </w:trPr>
        <w:tc>
          <w:tcPr>
            <w:tcW w:w="562" w:type="dxa"/>
            <w:tcBorders>
              <w:right w:val="nil"/>
            </w:tcBorders>
            <w:shd w:val="clear" w:color="auto" w:fill="auto"/>
            <w:tcMar>
              <w:top w:w="85" w:type="dxa"/>
              <w:left w:w="85" w:type="dxa"/>
              <w:bottom w:w="85" w:type="dxa"/>
            </w:tcMar>
          </w:tcPr>
          <w:p w14:paraId="34047216" w14:textId="77777777" w:rsidR="002148B4" w:rsidRPr="006C1C34" w:rsidRDefault="002148B4" w:rsidP="002148B4">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9997336" w14:textId="40DE3064" w:rsidR="002148B4" w:rsidRPr="000413EE" w:rsidRDefault="002148B4" w:rsidP="002148B4">
            <w:pPr>
              <w:tabs>
                <w:tab w:val="left" w:pos="990"/>
              </w:tabs>
              <w:jc w:val="both"/>
              <w:rPr>
                <w:noProof/>
              </w:rPr>
            </w:pPr>
            <w:r>
              <w:rPr>
                <w:noProof/>
              </w:rPr>
              <w:t>Vorschlag für eine RICHTLINIE DES RATES über die Verrechnungspreisgestaltung</w:t>
            </w:r>
          </w:p>
        </w:tc>
        <w:tc>
          <w:tcPr>
            <w:tcW w:w="2003" w:type="dxa"/>
            <w:tcMar>
              <w:top w:w="85" w:type="dxa"/>
              <w:left w:w="85" w:type="dxa"/>
              <w:bottom w:w="85" w:type="dxa"/>
            </w:tcMar>
          </w:tcPr>
          <w:p w14:paraId="7EE5A173" w14:textId="40165F2F" w:rsidR="002148B4" w:rsidRDefault="002148B4" w:rsidP="002148B4">
            <w:pPr>
              <w:rPr>
                <w:noProof/>
              </w:rPr>
            </w:pPr>
            <w:r>
              <w:rPr>
                <w:noProof/>
              </w:rPr>
              <w:t>COM(2023) 529 final</w:t>
            </w:r>
            <w:r>
              <w:rPr>
                <w:noProof/>
              </w:rPr>
              <w:br/>
              <w:t>2023/0322(CNS)</w:t>
            </w:r>
            <w:r>
              <w:rPr>
                <w:noProof/>
              </w:rPr>
              <w:br/>
              <w:t>12.9.2023</w:t>
            </w:r>
          </w:p>
        </w:tc>
      </w:tr>
      <w:tr w:rsidR="00AB66A8" w:rsidRPr="006C1C34" w14:paraId="079AF7D0"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591280F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5E9AE9D" w14:textId="77777777" w:rsidR="00AB66A8" w:rsidRPr="000413EE" w:rsidRDefault="00AB66A8" w:rsidP="005336FA">
            <w:pPr>
              <w:tabs>
                <w:tab w:val="left" w:pos="990"/>
              </w:tabs>
              <w:jc w:val="both"/>
              <w:rPr>
                <w:noProof/>
              </w:rPr>
            </w:pPr>
            <w:r>
              <w:rPr>
                <w:noProof/>
              </w:rPr>
              <w:t>Vorschlag für eine RICHTLINIE DES RATES zur Einführung eines hauptsitzbasierten Steuersystems für Kleinstunternehmen, kleine und mittlere Unternehmen sowie zur Änderung der Richtlinie 2011/16/EU</w:t>
            </w:r>
          </w:p>
        </w:tc>
        <w:tc>
          <w:tcPr>
            <w:tcW w:w="2003" w:type="dxa"/>
            <w:tcBorders>
              <w:bottom w:val="single" w:sz="4" w:space="0" w:color="auto"/>
            </w:tcBorders>
            <w:tcMar>
              <w:top w:w="85" w:type="dxa"/>
              <w:left w:w="85" w:type="dxa"/>
              <w:bottom w:w="85" w:type="dxa"/>
            </w:tcMar>
          </w:tcPr>
          <w:p w14:paraId="60DC89AF" w14:textId="3D58EBEB" w:rsidR="00AB66A8" w:rsidRDefault="00AB66A8" w:rsidP="006C6FCD">
            <w:pPr>
              <w:rPr>
                <w:noProof/>
              </w:rPr>
            </w:pPr>
            <w:r>
              <w:rPr>
                <w:noProof/>
              </w:rPr>
              <w:t>COM(2023) 528 final</w:t>
            </w:r>
            <w:r>
              <w:rPr>
                <w:noProof/>
              </w:rPr>
              <w:br/>
              <w:t>2023/0320(CNS)</w:t>
            </w:r>
            <w:r>
              <w:rPr>
                <w:noProof/>
              </w:rPr>
              <w:br/>
              <w:t>12.9.2023</w:t>
            </w:r>
          </w:p>
        </w:tc>
      </w:tr>
      <w:tr w:rsidR="00AB66A8" w:rsidRPr="006C1C34" w14:paraId="2E5222D9" w14:textId="77777777" w:rsidTr="00C12335">
        <w:trPr>
          <w:jc w:val="center"/>
        </w:trPr>
        <w:tc>
          <w:tcPr>
            <w:tcW w:w="562" w:type="dxa"/>
            <w:tcBorders>
              <w:bottom w:val="nil"/>
              <w:right w:val="nil"/>
            </w:tcBorders>
            <w:shd w:val="clear" w:color="auto" w:fill="auto"/>
            <w:tcMar>
              <w:top w:w="85" w:type="dxa"/>
              <w:left w:w="85" w:type="dxa"/>
              <w:bottom w:w="85" w:type="dxa"/>
            </w:tcMar>
          </w:tcPr>
          <w:p w14:paraId="5F2195FE" w14:textId="77777777" w:rsidR="00AB66A8" w:rsidRPr="006C1C3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26840A4A" w14:textId="77777777" w:rsidR="00AB66A8" w:rsidRPr="008C76E7" w:rsidRDefault="00AB66A8" w:rsidP="005336FA">
            <w:pPr>
              <w:tabs>
                <w:tab w:val="left" w:pos="990"/>
              </w:tabs>
              <w:jc w:val="both"/>
              <w:rPr>
                <w:rFonts w:cs="Calibri"/>
                <w:noProof/>
              </w:rPr>
            </w:pPr>
            <w:r>
              <w:rPr>
                <w:noProof/>
              </w:rPr>
              <w:t>Vorschlag für eine RICHTLINIE DES EUROPÄISCHEN PARLAMENTS UND DES RATES über europäische grenzübergreifende Vereine</w:t>
            </w:r>
          </w:p>
        </w:tc>
        <w:tc>
          <w:tcPr>
            <w:tcW w:w="2003" w:type="dxa"/>
            <w:tcBorders>
              <w:bottom w:val="nil"/>
            </w:tcBorders>
            <w:tcMar>
              <w:top w:w="85" w:type="dxa"/>
              <w:left w:w="85" w:type="dxa"/>
              <w:bottom w:w="85" w:type="dxa"/>
            </w:tcMar>
          </w:tcPr>
          <w:p w14:paraId="328B8AA1" w14:textId="03A2CE77" w:rsidR="00AB66A8" w:rsidRDefault="00AB66A8" w:rsidP="006C6FCD">
            <w:pPr>
              <w:rPr>
                <w:rFonts w:cs="Calibri"/>
                <w:bCs/>
                <w:noProof/>
              </w:rPr>
            </w:pPr>
            <w:r>
              <w:rPr>
                <w:noProof/>
              </w:rPr>
              <w:t>COM(2023) 516 final</w:t>
            </w:r>
            <w:r>
              <w:rPr>
                <w:noProof/>
              </w:rPr>
              <w:br/>
              <w:t>2023/0315(COD)</w:t>
            </w:r>
            <w:r>
              <w:rPr>
                <w:noProof/>
              </w:rPr>
              <w:br/>
              <w:t>5.9.2023</w:t>
            </w:r>
          </w:p>
        </w:tc>
      </w:tr>
      <w:tr w:rsidR="00AB66A8" w:rsidRPr="006C1C34" w14:paraId="4FEC6C61" w14:textId="77777777" w:rsidTr="00C12335">
        <w:trPr>
          <w:jc w:val="center"/>
        </w:trPr>
        <w:tc>
          <w:tcPr>
            <w:tcW w:w="562" w:type="dxa"/>
            <w:tcBorders>
              <w:top w:val="nil"/>
              <w:right w:val="nil"/>
            </w:tcBorders>
            <w:shd w:val="clear" w:color="auto" w:fill="auto"/>
            <w:tcMar>
              <w:top w:w="85" w:type="dxa"/>
              <w:left w:w="85" w:type="dxa"/>
              <w:bottom w:w="85" w:type="dxa"/>
            </w:tcMar>
          </w:tcPr>
          <w:p w14:paraId="200FA8F0" w14:textId="77777777" w:rsidR="00AB66A8" w:rsidRPr="006C1C34" w:rsidRDefault="00AB66A8" w:rsidP="006C6FCD">
            <w:pPr>
              <w:ind w:left="425"/>
              <w:contextualSpacing/>
              <w:rPr>
                <w:b/>
                <w:noProof/>
              </w:rPr>
            </w:pPr>
          </w:p>
        </w:tc>
        <w:tc>
          <w:tcPr>
            <w:tcW w:w="11464" w:type="dxa"/>
            <w:tcBorders>
              <w:top w:val="nil"/>
            </w:tcBorders>
            <w:shd w:val="clear" w:color="auto" w:fill="auto"/>
            <w:tcMar>
              <w:top w:w="85" w:type="dxa"/>
              <w:left w:w="85" w:type="dxa"/>
              <w:bottom w:w="85" w:type="dxa"/>
              <w:right w:w="85" w:type="dxa"/>
            </w:tcMar>
          </w:tcPr>
          <w:p w14:paraId="13D0CB51" w14:textId="77777777" w:rsidR="00AB66A8" w:rsidRPr="008C76E7" w:rsidRDefault="00AB66A8" w:rsidP="005336FA">
            <w:pPr>
              <w:tabs>
                <w:tab w:val="left" w:pos="990"/>
              </w:tabs>
              <w:jc w:val="both"/>
              <w:rPr>
                <w:rFonts w:cs="Calibri"/>
                <w:noProof/>
              </w:rPr>
            </w:pPr>
            <w:r>
              <w:rPr>
                <w:noProof/>
              </w:rPr>
              <w:t>Vorschlag für eine VERORDNUNG DES EUROPÄISCHEN PARLAMENTS UND DES RATES zur Änderung der Verordnung (EU) Nr. 1024/2012 und der Verordnung (EU) 2018/1724 hinsichtlich der Nutzung des Binnenmarkt-Informationssystems und des einheitlichen digitalen Zugangstors für die Zwecke bestimmter Anforderungen gemäß der Richtlinie (EU).../... des Europäischen Parlaments und des Rates über länderübergreifende europäische Vereinigungen</w:t>
            </w:r>
          </w:p>
        </w:tc>
        <w:tc>
          <w:tcPr>
            <w:tcW w:w="2003" w:type="dxa"/>
            <w:tcBorders>
              <w:top w:val="nil"/>
            </w:tcBorders>
            <w:tcMar>
              <w:top w:w="85" w:type="dxa"/>
              <w:left w:w="85" w:type="dxa"/>
              <w:bottom w:w="85" w:type="dxa"/>
            </w:tcMar>
          </w:tcPr>
          <w:p w14:paraId="4C14AAE2" w14:textId="58FDEEB2" w:rsidR="00AB66A8" w:rsidRDefault="00AB66A8" w:rsidP="006C6FCD">
            <w:pPr>
              <w:rPr>
                <w:rFonts w:cs="Calibri"/>
                <w:bCs/>
                <w:noProof/>
              </w:rPr>
            </w:pPr>
            <w:r>
              <w:rPr>
                <w:noProof/>
              </w:rPr>
              <w:t>COM(2023) 515 final</w:t>
            </w:r>
            <w:r>
              <w:rPr>
                <w:noProof/>
              </w:rPr>
              <w:br/>
              <w:t>2023/0314(COD)</w:t>
            </w:r>
            <w:r>
              <w:rPr>
                <w:noProof/>
              </w:rPr>
              <w:br/>
              <w:t>5.9.2023</w:t>
            </w:r>
          </w:p>
        </w:tc>
      </w:tr>
      <w:tr w:rsidR="00AB66A8" w:rsidRPr="006C1C34" w14:paraId="245B8DAA" w14:textId="77777777" w:rsidTr="00C12335">
        <w:trPr>
          <w:jc w:val="center"/>
        </w:trPr>
        <w:tc>
          <w:tcPr>
            <w:tcW w:w="562" w:type="dxa"/>
            <w:tcBorders>
              <w:right w:val="nil"/>
            </w:tcBorders>
            <w:shd w:val="clear" w:color="auto" w:fill="auto"/>
            <w:tcMar>
              <w:top w:w="85" w:type="dxa"/>
              <w:left w:w="85" w:type="dxa"/>
              <w:bottom w:w="85" w:type="dxa"/>
            </w:tcMar>
          </w:tcPr>
          <w:p w14:paraId="3C069BA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48D59E2" w14:textId="77777777" w:rsidR="00AB66A8" w:rsidRPr="008C76E7" w:rsidRDefault="00AB66A8" w:rsidP="005336FA">
            <w:pPr>
              <w:tabs>
                <w:tab w:val="left" w:pos="990"/>
              </w:tabs>
              <w:jc w:val="both"/>
              <w:rPr>
                <w:rFonts w:cs="Calibri"/>
                <w:noProof/>
              </w:rPr>
            </w:pPr>
            <w:r>
              <w:rPr>
                <w:noProof/>
              </w:rPr>
              <w:t>Vorschlag für eine VERORDNUNG DES EUROPÄISCHEN PARLAMENTS UND DES RATES über die Sicherheit von Spielzeug und zur Aufhebung der Richtlinie 2009/48/EG</w:t>
            </w:r>
          </w:p>
        </w:tc>
        <w:tc>
          <w:tcPr>
            <w:tcW w:w="2003" w:type="dxa"/>
            <w:tcMar>
              <w:top w:w="85" w:type="dxa"/>
              <w:left w:w="85" w:type="dxa"/>
              <w:bottom w:w="85" w:type="dxa"/>
            </w:tcMar>
          </w:tcPr>
          <w:p w14:paraId="1DBE309C" w14:textId="3FE03943" w:rsidR="00AB66A8" w:rsidRDefault="00AB66A8" w:rsidP="006C6FCD">
            <w:pPr>
              <w:rPr>
                <w:rFonts w:cs="Calibri"/>
                <w:bCs/>
                <w:noProof/>
              </w:rPr>
            </w:pPr>
            <w:r>
              <w:rPr>
                <w:noProof/>
              </w:rPr>
              <w:t>COM(2023) 462 final</w:t>
            </w:r>
            <w:r>
              <w:rPr>
                <w:noProof/>
              </w:rPr>
              <w:br/>
              <w:t>2023/0290(COD)</w:t>
            </w:r>
            <w:r>
              <w:rPr>
                <w:noProof/>
              </w:rPr>
              <w:br/>
              <w:t>28.7.2023</w:t>
            </w:r>
          </w:p>
        </w:tc>
      </w:tr>
      <w:tr w:rsidR="00AB66A8" w:rsidRPr="006C1C34" w14:paraId="12C153A9" w14:textId="77777777" w:rsidTr="00C12335">
        <w:trPr>
          <w:jc w:val="center"/>
        </w:trPr>
        <w:tc>
          <w:tcPr>
            <w:tcW w:w="562" w:type="dxa"/>
            <w:tcBorders>
              <w:right w:val="nil"/>
            </w:tcBorders>
            <w:shd w:val="clear" w:color="auto" w:fill="auto"/>
            <w:tcMar>
              <w:top w:w="85" w:type="dxa"/>
              <w:left w:w="85" w:type="dxa"/>
              <w:bottom w:w="85" w:type="dxa"/>
            </w:tcMar>
          </w:tcPr>
          <w:p w14:paraId="6756870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D87E4D2" w14:textId="0D4E4B3B" w:rsidR="00AB66A8" w:rsidRPr="00006850" w:rsidRDefault="00AB66A8" w:rsidP="005336FA">
            <w:pPr>
              <w:tabs>
                <w:tab w:val="left" w:pos="990"/>
              </w:tabs>
              <w:jc w:val="both"/>
              <w:rPr>
                <w:noProof/>
              </w:rPr>
            </w:pPr>
            <w:r>
              <w:rPr>
                <w:noProof/>
              </w:rPr>
              <w:t>Vorschlag für eine VERORDNUNG DES EUROPÄISCHEN PARLAMENTS UND DES RATES über Anforderungen an die kreislauforientierte Konstruktion von Fahrzeugen und über die Entsorgung von Altfahrzeugen, zur Änderung der Verordnungen (EU) 2018/858 und (EU) 2019/1020 und zur Aufhebung der Richtlinien 2000/53/EG und 2005/64/EG</w:t>
            </w:r>
          </w:p>
        </w:tc>
        <w:tc>
          <w:tcPr>
            <w:tcW w:w="2003" w:type="dxa"/>
            <w:tcMar>
              <w:top w:w="85" w:type="dxa"/>
              <w:left w:w="85" w:type="dxa"/>
              <w:bottom w:w="85" w:type="dxa"/>
            </w:tcMar>
          </w:tcPr>
          <w:p w14:paraId="61624A18" w14:textId="0DEBA794" w:rsidR="00AB66A8" w:rsidRPr="00006850" w:rsidRDefault="00AB66A8" w:rsidP="006C6FCD">
            <w:pPr>
              <w:rPr>
                <w:noProof/>
              </w:rPr>
            </w:pPr>
            <w:r>
              <w:rPr>
                <w:noProof/>
              </w:rPr>
              <w:t>COM(2023) 451 final</w:t>
            </w:r>
            <w:r>
              <w:rPr>
                <w:noProof/>
              </w:rPr>
              <w:br/>
              <w:t>2023/0284(COD)</w:t>
            </w:r>
            <w:r>
              <w:rPr>
                <w:noProof/>
              </w:rPr>
              <w:br/>
              <w:t>13.7.2023</w:t>
            </w:r>
          </w:p>
        </w:tc>
      </w:tr>
      <w:tr w:rsidR="00AB66A8" w:rsidRPr="006C1C34" w14:paraId="2B05C805" w14:textId="77777777" w:rsidTr="00C12335">
        <w:trPr>
          <w:jc w:val="center"/>
        </w:trPr>
        <w:tc>
          <w:tcPr>
            <w:tcW w:w="562" w:type="dxa"/>
            <w:tcBorders>
              <w:right w:val="nil"/>
            </w:tcBorders>
            <w:shd w:val="clear" w:color="auto" w:fill="auto"/>
            <w:tcMar>
              <w:top w:w="85" w:type="dxa"/>
              <w:left w:w="85" w:type="dxa"/>
              <w:bottom w:w="85" w:type="dxa"/>
            </w:tcMar>
          </w:tcPr>
          <w:p w14:paraId="1DB3452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1718D78" w14:textId="77777777" w:rsidR="00AB66A8" w:rsidRPr="00006850" w:rsidRDefault="00AB66A8" w:rsidP="005336FA">
            <w:pPr>
              <w:tabs>
                <w:tab w:val="left" w:pos="990"/>
              </w:tabs>
              <w:jc w:val="both"/>
              <w:rPr>
                <w:noProof/>
              </w:rPr>
            </w:pPr>
            <w:r>
              <w:rPr>
                <w:noProof/>
              </w:rPr>
              <w:t>Vorschlag für eine RICHTLINIE DES EUROPÄISCHEN PARLAMENTS UND DES RATES zur Änderung der Richtlinie 96/53/EG des Rates zur Festlegung der höchstzulässigen Abmessungen für bestimmte Straßenfahrzeuge im innerstaatlichen und grenzüberschreitenden Verkehr in der Gemeinschaft sowie zur Festlegung der höchstzulässigen Gewichte im grenzüberschreitenden Verkehr</w:t>
            </w:r>
          </w:p>
        </w:tc>
        <w:tc>
          <w:tcPr>
            <w:tcW w:w="2003" w:type="dxa"/>
            <w:tcMar>
              <w:top w:w="85" w:type="dxa"/>
              <w:left w:w="85" w:type="dxa"/>
              <w:bottom w:w="85" w:type="dxa"/>
            </w:tcMar>
          </w:tcPr>
          <w:p w14:paraId="7C4CD7F5" w14:textId="27CEDD4C" w:rsidR="00AB66A8" w:rsidRPr="00006850" w:rsidRDefault="00AB66A8" w:rsidP="006C6FCD">
            <w:pPr>
              <w:rPr>
                <w:noProof/>
              </w:rPr>
            </w:pPr>
            <w:r>
              <w:rPr>
                <w:noProof/>
              </w:rPr>
              <w:t>COM(2023) 445 final</w:t>
            </w:r>
            <w:r>
              <w:rPr>
                <w:noProof/>
              </w:rPr>
              <w:br/>
              <w:t>2023/0265(COD)</w:t>
            </w:r>
            <w:r>
              <w:rPr>
                <w:noProof/>
              </w:rPr>
              <w:br/>
              <w:t>11.7.2023</w:t>
            </w:r>
          </w:p>
        </w:tc>
      </w:tr>
      <w:tr w:rsidR="00AB66A8" w:rsidRPr="006C1C34" w14:paraId="6A8A6436" w14:textId="77777777" w:rsidTr="00C12335">
        <w:trPr>
          <w:jc w:val="center"/>
        </w:trPr>
        <w:tc>
          <w:tcPr>
            <w:tcW w:w="562" w:type="dxa"/>
            <w:tcBorders>
              <w:right w:val="nil"/>
            </w:tcBorders>
            <w:shd w:val="clear" w:color="auto" w:fill="auto"/>
            <w:tcMar>
              <w:top w:w="85" w:type="dxa"/>
              <w:left w:w="85" w:type="dxa"/>
              <w:bottom w:w="85" w:type="dxa"/>
            </w:tcMar>
          </w:tcPr>
          <w:p w14:paraId="17D72A2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4780450" w14:textId="77777777" w:rsidR="00AB66A8" w:rsidRPr="00006850" w:rsidRDefault="00AB66A8" w:rsidP="005336FA">
            <w:pPr>
              <w:tabs>
                <w:tab w:val="left" w:pos="990"/>
              </w:tabs>
              <w:jc w:val="both"/>
              <w:rPr>
                <w:noProof/>
              </w:rPr>
            </w:pPr>
            <w:r>
              <w:rPr>
                <w:noProof/>
              </w:rPr>
              <w:t>Vorschlag für eine VERORDNUNG DES EUROPÄISCHEN PARLAMENTS UND DES RATES über die Nutzung von Fahrwegkapazität der Eisenbahn im einheitlichen europäischen Eisenbahnraum, zur Änderung der Richtlinie 2012/34/EU und zur Aufhebung der Verordnung (EU) Nr. 913/2010</w:t>
            </w:r>
          </w:p>
        </w:tc>
        <w:tc>
          <w:tcPr>
            <w:tcW w:w="2003" w:type="dxa"/>
            <w:tcMar>
              <w:top w:w="85" w:type="dxa"/>
              <w:left w:w="85" w:type="dxa"/>
              <w:bottom w:w="85" w:type="dxa"/>
            </w:tcMar>
          </w:tcPr>
          <w:p w14:paraId="7B4A401C" w14:textId="678392FC" w:rsidR="00AB66A8" w:rsidRPr="00006850" w:rsidRDefault="00AB66A8" w:rsidP="006C6FCD">
            <w:pPr>
              <w:rPr>
                <w:noProof/>
              </w:rPr>
            </w:pPr>
            <w:r>
              <w:rPr>
                <w:noProof/>
              </w:rPr>
              <w:t>COM(2023) 443 final</w:t>
            </w:r>
            <w:r>
              <w:rPr>
                <w:noProof/>
              </w:rPr>
              <w:br/>
              <w:t>2023/0271 COD)</w:t>
            </w:r>
            <w:r>
              <w:rPr>
                <w:noProof/>
              </w:rPr>
              <w:br/>
              <w:t>11.7.2023</w:t>
            </w:r>
          </w:p>
        </w:tc>
      </w:tr>
      <w:tr w:rsidR="00AB66A8" w:rsidRPr="006C1C34" w14:paraId="6D39EED0" w14:textId="77777777" w:rsidTr="00C12335">
        <w:trPr>
          <w:jc w:val="center"/>
        </w:trPr>
        <w:tc>
          <w:tcPr>
            <w:tcW w:w="562" w:type="dxa"/>
            <w:tcBorders>
              <w:right w:val="nil"/>
            </w:tcBorders>
            <w:shd w:val="clear" w:color="auto" w:fill="auto"/>
            <w:tcMar>
              <w:top w:w="85" w:type="dxa"/>
              <w:left w:w="85" w:type="dxa"/>
              <w:bottom w:w="85" w:type="dxa"/>
            </w:tcMar>
          </w:tcPr>
          <w:p w14:paraId="5A33572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EA2CCA7" w14:textId="262C51E3" w:rsidR="00AB66A8" w:rsidRPr="00006850" w:rsidRDefault="00AB66A8" w:rsidP="005336FA">
            <w:pPr>
              <w:tabs>
                <w:tab w:val="left" w:pos="990"/>
              </w:tabs>
              <w:jc w:val="both"/>
              <w:rPr>
                <w:rFonts w:cs="Calibri"/>
                <w:noProof/>
              </w:rPr>
            </w:pPr>
            <w:r>
              <w:rPr>
                <w:noProof/>
              </w:rPr>
              <w:t>Vorschlag für eine VERORDNUNG DES EUROPÄISCHEN PARLAMENTS UND DES RATES über die Erfassung der Treibhausgasemissionen von Verkehrsdiensten</w:t>
            </w:r>
          </w:p>
        </w:tc>
        <w:tc>
          <w:tcPr>
            <w:tcW w:w="2003" w:type="dxa"/>
            <w:tcMar>
              <w:top w:w="85" w:type="dxa"/>
              <w:left w:w="85" w:type="dxa"/>
              <w:bottom w:w="85" w:type="dxa"/>
            </w:tcMar>
          </w:tcPr>
          <w:p w14:paraId="469214EF" w14:textId="59FDAEF1" w:rsidR="00AB66A8" w:rsidRPr="00006850" w:rsidRDefault="00AB66A8" w:rsidP="006C6FCD">
            <w:pPr>
              <w:rPr>
                <w:noProof/>
              </w:rPr>
            </w:pPr>
            <w:r>
              <w:rPr>
                <w:noProof/>
              </w:rPr>
              <w:t>COM(2023) 441 final</w:t>
            </w:r>
            <w:r>
              <w:rPr>
                <w:noProof/>
              </w:rPr>
              <w:br/>
              <w:t>2023/0266(COD)</w:t>
            </w:r>
            <w:r>
              <w:rPr>
                <w:noProof/>
              </w:rPr>
              <w:br/>
              <w:t xml:space="preserve">11.7.2023 </w:t>
            </w:r>
          </w:p>
        </w:tc>
      </w:tr>
      <w:tr w:rsidR="00AB66A8" w:rsidRPr="006C1C34" w14:paraId="43283C3A" w14:textId="77777777" w:rsidTr="00C12335">
        <w:trPr>
          <w:jc w:val="center"/>
        </w:trPr>
        <w:tc>
          <w:tcPr>
            <w:tcW w:w="562" w:type="dxa"/>
            <w:tcBorders>
              <w:right w:val="nil"/>
            </w:tcBorders>
            <w:shd w:val="clear" w:color="auto" w:fill="auto"/>
            <w:tcMar>
              <w:top w:w="85" w:type="dxa"/>
              <w:left w:w="85" w:type="dxa"/>
              <w:bottom w:w="85" w:type="dxa"/>
            </w:tcMar>
          </w:tcPr>
          <w:p w14:paraId="628B812B"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CE74622" w14:textId="77777777" w:rsidR="00AB66A8" w:rsidRPr="00006850" w:rsidRDefault="00AB66A8" w:rsidP="005336FA">
            <w:pPr>
              <w:tabs>
                <w:tab w:val="left" w:pos="990"/>
              </w:tabs>
              <w:jc w:val="both"/>
              <w:rPr>
                <w:noProof/>
              </w:rPr>
            </w:pPr>
            <w:r>
              <w:rPr>
                <w:noProof/>
              </w:rPr>
              <w:t>Vorschlag für eine RICHTLINIE DES EUROPÄISCHEN PARLAMENTS UND DES RATES zur Änderung der Richtlinie 2008/98/EG über Abfälle</w:t>
            </w:r>
          </w:p>
        </w:tc>
        <w:tc>
          <w:tcPr>
            <w:tcW w:w="2003" w:type="dxa"/>
            <w:tcMar>
              <w:top w:w="85" w:type="dxa"/>
              <w:left w:w="85" w:type="dxa"/>
              <w:bottom w:w="85" w:type="dxa"/>
            </w:tcMar>
          </w:tcPr>
          <w:p w14:paraId="6F7A5553" w14:textId="06275080" w:rsidR="00AB66A8" w:rsidRPr="00006850" w:rsidRDefault="00AB66A8" w:rsidP="006C6FCD">
            <w:pPr>
              <w:rPr>
                <w:noProof/>
              </w:rPr>
            </w:pPr>
            <w:r>
              <w:rPr>
                <w:noProof/>
              </w:rPr>
              <w:t>COM(2023) 420 final</w:t>
            </w:r>
            <w:r>
              <w:rPr>
                <w:noProof/>
              </w:rPr>
              <w:br/>
              <w:t>2023/0234(COD)</w:t>
            </w:r>
            <w:r>
              <w:rPr>
                <w:noProof/>
              </w:rPr>
              <w:br/>
              <w:t>5.7.2023</w:t>
            </w:r>
          </w:p>
        </w:tc>
      </w:tr>
      <w:tr w:rsidR="00AB66A8" w:rsidRPr="006C1C34" w14:paraId="43F96923" w14:textId="77777777" w:rsidTr="00C12335">
        <w:trPr>
          <w:jc w:val="center"/>
        </w:trPr>
        <w:tc>
          <w:tcPr>
            <w:tcW w:w="562" w:type="dxa"/>
            <w:tcBorders>
              <w:right w:val="nil"/>
            </w:tcBorders>
            <w:shd w:val="clear" w:color="auto" w:fill="auto"/>
            <w:tcMar>
              <w:top w:w="85" w:type="dxa"/>
              <w:left w:w="85" w:type="dxa"/>
              <w:bottom w:w="85" w:type="dxa"/>
            </w:tcMar>
          </w:tcPr>
          <w:p w14:paraId="799B464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4E3D707" w14:textId="77777777" w:rsidR="00AB66A8" w:rsidRPr="004F2160" w:rsidRDefault="00AB66A8" w:rsidP="005336FA">
            <w:pPr>
              <w:tabs>
                <w:tab w:val="left" w:pos="990"/>
              </w:tabs>
              <w:jc w:val="both"/>
              <w:rPr>
                <w:noProof/>
              </w:rPr>
            </w:pPr>
            <w:r>
              <w:rPr>
                <w:noProof/>
              </w:rPr>
              <w:t>Vorschlag für eine VERORDNUNG DES EUROPÄISCHEN PARLAMENTS UND DES RATES über die Erzeugung und das Inverkehrbringen forstlichen Vermehrungsguts, zur Änderung der Verordnungen (EU) 2016/2031 und (EU) 2017/625 des Europäischen Parlaments und des Rates und zur Aufhebung der Richtlinie 1999/105/EG des Rates (Verordnung über forstliches Vermehrungsgut)</w:t>
            </w:r>
          </w:p>
        </w:tc>
        <w:tc>
          <w:tcPr>
            <w:tcW w:w="2003" w:type="dxa"/>
            <w:tcMar>
              <w:top w:w="85" w:type="dxa"/>
              <w:left w:w="85" w:type="dxa"/>
              <w:bottom w:w="85" w:type="dxa"/>
            </w:tcMar>
          </w:tcPr>
          <w:p w14:paraId="43BCFB17" w14:textId="3DCFC1D6" w:rsidR="00AB66A8" w:rsidRPr="000D7296" w:rsidRDefault="00AB66A8" w:rsidP="006C6FCD">
            <w:pPr>
              <w:rPr>
                <w:noProof/>
              </w:rPr>
            </w:pPr>
            <w:r>
              <w:rPr>
                <w:noProof/>
              </w:rPr>
              <w:t>COM(2023) 415 final</w:t>
            </w:r>
            <w:r>
              <w:rPr>
                <w:noProof/>
              </w:rPr>
              <w:br/>
              <w:t>2023/0228(COD)</w:t>
            </w:r>
            <w:r>
              <w:rPr>
                <w:noProof/>
              </w:rPr>
              <w:br/>
              <w:t>5.7.2023</w:t>
            </w:r>
          </w:p>
        </w:tc>
      </w:tr>
      <w:tr w:rsidR="00AB66A8" w:rsidRPr="006C1C34" w14:paraId="716840AA" w14:textId="77777777" w:rsidTr="00C12335">
        <w:trPr>
          <w:jc w:val="center"/>
        </w:trPr>
        <w:tc>
          <w:tcPr>
            <w:tcW w:w="562" w:type="dxa"/>
            <w:tcBorders>
              <w:right w:val="nil"/>
            </w:tcBorders>
            <w:shd w:val="clear" w:color="auto" w:fill="auto"/>
            <w:tcMar>
              <w:top w:w="85" w:type="dxa"/>
              <w:left w:w="85" w:type="dxa"/>
              <w:bottom w:w="85" w:type="dxa"/>
            </w:tcMar>
          </w:tcPr>
          <w:p w14:paraId="52433E0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8AE817B" w14:textId="77777777" w:rsidR="00AB66A8" w:rsidRPr="00252CC9" w:rsidRDefault="00AB66A8" w:rsidP="005336FA">
            <w:pPr>
              <w:tabs>
                <w:tab w:val="left" w:pos="990"/>
              </w:tabs>
              <w:jc w:val="both"/>
              <w:rPr>
                <w:noProof/>
              </w:rPr>
            </w:pPr>
            <w:r>
              <w:rPr>
                <w:noProof/>
              </w:rPr>
              <w:t>Vorschlag für eine VERORDNUNG DES EUROPÄISCHEN PARLAMENTS UND DES RATES über die Erzeugung und das Inverkehrbringen von Pflanzenvermehrungsmaterial in der Union, zur Änderung der Verordnungen (EU) 2016/2031, (EU) 2017/625 und (EU) 2018/848 des Europäischen Parlaments und des Rates, und zur Aufhebung der Richtlinien 66/401/EWG, 66/402/EWG, 68/193/EWG, 2002/53/EG, 2002/54/EG, 2002/55/EG, 2002/56/EG, 2002/57/EG, 2008/72/EG und 2008/90/EG des Rates (Verordnung über Pflanzenvermehrungsmaterial)</w:t>
            </w:r>
          </w:p>
        </w:tc>
        <w:tc>
          <w:tcPr>
            <w:tcW w:w="2003" w:type="dxa"/>
            <w:tcMar>
              <w:top w:w="85" w:type="dxa"/>
              <w:left w:w="85" w:type="dxa"/>
              <w:bottom w:w="85" w:type="dxa"/>
            </w:tcMar>
          </w:tcPr>
          <w:p w14:paraId="59AA32B5" w14:textId="0BFDE44F" w:rsidR="00AB66A8" w:rsidRPr="000D7296" w:rsidRDefault="00AB66A8" w:rsidP="006C6FCD">
            <w:pPr>
              <w:rPr>
                <w:noProof/>
              </w:rPr>
            </w:pPr>
            <w:r>
              <w:rPr>
                <w:noProof/>
              </w:rPr>
              <w:t>COM(2023) 414 final</w:t>
            </w:r>
            <w:r>
              <w:rPr>
                <w:noProof/>
              </w:rPr>
              <w:br/>
              <w:t>2023/0227(COD)</w:t>
            </w:r>
            <w:r>
              <w:rPr>
                <w:noProof/>
              </w:rPr>
              <w:br/>
              <w:t>5.7.2023</w:t>
            </w:r>
          </w:p>
        </w:tc>
      </w:tr>
      <w:tr w:rsidR="00AB66A8" w:rsidRPr="006C1C34" w14:paraId="03FEC4E6" w14:textId="77777777" w:rsidTr="00C12335">
        <w:trPr>
          <w:jc w:val="center"/>
        </w:trPr>
        <w:tc>
          <w:tcPr>
            <w:tcW w:w="562" w:type="dxa"/>
            <w:tcBorders>
              <w:right w:val="nil"/>
            </w:tcBorders>
            <w:shd w:val="clear" w:color="auto" w:fill="auto"/>
            <w:tcMar>
              <w:top w:w="85" w:type="dxa"/>
              <w:left w:w="85" w:type="dxa"/>
              <w:bottom w:w="85" w:type="dxa"/>
            </w:tcMar>
          </w:tcPr>
          <w:p w14:paraId="47859DB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C0034F1" w14:textId="77777777" w:rsidR="00AB66A8" w:rsidRPr="006C1C34" w:rsidRDefault="00AB66A8" w:rsidP="005336FA">
            <w:pPr>
              <w:jc w:val="both"/>
              <w:rPr>
                <w:noProof/>
              </w:rPr>
            </w:pPr>
            <w:r>
              <w:rPr>
                <w:noProof/>
              </w:rPr>
              <w:t>Vorschlag für eine VERORDNUNG DES EUROPÄISCHEN PARLAMENTS UND DES RATES zur Einführung des digitalen Euro</w:t>
            </w:r>
          </w:p>
        </w:tc>
        <w:tc>
          <w:tcPr>
            <w:tcW w:w="2003" w:type="dxa"/>
            <w:tcMar>
              <w:top w:w="85" w:type="dxa"/>
              <w:left w:w="85" w:type="dxa"/>
              <w:bottom w:w="85" w:type="dxa"/>
            </w:tcMar>
          </w:tcPr>
          <w:p w14:paraId="5EFBFBFB" w14:textId="2090FFE0" w:rsidR="00AB66A8" w:rsidRPr="006C1C34" w:rsidRDefault="00AB66A8" w:rsidP="006C6FCD">
            <w:pPr>
              <w:rPr>
                <w:noProof/>
              </w:rPr>
            </w:pPr>
            <w:r>
              <w:rPr>
                <w:noProof/>
              </w:rPr>
              <w:t>COM(2023) 369 final</w:t>
            </w:r>
            <w:r>
              <w:rPr>
                <w:noProof/>
              </w:rPr>
              <w:br/>
              <w:t>2023/0212(COD)</w:t>
            </w:r>
            <w:r>
              <w:rPr>
                <w:noProof/>
              </w:rPr>
              <w:br/>
              <w:t>28.6.2023</w:t>
            </w:r>
          </w:p>
        </w:tc>
      </w:tr>
      <w:tr w:rsidR="00AB66A8" w:rsidRPr="006C1C34" w14:paraId="56A0DF9F" w14:textId="77777777" w:rsidTr="00C12335">
        <w:trPr>
          <w:jc w:val="center"/>
        </w:trPr>
        <w:tc>
          <w:tcPr>
            <w:tcW w:w="562" w:type="dxa"/>
            <w:tcBorders>
              <w:right w:val="nil"/>
            </w:tcBorders>
            <w:shd w:val="clear" w:color="auto" w:fill="auto"/>
            <w:tcMar>
              <w:top w:w="85" w:type="dxa"/>
              <w:left w:w="85" w:type="dxa"/>
              <w:bottom w:w="85" w:type="dxa"/>
            </w:tcMar>
          </w:tcPr>
          <w:p w14:paraId="5FD4509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F23C089" w14:textId="77777777" w:rsidR="00AB66A8" w:rsidRPr="006C1C34" w:rsidRDefault="00AB66A8" w:rsidP="005336FA">
            <w:pPr>
              <w:jc w:val="both"/>
              <w:rPr>
                <w:noProof/>
              </w:rPr>
            </w:pPr>
            <w:r>
              <w:rPr>
                <w:noProof/>
              </w:rPr>
              <w:t>Vorschlag für eine VERORDNUNG DES EUROPÄISCHEN PARLAMENTS UND DES RATES über die Erbringung von Diensten im Zusammenhang mit dem digitalen Euro durch Zahlungsdienstleister mit Sitz in Mitgliedstaaten, deren Währung nicht der Euro ist, und zur Änderung der Verordnung (EU) 2021/1230 des Europäischen Parlaments und des Rates</w:t>
            </w:r>
          </w:p>
        </w:tc>
        <w:tc>
          <w:tcPr>
            <w:tcW w:w="2003" w:type="dxa"/>
            <w:tcMar>
              <w:top w:w="85" w:type="dxa"/>
              <w:left w:w="85" w:type="dxa"/>
              <w:bottom w:w="85" w:type="dxa"/>
            </w:tcMar>
          </w:tcPr>
          <w:p w14:paraId="499E3D42" w14:textId="56894491" w:rsidR="00AB66A8" w:rsidRPr="006C1C34" w:rsidRDefault="00AB66A8" w:rsidP="006C6FCD">
            <w:pPr>
              <w:rPr>
                <w:noProof/>
              </w:rPr>
            </w:pPr>
            <w:r>
              <w:rPr>
                <w:noProof/>
              </w:rPr>
              <w:t>COM(2023) 368 final</w:t>
            </w:r>
            <w:r>
              <w:rPr>
                <w:noProof/>
              </w:rPr>
              <w:br/>
              <w:t>2023/0211(COD)</w:t>
            </w:r>
            <w:r>
              <w:rPr>
                <w:noProof/>
              </w:rPr>
              <w:br/>
              <w:t>28.6.2023</w:t>
            </w:r>
          </w:p>
        </w:tc>
      </w:tr>
      <w:tr w:rsidR="00AB66A8" w:rsidRPr="006C1C34" w14:paraId="74E0F2C5" w14:textId="77777777" w:rsidTr="00C12335">
        <w:trPr>
          <w:jc w:val="center"/>
        </w:trPr>
        <w:tc>
          <w:tcPr>
            <w:tcW w:w="562" w:type="dxa"/>
            <w:tcBorders>
              <w:right w:val="nil"/>
            </w:tcBorders>
            <w:shd w:val="clear" w:color="auto" w:fill="auto"/>
            <w:tcMar>
              <w:top w:w="85" w:type="dxa"/>
              <w:left w:w="85" w:type="dxa"/>
              <w:bottom w:w="85" w:type="dxa"/>
            </w:tcMar>
          </w:tcPr>
          <w:p w14:paraId="74AFBE0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5195E79" w14:textId="77777777" w:rsidR="00AB66A8" w:rsidRPr="00FA5888" w:rsidRDefault="00AB66A8" w:rsidP="005336FA">
            <w:pPr>
              <w:jc w:val="both"/>
              <w:rPr>
                <w:noProof/>
              </w:rPr>
            </w:pPr>
            <w:r>
              <w:rPr>
                <w:noProof/>
              </w:rPr>
              <w:t>Vorschlag für eine VERORDNUNG DES EUROPÄISCHEN PARLAMENTS UND DES RATES über Zahlungsdienste im Binnenmarkt und zur Änderung der Verordnung (EU) Nr. 1093/2010</w:t>
            </w:r>
          </w:p>
        </w:tc>
        <w:tc>
          <w:tcPr>
            <w:tcW w:w="2003" w:type="dxa"/>
            <w:tcMar>
              <w:top w:w="85" w:type="dxa"/>
              <w:left w:w="85" w:type="dxa"/>
              <w:bottom w:w="85" w:type="dxa"/>
            </w:tcMar>
          </w:tcPr>
          <w:p w14:paraId="0949F24C" w14:textId="4F81DECB" w:rsidR="00AB66A8" w:rsidRPr="00FA5888" w:rsidRDefault="00AB66A8" w:rsidP="006C6FCD">
            <w:pPr>
              <w:rPr>
                <w:noProof/>
              </w:rPr>
            </w:pPr>
            <w:r>
              <w:rPr>
                <w:noProof/>
              </w:rPr>
              <w:t>COM(2023) 367 final</w:t>
            </w:r>
            <w:r>
              <w:rPr>
                <w:noProof/>
              </w:rPr>
              <w:br/>
              <w:t>2023/0210(COD)</w:t>
            </w:r>
            <w:r>
              <w:rPr>
                <w:noProof/>
              </w:rPr>
              <w:br/>
              <w:t>28.6.2023</w:t>
            </w:r>
          </w:p>
        </w:tc>
      </w:tr>
      <w:tr w:rsidR="00AB66A8" w:rsidRPr="006C1C34" w14:paraId="4D7EA5F1" w14:textId="77777777" w:rsidTr="00C12335">
        <w:trPr>
          <w:jc w:val="center"/>
        </w:trPr>
        <w:tc>
          <w:tcPr>
            <w:tcW w:w="562" w:type="dxa"/>
            <w:tcBorders>
              <w:right w:val="nil"/>
            </w:tcBorders>
            <w:shd w:val="clear" w:color="auto" w:fill="auto"/>
            <w:tcMar>
              <w:top w:w="85" w:type="dxa"/>
              <w:left w:w="85" w:type="dxa"/>
              <w:bottom w:w="85" w:type="dxa"/>
            </w:tcMar>
          </w:tcPr>
          <w:p w14:paraId="74CE735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F2CA41B" w14:textId="77777777" w:rsidR="00AB66A8" w:rsidRPr="00FA5888" w:rsidRDefault="00AB66A8" w:rsidP="005336FA">
            <w:pPr>
              <w:jc w:val="both"/>
              <w:rPr>
                <w:noProof/>
              </w:rPr>
            </w:pPr>
            <w:r>
              <w:rPr>
                <w:noProof/>
              </w:rPr>
              <w:t>Vorschlag für eine RICHTLINIE DES EUROPÄISCHEN PARLAMENTS UND DES RATES über Zahlungsdienste und E-Geld-Dienste im Binnenmarkt, zur Änderung der Richtlinie 98/26/EG und zur Aufhebung der Richtlinien (EU) 2015/2366 und 2009/110/EG</w:t>
            </w:r>
          </w:p>
        </w:tc>
        <w:tc>
          <w:tcPr>
            <w:tcW w:w="2003" w:type="dxa"/>
            <w:tcMar>
              <w:top w:w="85" w:type="dxa"/>
              <w:left w:w="85" w:type="dxa"/>
              <w:bottom w:w="85" w:type="dxa"/>
            </w:tcMar>
          </w:tcPr>
          <w:p w14:paraId="5EA07A3F" w14:textId="696A3137" w:rsidR="00AB66A8" w:rsidRPr="00FA5888" w:rsidRDefault="00AB66A8" w:rsidP="006C6FCD">
            <w:pPr>
              <w:rPr>
                <w:noProof/>
              </w:rPr>
            </w:pPr>
            <w:r>
              <w:rPr>
                <w:noProof/>
              </w:rPr>
              <w:t>COM(2023) 366 final</w:t>
            </w:r>
            <w:r>
              <w:rPr>
                <w:noProof/>
              </w:rPr>
              <w:br/>
              <w:t>2023/0209(COD)</w:t>
            </w:r>
            <w:r>
              <w:rPr>
                <w:noProof/>
              </w:rPr>
              <w:br/>
              <w:t>28.6.2023</w:t>
            </w:r>
          </w:p>
        </w:tc>
      </w:tr>
      <w:tr w:rsidR="00AB66A8" w:rsidRPr="006C1C34" w14:paraId="694892EF" w14:textId="77777777" w:rsidTr="00C12335">
        <w:trPr>
          <w:jc w:val="center"/>
        </w:trPr>
        <w:tc>
          <w:tcPr>
            <w:tcW w:w="562" w:type="dxa"/>
            <w:tcBorders>
              <w:right w:val="nil"/>
            </w:tcBorders>
            <w:shd w:val="clear" w:color="auto" w:fill="auto"/>
            <w:tcMar>
              <w:top w:w="85" w:type="dxa"/>
              <w:left w:w="85" w:type="dxa"/>
              <w:bottom w:w="85" w:type="dxa"/>
            </w:tcMar>
          </w:tcPr>
          <w:p w14:paraId="0EB0ED5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48DCD77" w14:textId="77777777" w:rsidR="00AB66A8" w:rsidRPr="006C1C34" w:rsidRDefault="00AB66A8" w:rsidP="005336FA">
            <w:pPr>
              <w:jc w:val="both"/>
              <w:rPr>
                <w:bCs/>
                <w:noProof/>
              </w:rPr>
            </w:pPr>
            <w:r>
              <w:rPr>
                <w:noProof/>
              </w:rPr>
              <w:t>Vorschlag für eine VERORDNUNG DES EUROPÄISCHEN PARLAMENTS UND DES RATES über Euro-Banknoten und Euro-Münzen als gesetzliches Zahlungsmittel</w:t>
            </w:r>
          </w:p>
        </w:tc>
        <w:tc>
          <w:tcPr>
            <w:tcW w:w="2003" w:type="dxa"/>
            <w:tcMar>
              <w:top w:w="85" w:type="dxa"/>
              <w:left w:w="85" w:type="dxa"/>
              <w:bottom w:w="85" w:type="dxa"/>
            </w:tcMar>
          </w:tcPr>
          <w:p w14:paraId="3F10242C" w14:textId="01AD0F3B" w:rsidR="00AB66A8" w:rsidRPr="006C1C34" w:rsidRDefault="00AB66A8" w:rsidP="006C6FCD">
            <w:pPr>
              <w:rPr>
                <w:noProof/>
              </w:rPr>
            </w:pPr>
            <w:r>
              <w:rPr>
                <w:noProof/>
              </w:rPr>
              <w:t>COM(2023) 364 final</w:t>
            </w:r>
            <w:r>
              <w:rPr>
                <w:noProof/>
              </w:rPr>
              <w:br/>
              <w:t>2023/0208(COD)</w:t>
            </w:r>
            <w:r>
              <w:rPr>
                <w:noProof/>
              </w:rPr>
              <w:br/>
              <w:t>28.6.2023</w:t>
            </w:r>
          </w:p>
        </w:tc>
      </w:tr>
      <w:tr w:rsidR="008828E1" w:rsidRPr="006C1C34" w14:paraId="35149397" w14:textId="77777777" w:rsidTr="00C12335">
        <w:trPr>
          <w:jc w:val="center"/>
        </w:trPr>
        <w:tc>
          <w:tcPr>
            <w:tcW w:w="562" w:type="dxa"/>
            <w:tcBorders>
              <w:right w:val="nil"/>
            </w:tcBorders>
            <w:shd w:val="clear" w:color="auto" w:fill="auto"/>
            <w:tcMar>
              <w:top w:w="85" w:type="dxa"/>
              <w:left w:w="85" w:type="dxa"/>
              <w:bottom w:w="85" w:type="dxa"/>
            </w:tcMar>
          </w:tcPr>
          <w:p w14:paraId="24F8A67F" w14:textId="77777777" w:rsidR="008828E1" w:rsidRPr="006C1C34" w:rsidRDefault="008828E1" w:rsidP="008828E1">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21822B6" w14:textId="2513B328" w:rsidR="008828E1" w:rsidRPr="006C1C34" w:rsidRDefault="008828E1" w:rsidP="005336FA">
            <w:pPr>
              <w:jc w:val="both"/>
              <w:rPr>
                <w:bCs/>
                <w:noProof/>
              </w:rPr>
            </w:pPr>
            <w:r>
              <w:rPr>
                <w:noProof/>
              </w:rPr>
              <w:t>Vorschlag für eine VERORDNUNG DES EUROPÄISCHEN PARLAMENTS UND DES RATES über einen Rahmen für den Zugang zu Finanzdaten und zur Änderung der Verordnungen (EU) Nr. 1093/2010, (EU) Nr. 1094/2010, (EU) Nr. 1095/2010 und (EU) 2022/2554</w:t>
            </w:r>
          </w:p>
        </w:tc>
        <w:tc>
          <w:tcPr>
            <w:tcW w:w="2003" w:type="dxa"/>
            <w:tcMar>
              <w:top w:w="85" w:type="dxa"/>
              <w:left w:w="85" w:type="dxa"/>
              <w:bottom w:w="85" w:type="dxa"/>
            </w:tcMar>
          </w:tcPr>
          <w:p w14:paraId="22F89263" w14:textId="052464A4" w:rsidR="008828E1" w:rsidRPr="006C1C34" w:rsidRDefault="008828E1" w:rsidP="008828E1">
            <w:pPr>
              <w:rPr>
                <w:noProof/>
              </w:rPr>
            </w:pPr>
            <w:r>
              <w:rPr>
                <w:noProof/>
              </w:rPr>
              <w:t>COM(2023) 360 final</w:t>
            </w:r>
            <w:r>
              <w:rPr>
                <w:noProof/>
              </w:rPr>
              <w:br/>
              <w:t>2023/0205(COD)</w:t>
            </w:r>
            <w:r>
              <w:rPr>
                <w:noProof/>
              </w:rPr>
              <w:br/>
              <w:t>28.6.2023</w:t>
            </w:r>
          </w:p>
        </w:tc>
      </w:tr>
      <w:tr w:rsidR="00AB66A8" w:rsidRPr="006C1C34" w14:paraId="3634AE89" w14:textId="77777777" w:rsidTr="00C12335">
        <w:trPr>
          <w:jc w:val="center"/>
        </w:trPr>
        <w:tc>
          <w:tcPr>
            <w:tcW w:w="562" w:type="dxa"/>
            <w:tcBorders>
              <w:right w:val="nil"/>
            </w:tcBorders>
            <w:shd w:val="clear" w:color="auto" w:fill="auto"/>
            <w:tcMar>
              <w:top w:w="85" w:type="dxa"/>
              <w:left w:w="85" w:type="dxa"/>
              <w:bottom w:w="85" w:type="dxa"/>
            </w:tcMar>
          </w:tcPr>
          <w:p w14:paraId="2039CAB2"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6421C968" w14:textId="77777777" w:rsidR="00AB66A8" w:rsidRPr="00756151" w:rsidRDefault="00AB66A8" w:rsidP="005336FA">
            <w:pPr>
              <w:jc w:val="both"/>
              <w:rPr>
                <w:rFonts w:cs="Calibri"/>
                <w:noProof/>
              </w:rPr>
            </w:pPr>
            <w:r>
              <w:rPr>
                <w:noProof/>
              </w:rPr>
              <w:t>Vorschlag für eine RICHTLINIE DES EUROPÄISCHEN PARLAMENTS UND DES RATES zur Änderung der Richtlinien (EU) 2009/65/EG, 2009/138/EG, 2011/61/EU, 2014/65/EU und (EU) 2016/97 im Hinblick auf die Unionsvorschriften zum Schutz von Kleinanlegern</w:t>
            </w:r>
          </w:p>
        </w:tc>
        <w:tc>
          <w:tcPr>
            <w:tcW w:w="2003" w:type="dxa"/>
            <w:tcMar>
              <w:top w:w="85" w:type="dxa"/>
              <w:left w:w="85" w:type="dxa"/>
              <w:bottom w:w="85" w:type="dxa"/>
            </w:tcMar>
          </w:tcPr>
          <w:p w14:paraId="7F388434" w14:textId="6A2BAB16" w:rsidR="00AB66A8" w:rsidRPr="008B0455" w:rsidRDefault="00AB66A8" w:rsidP="006C6FCD">
            <w:pPr>
              <w:rPr>
                <w:rFonts w:cs="Calibri"/>
                <w:bCs/>
                <w:noProof/>
              </w:rPr>
            </w:pPr>
            <w:r>
              <w:rPr>
                <w:noProof/>
              </w:rPr>
              <w:t>COM(2023) 279 final</w:t>
            </w:r>
            <w:r>
              <w:rPr>
                <w:noProof/>
              </w:rPr>
              <w:br/>
              <w:t>2023/0167(COD)</w:t>
            </w:r>
            <w:r>
              <w:rPr>
                <w:noProof/>
              </w:rPr>
              <w:br/>
              <w:t>24.5.2023</w:t>
            </w:r>
          </w:p>
        </w:tc>
      </w:tr>
      <w:tr w:rsidR="00AB66A8" w:rsidRPr="006C1C34" w14:paraId="1705AD27" w14:textId="77777777" w:rsidTr="00C12335">
        <w:trPr>
          <w:jc w:val="center"/>
        </w:trPr>
        <w:tc>
          <w:tcPr>
            <w:tcW w:w="562" w:type="dxa"/>
            <w:tcBorders>
              <w:right w:val="nil"/>
            </w:tcBorders>
            <w:shd w:val="clear" w:color="auto" w:fill="auto"/>
            <w:tcMar>
              <w:top w:w="85" w:type="dxa"/>
              <w:left w:w="85" w:type="dxa"/>
              <w:bottom w:w="85" w:type="dxa"/>
            </w:tcMar>
          </w:tcPr>
          <w:p w14:paraId="1E188A20"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2E77A4A0" w14:textId="77777777" w:rsidR="00AB66A8" w:rsidRPr="00756151" w:rsidRDefault="00AB66A8" w:rsidP="005336FA">
            <w:pPr>
              <w:jc w:val="both"/>
              <w:rPr>
                <w:rFonts w:cs="Calibri"/>
                <w:noProof/>
              </w:rPr>
            </w:pPr>
            <w:r>
              <w:rPr>
                <w:noProof/>
              </w:rPr>
              <w:t>Vorschlag für eine VERORDNUNG DES EUROPÄISCHEN PARLAMENTS UND DES RATES zur Änderung der Verordnung (EU) Nr. 1286/2014 im Hinblick auf eine Modernisierung des Basisinformationsblatts</w:t>
            </w:r>
          </w:p>
        </w:tc>
        <w:tc>
          <w:tcPr>
            <w:tcW w:w="2003" w:type="dxa"/>
            <w:tcMar>
              <w:top w:w="85" w:type="dxa"/>
              <w:left w:w="85" w:type="dxa"/>
              <w:bottom w:w="85" w:type="dxa"/>
            </w:tcMar>
          </w:tcPr>
          <w:p w14:paraId="3EF34E0A" w14:textId="621EC273" w:rsidR="00AB66A8" w:rsidRPr="006C1C34" w:rsidRDefault="00AB66A8" w:rsidP="006C6FCD">
            <w:pPr>
              <w:rPr>
                <w:rFonts w:cs="Calibri"/>
                <w:bCs/>
                <w:noProof/>
              </w:rPr>
            </w:pPr>
            <w:r>
              <w:rPr>
                <w:noProof/>
              </w:rPr>
              <w:t>COM(2023) 278 final</w:t>
            </w:r>
            <w:r>
              <w:rPr>
                <w:noProof/>
              </w:rPr>
              <w:br/>
              <w:t>2023/0166(COD)</w:t>
            </w:r>
            <w:r>
              <w:rPr>
                <w:noProof/>
              </w:rPr>
              <w:br/>
              <w:t>24.5.2023</w:t>
            </w:r>
          </w:p>
        </w:tc>
      </w:tr>
      <w:tr w:rsidR="00AB66A8" w:rsidRPr="006C1C34" w14:paraId="6BB82B0B" w14:textId="77777777" w:rsidTr="00C12335">
        <w:trPr>
          <w:jc w:val="center"/>
        </w:trPr>
        <w:tc>
          <w:tcPr>
            <w:tcW w:w="562" w:type="dxa"/>
            <w:tcBorders>
              <w:right w:val="nil"/>
            </w:tcBorders>
            <w:shd w:val="clear" w:color="auto" w:fill="auto"/>
            <w:tcMar>
              <w:top w:w="85" w:type="dxa"/>
              <w:left w:w="85" w:type="dxa"/>
              <w:bottom w:w="85" w:type="dxa"/>
            </w:tcMar>
          </w:tcPr>
          <w:p w14:paraId="4FD06AA3"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0997D545" w14:textId="77777777" w:rsidR="00AB66A8" w:rsidRPr="003F3A64" w:rsidRDefault="00AB66A8" w:rsidP="005336FA">
            <w:pPr>
              <w:jc w:val="both"/>
              <w:rPr>
                <w:rFonts w:cs="Calibri"/>
                <w:noProof/>
              </w:rPr>
            </w:pPr>
            <w:r>
              <w:rPr>
                <w:noProof/>
              </w:rPr>
              <w:t>Vorschlag für eine VERORDNUNG DES EUROPÄISCHEN PARLAMENTS UND DES RATES über die Europäische Agentur für die Sicherheit des Seeverkehrs und zur Aufhebung der Verordnung (EG) Nr. 1406/2002</w:t>
            </w:r>
          </w:p>
        </w:tc>
        <w:tc>
          <w:tcPr>
            <w:tcW w:w="2003" w:type="dxa"/>
            <w:tcMar>
              <w:top w:w="85" w:type="dxa"/>
              <w:left w:w="85" w:type="dxa"/>
              <w:bottom w:w="85" w:type="dxa"/>
            </w:tcMar>
          </w:tcPr>
          <w:p w14:paraId="20DD7AAE" w14:textId="57AB5402" w:rsidR="00AB66A8" w:rsidRPr="003F3A64" w:rsidRDefault="00AB66A8" w:rsidP="006C6FCD">
            <w:pPr>
              <w:rPr>
                <w:rFonts w:cs="Calibri"/>
                <w:bCs/>
                <w:noProof/>
              </w:rPr>
            </w:pPr>
            <w:r>
              <w:rPr>
                <w:noProof/>
              </w:rPr>
              <w:t>COM(2023) 269 final</w:t>
            </w:r>
            <w:r>
              <w:rPr>
                <w:noProof/>
              </w:rPr>
              <w:br/>
              <w:t>2023/0163(COD)</w:t>
            </w:r>
            <w:r>
              <w:rPr>
                <w:noProof/>
              </w:rPr>
              <w:br/>
              <w:t>1.6.2023</w:t>
            </w:r>
          </w:p>
        </w:tc>
      </w:tr>
      <w:tr w:rsidR="00AB66A8" w:rsidRPr="006C1C34" w14:paraId="57C3CDAE" w14:textId="77777777" w:rsidTr="00C12335">
        <w:trPr>
          <w:jc w:val="center"/>
        </w:trPr>
        <w:tc>
          <w:tcPr>
            <w:tcW w:w="562" w:type="dxa"/>
            <w:tcBorders>
              <w:right w:val="nil"/>
            </w:tcBorders>
            <w:shd w:val="clear" w:color="auto" w:fill="auto"/>
            <w:tcMar>
              <w:top w:w="85" w:type="dxa"/>
              <w:left w:w="85" w:type="dxa"/>
              <w:bottom w:w="85" w:type="dxa"/>
            </w:tcMar>
          </w:tcPr>
          <w:p w14:paraId="135829ED"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384D3659" w14:textId="77777777" w:rsidR="00AB66A8" w:rsidRPr="00C86868" w:rsidRDefault="00AB66A8" w:rsidP="005336FA">
            <w:pPr>
              <w:jc w:val="both"/>
              <w:rPr>
                <w:rFonts w:cs="Calibri"/>
                <w:noProof/>
              </w:rPr>
            </w:pPr>
            <w:r>
              <w:rPr>
                <w:noProof/>
              </w:rPr>
              <w:t>Vorschlag für eine RICHTLINIE DES RATES zur Änderung der Richtlinie 2006/112/EG in Bezug auf Mehrwertsteuervorschriften betreffend Steuerpflichtige, die Fernverkäufe eingeführter Gegenstände unterstützen, die Anwendung der Sonderregelung für Fernverkäufe von aus Drittgebieten oder Drittländern eingeführten Gegenständen und die Sonderregelungen für die Erklärung und Entrichtung der Mehrwertsteuer bei der Einfuhr</w:t>
            </w:r>
          </w:p>
        </w:tc>
        <w:tc>
          <w:tcPr>
            <w:tcW w:w="2003" w:type="dxa"/>
            <w:tcMar>
              <w:top w:w="85" w:type="dxa"/>
              <w:left w:w="85" w:type="dxa"/>
              <w:bottom w:w="85" w:type="dxa"/>
            </w:tcMar>
          </w:tcPr>
          <w:p w14:paraId="052AD897" w14:textId="5CD1D939" w:rsidR="00AB66A8" w:rsidRPr="006019CB" w:rsidRDefault="00AB66A8" w:rsidP="006C6FCD">
            <w:pPr>
              <w:rPr>
                <w:noProof/>
              </w:rPr>
            </w:pPr>
            <w:r>
              <w:rPr>
                <w:noProof/>
              </w:rPr>
              <w:t>COM(2023) 262 final</w:t>
            </w:r>
            <w:r>
              <w:rPr>
                <w:noProof/>
              </w:rPr>
              <w:br/>
              <w:t>2023/0158(CNS)</w:t>
            </w:r>
            <w:r>
              <w:rPr>
                <w:noProof/>
              </w:rPr>
              <w:br/>
              <w:t>17.5.2023</w:t>
            </w:r>
          </w:p>
        </w:tc>
      </w:tr>
      <w:tr w:rsidR="00AB66A8" w:rsidRPr="006C1C34" w14:paraId="32D377BC" w14:textId="77777777" w:rsidTr="00C12335">
        <w:trPr>
          <w:jc w:val="center"/>
        </w:trPr>
        <w:tc>
          <w:tcPr>
            <w:tcW w:w="562" w:type="dxa"/>
            <w:tcBorders>
              <w:right w:val="nil"/>
            </w:tcBorders>
            <w:shd w:val="clear" w:color="auto" w:fill="auto"/>
            <w:tcMar>
              <w:top w:w="85" w:type="dxa"/>
              <w:left w:w="85" w:type="dxa"/>
              <w:bottom w:w="85" w:type="dxa"/>
            </w:tcMar>
          </w:tcPr>
          <w:p w14:paraId="0DB6683A"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29C92EA5" w14:textId="77777777" w:rsidR="00AB66A8" w:rsidRPr="009022CF" w:rsidRDefault="00AB66A8" w:rsidP="005336FA">
            <w:pPr>
              <w:jc w:val="both"/>
              <w:rPr>
                <w:rFonts w:cs="Calibri"/>
                <w:noProof/>
                <w:color w:val="000000" w:themeColor="text1"/>
              </w:rPr>
            </w:pPr>
            <w:r>
              <w:rPr>
                <w:noProof/>
              </w:rPr>
              <w:t>Vorschlag für eine VERORDNUNG DES RATES zur Änderung der Verordnung (EWG) Nr. 2658/87 hinsichtlich der Einführung einer vereinfachten zolltariflichen Behandlung von Fernverkäufen von Waren und der Verordnung (EG) Nr. 1186/2009 hinsichtlich der Abschaffung des Schwellenwerts für die Zollbefreiung</w:t>
            </w:r>
          </w:p>
        </w:tc>
        <w:tc>
          <w:tcPr>
            <w:tcW w:w="2003" w:type="dxa"/>
            <w:tcMar>
              <w:top w:w="85" w:type="dxa"/>
              <w:left w:w="85" w:type="dxa"/>
              <w:bottom w:w="85" w:type="dxa"/>
            </w:tcMar>
          </w:tcPr>
          <w:p w14:paraId="260F44E9" w14:textId="37EA6AF9" w:rsidR="00AB66A8" w:rsidRPr="006019CB" w:rsidRDefault="00AB66A8" w:rsidP="006C6FCD">
            <w:pPr>
              <w:rPr>
                <w:noProof/>
              </w:rPr>
            </w:pPr>
            <w:r>
              <w:rPr>
                <w:noProof/>
              </w:rPr>
              <w:t>COM(2023) 259 final</w:t>
            </w:r>
            <w:r>
              <w:rPr>
                <w:noProof/>
              </w:rPr>
              <w:br/>
              <w:t>2023/0157(NLE)</w:t>
            </w:r>
            <w:r>
              <w:rPr>
                <w:noProof/>
              </w:rPr>
              <w:br/>
              <w:t>17.5.2023</w:t>
            </w:r>
          </w:p>
        </w:tc>
      </w:tr>
      <w:tr w:rsidR="00AB66A8" w:rsidRPr="006C1C34" w14:paraId="5FAE061C" w14:textId="77777777" w:rsidTr="00C12335">
        <w:trPr>
          <w:jc w:val="center"/>
        </w:trPr>
        <w:tc>
          <w:tcPr>
            <w:tcW w:w="562" w:type="dxa"/>
            <w:tcBorders>
              <w:right w:val="nil"/>
            </w:tcBorders>
            <w:shd w:val="clear" w:color="auto" w:fill="auto"/>
            <w:tcMar>
              <w:top w:w="85" w:type="dxa"/>
              <w:left w:w="85" w:type="dxa"/>
              <w:bottom w:w="85" w:type="dxa"/>
            </w:tcMar>
          </w:tcPr>
          <w:p w14:paraId="75A54002"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5F958F53" w14:textId="77777777" w:rsidR="00AB66A8" w:rsidRPr="00530BD8" w:rsidRDefault="00AB66A8" w:rsidP="005336FA">
            <w:pPr>
              <w:jc w:val="both"/>
              <w:rPr>
                <w:noProof/>
              </w:rPr>
            </w:pPr>
            <w:r>
              <w:rPr>
                <w:noProof/>
              </w:rPr>
              <w:t>Vorschlag für eine VERORDNUNG DES EUROPÄISCHEN PARLAMENTS UND DES RATES zur Festlegung des Zollkodex der Union und zur Einrichtung der Zollbehörde der Europäischen Union sowie zur Aufhebung der Verordnung (EU) Nr. 952/2013</w:t>
            </w:r>
          </w:p>
        </w:tc>
        <w:tc>
          <w:tcPr>
            <w:tcW w:w="2003" w:type="dxa"/>
            <w:tcMar>
              <w:top w:w="85" w:type="dxa"/>
              <w:left w:w="85" w:type="dxa"/>
              <w:bottom w:w="85" w:type="dxa"/>
            </w:tcMar>
          </w:tcPr>
          <w:p w14:paraId="07A85413" w14:textId="1806F09A" w:rsidR="00AB66A8" w:rsidRPr="003F3A64" w:rsidRDefault="00AB66A8" w:rsidP="006C6FCD">
            <w:pPr>
              <w:rPr>
                <w:noProof/>
              </w:rPr>
            </w:pPr>
            <w:r>
              <w:rPr>
                <w:noProof/>
              </w:rPr>
              <w:t>COM(2023) 258 final</w:t>
            </w:r>
            <w:r>
              <w:rPr>
                <w:noProof/>
              </w:rPr>
              <w:br/>
              <w:t>2023/0156(COD)</w:t>
            </w:r>
            <w:r>
              <w:rPr>
                <w:noProof/>
              </w:rPr>
              <w:br/>
              <w:t>17.5.2023</w:t>
            </w:r>
          </w:p>
        </w:tc>
      </w:tr>
      <w:tr w:rsidR="00AB66A8" w:rsidRPr="006C1C34" w14:paraId="65EF8F87" w14:textId="77777777" w:rsidTr="00C12335">
        <w:trPr>
          <w:jc w:val="center"/>
        </w:trPr>
        <w:tc>
          <w:tcPr>
            <w:tcW w:w="562" w:type="dxa"/>
            <w:tcBorders>
              <w:right w:val="nil"/>
            </w:tcBorders>
            <w:shd w:val="clear" w:color="auto" w:fill="auto"/>
            <w:tcMar>
              <w:top w:w="85" w:type="dxa"/>
              <w:left w:w="85" w:type="dxa"/>
              <w:bottom w:w="85" w:type="dxa"/>
            </w:tcMar>
          </w:tcPr>
          <w:p w14:paraId="49BC8CC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1715C4C" w14:textId="77777777" w:rsidR="00AB66A8" w:rsidRPr="006C1C34" w:rsidRDefault="00AB66A8" w:rsidP="005336FA">
            <w:pPr>
              <w:jc w:val="both"/>
              <w:rPr>
                <w:rFonts w:cs="Calibri"/>
                <w:noProof/>
              </w:rPr>
            </w:pPr>
            <w:r>
              <w:rPr>
                <w:noProof/>
              </w:rPr>
              <w:t>Vorschlag für eine RICHTLINIE DES EUROPÄISCHEN PARLAMENTS UND DES RATES zur Änderung der Richtlinie 2014/49/EU im Hinblick auf den Anwendungsbereich der Einlagensicherung, die Verwendung der Mittel aus Einlagensicherungssystemen, die grenzüberschreitende Zusammenarbeit und die Transparenz</w:t>
            </w:r>
          </w:p>
        </w:tc>
        <w:tc>
          <w:tcPr>
            <w:tcW w:w="2003" w:type="dxa"/>
            <w:tcMar>
              <w:top w:w="85" w:type="dxa"/>
              <w:left w:w="85" w:type="dxa"/>
              <w:bottom w:w="85" w:type="dxa"/>
            </w:tcMar>
          </w:tcPr>
          <w:p w14:paraId="54EEBDAE" w14:textId="5673576F" w:rsidR="00AB66A8" w:rsidRPr="006C1C34" w:rsidRDefault="00AB66A8" w:rsidP="006C6FCD">
            <w:pPr>
              <w:rPr>
                <w:noProof/>
              </w:rPr>
            </w:pPr>
            <w:r>
              <w:rPr>
                <w:noProof/>
              </w:rPr>
              <w:t>COM(2023) 228 final</w:t>
            </w:r>
            <w:r>
              <w:rPr>
                <w:noProof/>
              </w:rPr>
              <w:br/>
              <w:t>2023/0115(COD)</w:t>
            </w:r>
            <w:r>
              <w:rPr>
                <w:noProof/>
              </w:rPr>
              <w:br/>
              <w:t>18.4.2023</w:t>
            </w:r>
          </w:p>
        </w:tc>
      </w:tr>
      <w:tr w:rsidR="00AB66A8" w:rsidRPr="006C1C34" w14:paraId="7DC3D948" w14:textId="77777777" w:rsidTr="00C12335">
        <w:trPr>
          <w:jc w:val="center"/>
        </w:trPr>
        <w:tc>
          <w:tcPr>
            <w:tcW w:w="562" w:type="dxa"/>
            <w:tcBorders>
              <w:right w:val="nil"/>
            </w:tcBorders>
            <w:shd w:val="clear" w:color="auto" w:fill="auto"/>
            <w:tcMar>
              <w:top w:w="85" w:type="dxa"/>
              <w:left w:w="85" w:type="dxa"/>
              <w:bottom w:w="85" w:type="dxa"/>
            </w:tcMar>
          </w:tcPr>
          <w:p w14:paraId="32622DA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B7DF997" w14:textId="77777777" w:rsidR="00AB66A8" w:rsidRPr="006C1C34" w:rsidRDefault="00AB66A8" w:rsidP="005336FA">
            <w:pPr>
              <w:jc w:val="both"/>
              <w:rPr>
                <w:rFonts w:cs="Calibri"/>
                <w:noProof/>
              </w:rPr>
            </w:pPr>
            <w:r>
              <w:rPr>
                <w:noProof/>
                <w:color w:val="000000"/>
              </w:rPr>
              <w:t>Vorschlag für eine RICHTLINIE DES EUROPÄISCHEN PARLAMENTS UND DES RATES zur Änderung der Richtlinie 2014/59/EU im Hinblick auf Frühinterventionsmaßnahmen, Abwicklungsvoraussetzungen und die Finanzierung von Abwicklungsmaßnahmen</w:t>
            </w:r>
          </w:p>
        </w:tc>
        <w:tc>
          <w:tcPr>
            <w:tcW w:w="2003" w:type="dxa"/>
            <w:tcMar>
              <w:top w:w="85" w:type="dxa"/>
              <w:left w:w="85" w:type="dxa"/>
              <w:bottom w:w="85" w:type="dxa"/>
            </w:tcMar>
          </w:tcPr>
          <w:p w14:paraId="2ADD1037" w14:textId="49FAC9E4" w:rsidR="00AB66A8" w:rsidRPr="006C1C34" w:rsidRDefault="00AB66A8" w:rsidP="006C6FCD">
            <w:pPr>
              <w:rPr>
                <w:noProof/>
              </w:rPr>
            </w:pPr>
            <w:r>
              <w:rPr>
                <w:noProof/>
              </w:rPr>
              <w:t>COM(2023) 227 final</w:t>
            </w:r>
            <w:r>
              <w:rPr>
                <w:noProof/>
              </w:rPr>
              <w:br/>
              <w:t>2023/0112(COD)</w:t>
            </w:r>
            <w:r>
              <w:rPr>
                <w:noProof/>
              </w:rPr>
              <w:br/>
              <w:t>18.4.2023</w:t>
            </w:r>
          </w:p>
        </w:tc>
      </w:tr>
      <w:tr w:rsidR="00AB66A8" w:rsidRPr="006C1C34" w14:paraId="2CE6D98F" w14:textId="77777777" w:rsidTr="00C12335">
        <w:trPr>
          <w:jc w:val="center"/>
        </w:trPr>
        <w:tc>
          <w:tcPr>
            <w:tcW w:w="562" w:type="dxa"/>
            <w:tcBorders>
              <w:right w:val="nil"/>
            </w:tcBorders>
            <w:shd w:val="clear" w:color="auto" w:fill="auto"/>
            <w:tcMar>
              <w:top w:w="85" w:type="dxa"/>
              <w:left w:w="85" w:type="dxa"/>
              <w:bottom w:w="85" w:type="dxa"/>
            </w:tcMar>
          </w:tcPr>
          <w:p w14:paraId="5D738E0C"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51D5BF8" w14:textId="77777777" w:rsidR="00AB66A8" w:rsidRPr="006C1C34" w:rsidRDefault="00AB66A8" w:rsidP="005336FA">
            <w:pPr>
              <w:jc w:val="both"/>
              <w:rPr>
                <w:rFonts w:cs="Calibri"/>
                <w:noProof/>
                <w:color w:val="000000"/>
              </w:rPr>
            </w:pPr>
            <w:r>
              <w:rPr>
                <w:noProof/>
              </w:rPr>
              <w:t>Vorschlag für eine VERORDNUNG DES EUROPÄISCHEN PARLAMENTS UND DES RATES zur Änderung der Verordnung (EU) Nr. 806/2014 im Hinblick auf Frühinterventionsmaßnahmen, Abwicklungsvoraussetzungen und die Finanzierung von Abwicklungsmaßnahmen</w:t>
            </w:r>
          </w:p>
        </w:tc>
        <w:tc>
          <w:tcPr>
            <w:tcW w:w="2003" w:type="dxa"/>
            <w:tcMar>
              <w:top w:w="85" w:type="dxa"/>
              <w:left w:w="85" w:type="dxa"/>
              <w:bottom w:w="85" w:type="dxa"/>
            </w:tcMar>
          </w:tcPr>
          <w:p w14:paraId="425E0B5D" w14:textId="27AA079B" w:rsidR="00AB66A8" w:rsidRPr="006C1C34" w:rsidRDefault="00AB66A8" w:rsidP="006C6FCD">
            <w:pPr>
              <w:rPr>
                <w:noProof/>
              </w:rPr>
            </w:pPr>
            <w:r>
              <w:rPr>
                <w:noProof/>
              </w:rPr>
              <w:t>COM(2023) 226 final</w:t>
            </w:r>
            <w:r>
              <w:rPr>
                <w:noProof/>
              </w:rPr>
              <w:br/>
              <w:t>2023/0111(COD)</w:t>
            </w:r>
            <w:r>
              <w:rPr>
                <w:noProof/>
              </w:rPr>
              <w:br/>
              <w:t>18.4.2023</w:t>
            </w:r>
          </w:p>
        </w:tc>
      </w:tr>
      <w:tr w:rsidR="00AB66A8" w:rsidRPr="006C1C34" w14:paraId="61749AB7"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2F35169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22AFADCA" w14:textId="77777777" w:rsidR="00AB66A8" w:rsidRPr="006C1C34" w:rsidRDefault="00AB66A8" w:rsidP="005336FA">
            <w:pPr>
              <w:jc w:val="both"/>
              <w:rPr>
                <w:noProof/>
              </w:rPr>
            </w:pPr>
            <w:r>
              <w:rPr>
                <w:noProof/>
              </w:rPr>
              <w:t>Vorschlag für eine VERORDNUNG DES EUROPÄISCHEN PARLAMENTS UND DES RATES über die Vergabe von Zwangslizenzen für das Krisenmanagement sowie zur Änderung der Verordnung (EG) Nr. 816/2006</w:t>
            </w:r>
          </w:p>
        </w:tc>
        <w:tc>
          <w:tcPr>
            <w:tcW w:w="2003" w:type="dxa"/>
            <w:tcBorders>
              <w:bottom w:val="single" w:sz="4" w:space="0" w:color="auto"/>
            </w:tcBorders>
            <w:tcMar>
              <w:top w:w="85" w:type="dxa"/>
              <w:left w:w="85" w:type="dxa"/>
              <w:bottom w:w="85" w:type="dxa"/>
            </w:tcMar>
          </w:tcPr>
          <w:p w14:paraId="48AAF48D" w14:textId="368B4995" w:rsidR="00AB66A8" w:rsidRPr="006C1C34" w:rsidRDefault="00AB66A8" w:rsidP="006C6FCD">
            <w:pPr>
              <w:rPr>
                <w:noProof/>
              </w:rPr>
            </w:pPr>
            <w:r>
              <w:rPr>
                <w:noProof/>
              </w:rPr>
              <w:t>COM(2023) 224 final</w:t>
            </w:r>
            <w:r>
              <w:rPr>
                <w:noProof/>
              </w:rPr>
              <w:br/>
              <w:t>2023/0129(COD)</w:t>
            </w:r>
            <w:r>
              <w:rPr>
                <w:noProof/>
              </w:rPr>
              <w:br/>
              <w:t>27.4.2023</w:t>
            </w:r>
          </w:p>
        </w:tc>
      </w:tr>
      <w:tr w:rsidR="00AB66A8" w:rsidRPr="006C1C34" w14:paraId="0618CF83" w14:textId="77777777" w:rsidTr="00C12335">
        <w:trPr>
          <w:jc w:val="center"/>
        </w:trPr>
        <w:tc>
          <w:tcPr>
            <w:tcW w:w="562" w:type="dxa"/>
            <w:tcBorders>
              <w:bottom w:val="nil"/>
              <w:right w:val="nil"/>
            </w:tcBorders>
            <w:shd w:val="clear" w:color="auto" w:fill="auto"/>
            <w:tcMar>
              <w:top w:w="85" w:type="dxa"/>
              <w:left w:w="85" w:type="dxa"/>
              <w:bottom w:w="85" w:type="dxa"/>
            </w:tcMar>
          </w:tcPr>
          <w:p w14:paraId="516041FC" w14:textId="77777777" w:rsidR="00AB66A8" w:rsidRPr="006C1C3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74D042C6" w14:textId="77777777" w:rsidR="00AB66A8" w:rsidRPr="006C1C34" w:rsidRDefault="00AB66A8" w:rsidP="005336FA">
            <w:pPr>
              <w:jc w:val="both"/>
              <w:rPr>
                <w:noProof/>
              </w:rPr>
            </w:pPr>
            <w:r>
              <w:rPr>
                <w:noProof/>
              </w:rPr>
              <w:t>Vorschlag für eine VERORDNUNG DES EUROPÄISCHEN PARLAMENTS UND DES RATES über das ergänzende Schutzzertifikat für Arzneimittel (Neufassung)</w:t>
            </w:r>
          </w:p>
        </w:tc>
        <w:tc>
          <w:tcPr>
            <w:tcW w:w="2003" w:type="dxa"/>
            <w:tcBorders>
              <w:bottom w:val="nil"/>
            </w:tcBorders>
            <w:tcMar>
              <w:top w:w="85" w:type="dxa"/>
              <w:left w:w="85" w:type="dxa"/>
              <w:bottom w:w="85" w:type="dxa"/>
            </w:tcMar>
          </w:tcPr>
          <w:p w14:paraId="749EAB26" w14:textId="4C6A827A" w:rsidR="00AB66A8" w:rsidRPr="006C1C34" w:rsidRDefault="00AB66A8" w:rsidP="006C6FCD">
            <w:pPr>
              <w:rPr>
                <w:noProof/>
              </w:rPr>
            </w:pPr>
            <w:r>
              <w:rPr>
                <w:noProof/>
              </w:rPr>
              <w:t>COM(2023) 231 final</w:t>
            </w:r>
            <w:r>
              <w:rPr>
                <w:noProof/>
              </w:rPr>
              <w:br/>
              <w:t>2023/0130(COD)</w:t>
            </w:r>
            <w:r>
              <w:rPr>
                <w:noProof/>
              </w:rPr>
              <w:br/>
              <w:t>27.4.2023</w:t>
            </w:r>
          </w:p>
        </w:tc>
      </w:tr>
      <w:tr w:rsidR="00AB66A8" w:rsidRPr="006C1C34" w14:paraId="66AA479E"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00DD8E10"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4E9FBB80" w14:textId="77777777" w:rsidR="00AB66A8" w:rsidRPr="00F21D3C" w:rsidRDefault="00AB66A8" w:rsidP="005336FA">
            <w:pPr>
              <w:jc w:val="both"/>
              <w:rPr>
                <w:noProof/>
              </w:rPr>
            </w:pPr>
            <w:r>
              <w:rPr>
                <w:noProof/>
              </w:rPr>
              <w:t>Vorschlag für eine VERORDNUNG DES EUROPÄISCHEN PARLAMENTS UND DES RATES über das ergänzende Schutzzertifikat für Pflanzenschutzmittel (Neufassung)</w:t>
            </w:r>
          </w:p>
        </w:tc>
        <w:tc>
          <w:tcPr>
            <w:tcW w:w="2003" w:type="dxa"/>
            <w:tcBorders>
              <w:top w:val="nil"/>
              <w:bottom w:val="nil"/>
            </w:tcBorders>
            <w:tcMar>
              <w:top w:w="85" w:type="dxa"/>
              <w:left w:w="85" w:type="dxa"/>
              <w:bottom w:w="85" w:type="dxa"/>
            </w:tcMar>
          </w:tcPr>
          <w:p w14:paraId="60E90679" w14:textId="3316ED6E" w:rsidR="00AB66A8" w:rsidRPr="00006850" w:rsidRDefault="00AB66A8" w:rsidP="006C6FCD">
            <w:pPr>
              <w:rPr>
                <w:noProof/>
                <w:highlight w:val="lightGray"/>
              </w:rPr>
            </w:pPr>
            <w:r>
              <w:rPr>
                <w:noProof/>
              </w:rPr>
              <w:t>COM(2023) 223 final</w:t>
            </w:r>
            <w:r>
              <w:rPr>
                <w:noProof/>
              </w:rPr>
              <w:br/>
              <w:t>2023/0128(COD)</w:t>
            </w:r>
            <w:r>
              <w:rPr>
                <w:noProof/>
              </w:rPr>
              <w:br/>
              <w:t>27.4.2023</w:t>
            </w:r>
          </w:p>
        </w:tc>
      </w:tr>
      <w:tr w:rsidR="00AB66A8" w:rsidRPr="006C1C34" w14:paraId="75A0571A"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2D8A5550"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2EF79A88" w14:textId="77777777" w:rsidR="00AB66A8" w:rsidRPr="006C1C34" w:rsidRDefault="00AB66A8" w:rsidP="005336FA">
            <w:pPr>
              <w:jc w:val="both"/>
              <w:rPr>
                <w:noProof/>
              </w:rPr>
            </w:pPr>
            <w:r>
              <w:rPr>
                <w:noProof/>
              </w:rPr>
              <w:t>Vorschlag für eine VERORDNUNG DES EUROPÄISCHEN PARLAMENTS UND DES RATES über das einheitliche ergänzende Zertifikat für Arzneimittel und zur Änderung der Verordnung (EU) 2017/1001, der Verordnung (EG) Nr. 1901/2006 und der Verordnung (EU) Nr. 608/2013</w:t>
            </w:r>
          </w:p>
        </w:tc>
        <w:tc>
          <w:tcPr>
            <w:tcW w:w="2003" w:type="dxa"/>
            <w:tcBorders>
              <w:top w:val="nil"/>
              <w:bottom w:val="nil"/>
            </w:tcBorders>
            <w:tcMar>
              <w:top w:w="85" w:type="dxa"/>
              <w:left w:w="85" w:type="dxa"/>
              <w:bottom w:w="85" w:type="dxa"/>
            </w:tcMar>
          </w:tcPr>
          <w:p w14:paraId="6BF01D48" w14:textId="2C7BBF5F" w:rsidR="00AB66A8" w:rsidRPr="006C1C34" w:rsidRDefault="00AB66A8" w:rsidP="006C6FCD">
            <w:pPr>
              <w:rPr>
                <w:noProof/>
              </w:rPr>
            </w:pPr>
            <w:r>
              <w:rPr>
                <w:noProof/>
              </w:rPr>
              <w:t>COM(2023) 222 final</w:t>
            </w:r>
            <w:r>
              <w:rPr>
                <w:noProof/>
              </w:rPr>
              <w:br/>
              <w:t>2023/0127(COD)</w:t>
            </w:r>
            <w:r>
              <w:rPr>
                <w:noProof/>
              </w:rPr>
              <w:br/>
              <w:t>27.4.2023</w:t>
            </w:r>
          </w:p>
        </w:tc>
      </w:tr>
      <w:tr w:rsidR="00AB66A8" w:rsidRPr="006C1C34" w14:paraId="203F2B5A"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233A7BB4"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15A87A97" w14:textId="77777777" w:rsidR="00AB66A8" w:rsidRPr="006C1C34" w:rsidRDefault="00AB66A8" w:rsidP="005336FA">
            <w:pPr>
              <w:jc w:val="both"/>
              <w:rPr>
                <w:noProof/>
              </w:rPr>
            </w:pPr>
            <w:r>
              <w:rPr>
                <w:noProof/>
              </w:rPr>
              <w:t>Vorschlag für eine VERORDNUNG DES EUROPÄISCHEN PARLAMENTS UND DES RATES über das einheitliche ergänzende Schutzzertifikat für Pflanzenschutzmittel</w:t>
            </w:r>
          </w:p>
        </w:tc>
        <w:tc>
          <w:tcPr>
            <w:tcW w:w="2003" w:type="dxa"/>
            <w:tcBorders>
              <w:top w:val="nil"/>
              <w:bottom w:val="nil"/>
            </w:tcBorders>
            <w:tcMar>
              <w:top w:w="85" w:type="dxa"/>
              <w:left w:w="85" w:type="dxa"/>
              <w:bottom w:w="85" w:type="dxa"/>
            </w:tcMar>
          </w:tcPr>
          <w:p w14:paraId="7B73B04B" w14:textId="0A289E14" w:rsidR="00AB66A8" w:rsidRPr="006C1C34" w:rsidRDefault="00AB66A8" w:rsidP="006C6FCD">
            <w:pPr>
              <w:rPr>
                <w:noProof/>
              </w:rPr>
            </w:pPr>
            <w:r>
              <w:rPr>
                <w:noProof/>
              </w:rPr>
              <w:t>COM(2023) 221 final</w:t>
            </w:r>
            <w:r>
              <w:rPr>
                <w:noProof/>
              </w:rPr>
              <w:br/>
              <w:t>2023/0126(COD)</w:t>
            </w:r>
            <w:r>
              <w:rPr>
                <w:noProof/>
              </w:rPr>
              <w:br/>
              <w:t>27.4.2023</w:t>
            </w:r>
          </w:p>
        </w:tc>
      </w:tr>
      <w:tr w:rsidR="00AB66A8" w:rsidRPr="006C1C34" w:rsidDel="00A52B94" w14:paraId="58C67074" w14:textId="77777777" w:rsidTr="00C12335">
        <w:trPr>
          <w:jc w:val="center"/>
        </w:trPr>
        <w:tc>
          <w:tcPr>
            <w:tcW w:w="562" w:type="dxa"/>
            <w:tcBorders>
              <w:right w:val="nil"/>
            </w:tcBorders>
            <w:shd w:val="clear" w:color="auto" w:fill="auto"/>
            <w:tcMar>
              <w:top w:w="85" w:type="dxa"/>
              <w:left w:w="85" w:type="dxa"/>
              <w:bottom w:w="85" w:type="dxa"/>
            </w:tcMar>
          </w:tcPr>
          <w:p w14:paraId="326EEA25" w14:textId="77777777" w:rsidR="00AB66A8" w:rsidRPr="006C1C34" w:rsidDel="00A52B9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64196E19" w14:textId="77777777" w:rsidR="00AB66A8" w:rsidRPr="006C1C34" w:rsidRDefault="00AB66A8" w:rsidP="005336FA">
            <w:pPr>
              <w:jc w:val="both"/>
              <w:rPr>
                <w:bCs/>
                <w:noProof/>
              </w:rPr>
            </w:pPr>
            <w:r>
              <w:rPr>
                <w:noProof/>
              </w:rPr>
              <w:t>Vorschlag für eine VERORDNUNG DES EUROPÄISCHEN PARLAMENTS UND DES RATES über Detergenzien und Tenside, zur Änderung der Verordnung (EU) 2019/1020 und zur Aufhebung der Verordnung (EG) Nr. 648/2004</w:t>
            </w:r>
          </w:p>
        </w:tc>
        <w:tc>
          <w:tcPr>
            <w:tcW w:w="2003" w:type="dxa"/>
            <w:tcBorders>
              <w:bottom w:val="nil"/>
            </w:tcBorders>
            <w:tcMar>
              <w:top w:w="85" w:type="dxa"/>
              <w:left w:w="85" w:type="dxa"/>
              <w:bottom w:w="85" w:type="dxa"/>
            </w:tcMar>
          </w:tcPr>
          <w:p w14:paraId="3EA19B0F" w14:textId="53E05602" w:rsidR="00AB66A8" w:rsidRPr="006C1C34" w:rsidRDefault="00AB66A8" w:rsidP="006C6FCD">
            <w:pPr>
              <w:rPr>
                <w:bCs/>
                <w:noProof/>
              </w:rPr>
            </w:pPr>
            <w:r>
              <w:rPr>
                <w:noProof/>
              </w:rPr>
              <w:t>COM(2023) 217 final</w:t>
            </w:r>
            <w:r>
              <w:rPr>
                <w:noProof/>
              </w:rPr>
              <w:br/>
              <w:t>2023/0124(COD)</w:t>
            </w:r>
            <w:r>
              <w:rPr>
                <w:noProof/>
              </w:rPr>
              <w:br/>
              <w:t>28.4.2023</w:t>
            </w:r>
          </w:p>
        </w:tc>
      </w:tr>
      <w:tr w:rsidR="00AB66A8" w:rsidRPr="006C1C34" w:rsidDel="00A52B94" w14:paraId="5F00EC55" w14:textId="77777777" w:rsidTr="00C12335">
        <w:trPr>
          <w:jc w:val="center"/>
        </w:trPr>
        <w:tc>
          <w:tcPr>
            <w:tcW w:w="562" w:type="dxa"/>
            <w:vMerge w:val="restart"/>
            <w:tcBorders>
              <w:right w:val="nil"/>
            </w:tcBorders>
            <w:shd w:val="clear" w:color="auto" w:fill="auto"/>
            <w:tcMar>
              <w:top w:w="85" w:type="dxa"/>
              <w:left w:w="85" w:type="dxa"/>
              <w:bottom w:w="85" w:type="dxa"/>
            </w:tcMar>
          </w:tcPr>
          <w:p w14:paraId="4FD50275" w14:textId="77777777" w:rsidR="00AB66A8" w:rsidRPr="006C1C34" w:rsidDel="00A52B9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39CC270F" w14:textId="77777777" w:rsidR="00AB66A8" w:rsidRPr="006C1C34" w:rsidDel="00A52B94" w:rsidRDefault="00AB66A8" w:rsidP="005336FA">
            <w:pPr>
              <w:jc w:val="both"/>
              <w:rPr>
                <w:rFonts w:cs="Calibri"/>
                <w:noProof/>
              </w:rPr>
            </w:pPr>
            <w:r>
              <w:rPr>
                <w:noProof/>
              </w:rPr>
              <w:t>Vorschlag für eine VERORDNUNG DES EUROPÄISCHEN PARLAMENTS UND DES RATES zur Festlegung der Verfahren der Union für die Zulassung und Überwachung von Humanarzneimitteln und zur Festlegung von Vorschriften für die Europäische Arzneimittel-Agentur, zur Änderung der Verordnung (EG) Nr. 1394/2007 und der Verordnung (EU) Nr. 536/2014 sowie zur Aufhebung der Verordnung (EG) Nr. 726/2004, der Verordnung (EG) Nr. 141/2000 und der Verordnung (EG) Nr. 1901/2006</w:t>
            </w:r>
          </w:p>
        </w:tc>
        <w:tc>
          <w:tcPr>
            <w:tcW w:w="2003" w:type="dxa"/>
            <w:tcBorders>
              <w:bottom w:val="nil"/>
            </w:tcBorders>
            <w:tcMar>
              <w:top w:w="85" w:type="dxa"/>
              <w:left w:w="85" w:type="dxa"/>
              <w:bottom w:w="85" w:type="dxa"/>
            </w:tcMar>
          </w:tcPr>
          <w:p w14:paraId="68033B25" w14:textId="4FC57F0D" w:rsidR="00AB66A8" w:rsidRPr="006C1C34" w:rsidDel="00A52B94" w:rsidRDefault="00AB66A8" w:rsidP="006C6FCD">
            <w:pPr>
              <w:rPr>
                <w:noProof/>
              </w:rPr>
            </w:pPr>
            <w:r>
              <w:rPr>
                <w:noProof/>
              </w:rPr>
              <w:t>COM(2023) 193 final</w:t>
            </w:r>
            <w:r>
              <w:rPr>
                <w:noProof/>
              </w:rPr>
              <w:br/>
              <w:t>2023/0131(COD)</w:t>
            </w:r>
            <w:r>
              <w:rPr>
                <w:noProof/>
              </w:rPr>
              <w:br/>
              <w:t>26.4.2023</w:t>
            </w:r>
          </w:p>
        </w:tc>
      </w:tr>
      <w:tr w:rsidR="00AB66A8" w:rsidRPr="006C1C34" w:rsidDel="00A52B94" w14:paraId="4218A2ED" w14:textId="77777777" w:rsidTr="00C12335">
        <w:trPr>
          <w:jc w:val="center"/>
        </w:trPr>
        <w:tc>
          <w:tcPr>
            <w:tcW w:w="562" w:type="dxa"/>
            <w:vMerge/>
            <w:tcMar>
              <w:top w:w="85" w:type="dxa"/>
              <w:left w:w="85" w:type="dxa"/>
              <w:bottom w:w="85" w:type="dxa"/>
            </w:tcMar>
          </w:tcPr>
          <w:p w14:paraId="41775651" w14:textId="77777777" w:rsidR="00AB66A8" w:rsidRPr="006C1C34" w:rsidDel="00A52B94" w:rsidRDefault="00AB66A8" w:rsidP="005071EE">
            <w:pPr>
              <w:numPr>
                <w:ilvl w:val="0"/>
                <w:numId w:val="6"/>
              </w:numPr>
              <w:ind w:left="425" w:hanging="357"/>
              <w:contextualSpacing/>
              <w:jc w:val="both"/>
              <w:rPr>
                <w:b/>
                <w:noProof/>
              </w:rPr>
            </w:pPr>
          </w:p>
        </w:tc>
        <w:tc>
          <w:tcPr>
            <w:tcW w:w="11464" w:type="dxa"/>
            <w:tcBorders>
              <w:top w:val="nil"/>
            </w:tcBorders>
            <w:shd w:val="clear" w:color="auto" w:fill="auto"/>
            <w:tcMar>
              <w:top w:w="85" w:type="dxa"/>
              <w:left w:w="85" w:type="dxa"/>
              <w:bottom w:w="85" w:type="dxa"/>
              <w:right w:w="85" w:type="dxa"/>
            </w:tcMar>
          </w:tcPr>
          <w:p w14:paraId="1A372850" w14:textId="77777777" w:rsidR="00AB66A8" w:rsidRPr="006C1C34" w:rsidDel="00A52B94" w:rsidRDefault="00AB66A8" w:rsidP="005336FA">
            <w:pPr>
              <w:jc w:val="both"/>
              <w:rPr>
                <w:rFonts w:cs="Calibri"/>
                <w:noProof/>
              </w:rPr>
            </w:pPr>
            <w:r>
              <w:rPr>
                <w:noProof/>
              </w:rPr>
              <w:t>Vorschlag für eine RICHTLINIE DES EUROPÄISCHEN PARLAMENTS UND DES RATES zur Schaffung eines Unionskodexes für Humanarzneimittel und zur Aufhebung der Richtlinie 2001/83/EG und der Richtlinie 2009/35/EG</w:t>
            </w:r>
          </w:p>
        </w:tc>
        <w:tc>
          <w:tcPr>
            <w:tcW w:w="2003" w:type="dxa"/>
            <w:tcBorders>
              <w:top w:val="nil"/>
            </w:tcBorders>
            <w:tcMar>
              <w:top w:w="85" w:type="dxa"/>
              <w:left w:w="85" w:type="dxa"/>
              <w:bottom w:w="85" w:type="dxa"/>
            </w:tcMar>
          </w:tcPr>
          <w:p w14:paraId="51123218" w14:textId="004436CF" w:rsidR="00AB66A8" w:rsidRPr="006C1C34" w:rsidDel="00A52B94" w:rsidRDefault="00AB66A8" w:rsidP="006C6FCD">
            <w:pPr>
              <w:rPr>
                <w:noProof/>
              </w:rPr>
            </w:pPr>
            <w:r>
              <w:rPr>
                <w:noProof/>
              </w:rPr>
              <w:t>COM(2023) 192 final</w:t>
            </w:r>
            <w:r>
              <w:rPr>
                <w:noProof/>
              </w:rPr>
              <w:br/>
              <w:t>2023/0132(COD)</w:t>
            </w:r>
            <w:r>
              <w:rPr>
                <w:noProof/>
              </w:rPr>
              <w:br/>
              <w:t>26.4.2023</w:t>
            </w:r>
          </w:p>
        </w:tc>
      </w:tr>
      <w:tr w:rsidR="00AB66A8" w:rsidRPr="006C1C34" w14:paraId="72312ACE" w14:textId="77777777" w:rsidTr="00C12335">
        <w:trPr>
          <w:jc w:val="center"/>
        </w:trPr>
        <w:tc>
          <w:tcPr>
            <w:tcW w:w="562" w:type="dxa"/>
            <w:tcBorders>
              <w:right w:val="nil"/>
            </w:tcBorders>
            <w:shd w:val="clear" w:color="auto" w:fill="auto"/>
            <w:tcMar>
              <w:top w:w="85" w:type="dxa"/>
              <w:left w:w="85" w:type="dxa"/>
              <w:bottom w:w="85" w:type="dxa"/>
            </w:tcMar>
          </w:tcPr>
          <w:p w14:paraId="462F40A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DCF34DC" w14:textId="77777777" w:rsidR="00AB66A8" w:rsidRPr="00006850" w:rsidRDefault="00AB66A8" w:rsidP="005336FA">
            <w:pPr>
              <w:jc w:val="both"/>
              <w:rPr>
                <w:noProof/>
              </w:rPr>
            </w:pPr>
            <w:r>
              <w:rPr>
                <w:noProof/>
              </w:rPr>
              <w:t>Vorschlag für eine RICHTLINIE DES EUROPÄISCHEN PARLAMENTS UND DES RATES zur Änderung der Richtlinie 1999/62/EG, der Richtlinie 1999/37/EG des Rates und der Richtlinie (EU) 2019/520 in Bezug auf die CO2-Emissionsklasse von schweren Nutzfahrzeugen mit Anhängern</w:t>
            </w:r>
          </w:p>
        </w:tc>
        <w:tc>
          <w:tcPr>
            <w:tcW w:w="2003" w:type="dxa"/>
            <w:tcMar>
              <w:top w:w="85" w:type="dxa"/>
              <w:left w:w="85" w:type="dxa"/>
              <w:bottom w:w="85" w:type="dxa"/>
            </w:tcMar>
          </w:tcPr>
          <w:p w14:paraId="312BA3A1" w14:textId="74E2E4D4" w:rsidR="00AB66A8" w:rsidRPr="00006850" w:rsidRDefault="00AB66A8" w:rsidP="006C6FCD">
            <w:pPr>
              <w:rPr>
                <w:rFonts w:cs="Calibri"/>
                <w:bCs/>
                <w:noProof/>
              </w:rPr>
            </w:pPr>
            <w:r>
              <w:rPr>
                <w:noProof/>
              </w:rPr>
              <w:t>COM(2023) 189 final</w:t>
            </w:r>
            <w:r>
              <w:rPr>
                <w:noProof/>
              </w:rPr>
              <w:br/>
              <w:t>2023/0134(COD)</w:t>
            </w:r>
            <w:r>
              <w:rPr>
                <w:noProof/>
              </w:rPr>
              <w:br/>
              <w:t>4.5.2023</w:t>
            </w:r>
          </w:p>
        </w:tc>
      </w:tr>
      <w:tr w:rsidR="00AB66A8" w:rsidRPr="006C1C34" w14:paraId="07739911" w14:textId="77777777" w:rsidTr="00C12335">
        <w:trPr>
          <w:jc w:val="center"/>
        </w:trPr>
        <w:tc>
          <w:tcPr>
            <w:tcW w:w="562" w:type="dxa"/>
            <w:tcBorders>
              <w:right w:val="nil"/>
            </w:tcBorders>
            <w:shd w:val="clear" w:color="auto" w:fill="auto"/>
            <w:tcMar>
              <w:top w:w="85" w:type="dxa"/>
              <w:left w:w="85" w:type="dxa"/>
              <w:bottom w:w="85" w:type="dxa"/>
            </w:tcMar>
          </w:tcPr>
          <w:p w14:paraId="63442070"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79D4F6A" w14:textId="77777777" w:rsidR="00AB66A8" w:rsidRPr="00006850" w:rsidRDefault="00AB66A8" w:rsidP="005336FA">
            <w:pPr>
              <w:jc w:val="both"/>
              <w:rPr>
                <w:noProof/>
              </w:rPr>
            </w:pPr>
            <w:r>
              <w:rPr>
                <w:noProof/>
              </w:rPr>
              <w:t>Vorschlag für eine RICHTLINIE DES EUROPÄISCHEN PARLAMENTS UND DES RATES über die Begründung ausdrücklicher Umweltaussagen und die diesbezügliche Kommunikation (Richtlinie über Umweltaussagen)</w:t>
            </w:r>
          </w:p>
        </w:tc>
        <w:tc>
          <w:tcPr>
            <w:tcW w:w="2003" w:type="dxa"/>
            <w:tcMar>
              <w:top w:w="85" w:type="dxa"/>
              <w:left w:w="85" w:type="dxa"/>
              <w:bottom w:w="85" w:type="dxa"/>
            </w:tcMar>
          </w:tcPr>
          <w:p w14:paraId="78FC7078" w14:textId="59954F47" w:rsidR="00AB66A8" w:rsidRPr="00006850" w:rsidRDefault="00AB66A8" w:rsidP="006C6FCD">
            <w:pPr>
              <w:rPr>
                <w:rFonts w:cs="Calibri"/>
                <w:bCs/>
                <w:noProof/>
              </w:rPr>
            </w:pPr>
            <w:r>
              <w:rPr>
                <w:noProof/>
              </w:rPr>
              <w:t>COM(2023) 166 final</w:t>
            </w:r>
            <w:r>
              <w:rPr>
                <w:noProof/>
              </w:rPr>
              <w:br/>
              <w:t>2023/0085(COD)</w:t>
            </w:r>
            <w:r>
              <w:rPr>
                <w:noProof/>
              </w:rPr>
              <w:br/>
              <w:t>22.3.2023</w:t>
            </w:r>
          </w:p>
        </w:tc>
      </w:tr>
      <w:tr w:rsidR="00AB66A8" w:rsidRPr="006C1C34" w14:paraId="499CA233" w14:textId="77777777" w:rsidTr="00C12335">
        <w:trPr>
          <w:jc w:val="center"/>
        </w:trPr>
        <w:tc>
          <w:tcPr>
            <w:tcW w:w="562" w:type="dxa"/>
            <w:tcBorders>
              <w:right w:val="nil"/>
            </w:tcBorders>
            <w:shd w:val="clear" w:color="auto" w:fill="auto"/>
            <w:tcMar>
              <w:top w:w="85" w:type="dxa"/>
              <w:left w:w="85" w:type="dxa"/>
              <w:bottom w:w="85" w:type="dxa"/>
            </w:tcMar>
          </w:tcPr>
          <w:p w14:paraId="78C3E32F"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DEF8341" w14:textId="77777777" w:rsidR="00AB66A8" w:rsidRPr="00006850" w:rsidRDefault="00AB66A8" w:rsidP="005336FA">
            <w:pPr>
              <w:jc w:val="both"/>
              <w:rPr>
                <w:noProof/>
              </w:rPr>
            </w:pPr>
            <w:r>
              <w:rPr>
                <w:noProof/>
              </w:rPr>
              <w:t>Vorschlag für eine RICHTLINIE DES EUROPÄISCHEN PARLAMENTS UND DES RATES über die unionsweite Wirkung bestimmter Entscheidungen über den Fahrbefähigungsverlust</w:t>
            </w:r>
          </w:p>
        </w:tc>
        <w:tc>
          <w:tcPr>
            <w:tcW w:w="2003" w:type="dxa"/>
            <w:tcMar>
              <w:top w:w="85" w:type="dxa"/>
              <w:left w:w="85" w:type="dxa"/>
              <w:bottom w:w="85" w:type="dxa"/>
            </w:tcMar>
          </w:tcPr>
          <w:p w14:paraId="388B0DC9" w14:textId="79AC916A" w:rsidR="00AB66A8" w:rsidRPr="00006850" w:rsidRDefault="00AB66A8" w:rsidP="006C6FCD">
            <w:pPr>
              <w:rPr>
                <w:rFonts w:cs="Calibri"/>
                <w:bCs/>
                <w:noProof/>
              </w:rPr>
            </w:pPr>
            <w:r>
              <w:rPr>
                <w:noProof/>
              </w:rPr>
              <w:t>COM(2023) 128 final</w:t>
            </w:r>
            <w:r>
              <w:rPr>
                <w:noProof/>
              </w:rPr>
              <w:br/>
              <w:t>2023/0055(COD)</w:t>
            </w:r>
            <w:r>
              <w:rPr>
                <w:noProof/>
              </w:rPr>
              <w:br/>
              <w:t>1.3.2023</w:t>
            </w:r>
          </w:p>
        </w:tc>
      </w:tr>
      <w:tr w:rsidR="00AB66A8" w:rsidRPr="006C1C34" w14:paraId="25013330" w14:textId="77777777" w:rsidTr="00C12335">
        <w:trPr>
          <w:jc w:val="center"/>
        </w:trPr>
        <w:tc>
          <w:tcPr>
            <w:tcW w:w="562" w:type="dxa"/>
            <w:tcBorders>
              <w:right w:val="nil"/>
            </w:tcBorders>
            <w:shd w:val="clear" w:color="auto" w:fill="auto"/>
            <w:tcMar>
              <w:top w:w="85" w:type="dxa"/>
              <w:left w:w="85" w:type="dxa"/>
              <w:bottom w:w="85" w:type="dxa"/>
            </w:tcMar>
          </w:tcPr>
          <w:p w14:paraId="190751A0"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8D32B76" w14:textId="77777777" w:rsidR="00AB66A8" w:rsidRPr="00006850" w:rsidRDefault="00AB66A8" w:rsidP="005336FA">
            <w:pPr>
              <w:jc w:val="both"/>
              <w:rPr>
                <w:noProof/>
              </w:rPr>
            </w:pPr>
            <w:r>
              <w:rPr>
                <w:noProof/>
              </w:rPr>
              <w:t>Vorschlag für eine RICHTLINIE DES EUROPÄISCHEN PARLAMENTS UND DES RATES über den Führerschein, zur Änderung der Richtlinie (EU) 2022/2561 des Europäischen Parlaments und des Rates, der Verordnung (EU) 2018/1724 des Europäischen Parlaments und des Rates und zur Aufhebung der Richtlinie 2006/126/EG des Europäischen Parlaments und des Rates und der Verordnung (EU) Nr. 383/2012 der Kommission</w:t>
            </w:r>
          </w:p>
        </w:tc>
        <w:tc>
          <w:tcPr>
            <w:tcW w:w="2003" w:type="dxa"/>
            <w:tcMar>
              <w:top w:w="85" w:type="dxa"/>
              <w:left w:w="85" w:type="dxa"/>
              <w:bottom w:w="85" w:type="dxa"/>
            </w:tcMar>
          </w:tcPr>
          <w:p w14:paraId="68371A84" w14:textId="1768A982" w:rsidR="00AB66A8" w:rsidRPr="00006850" w:rsidRDefault="00AB66A8" w:rsidP="006C6FCD">
            <w:pPr>
              <w:rPr>
                <w:rFonts w:cs="Calibri"/>
                <w:bCs/>
                <w:noProof/>
              </w:rPr>
            </w:pPr>
            <w:r>
              <w:rPr>
                <w:noProof/>
              </w:rPr>
              <w:t>COM(2023) 127 final</w:t>
            </w:r>
            <w:r>
              <w:rPr>
                <w:noProof/>
              </w:rPr>
              <w:br/>
              <w:t>2023/0053(COD)</w:t>
            </w:r>
            <w:r>
              <w:rPr>
                <w:noProof/>
              </w:rPr>
              <w:br/>
              <w:t>1.3.2023</w:t>
            </w:r>
          </w:p>
        </w:tc>
      </w:tr>
      <w:tr w:rsidR="00AB66A8" w:rsidRPr="006C1C34" w14:paraId="054CA40B" w14:textId="77777777" w:rsidTr="00C12335">
        <w:trPr>
          <w:jc w:val="center"/>
        </w:trPr>
        <w:tc>
          <w:tcPr>
            <w:tcW w:w="562" w:type="dxa"/>
            <w:tcBorders>
              <w:right w:val="nil"/>
            </w:tcBorders>
            <w:shd w:val="clear" w:color="auto" w:fill="auto"/>
            <w:tcMar>
              <w:top w:w="85" w:type="dxa"/>
              <w:left w:w="85" w:type="dxa"/>
              <w:bottom w:w="85" w:type="dxa"/>
            </w:tcMar>
          </w:tcPr>
          <w:p w14:paraId="3A158E3B"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7FE4672" w14:textId="77777777" w:rsidR="00AB66A8" w:rsidRPr="006C1C34" w:rsidRDefault="00AB66A8" w:rsidP="005336FA">
            <w:pPr>
              <w:jc w:val="both"/>
              <w:rPr>
                <w:noProof/>
              </w:rPr>
            </w:pPr>
            <w:r>
              <w:rPr>
                <w:noProof/>
              </w:rPr>
              <w:t>Vorschlag für einen BESCHLUSS DES RATES über den Abschluss des Abkommens zwischen der Europäischen Union einerseits und Neuseeland andererseits über die Teilnahme Neuseelands an Programmen der Union</w:t>
            </w:r>
          </w:p>
        </w:tc>
        <w:tc>
          <w:tcPr>
            <w:tcW w:w="2003" w:type="dxa"/>
            <w:tcMar>
              <w:top w:w="85" w:type="dxa"/>
              <w:left w:w="85" w:type="dxa"/>
              <w:bottom w:w="85" w:type="dxa"/>
            </w:tcMar>
          </w:tcPr>
          <w:p w14:paraId="20E17B87" w14:textId="56F85DFE" w:rsidR="00AB66A8" w:rsidRPr="006C1C34" w:rsidRDefault="00AB66A8" w:rsidP="006C6FCD">
            <w:pPr>
              <w:rPr>
                <w:rFonts w:cs="Calibri"/>
                <w:bCs/>
                <w:noProof/>
              </w:rPr>
            </w:pPr>
            <w:r>
              <w:rPr>
                <w:noProof/>
              </w:rPr>
              <w:t>COM(2023) 113 final</w:t>
            </w:r>
            <w:r>
              <w:rPr>
                <w:noProof/>
              </w:rPr>
              <w:br/>
              <w:t>2023/0059(NLE)</w:t>
            </w:r>
            <w:r>
              <w:rPr>
                <w:noProof/>
              </w:rPr>
              <w:br/>
              <w:t>7.3.2023</w:t>
            </w:r>
          </w:p>
        </w:tc>
      </w:tr>
      <w:tr w:rsidR="00AB66A8" w:rsidRPr="006C1C34" w14:paraId="02D30FA7" w14:textId="77777777" w:rsidTr="00C12335">
        <w:trPr>
          <w:jc w:val="center"/>
        </w:trPr>
        <w:tc>
          <w:tcPr>
            <w:tcW w:w="562" w:type="dxa"/>
            <w:tcBorders>
              <w:right w:val="nil"/>
            </w:tcBorders>
            <w:shd w:val="clear" w:color="auto" w:fill="auto"/>
            <w:tcMar>
              <w:top w:w="85" w:type="dxa"/>
              <w:left w:w="85" w:type="dxa"/>
              <w:bottom w:w="85" w:type="dxa"/>
            </w:tcMar>
          </w:tcPr>
          <w:p w14:paraId="791E322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676877E" w14:textId="77777777" w:rsidR="00AB66A8" w:rsidRPr="006C1C34" w:rsidRDefault="00AB66A8" w:rsidP="005336FA">
            <w:pPr>
              <w:jc w:val="both"/>
              <w:rPr>
                <w:noProof/>
              </w:rPr>
            </w:pPr>
            <w:r>
              <w:rPr>
                <w:noProof/>
              </w:rPr>
              <w:t>Vorschlag für eine RICHTLINIE DES EUROPÄISCHEN PARLAMENTS UND DES RATES zur Harmonisierung bestimmter Aspekte des Insolvenzrechts</w:t>
            </w:r>
          </w:p>
        </w:tc>
        <w:tc>
          <w:tcPr>
            <w:tcW w:w="2003" w:type="dxa"/>
            <w:tcMar>
              <w:top w:w="85" w:type="dxa"/>
              <w:left w:w="85" w:type="dxa"/>
              <w:bottom w:w="85" w:type="dxa"/>
            </w:tcMar>
          </w:tcPr>
          <w:p w14:paraId="5C389C5A" w14:textId="1FD2802B" w:rsidR="00AB66A8" w:rsidRPr="006C1C34" w:rsidRDefault="00AB66A8" w:rsidP="006C6FCD">
            <w:pPr>
              <w:rPr>
                <w:rFonts w:cs="Calibri"/>
                <w:bCs/>
                <w:noProof/>
              </w:rPr>
            </w:pPr>
            <w:r>
              <w:rPr>
                <w:noProof/>
              </w:rPr>
              <w:t>COM(2022) 702 final</w:t>
            </w:r>
            <w:r>
              <w:rPr>
                <w:noProof/>
              </w:rPr>
              <w:br/>
              <w:t>2022/0408(COD)</w:t>
            </w:r>
            <w:r>
              <w:rPr>
                <w:noProof/>
              </w:rPr>
              <w:br/>
              <w:t>7.12.2022</w:t>
            </w:r>
          </w:p>
        </w:tc>
      </w:tr>
      <w:tr w:rsidR="00AB66A8" w:rsidRPr="006C1C34" w14:paraId="387E86F9" w14:textId="77777777" w:rsidTr="00C12335">
        <w:trPr>
          <w:jc w:val="center"/>
        </w:trPr>
        <w:tc>
          <w:tcPr>
            <w:tcW w:w="562" w:type="dxa"/>
            <w:tcBorders>
              <w:right w:val="nil"/>
            </w:tcBorders>
            <w:shd w:val="clear" w:color="auto" w:fill="auto"/>
            <w:tcMar>
              <w:top w:w="85" w:type="dxa"/>
              <w:left w:w="85" w:type="dxa"/>
              <w:bottom w:w="85" w:type="dxa"/>
            </w:tcMar>
          </w:tcPr>
          <w:p w14:paraId="1D4F0CCB"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CAA881B" w14:textId="77777777" w:rsidR="00AB66A8" w:rsidRPr="006531F7" w:rsidRDefault="00AB66A8" w:rsidP="005336FA">
            <w:pPr>
              <w:jc w:val="both"/>
              <w:rPr>
                <w:bCs/>
                <w:noProof/>
              </w:rPr>
            </w:pPr>
            <w:r>
              <w:rPr>
                <w:noProof/>
              </w:rPr>
              <w:t>Vorschlag für eine RICHTLINIE DES RATES zur Festlegung von Vorschriften für einen Freibetrag zur Reduzierung der steuerlichen Begünstigung von Fremd- gegenüber Eigenkapitalfinanzierungen und für die Begrenzung der Abzugsfähigkeit von Zinsen für Körperschaftsteuerzwecke</w:t>
            </w:r>
          </w:p>
        </w:tc>
        <w:tc>
          <w:tcPr>
            <w:tcW w:w="2003" w:type="dxa"/>
            <w:tcMar>
              <w:top w:w="85" w:type="dxa"/>
              <w:left w:w="85" w:type="dxa"/>
              <w:bottom w:w="85" w:type="dxa"/>
            </w:tcMar>
          </w:tcPr>
          <w:p w14:paraId="35347523" w14:textId="2F0CCD73" w:rsidR="00AB66A8" w:rsidRPr="00AA1F35" w:rsidRDefault="00AB66A8" w:rsidP="006C6FCD">
            <w:pPr>
              <w:rPr>
                <w:bCs/>
                <w:noProof/>
              </w:rPr>
            </w:pPr>
            <w:r>
              <w:rPr>
                <w:noProof/>
              </w:rPr>
              <w:t>COM(2022) 216 final</w:t>
            </w:r>
            <w:r>
              <w:rPr>
                <w:noProof/>
              </w:rPr>
              <w:br/>
              <w:t>2022/0154(CNS)</w:t>
            </w:r>
            <w:r>
              <w:rPr>
                <w:noProof/>
              </w:rPr>
              <w:br/>
              <w:t xml:space="preserve">11.5.2022 </w:t>
            </w:r>
          </w:p>
        </w:tc>
      </w:tr>
      <w:tr w:rsidR="00AB66A8" w:rsidRPr="006C1C34" w14:paraId="0C672A1F" w14:textId="77777777" w:rsidTr="00C12335">
        <w:trPr>
          <w:jc w:val="center"/>
        </w:trPr>
        <w:tc>
          <w:tcPr>
            <w:tcW w:w="562" w:type="dxa"/>
            <w:tcBorders>
              <w:right w:val="nil"/>
            </w:tcBorders>
            <w:shd w:val="clear" w:color="auto" w:fill="auto"/>
            <w:tcMar>
              <w:top w:w="85" w:type="dxa"/>
              <w:left w:w="85" w:type="dxa"/>
              <w:bottom w:w="85" w:type="dxa"/>
            </w:tcMar>
          </w:tcPr>
          <w:p w14:paraId="690CCE5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B545E7C" w14:textId="77777777" w:rsidR="00AB66A8" w:rsidRPr="006C1C34" w:rsidRDefault="00AB66A8" w:rsidP="005336FA">
            <w:pPr>
              <w:jc w:val="both"/>
              <w:rPr>
                <w:noProof/>
              </w:rPr>
            </w:pPr>
            <w:r>
              <w:rPr>
                <w:noProof/>
              </w:rPr>
              <w:t>Vorschlag für einen BESCHLUSS DES RATES über den Abschluss des Abkommens zwischen der Europäischen Union einerseits und der Regierung der Färöer andererseits über die Teilnahme der Färöer an Programmen der Union</w:t>
            </w:r>
          </w:p>
        </w:tc>
        <w:tc>
          <w:tcPr>
            <w:tcW w:w="2003" w:type="dxa"/>
            <w:tcMar>
              <w:top w:w="85" w:type="dxa"/>
              <w:left w:w="85" w:type="dxa"/>
              <w:bottom w:w="85" w:type="dxa"/>
            </w:tcMar>
          </w:tcPr>
          <w:p w14:paraId="5EB97916" w14:textId="444B2CEC" w:rsidR="00AB66A8" w:rsidRPr="006C1C34" w:rsidRDefault="00AB66A8" w:rsidP="006C6FCD">
            <w:pPr>
              <w:rPr>
                <w:noProof/>
              </w:rPr>
            </w:pPr>
            <w:r>
              <w:rPr>
                <w:noProof/>
              </w:rPr>
              <w:t>COM(2022) 65 final</w:t>
            </w:r>
            <w:r>
              <w:rPr>
                <w:noProof/>
              </w:rPr>
              <w:br/>
              <w:t>2022/0045(NLE)</w:t>
            </w:r>
            <w:r>
              <w:rPr>
                <w:noProof/>
              </w:rPr>
              <w:br/>
              <w:t>24.2.2022</w:t>
            </w:r>
          </w:p>
        </w:tc>
      </w:tr>
      <w:tr w:rsidR="004301FB" w:rsidRPr="006C1C34" w14:paraId="2FC24FBD" w14:textId="77777777" w:rsidTr="00C12335">
        <w:trPr>
          <w:jc w:val="center"/>
        </w:trPr>
        <w:tc>
          <w:tcPr>
            <w:tcW w:w="562" w:type="dxa"/>
            <w:tcBorders>
              <w:right w:val="nil"/>
            </w:tcBorders>
            <w:shd w:val="clear" w:color="auto" w:fill="auto"/>
            <w:tcMar>
              <w:top w:w="85" w:type="dxa"/>
              <w:left w:w="85" w:type="dxa"/>
              <w:bottom w:w="85" w:type="dxa"/>
            </w:tcMar>
          </w:tcPr>
          <w:p w14:paraId="65F9590A" w14:textId="77777777" w:rsidR="004301FB" w:rsidRPr="006C1C34" w:rsidRDefault="004301FB" w:rsidP="004301FB">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9D9B1FF" w14:textId="2EBCDD62" w:rsidR="004301FB" w:rsidRPr="00117EFD" w:rsidRDefault="004301FB" w:rsidP="004301FB">
            <w:pPr>
              <w:jc w:val="both"/>
              <w:rPr>
                <w:noProof/>
              </w:rPr>
            </w:pPr>
            <w:r>
              <w:rPr>
                <w:noProof/>
              </w:rPr>
              <w:t>Vorschlag für eine RICHTLINIE DES RATES zur Festlegung von Vorschriften zur Verhinderung der missbräuchlichen Nutzung von Briefkastenfirmen für Steuerzwecke und zur Änderung der Richtlinie 2011/16/EU</w:t>
            </w:r>
          </w:p>
        </w:tc>
        <w:tc>
          <w:tcPr>
            <w:tcW w:w="2003" w:type="dxa"/>
            <w:tcMar>
              <w:top w:w="85" w:type="dxa"/>
              <w:left w:w="85" w:type="dxa"/>
              <w:bottom w:w="85" w:type="dxa"/>
            </w:tcMar>
          </w:tcPr>
          <w:p w14:paraId="1F8E438E" w14:textId="17973177" w:rsidR="004301FB" w:rsidRPr="00BB4F8E" w:rsidRDefault="004301FB" w:rsidP="004301FB">
            <w:pPr>
              <w:rPr>
                <w:noProof/>
              </w:rPr>
            </w:pPr>
            <w:r>
              <w:rPr>
                <w:noProof/>
              </w:rPr>
              <w:t>COM(2021) 565 final</w:t>
            </w:r>
            <w:r>
              <w:rPr>
                <w:noProof/>
              </w:rPr>
              <w:br/>
              <w:t>2021/0434(CNS)</w:t>
            </w:r>
            <w:r>
              <w:rPr>
                <w:noProof/>
              </w:rPr>
              <w:br/>
              <w:t>22.12.2021</w:t>
            </w:r>
          </w:p>
        </w:tc>
      </w:tr>
      <w:tr w:rsidR="00AB66A8" w:rsidRPr="001F6E1F" w14:paraId="0B00D50D" w14:textId="77777777" w:rsidTr="00C12335">
        <w:trPr>
          <w:jc w:val="center"/>
        </w:trPr>
        <w:tc>
          <w:tcPr>
            <w:tcW w:w="562" w:type="dxa"/>
            <w:tcBorders>
              <w:right w:val="nil"/>
            </w:tcBorders>
            <w:shd w:val="clear" w:color="auto" w:fill="auto"/>
            <w:tcMar>
              <w:top w:w="85" w:type="dxa"/>
              <w:left w:w="85" w:type="dxa"/>
              <w:bottom w:w="85" w:type="dxa"/>
            </w:tcMar>
          </w:tcPr>
          <w:p w14:paraId="020DF301" w14:textId="77777777" w:rsidR="00AB66A8" w:rsidRPr="001F6E1F"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C3026C2" w14:textId="77777777" w:rsidR="00AB66A8" w:rsidRPr="001F6E1F" w:rsidRDefault="00AB66A8" w:rsidP="005336FA">
            <w:pPr>
              <w:jc w:val="both"/>
              <w:rPr>
                <w:noProof/>
              </w:rPr>
            </w:pPr>
            <w:r>
              <w:rPr>
                <w:noProof/>
              </w:rPr>
              <w:t>Vorschlag für eine RICHTLINIE DES RATES zur Restrukturierung der Rahmenvorschriften der Union zur Besteuerung von Energieerzeugnissen und elektrischem Strom (Neufassung)</w:t>
            </w:r>
          </w:p>
        </w:tc>
        <w:tc>
          <w:tcPr>
            <w:tcW w:w="2003" w:type="dxa"/>
            <w:tcMar>
              <w:top w:w="85" w:type="dxa"/>
              <w:left w:w="85" w:type="dxa"/>
              <w:bottom w:w="85" w:type="dxa"/>
            </w:tcMar>
          </w:tcPr>
          <w:p w14:paraId="0E4BBF91" w14:textId="30747C63" w:rsidR="00AB66A8" w:rsidRPr="001F6E1F" w:rsidRDefault="00AB66A8" w:rsidP="006C6FCD">
            <w:pPr>
              <w:rPr>
                <w:noProof/>
              </w:rPr>
            </w:pPr>
            <w:r>
              <w:rPr>
                <w:noProof/>
              </w:rPr>
              <w:t>COM(2021) 563 final</w:t>
            </w:r>
            <w:r>
              <w:rPr>
                <w:noProof/>
              </w:rPr>
              <w:br/>
              <w:t>2021/0213(CNS)</w:t>
            </w:r>
            <w:r>
              <w:rPr>
                <w:noProof/>
              </w:rPr>
              <w:br/>
              <w:t>14.7.2021</w:t>
            </w:r>
          </w:p>
        </w:tc>
      </w:tr>
      <w:tr w:rsidR="00AB66A8" w:rsidRPr="006C1C34" w14:paraId="29317FBA"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39FA101E"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494911CF" w14:textId="77777777" w:rsidR="00AB66A8" w:rsidRPr="00D80ED0" w:rsidRDefault="00AB66A8" w:rsidP="005336FA">
            <w:pPr>
              <w:jc w:val="both"/>
              <w:rPr>
                <w:noProof/>
              </w:rPr>
            </w:pPr>
            <w:r>
              <w:rPr>
                <w:noProof/>
              </w:rPr>
              <w:t>Vorschlag für eine RICHTLINIE DES RATES zur Änderung der Richtlinie 2006/112/EG bezüglich der Übertragung von Durchführungsbefugnissen an die Kommission zur Definition der Bedeutung der in einigen Bestimmungen dieser Richtlinie verwendeten Begriffe</w:t>
            </w:r>
          </w:p>
        </w:tc>
        <w:tc>
          <w:tcPr>
            <w:tcW w:w="2003" w:type="dxa"/>
            <w:tcBorders>
              <w:bottom w:val="single" w:sz="4" w:space="0" w:color="auto"/>
            </w:tcBorders>
            <w:tcMar>
              <w:top w:w="85" w:type="dxa"/>
              <w:left w:w="85" w:type="dxa"/>
              <w:bottom w:w="85" w:type="dxa"/>
            </w:tcMar>
          </w:tcPr>
          <w:p w14:paraId="133D13E9" w14:textId="1AF43086" w:rsidR="00AB66A8" w:rsidRPr="009022CF" w:rsidRDefault="00AB66A8" w:rsidP="006C6FCD">
            <w:pPr>
              <w:rPr>
                <w:noProof/>
                <w:color w:val="000000" w:themeColor="text1"/>
              </w:rPr>
            </w:pPr>
            <w:r>
              <w:rPr>
                <w:noProof/>
              </w:rPr>
              <w:t>COM(2020) 749 final</w:t>
            </w:r>
            <w:r>
              <w:rPr>
                <w:noProof/>
              </w:rPr>
              <w:br/>
              <w:t>2020/0331(CNS)</w:t>
            </w:r>
            <w:r>
              <w:rPr>
                <w:noProof/>
              </w:rPr>
              <w:br/>
              <w:t>18.12.2020</w:t>
            </w:r>
          </w:p>
        </w:tc>
      </w:tr>
      <w:tr w:rsidR="00A83E15" w:rsidRPr="006C1C34" w14:paraId="4F3E0BD9"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618BFF7" w14:textId="77777777" w:rsidR="00A83E15" w:rsidRPr="006C1C34" w:rsidRDefault="00A83E15" w:rsidP="00A83E15">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E893C39" w14:textId="2DC740AA" w:rsidR="00A83E15" w:rsidRPr="00E348D3" w:rsidRDefault="00A83E15" w:rsidP="00A83E15">
            <w:pPr>
              <w:jc w:val="both"/>
              <w:rPr>
                <w:bCs/>
                <w:noProof/>
              </w:rPr>
            </w:pPr>
            <w:r>
              <w:rPr>
                <w:noProof/>
              </w:rPr>
              <w:t>Vorschlag für eine RICHTLINIE DES EUROPÄISCHEN PARLAMENTS UND DES RATES zur Abschaffung der jahreszeitlich bedingten Zeitumstellung und zur Aufhebung der Richtlinie 2000/84/EG</w:t>
            </w:r>
          </w:p>
        </w:tc>
        <w:tc>
          <w:tcPr>
            <w:tcW w:w="2003" w:type="dxa"/>
            <w:tcBorders>
              <w:bottom w:val="single" w:sz="4" w:space="0" w:color="auto"/>
            </w:tcBorders>
            <w:tcMar>
              <w:top w:w="85" w:type="dxa"/>
              <w:left w:w="85" w:type="dxa"/>
              <w:bottom w:w="85" w:type="dxa"/>
            </w:tcMar>
          </w:tcPr>
          <w:p w14:paraId="31D83A37" w14:textId="18DFF9A6" w:rsidR="00A83E15" w:rsidRPr="00474844" w:rsidRDefault="00A83E15" w:rsidP="00A83E15">
            <w:pPr>
              <w:rPr>
                <w:bCs/>
                <w:noProof/>
              </w:rPr>
            </w:pPr>
            <w:r>
              <w:rPr>
                <w:noProof/>
              </w:rPr>
              <w:t>COM(2018) 639 final</w:t>
            </w:r>
            <w:r>
              <w:rPr>
                <w:noProof/>
              </w:rPr>
              <w:br/>
              <w:t>2018/0332(COD)</w:t>
            </w:r>
            <w:r>
              <w:rPr>
                <w:noProof/>
              </w:rPr>
              <w:br/>
              <w:t>12.9.2018</w:t>
            </w:r>
          </w:p>
        </w:tc>
      </w:tr>
      <w:tr w:rsidR="00514CCD" w:rsidRPr="006C1C34" w14:paraId="65C15647"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A7EEDA1" w14:textId="77777777" w:rsidR="00514CCD" w:rsidRPr="006C1C34" w:rsidRDefault="00514CCD" w:rsidP="00514CCD">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26F0EE9" w14:textId="23B0752A" w:rsidR="00514CCD" w:rsidRPr="00E348D3" w:rsidRDefault="00514CCD" w:rsidP="00624A8E">
            <w:pPr>
              <w:jc w:val="both"/>
              <w:rPr>
                <w:bCs/>
                <w:noProof/>
              </w:rPr>
            </w:pPr>
            <w:r>
              <w:rPr>
                <w:noProof/>
              </w:rPr>
              <w:t>Vorschlag für eine RICHTLINIE DES RATES zum gemeinsamen System einer Digitalsteuer auf Erträge aus der Erbringung bestimmter digitaler Dienstleistungen</w:t>
            </w:r>
          </w:p>
        </w:tc>
        <w:tc>
          <w:tcPr>
            <w:tcW w:w="2003" w:type="dxa"/>
            <w:tcBorders>
              <w:bottom w:val="single" w:sz="4" w:space="0" w:color="auto"/>
            </w:tcBorders>
            <w:tcMar>
              <w:top w:w="85" w:type="dxa"/>
              <w:left w:w="85" w:type="dxa"/>
              <w:bottom w:w="85" w:type="dxa"/>
            </w:tcMar>
          </w:tcPr>
          <w:p w14:paraId="799BB6D1" w14:textId="438B91CB" w:rsidR="00514CCD" w:rsidRPr="00474844" w:rsidRDefault="00514CCD" w:rsidP="00514CCD">
            <w:pPr>
              <w:rPr>
                <w:bCs/>
                <w:noProof/>
              </w:rPr>
            </w:pPr>
            <w:r>
              <w:rPr>
                <w:noProof/>
              </w:rPr>
              <w:t>COM(2018) 148 final</w:t>
            </w:r>
            <w:r>
              <w:rPr>
                <w:noProof/>
              </w:rPr>
              <w:br/>
              <w:t>2018/0073(CNS)</w:t>
            </w:r>
            <w:r>
              <w:rPr>
                <w:noProof/>
              </w:rPr>
              <w:br/>
              <w:t>21.3.2018</w:t>
            </w:r>
          </w:p>
        </w:tc>
      </w:tr>
      <w:tr w:rsidR="00514CCD" w:rsidRPr="006C1C34" w14:paraId="28313AA3"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24104B8C" w14:textId="77777777" w:rsidR="00514CCD" w:rsidRPr="006C1C34" w:rsidRDefault="00514CCD" w:rsidP="00514CCD">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202EF774" w14:textId="5C64E1CD" w:rsidR="00514CCD" w:rsidRPr="00E348D3" w:rsidRDefault="00514CCD" w:rsidP="00624A8E">
            <w:pPr>
              <w:jc w:val="both"/>
              <w:rPr>
                <w:bCs/>
                <w:noProof/>
              </w:rPr>
            </w:pPr>
            <w:r>
              <w:rPr>
                <w:noProof/>
              </w:rPr>
              <w:t>Vorschlag für eine RICHTLINIE DES RATES zur Festlegung von Vorschriften für die Unternehmensbesteuerung einer signifikanten digitalen Präsenz</w:t>
            </w:r>
          </w:p>
        </w:tc>
        <w:tc>
          <w:tcPr>
            <w:tcW w:w="2003" w:type="dxa"/>
            <w:tcBorders>
              <w:bottom w:val="single" w:sz="4" w:space="0" w:color="auto"/>
            </w:tcBorders>
            <w:tcMar>
              <w:top w:w="85" w:type="dxa"/>
              <w:left w:w="85" w:type="dxa"/>
              <w:bottom w:w="85" w:type="dxa"/>
            </w:tcMar>
          </w:tcPr>
          <w:p w14:paraId="44D7DC74" w14:textId="37245D61" w:rsidR="00514CCD" w:rsidRPr="00474844" w:rsidRDefault="00514CCD" w:rsidP="00514CCD">
            <w:pPr>
              <w:rPr>
                <w:bCs/>
                <w:noProof/>
              </w:rPr>
            </w:pPr>
            <w:r>
              <w:rPr>
                <w:noProof/>
              </w:rPr>
              <w:t>COM(2015) final</w:t>
            </w:r>
            <w:r>
              <w:rPr>
                <w:noProof/>
              </w:rPr>
              <w:br/>
              <w:t>2018/0072(CNS)</w:t>
            </w:r>
            <w:r>
              <w:rPr>
                <w:noProof/>
              </w:rPr>
              <w:br/>
              <w:t>21.3.2018</w:t>
            </w:r>
          </w:p>
        </w:tc>
      </w:tr>
      <w:tr w:rsidR="008B6CB4" w:rsidRPr="006C1C34" w14:paraId="2D7085C0"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404724B" w14:textId="77777777" w:rsidR="008B6CB4" w:rsidRPr="006C1C34" w:rsidRDefault="008B6CB4" w:rsidP="008B6CB4">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79A1928A" w14:textId="2605F7A0" w:rsidR="008B6CB4" w:rsidRPr="00E348D3" w:rsidRDefault="008B6CB4" w:rsidP="00624A8E">
            <w:pPr>
              <w:jc w:val="both"/>
              <w:rPr>
                <w:bCs/>
                <w:noProof/>
              </w:rPr>
            </w:pPr>
            <w:r>
              <w:rPr>
                <w:noProof/>
              </w:rPr>
              <w:t>VERORDNUNG DES EUROPÄISCHEN PARLAMENTS UND DES RATES zur Änderung der Verordnung (EU) Nr. 806/2014 im Hinblick auf die Schaffung eines europäischen Einlagenversicherungssystems</w:t>
            </w:r>
          </w:p>
        </w:tc>
        <w:tc>
          <w:tcPr>
            <w:tcW w:w="2003" w:type="dxa"/>
            <w:tcBorders>
              <w:bottom w:val="single" w:sz="4" w:space="0" w:color="auto"/>
            </w:tcBorders>
            <w:tcMar>
              <w:top w:w="85" w:type="dxa"/>
              <w:left w:w="85" w:type="dxa"/>
              <w:bottom w:w="85" w:type="dxa"/>
            </w:tcMar>
          </w:tcPr>
          <w:p w14:paraId="467FBC88" w14:textId="091F1C32" w:rsidR="008B6CB4" w:rsidRPr="00474844" w:rsidRDefault="008B6CB4" w:rsidP="008B6CB4">
            <w:pPr>
              <w:rPr>
                <w:bCs/>
                <w:noProof/>
              </w:rPr>
            </w:pPr>
            <w:r>
              <w:rPr>
                <w:noProof/>
              </w:rPr>
              <w:t>COM(2015) 586 final</w:t>
            </w:r>
            <w:r>
              <w:rPr>
                <w:noProof/>
              </w:rPr>
              <w:br/>
              <w:t>2015/0270 (COD)</w:t>
            </w:r>
            <w:r>
              <w:rPr>
                <w:noProof/>
              </w:rPr>
              <w:br/>
              <w:t>24.11.2015</w:t>
            </w:r>
          </w:p>
        </w:tc>
      </w:tr>
      <w:tr w:rsidR="00181AB1" w:rsidRPr="006C1C34" w14:paraId="3A9B9511"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591C3669" w14:textId="77777777" w:rsidR="00181AB1" w:rsidRPr="006C1C34" w:rsidRDefault="00181AB1" w:rsidP="00181AB1">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2A604B1A" w14:textId="22D16D01" w:rsidR="00181AB1" w:rsidRPr="00A2515D" w:rsidRDefault="00181AB1" w:rsidP="00624A8E">
            <w:pPr>
              <w:jc w:val="both"/>
              <w:rPr>
                <w:noProof/>
              </w:rPr>
            </w:pPr>
            <w:r>
              <w:rPr>
                <w:noProof/>
              </w:rPr>
              <w:t>Vorschlag für eine Verordnung des Europäischen Parlaments und des Rates zur Änderung der Verordnung (EG) Nr. 261/2004 über eine gemeinsame Regelung für Ausgleichs- und Unterstützungsleistungen für Fluggäste im Fall der Nichtbeförderung und bei Annullierung oder großer Verspätung von Flügen und der Verordnung (EG) Nr. 2027/97 über die Haftung von Luftfahrtunternehmen bei der Beförderung von Fluggästen und deren Gepäck im Luftverkehr.</w:t>
            </w:r>
          </w:p>
        </w:tc>
        <w:tc>
          <w:tcPr>
            <w:tcW w:w="2003" w:type="dxa"/>
            <w:tcBorders>
              <w:bottom w:val="single" w:sz="4" w:space="0" w:color="auto"/>
            </w:tcBorders>
            <w:tcMar>
              <w:top w:w="85" w:type="dxa"/>
              <w:left w:w="85" w:type="dxa"/>
              <w:bottom w:w="85" w:type="dxa"/>
            </w:tcMar>
          </w:tcPr>
          <w:p w14:paraId="4B2DE449" w14:textId="67824D01" w:rsidR="00181AB1" w:rsidRDefault="00181AB1" w:rsidP="00181AB1">
            <w:pPr>
              <w:rPr>
                <w:noProof/>
              </w:rPr>
            </w:pPr>
            <w:r>
              <w:rPr>
                <w:noProof/>
              </w:rPr>
              <w:t>COM(2013) 130 final</w:t>
            </w:r>
            <w:r>
              <w:rPr>
                <w:noProof/>
              </w:rPr>
              <w:br/>
              <w:t>2013/0072 (COD)</w:t>
            </w:r>
            <w:r>
              <w:rPr>
                <w:noProof/>
              </w:rPr>
              <w:br/>
              <w:t>13.3.2013</w:t>
            </w:r>
          </w:p>
        </w:tc>
      </w:tr>
      <w:tr w:rsidR="005D0252" w:rsidRPr="006C1C34" w14:paraId="63379BDD"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3D9752E" w14:textId="77777777" w:rsidR="005D0252" w:rsidRPr="006C1C34" w:rsidRDefault="005D0252" w:rsidP="005D0252">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871421A" w14:textId="130C9B99" w:rsidR="005D0252" w:rsidRPr="003E46FA" w:rsidRDefault="005D0252" w:rsidP="005D0252">
            <w:pPr>
              <w:jc w:val="both"/>
              <w:rPr>
                <w:noProof/>
              </w:rPr>
            </w:pPr>
            <w:r>
              <w:rPr>
                <w:noProof/>
              </w:rPr>
              <w:t>Vorschlag für eine RICHTLINIE DES RATES über die Umsetzung einer Verstärkten Zusammenarbeit im Bereich der Finanztransaktionssteuer</w:t>
            </w:r>
          </w:p>
        </w:tc>
        <w:tc>
          <w:tcPr>
            <w:tcW w:w="2003" w:type="dxa"/>
            <w:tcBorders>
              <w:bottom w:val="single" w:sz="4" w:space="0" w:color="auto"/>
            </w:tcBorders>
            <w:tcMar>
              <w:top w:w="85" w:type="dxa"/>
              <w:left w:w="85" w:type="dxa"/>
              <w:bottom w:w="85" w:type="dxa"/>
            </w:tcMar>
          </w:tcPr>
          <w:p w14:paraId="7C01917E" w14:textId="487F0B5B" w:rsidR="005D0252" w:rsidRPr="007F6CD9" w:rsidRDefault="005D0252" w:rsidP="005D0252">
            <w:pPr>
              <w:rPr>
                <w:noProof/>
              </w:rPr>
            </w:pPr>
            <w:r>
              <w:rPr>
                <w:noProof/>
              </w:rPr>
              <w:t>COM(2013) 71 final</w:t>
            </w:r>
            <w:r>
              <w:rPr>
                <w:noProof/>
              </w:rPr>
              <w:br/>
              <w:t>2013/0045(CNS)</w:t>
            </w:r>
            <w:r>
              <w:rPr>
                <w:noProof/>
              </w:rPr>
              <w:br/>
              <w:t>14.2.2013</w:t>
            </w:r>
          </w:p>
        </w:tc>
      </w:tr>
      <w:tr w:rsidR="00AB66A8" w:rsidRPr="006C1C34" w14:paraId="4B460923" w14:textId="77777777" w:rsidTr="00FF69A3">
        <w:trPr>
          <w:trHeight w:val="346"/>
          <w:jc w:val="center"/>
        </w:trPr>
        <w:tc>
          <w:tcPr>
            <w:tcW w:w="14029" w:type="dxa"/>
            <w:gridSpan w:val="3"/>
            <w:shd w:val="clear" w:color="auto" w:fill="006666"/>
            <w:tcMar>
              <w:top w:w="85" w:type="dxa"/>
              <w:left w:w="85" w:type="dxa"/>
              <w:bottom w:w="85" w:type="dxa"/>
              <w:right w:w="85" w:type="dxa"/>
            </w:tcMar>
          </w:tcPr>
          <w:p w14:paraId="54D6B0B6" w14:textId="77777777" w:rsidR="00AB66A8" w:rsidRPr="006C1C34" w:rsidRDefault="00AB66A8" w:rsidP="00C45575">
            <w:pPr>
              <w:keepNext/>
              <w:keepLines/>
              <w:spacing w:before="60" w:after="60"/>
              <w:ind w:left="357" w:hanging="357"/>
              <w:jc w:val="both"/>
              <w:rPr>
                <w:b/>
                <w:bCs/>
                <w:noProof/>
                <w:color w:val="FFFFFF"/>
              </w:rPr>
            </w:pPr>
            <w:r>
              <w:rPr>
                <w:b/>
                <w:noProof/>
                <w:color w:val="FFFFFF" w:themeColor="background1"/>
              </w:rPr>
              <w:t>Eine neue Ära für die europäische Verteidigung und Sicherheit</w:t>
            </w:r>
          </w:p>
        </w:tc>
      </w:tr>
      <w:tr w:rsidR="00AB66A8" w:rsidRPr="006C1C34" w14:paraId="5AE65A23" w14:textId="77777777" w:rsidTr="00C12335">
        <w:trPr>
          <w:trHeight w:val="20"/>
          <w:jc w:val="center"/>
        </w:trPr>
        <w:tc>
          <w:tcPr>
            <w:tcW w:w="562" w:type="dxa"/>
            <w:tcBorders>
              <w:right w:val="nil"/>
            </w:tcBorders>
            <w:shd w:val="clear" w:color="auto" w:fill="auto"/>
            <w:tcMar>
              <w:top w:w="85" w:type="dxa"/>
              <w:left w:w="85" w:type="dxa"/>
              <w:bottom w:w="85" w:type="dxa"/>
            </w:tcMar>
          </w:tcPr>
          <w:p w14:paraId="58D9677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7625130" w14:textId="77777777" w:rsidR="00AB66A8" w:rsidRPr="005B5451" w:rsidRDefault="00AB66A8" w:rsidP="00081129">
            <w:pPr>
              <w:jc w:val="both"/>
              <w:rPr>
                <w:noProof/>
              </w:rPr>
            </w:pPr>
            <w:r>
              <w:rPr>
                <w:noProof/>
              </w:rPr>
              <w:t>Vorschlag für eine VERORDNUNG DES EUROPÄISCHEN PARLAMENTS UND DES RATES zur Einrichtung einer Anwendung für die elektronische Übermittlung von Reisedaten („Digitale EU-Reise-Anwendung“) und zur Änderung der Verordnungen (EU) 2016/399 und (EU) 2018/1726 des Europäischen Parlaments und des Rates sowie der Verordnung (EG) Nr. 2252/2004 des Rates in Bezug auf die Verwendung digitaler Reiseausweise</w:t>
            </w:r>
          </w:p>
        </w:tc>
        <w:tc>
          <w:tcPr>
            <w:tcW w:w="2003" w:type="dxa"/>
            <w:tcMar>
              <w:top w:w="85" w:type="dxa"/>
              <w:left w:w="85" w:type="dxa"/>
              <w:bottom w:w="85" w:type="dxa"/>
            </w:tcMar>
          </w:tcPr>
          <w:p w14:paraId="01D170F0" w14:textId="23486116" w:rsidR="00AB66A8" w:rsidRPr="000C4051" w:rsidRDefault="00AB66A8" w:rsidP="006C6FCD">
            <w:pPr>
              <w:rPr>
                <w:noProof/>
              </w:rPr>
            </w:pPr>
            <w:r>
              <w:rPr>
                <w:noProof/>
              </w:rPr>
              <w:t>COM(2024) 670 final</w:t>
            </w:r>
            <w:r>
              <w:rPr>
                <w:noProof/>
              </w:rPr>
              <w:br/>
              <w:t>2024/0670(COD)</w:t>
            </w:r>
            <w:r>
              <w:rPr>
                <w:noProof/>
              </w:rPr>
              <w:br/>
              <w:t>8.10.2024</w:t>
            </w:r>
          </w:p>
        </w:tc>
      </w:tr>
      <w:tr w:rsidR="00AB66A8" w:rsidRPr="006C1C34" w14:paraId="2F29D257" w14:textId="77777777" w:rsidTr="00C12335">
        <w:trPr>
          <w:trHeight w:val="20"/>
          <w:jc w:val="center"/>
        </w:trPr>
        <w:tc>
          <w:tcPr>
            <w:tcW w:w="562" w:type="dxa"/>
            <w:tcBorders>
              <w:right w:val="nil"/>
            </w:tcBorders>
            <w:shd w:val="clear" w:color="auto" w:fill="auto"/>
            <w:tcMar>
              <w:top w:w="85" w:type="dxa"/>
              <w:left w:w="85" w:type="dxa"/>
              <w:bottom w:w="85" w:type="dxa"/>
            </w:tcMar>
          </w:tcPr>
          <w:p w14:paraId="521CDE5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88A701F" w14:textId="77777777" w:rsidR="00AB66A8" w:rsidRPr="005B5451" w:rsidRDefault="00AB66A8" w:rsidP="00081129">
            <w:pPr>
              <w:jc w:val="both"/>
              <w:rPr>
                <w:noProof/>
              </w:rPr>
            </w:pPr>
            <w:r>
              <w:rPr>
                <w:noProof/>
              </w:rPr>
              <w:t>Vorschlag für eine VERORDNUNG DES EUROPÄISCHEN PARLAMENTS UND DES RATES über eine vorübergehende Abweichung von bestimmten Bestimmungen der Verordnung (EU) 2017/2226 und der Verordnung (EU) 2016/399 in Bezug auf die schrittweise Inbetriebnahme des Einreise-/Ausreisesystems</w:t>
            </w:r>
          </w:p>
        </w:tc>
        <w:tc>
          <w:tcPr>
            <w:tcW w:w="2003" w:type="dxa"/>
            <w:tcMar>
              <w:top w:w="85" w:type="dxa"/>
              <w:left w:w="85" w:type="dxa"/>
              <w:bottom w:w="85" w:type="dxa"/>
            </w:tcMar>
          </w:tcPr>
          <w:p w14:paraId="31FC17CD" w14:textId="4C95E612" w:rsidR="00AB66A8" w:rsidRPr="000C4051" w:rsidRDefault="00AB66A8" w:rsidP="006C6FCD">
            <w:pPr>
              <w:rPr>
                <w:noProof/>
              </w:rPr>
            </w:pPr>
            <w:r>
              <w:rPr>
                <w:noProof/>
              </w:rPr>
              <w:t>COM(2024) 567 final</w:t>
            </w:r>
            <w:r>
              <w:rPr>
                <w:noProof/>
              </w:rPr>
              <w:br/>
              <w:t>2024/0315(COD)</w:t>
            </w:r>
            <w:r>
              <w:rPr>
                <w:noProof/>
              </w:rPr>
              <w:br/>
              <w:t>4.12.2024</w:t>
            </w:r>
          </w:p>
        </w:tc>
      </w:tr>
      <w:tr w:rsidR="00AB66A8" w:rsidRPr="006C1C34" w14:paraId="7FDE400A" w14:textId="77777777" w:rsidTr="00C12335">
        <w:trPr>
          <w:trHeight w:val="20"/>
          <w:jc w:val="center"/>
        </w:trPr>
        <w:tc>
          <w:tcPr>
            <w:tcW w:w="562" w:type="dxa"/>
            <w:tcBorders>
              <w:right w:val="nil"/>
            </w:tcBorders>
            <w:shd w:val="clear" w:color="auto" w:fill="auto"/>
            <w:tcMar>
              <w:top w:w="85" w:type="dxa"/>
              <w:left w:w="85" w:type="dxa"/>
              <w:bottom w:w="85" w:type="dxa"/>
            </w:tcMar>
          </w:tcPr>
          <w:p w14:paraId="7277164A"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D9F080C" w14:textId="77777777" w:rsidR="00AB66A8" w:rsidRPr="000C4051" w:rsidRDefault="00AB66A8" w:rsidP="00081129">
            <w:pPr>
              <w:jc w:val="both"/>
              <w:rPr>
                <w:noProof/>
              </w:rPr>
            </w:pPr>
            <w:r>
              <w:rPr>
                <w:noProof/>
              </w:rPr>
              <w:t>Vorschlag für eine VERORDNUNG DES EUROPÄISCHEN PARLAMENTS UND DES RATES zur Einrichtung des Programms für die europäische Verteidigungsindustrie und eines Rahmens für Maßnahmen zur Gewährleistung der zeitnahen Verfügbarkeit und Lieferung von Verteidigungsgütern (EDIP)</w:t>
            </w:r>
          </w:p>
        </w:tc>
        <w:tc>
          <w:tcPr>
            <w:tcW w:w="2003" w:type="dxa"/>
            <w:tcMar>
              <w:top w:w="85" w:type="dxa"/>
              <w:left w:w="85" w:type="dxa"/>
              <w:bottom w:w="85" w:type="dxa"/>
            </w:tcMar>
          </w:tcPr>
          <w:p w14:paraId="3904953E" w14:textId="344DB32C" w:rsidR="00AB66A8" w:rsidRDefault="00AB66A8" w:rsidP="006C6FCD">
            <w:pPr>
              <w:rPr>
                <w:noProof/>
              </w:rPr>
            </w:pPr>
            <w:r>
              <w:rPr>
                <w:noProof/>
              </w:rPr>
              <w:t>COM(2024) 150 final</w:t>
            </w:r>
            <w:r>
              <w:rPr>
                <w:noProof/>
              </w:rPr>
              <w:br/>
              <w:t>2024/0061(COD)</w:t>
            </w:r>
            <w:r>
              <w:rPr>
                <w:noProof/>
              </w:rPr>
              <w:br/>
              <w:t>5.3.2024</w:t>
            </w:r>
          </w:p>
        </w:tc>
      </w:tr>
      <w:tr w:rsidR="00AB66A8" w:rsidRPr="006C1C34" w14:paraId="1C7E0951" w14:textId="77777777" w:rsidTr="00C12335">
        <w:trPr>
          <w:trHeight w:val="20"/>
          <w:jc w:val="center"/>
        </w:trPr>
        <w:tc>
          <w:tcPr>
            <w:tcW w:w="562" w:type="dxa"/>
            <w:tcBorders>
              <w:right w:val="nil"/>
            </w:tcBorders>
            <w:shd w:val="clear" w:color="auto" w:fill="auto"/>
            <w:tcMar>
              <w:top w:w="85" w:type="dxa"/>
              <w:left w:w="85" w:type="dxa"/>
              <w:bottom w:w="85" w:type="dxa"/>
            </w:tcMar>
          </w:tcPr>
          <w:p w14:paraId="0C4BBBA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06A4DBB" w14:textId="77777777" w:rsidR="00AB66A8" w:rsidRPr="000C4051" w:rsidRDefault="00AB66A8" w:rsidP="00081129">
            <w:pPr>
              <w:jc w:val="both"/>
              <w:rPr>
                <w:noProof/>
              </w:rPr>
            </w:pPr>
            <w:r>
              <w:rPr>
                <w:noProof/>
              </w:rPr>
              <w:t>Vorschlag für eine RICHTLINIE DES EUROPÄISCHEN PARLAMENTS UND DES RATES zur Bekämpfung des sexuellen Missbrauchs und der sexuellen Ausbeutung von Kindern sowie von Darstellungen sexuellen Missbrauchs von Kindern sowie zur Ersetzung des Rahmenbeschlusses 2004/68/JI des Rates (Neufassung)</w:t>
            </w:r>
          </w:p>
        </w:tc>
        <w:tc>
          <w:tcPr>
            <w:tcW w:w="2003" w:type="dxa"/>
            <w:tcMar>
              <w:top w:w="85" w:type="dxa"/>
              <w:left w:w="85" w:type="dxa"/>
              <w:bottom w:w="85" w:type="dxa"/>
            </w:tcMar>
          </w:tcPr>
          <w:p w14:paraId="1934DFE5" w14:textId="6D9139E2" w:rsidR="00AB66A8" w:rsidRPr="000C4051" w:rsidRDefault="00AB66A8" w:rsidP="006C6FCD">
            <w:pPr>
              <w:rPr>
                <w:noProof/>
              </w:rPr>
            </w:pPr>
            <w:r>
              <w:rPr>
                <w:noProof/>
              </w:rPr>
              <w:t>COM(2024) 60 final</w:t>
            </w:r>
            <w:r>
              <w:rPr>
                <w:noProof/>
              </w:rPr>
              <w:br/>
              <w:t>2024/0035(COD)</w:t>
            </w:r>
            <w:r>
              <w:rPr>
                <w:noProof/>
              </w:rPr>
              <w:br/>
              <w:t>6.2.2024</w:t>
            </w:r>
          </w:p>
        </w:tc>
      </w:tr>
      <w:tr w:rsidR="00AB66A8" w:rsidRPr="006C1C34" w14:paraId="7D00E06B" w14:textId="77777777" w:rsidTr="00C12335">
        <w:trPr>
          <w:trHeight w:val="20"/>
          <w:jc w:val="center"/>
        </w:trPr>
        <w:tc>
          <w:tcPr>
            <w:tcW w:w="562" w:type="dxa"/>
            <w:tcBorders>
              <w:right w:val="nil"/>
            </w:tcBorders>
            <w:shd w:val="clear" w:color="auto" w:fill="auto"/>
            <w:tcMar>
              <w:top w:w="85" w:type="dxa"/>
              <w:left w:w="85" w:type="dxa"/>
              <w:bottom w:w="85" w:type="dxa"/>
            </w:tcMar>
          </w:tcPr>
          <w:p w14:paraId="2A3839F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A13EABB" w14:textId="77777777" w:rsidR="00AB66A8" w:rsidRPr="000C4051" w:rsidRDefault="00AB66A8" w:rsidP="00081129">
            <w:pPr>
              <w:jc w:val="both"/>
              <w:rPr>
                <w:noProof/>
              </w:rPr>
            </w:pPr>
            <w:r>
              <w:rPr>
                <w:noProof/>
              </w:rPr>
              <w:t>Vorschlag für eine RICHTLINIE DES EUROPÄISCHEN PARLAMENTS UND DES RATES zur Festlegung von Mindestvorschriften zur Verhinderung und Bekämpfung der Beihilfe zur unerlaubten Ein- und Durchreise und zum unerlaubten Aufenthalt in der Union sowie zur Ersetzung der Richtlinie 2002/90/EG des Rates und des Rahmenbeschlusses 2002/946/JI des Rates</w:t>
            </w:r>
          </w:p>
        </w:tc>
        <w:tc>
          <w:tcPr>
            <w:tcW w:w="2003" w:type="dxa"/>
            <w:tcMar>
              <w:top w:w="85" w:type="dxa"/>
              <w:left w:w="85" w:type="dxa"/>
              <w:bottom w:w="85" w:type="dxa"/>
            </w:tcMar>
          </w:tcPr>
          <w:p w14:paraId="7920DE66" w14:textId="64EC16FA" w:rsidR="00AB66A8" w:rsidRPr="000C4051" w:rsidRDefault="00AB66A8" w:rsidP="006C6FCD">
            <w:pPr>
              <w:rPr>
                <w:noProof/>
              </w:rPr>
            </w:pPr>
            <w:r>
              <w:rPr>
                <w:noProof/>
              </w:rPr>
              <w:t>COM(2023) 755 final</w:t>
            </w:r>
            <w:r>
              <w:rPr>
                <w:noProof/>
              </w:rPr>
              <w:br/>
              <w:t>2023/0439(COD)</w:t>
            </w:r>
            <w:r>
              <w:rPr>
                <w:noProof/>
              </w:rPr>
              <w:br/>
              <w:t>28.11.2023</w:t>
            </w:r>
          </w:p>
        </w:tc>
      </w:tr>
      <w:tr w:rsidR="00AB66A8" w:rsidRPr="006C1C34" w14:paraId="18C7589E" w14:textId="77777777" w:rsidTr="00C12335">
        <w:trPr>
          <w:trHeight w:val="20"/>
          <w:jc w:val="center"/>
        </w:trPr>
        <w:tc>
          <w:tcPr>
            <w:tcW w:w="562" w:type="dxa"/>
            <w:tcBorders>
              <w:right w:val="nil"/>
            </w:tcBorders>
            <w:shd w:val="clear" w:color="auto" w:fill="auto"/>
            <w:tcMar>
              <w:top w:w="85" w:type="dxa"/>
              <w:left w:w="85" w:type="dxa"/>
              <w:bottom w:w="85" w:type="dxa"/>
            </w:tcMar>
          </w:tcPr>
          <w:p w14:paraId="25AE625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vAlign w:val="bottom"/>
          </w:tcPr>
          <w:p w14:paraId="2DFF1B4A" w14:textId="77777777" w:rsidR="00AB66A8" w:rsidRPr="000C4051" w:rsidRDefault="00AB66A8" w:rsidP="00081129">
            <w:pPr>
              <w:jc w:val="both"/>
              <w:rPr>
                <w:noProof/>
              </w:rPr>
            </w:pPr>
            <w:r>
              <w:rPr>
                <w:noProof/>
              </w:rPr>
              <w:t>Vorschlag für eine VERORDNUNG DES EUROPÄISCHEN PARLAMENTS UND DES RATES zur Verstärkung der polizeilichen Zusammenarbeit bei der Verhütung, Aufdeckung und Untersuchung der Schleuserkriminalität und des Menschenhandels und zur Verstärkung der Unterstützung von Europol bei der Verhütung und Bekämpfung solcher Straftaten und zur Änderung der Verordnung (EU) 2016/794</w:t>
            </w:r>
          </w:p>
        </w:tc>
        <w:tc>
          <w:tcPr>
            <w:tcW w:w="2003" w:type="dxa"/>
            <w:tcMar>
              <w:top w:w="85" w:type="dxa"/>
              <w:left w:w="85" w:type="dxa"/>
              <w:bottom w:w="85" w:type="dxa"/>
            </w:tcMar>
            <w:vAlign w:val="bottom"/>
          </w:tcPr>
          <w:p w14:paraId="2EC6B981" w14:textId="5A5965A7" w:rsidR="00AB66A8" w:rsidRPr="000C4051" w:rsidRDefault="00AB66A8" w:rsidP="006C6FCD">
            <w:pPr>
              <w:rPr>
                <w:noProof/>
              </w:rPr>
            </w:pPr>
            <w:r>
              <w:rPr>
                <w:noProof/>
              </w:rPr>
              <w:t>COM(2023) 754 final</w:t>
            </w:r>
            <w:r>
              <w:rPr>
                <w:noProof/>
              </w:rPr>
              <w:br/>
              <w:t>2023/0438(COD)</w:t>
            </w:r>
            <w:r>
              <w:rPr>
                <w:noProof/>
              </w:rPr>
              <w:br/>
              <w:t>28.11.2023</w:t>
            </w:r>
          </w:p>
        </w:tc>
      </w:tr>
      <w:tr w:rsidR="00AB66A8" w:rsidRPr="006C1C34" w14:paraId="6FBD9E09" w14:textId="77777777" w:rsidTr="00C12335">
        <w:trPr>
          <w:trHeight w:val="20"/>
          <w:jc w:val="center"/>
        </w:trPr>
        <w:tc>
          <w:tcPr>
            <w:tcW w:w="562" w:type="dxa"/>
            <w:tcBorders>
              <w:right w:val="nil"/>
            </w:tcBorders>
            <w:shd w:val="clear" w:color="auto" w:fill="auto"/>
            <w:tcMar>
              <w:top w:w="85" w:type="dxa"/>
              <w:left w:w="85" w:type="dxa"/>
              <w:bottom w:w="85" w:type="dxa"/>
            </w:tcMar>
          </w:tcPr>
          <w:p w14:paraId="329F553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5948163" w14:textId="77777777" w:rsidR="00AB66A8" w:rsidRPr="000C4051" w:rsidRDefault="00AB66A8" w:rsidP="00081129">
            <w:pPr>
              <w:jc w:val="both"/>
              <w:rPr>
                <w:noProof/>
              </w:rPr>
            </w:pPr>
            <w:r>
              <w:rPr>
                <w:noProof/>
              </w:rPr>
              <w:t>Vorschlag für eine VERORDNUNG DES EUROPÄISCHEN PARLAMENTS UND DES RATES ZUR EINRICHTUNG EINES EU-TALENTPOOLS</w:t>
            </w:r>
          </w:p>
        </w:tc>
        <w:tc>
          <w:tcPr>
            <w:tcW w:w="2003" w:type="dxa"/>
            <w:tcMar>
              <w:top w:w="85" w:type="dxa"/>
              <w:left w:w="85" w:type="dxa"/>
              <w:bottom w:w="85" w:type="dxa"/>
            </w:tcMar>
          </w:tcPr>
          <w:p w14:paraId="4D34701B" w14:textId="4D1DC359" w:rsidR="00AB66A8" w:rsidRPr="000C4051" w:rsidRDefault="00AB66A8" w:rsidP="006C6FCD">
            <w:pPr>
              <w:rPr>
                <w:noProof/>
              </w:rPr>
            </w:pPr>
            <w:r>
              <w:rPr>
                <w:noProof/>
              </w:rPr>
              <w:t>COM(2023) 716 final</w:t>
            </w:r>
            <w:r>
              <w:rPr>
                <w:noProof/>
              </w:rPr>
              <w:br/>
              <w:t>2023/0404(COD)</w:t>
            </w:r>
            <w:r>
              <w:rPr>
                <w:noProof/>
              </w:rPr>
              <w:br/>
              <w:t>15.11.2023</w:t>
            </w:r>
          </w:p>
        </w:tc>
      </w:tr>
      <w:tr w:rsidR="00AB66A8" w:rsidRPr="006C1C34" w14:paraId="7BFC5254" w14:textId="77777777" w:rsidTr="00C12335">
        <w:trPr>
          <w:trHeight w:val="20"/>
          <w:jc w:val="center"/>
        </w:trPr>
        <w:tc>
          <w:tcPr>
            <w:tcW w:w="562" w:type="dxa"/>
            <w:tcBorders>
              <w:right w:val="nil"/>
            </w:tcBorders>
            <w:shd w:val="clear" w:color="auto" w:fill="auto"/>
            <w:tcMar>
              <w:top w:w="85" w:type="dxa"/>
              <w:left w:w="85" w:type="dxa"/>
              <w:bottom w:w="85" w:type="dxa"/>
            </w:tcMar>
          </w:tcPr>
          <w:p w14:paraId="5864C47E"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CD2EE1E" w14:textId="77777777" w:rsidR="00AB66A8" w:rsidRPr="006C1C34" w:rsidRDefault="00AB66A8" w:rsidP="00081129">
            <w:pPr>
              <w:jc w:val="both"/>
              <w:rPr>
                <w:noProof/>
              </w:rPr>
            </w:pPr>
            <w:r>
              <w:rPr>
                <w:noProof/>
              </w:rPr>
              <w:t>Vorschlag für eine VERORDNUNG DES EUROPÄISCHEN PARLAMENTS UND DES RATES zur Änderung der Verordnung (EU) 2018/1806 hinsichtlich der Überarbeitung des Aussetzungsmechanismus</w:t>
            </w:r>
          </w:p>
        </w:tc>
        <w:tc>
          <w:tcPr>
            <w:tcW w:w="2003" w:type="dxa"/>
            <w:tcMar>
              <w:top w:w="85" w:type="dxa"/>
              <w:left w:w="85" w:type="dxa"/>
              <w:bottom w:w="85" w:type="dxa"/>
            </w:tcMar>
          </w:tcPr>
          <w:p w14:paraId="3305AE4B" w14:textId="5683A7DD" w:rsidR="00AB66A8" w:rsidRPr="006C1C34" w:rsidRDefault="00AB66A8" w:rsidP="006C6FCD">
            <w:pPr>
              <w:rPr>
                <w:noProof/>
              </w:rPr>
            </w:pPr>
            <w:r>
              <w:rPr>
                <w:noProof/>
              </w:rPr>
              <w:t>COM(2023) 642 final</w:t>
            </w:r>
            <w:r>
              <w:rPr>
                <w:noProof/>
              </w:rPr>
              <w:br/>
              <w:t>2023/0371(COD)</w:t>
            </w:r>
            <w:r>
              <w:rPr>
                <w:noProof/>
              </w:rPr>
              <w:br/>
              <w:t>18.10.2023</w:t>
            </w:r>
          </w:p>
        </w:tc>
      </w:tr>
      <w:tr w:rsidR="00AB66A8" w:rsidRPr="006C1C34" w14:paraId="6A0DFB7C" w14:textId="77777777" w:rsidTr="00C12335">
        <w:trPr>
          <w:trHeight w:val="20"/>
          <w:jc w:val="center"/>
        </w:trPr>
        <w:tc>
          <w:tcPr>
            <w:tcW w:w="562" w:type="dxa"/>
            <w:tcBorders>
              <w:right w:val="nil"/>
            </w:tcBorders>
            <w:shd w:val="clear" w:color="auto" w:fill="auto"/>
            <w:tcMar>
              <w:top w:w="85" w:type="dxa"/>
              <w:left w:w="85" w:type="dxa"/>
              <w:bottom w:w="85" w:type="dxa"/>
            </w:tcMar>
          </w:tcPr>
          <w:p w14:paraId="19EF4D9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C81457F" w14:textId="77777777" w:rsidR="00AB66A8" w:rsidRPr="00CE7E10" w:rsidRDefault="00AB66A8" w:rsidP="00081129">
            <w:pPr>
              <w:jc w:val="both"/>
              <w:rPr>
                <w:noProof/>
                <w:highlight w:val="green"/>
              </w:rPr>
            </w:pPr>
            <w:r>
              <w:rPr>
                <w:noProof/>
              </w:rPr>
              <w:t>Vorschlag für eine RICHTLINIE DES EUROPÄISCHEN PARLAMENTS UND DES RATES zur Bekämpfung der Korruption, zur Ersetzung des Rahmenbeschlusses 2003/568/JI des Rates und des Übereinkommens über die Bekämpfung der Bestechung, an der Beamte der Europäischen Gemeinschaften oder der Mitgliedstaaten der Europäischen Union beteiligt sind, sowie zur Änderung der Richtlinie (EU) 2017/1371 des Europäischen Parlaments und des Rates</w:t>
            </w:r>
          </w:p>
        </w:tc>
        <w:tc>
          <w:tcPr>
            <w:tcW w:w="2003" w:type="dxa"/>
            <w:tcMar>
              <w:top w:w="85" w:type="dxa"/>
              <w:left w:w="85" w:type="dxa"/>
              <w:bottom w:w="85" w:type="dxa"/>
            </w:tcMar>
          </w:tcPr>
          <w:p w14:paraId="5653DB39" w14:textId="05F8D768" w:rsidR="00AB66A8" w:rsidRPr="00CE7E10" w:rsidRDefault="00AB66A8" w:rsidP="006C6FCD">
            <w:pPr>
              <w:rPr>
                <w:noProof/>
                <w:highlight w:val="green"/>
              </w:rPr>
            </w:pPr>
            <w:r>
              <w:rPr>
                <w:noProof/>
              </w:rPr>
              <w:t>COM(2023) 234 final</w:t>
            </w:r>
            <w:r>
              <w:rPr>
                <w:noProof/>
              </w:rPr>
              <w:br/>
              <w:t>2023/0135(COD)</w:t>
            </w:r>
            <w:r>
              <w:rPr>
                <w:noProof/>
              </w:rPr>
              <w:br/>
              <w:t>3.5.2023.</w:t>
            </w:r>
          </w:p>
        </w:tc>
      </w:tr>
      <w:tr w:rsidR="00AB66A8" w:rsidRPr="006C1C34" w14:paraId="68CEA51C" w14:textId="77777777" w:rsidTr="00C12335">
        <w:trPr>
          <w:trHeight w:val="20"/>
          <w:jc w:val="center"/>
        </w:trPr>
        <w:tc>
          <w:tcPr>
            <w:tcW w:w="562" w:type="dxa"/>
            <w:tcBorders>
              <w:right w:val="nil"/>
            </w:tcBorders>
            <w:shd w:val="clear" w:color="auto" w:fill="auto"/>
            <w:tcMar>
              <w:top w:w="85" w:type="dxa"/>
              <w:left w:w="85" w:type="dxa"/>
              <w:bottom w:w="85" w:type="dxa"/>
            </w:tcMar>
          </w:tcPr>
          <w:p w14:paraId="3575C5D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232FA36" w14:textId="77777777" w:rsidR="00AB66A8" w:rsidRPr="000C4051" w:rsidRDefault="00AB66A8" w:rsidP="00081129">
            <w:pPr>
              <w:jc w:val="both"/>
              <w:rPr>
                <w:noProof/>
              </w:rPr>
            </w:pPr>
            <w:r>
              <w:rPr>
                <w:noProof/>
              </w:rPr>
              <w:t>Vorschlag für eine RICHTLINIE DES EUROPÄISCHEN PARLAMENTS UND DES RATES betreffend die Rechtsstellung der langfristig aufenthaltsberechtigten Drittstaatsangehörigen (Neufassung)</w:t>
            </w:r>
          </w:p>
        </w:tc>
        <w:tc>
          <w:tcPr>
            <w:tcW w:w="2003" w:type="dxa"/>
            <w:tcMar>
              <w:top w:w="85" w:type="dxa"/>
              <w:left w:w="85" w:type="dxa"/>
              <w:bottom w:w="85" w:type="dxa"/>
            </w:tcMar>
          </w:tcPr>
          <w:p w14:paraId="78B592D3" w14:textId="74D0E65B" w:rsidR="00AB66A8" w:rsidRPr="000C4051" w:rsidRDefault="00AB66A8" w:rsidP="006C6FCD">
            <w:pPr>
              <w:rPr>
                <w:noProof/>
              </w:rPr>
            </w:pPr>
            <w:r>
              <w:rPr>
                <w:noProof/>
              </w:rPr>
              <w:t>COM(2022) 650 final</w:t>
            </w:r>
            <w:r>
              <w:rPr>
                <w:noProof/>
              </w:rPr>
              <w:br/>
              <w:t>2022/0134(COD)</w:t>
            </w:r>
            <w:r>
              <w:rPr>
                <w:noProof/>
              </w:rPr>
              <w:br/>
              <w:t>27.4.2022</w:t>
            </w:r>
          </w:p>
        </w:tc>
      </w:tr>
      <w:tr w:rsidR="00AB66A8" w:rsidRPr="006C1C34" w14:paraId="10F6645E" w14:textId="77777777" w:rsidTr="00C12335">
        <w:trPr>
          <w:trHeight w:val="20"/>
          <w:jc w:val="center"/>
        </w:trPr>
        <w:tc>
          <w:tcPr>
            <w:tcW w:w="562" w:type="dxa"/>
            <w:tcBorders>
              <w:right w:val="nil"/>
            </w:tcBorders>
            <w:shd w:val="clear" w:color="auto" w:fill="auto"/>
            <w:tcMar>
              <w:top w:w="85" w:type="dxa"/>
              <w:left w:w="85" w:type="dxa"/>
              <w:bottom w:w="85" w:type="dxa"/>
            </w:tcMar>
          </w:tcPr>
          <w:p w14:paraId="5AA108B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ED79996" w14:textId="77777777" w:rsidR="00AB66A8" w:rsidRPr="006C1C34" w:rsidRDefault="00AB66A8" w:rsidP="00081129">
            <w:pPr>
              <w:jc w:val="both"/>
              <w:rPr>
                <w:noProof/>
              </w:rPr>
            </w:pPr>
            <w:r>
              <w:rPr>
                <w:noProof/>
              </w:rPr>
              <w:t>Vorschlag für eine VERORDNUNG DES EUROPÄISCHEN PARLAMENTS UND DES RATES zur Festlegung von Vorschriften zur Prävention und Bekämpfung des sexuellen Missbrauchs von Kindern</w:t>
            </w:r>
          </w:p>
        </w:tc>
        <w:tc>
          <w:tcPr>
            <w:tcW w:w="2003" w:type="dxa"/>
            <w:tcMar>
              <w:top w:w="85" w:type="dxa"/>
              <w:left w:w="85" w:type="dxa"/>
              <w:bottom w:w="85" w:type="dxa"/>
            </w:tcMar>
          </w:tcPr>
          <w:p w14:paraId="602BF22C" w14:textId="72D733F2" w:rsidR="00AB66A8" w:rsidRPr="006C1C34" w:rsidRDefault="00AB66A8" w:rsidP="006C6FCD">
            <w:pPr>
              <w:rPr>
                <w:noProof/>
              </w:rPr>
            </w:pPr>
            <w:r>
              <w:rPr>
                <w:noProof/>
              </w:rPr>
              <w:t>COM(2022) 209 final</w:t>
            </w:r>
            <w:r>
              <w:rPr>
                <w:noProof/>
              </w:rPr>
              <w:br/>
              <w:t>2022/0155(COD)</w:t>
            </w:r>
            <w:r>
              <w:rPr>
                <w:noProof/>
              </w:rPr>
              <w:br/>
              <w:t>11.5.2022</w:t>
            </w:r>
          </w:p>
        </w:tc>
      </w:tr>
      <w:tr w:rsidR="00AB66A8" w:rsidRPr="006C1C34" w14:paraId="37E71307" w14:textId="77777777" w:rsidTr="00C12335">
        <w:trPr>
          <w:trHeight w:val="20"/>
          <w:jc w:val="center"/>
        </w:trPr>
        <w:tc>
          <w:tcPr>
            <w:tcW w:w="562" w:type="dxa"/>
            <w:tcBorders>
              <w:right w:val="nil"/>
            </w:tcBorders>
            <w:shd w:val="clear" w:color="auto" w:fill="auto"/>
            <w:tcMar>
              <w:top w:w="85" w:type="dxa"/>
              <w:left w:w="85" w:type="dxa"/>
              <w:bottom w:w="85" w:type="dxa"/>
            </w:tcMar>
          </w:tcPr>
          <w:p w14:paraId="5775309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5D59414" w14:textId="77777777" w:rsidR="00AB66A8" w:rsidRPr="006C1C34" w:rsidRDefault="00AB66A8" w:rsidP="00081129">
            <w:pPr>
              <w:jc w:val="both"/>
              <w:rPr>
                <w:noProof/>
              </w:rPr>
            </w:pPr>
            <w:r>
              <w:rPr>
                <w:noProof/>
              </w:rPr>
              <w:t>Vorschlag für eine VERORDNUNG DES EUROPÄISCHEN PARLAMENTS UND DES RATES zur Änderung der Verordnung (EU) 2018/1806 zur Aufstellung der Liste der Drittländer, deren Staatsangehörige beim Überschreiten der Außengrenzen im Besitz eines Visums sein müssen, sowie der Liste der Drittländer, deren Staatsangehörige von dieser Visumpflicht befreit sind (Katar, Kuwait)</w:t>
            </w:r>
          </w:p>
        </w:tc>
        <w:tc>
          <w:tcPr>
            <w:tcW w:w="2003" w:type="dxa"/>
            <w:tcMar>
              <w:top w:w="85" w:type="dxa"/>
              <w:left w:w="85" w:type="dxa"/>
              <w:bottom w:w="85" w:type="dxa"/>
            </w:tcMar>
          </w:tcPr>
          <w:p w14:paraId="2D9E95D7" w14:textId="65C9A2EA" w:rsidR="00AB66A8" w:rsidRPr="006C1C34" w:rsidRDefault="00AB66A8" w:rsidP="006C6FCD">
            <w:pPr>
              <w:rPr>
                <w:noProof/>
              </w:rPr>
            </w:pPr>
            <w:r>
              <w:rPr>
                <w:noProof/>
              </w:rPr>
              <w:t>COM(2022) 189 final</w:t>
            </w:r>
            <w:r>
              <w:rPr>
                <w:noProof/>
              </w:rPr>
              <w:br/>
              <w:t>2022/0135(COD)</w:t>
            </w:r>
            <w:r>
              <w:rPr>
                <w:noProof/>
              </w:rPr>
              <w:br/>
              <w:t>27.4.2022</w:t>
            </w:r>
          </w:p>
        </w:tc>
      </w:tr>
      <w:tr w:rsidR="00AB66A8" w:rsidRPr="006C1C34" w14:paraId="492DE113" w14:textId="77777777" w:rsidTr="00C12335">
        <w:trPr>
          <w:trHeight w:val="20"/>
          <w:jc w:val="center"/>
        </w:trPr>
        <w:tc>
          <w:tcPr>
            <w:tcW w:w="562" w:type="dxa"/>
            <w:tcBorders>
              <w:right w:val="nil"/>
            </w:tcBorders>
            <w:shd w:val="clear" w:color="auto" w:fill="auto"/>
            <w:tcMar>
              <w:top w:w="85" w:type="dxa"/>
              <w:left w:w="85" w:type="dxa"/>
              <w:bottom w:w="85" w:type="dxa"/>
            </w:tcMar>
          </w:tcPr>
          <w:p w14:paraId="36D1B6AE"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65A0176" w14:textId="77777777" w:rsidR="00AB66A8" w:rsidRPr="009022CF" w:rsidRDefault="00AB66A8" w:rsidP="006041A8">
            <w:pPr>
              <w:jc w:val="both"/>
              <w:rPr>
                <w:noProof/>
                <w:color w:val="000000" w:themeColor="text1"/>
              </w:rPr>
            </w:pPr>
            <w:r>
              <w:rPr>
                <w:noProof/>
              </w:rPr>
              <w:t>Vorschlag für eine VERORDNUNG DES EUROPÄISCHEN PARLAMENTS UND DES RATES über die Informationssicherheit in den Organen, Einrichtungen und sonstigen Stellen der Union</w:t>
            </w:r>
          </w:p>
        </w:tc>
        <w:tc>
          <w:tcPr>
            <w:tcW w:w="2003" w:type="dxa"/>
            <w:tcMar>
              <w:top w:w="85" w:type="dxa"/>
              <w:left w:w="85" w:type="dxa"/>
              <w:bottom w:w="85" w:type="dxa"/>
            </w:tcMar>
          </w:tcPr>
          <w:p w14:paraId="65F6D3F2" w14:textId="425A7B0B" w:rsidR="00AB66A8" w:rsidRPr="00CD32D0" w:rsidRDefault="00AB66A8" w:rsidP="006C6FCD">
            <w:pPr>
              <w:rPr>
                <w:noProof/>
              </w:rPr>
            </w:pPr>
            <w:r>
              <w:rPr>
                <w:noProof/>
              </w:rPr>
              <w:t>COM(2022) 119 final</w:t>
            </w:r>
            <w:r>
              <w:rPr>
                <w:noProof/>
              </w:rPr>
              <w:br/>
              <w:t>2022/0084(COD)</w:t>
            </w:r>
            <w:r>
              <w:rPr>
                <w:noProof/>
              </w:rPr>
              <w:br/>
              <w:t>22.3.2022</w:t>
            </w:r>
          </w:p>
        </w:tc>
      </w:tr>
      <w:tr w:rsidR="00AB66A8" w:rsidRPr="006C1C34" w14:paraId="22F9A722" w14:textId="77777777" w:rsidTr="00C12335">
        <w:trPr>
          <w:trHeight w:val="20"/>
          <w:jc w:val="center"/>
        </w:trPr>
        <w:tc>
          <w:tcPr>
            <w:tcW w:w="562" w:type="dxa"/>
            <w:tcBorders>
              <w:right w:val="nil"/>
            </w:tcBorders>
            <w:shd w:val="clear" w:color="auto" w:fill="auto"/>
            <w:tcMar>
              <w:top w:w="85" w:type="dxa"/>
              <w:left w:w="85" w:type="dxa"/>
              <w:bottom w:w="85" w:type="dxa"/>
            </w:tcMar>
          </w:tcPr>
          <w:p w14:paraId="002080E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9FDE014" w14:textId="77777777" w:rsidR="00AB66A8" w:rsidRPr="00C3324C" w:rsidRDefault="00AB66A8" w:rsidP="00081129">
            <w:pPr>
              <w:jc w:val="both"/>
              <w:rPr>
                <w:noProof/>
              </w:rPr>
            </w:pPr>
            <w:r>
              <w:rPr>
                <w:noProof/>
              </w:rPr>
              <w:t>Vorschlag für eine VERORDNUNG DES EUROPÄISCHEN PARLAMENTS UND DES RATES über Maßnahmen gegen Verkehrsunternehmen, die Menschenhandel oder die Schleusung von Migranten im Zusammenhang mit der unerlaubten Einreise in das Gebiet der Europäischen Union erleichtern oder daran beteiligt sind</w:t>
            </w:r>
          </w:p>
        </w:tc>
        <w:tc>
          <w:tcPr>
            <w:tcW w:w="2003" w:type="dxa"/>
            <w:tcMar>
              <w:top w:w="85" w:type="dxa"/>
              <w:left w:w="85" w:type="dxa"/>
              <w:bottom w:w="85" w:type="dxa"/>
            </w:tcMar>
          </w:tcPr>
          <w:p w14:paraId="1B8A4805" w14:textId="3EA39641" w:rsidR="00AB66A8" w:rsidRPr="001A7457" w:rsidRDefault="00AB66A8" w:rsidP="006C6FCD">
            <w:pPr>
              <w:rPr>
                <w:noProof/>
              </w:rPr>
            </w:pPr>
            <w:r>
              <w:rPr>
                <w:noProof/>
                <w:color w:val="000000"/>
              </w:rPr>
              <w:t>COM(2021) 753 final</w:t>
            </w:r>
            <w:r>
              <w:rPr>
                <w:noProof/>
              </w:rPr>
              <w:br/>
            </w:r>
            <w:r>
              <w:rPr>
                <w:noProof/>
                <w:color w:val="000000"/>
              </w:rPr>
              <w:t>2021/0387(COD)</w:t>
            </w:r>
            <w:r>
              <w:rPr>
                <w:noProof/>
              </w:rPr>
              <w:br/>
            </w:r>
            <w:r>
              <w:rPr>
                <w:noProof/>
                <w:color w:val="000000"/>
              </w:rPr>
              <w:t>23.11.2021</w:t>
            </w:r>
          </w:p>
        </w:tc>
      </w:tr>
      <w:tr w:rsidR="006009A2" w:rsidRPr="006C1C34" w14:paraId="5C0DA317" w14:textId="77777777" w:rsidTr="00C12335">
        <w:trPr>
          <w:trHeight w:val="20"/>
          <w:jc w:val="center"/>
        </w:trPr>
        <w:tc>
          <w:tcPr>
            <w:tcW w:w="562" w:type="dxa"/>
            <w:tcBorders>
              <w:right w:val="nil"/>
            </w:tcBorders>
            <w:shd w:val="clear" w:color="auto" w:fill="auto"/>
            <w:tcMar>
              <w:top w:w="85" w:type="dxa"/>
              <w:left w:w="85" w:type="dxa"/>
              <w:bottom w:w="85" w:type="dxa"/>
            </w:tcMar>
          </w:tcPr>
          <w:p w14:paraId="486F2E63" w14:textId="77777777" w:rsidR="006009A2" w:rsidRPr="006C1C34" w:rsidRDefault="006009A2" w:rsidP="006009A2">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C5376A9" w14:textId="79D8557C" w:rsidR="006009A2" w:rsidRPr="00C355B0" w:rsidRDefault="006009A2" w:rsidP="00081129">
            <w:pPr>
              <w:jc w:val="both"/>
              <w:rPr>
                <w:noProof/>
              </w:rPr>
            </w:pPr>
            <w:r>
              <w:rPr>
                <w:noProof/>
              </w:rPr>
              <w:t>Vorschlag für eine VERORDNUNG DES EUROPÄISCHEN PARLAMENTS UND DES RATES zur Änderung der Verordnung (EG) 539/2001 zur Aufstellung der Liste der Drittländer, deren Staatsangehörige beim Überschreiten der Außengrenzen im Besitz eines Visums sein müssen, sowie der Liste der Drittländer, deren Staatsangehörige von dieser Visumpflicht befreit sind (Türkei)</w:t>
            </w:r>
          </w:p>
        </w:tc>
        <w:tc>
          <w:tcPr>
            <w:tcW w:w="2003" w:type="dxa"/>
            <w:tcMar>
              <w:top w:w="85" w:type="dxa"/>
              <w:left w:w="85" w:type="dxa"/>
              <w:bottom w:w="85" w:type="dxa"/>
            </w:tcMar>
          </w:tcPr>
          <w:p w14:paraId="58FC2469" w14:textId="2A987891" w:rsidR="006009A2" w:rsidRPr="00C355B0" w:rsidRDefault="006009A2" w:rsidP="006009A2">
            <w:pPr>
              <w:rPr>
                <w:noProof/>
                <w:color w:val="000000"/>
              </w:rPr>
            </w:pPr>
            <w:r>
              <w:rPr>
                <w:noProof/>
              </w:rPr>
              <w:t>COM(2016) 279 final</w:t>
            </w:r>
            <w:r>
              <w:rPr>
                <w:noProof/>
              </w:rPr>
              <w:br/>
              <w:t>2016/0141(COD)</w:t>
            </w:r>
            <w:r>
              <w:rPr>
                <w:noProof/>
              </w:rPr>
              <w:br/>
              <w:t>4.5.2016</w:t>
            </w:r>
          </w:p>
        </w:tc>
      </w:tr>
      <w:tr w:rsidR="00AB66A8" w:rsidRPr="006C1C34" w14:paraId="1CCE9CE1" w14:textId="77777777" w:rsidTr="00FF69A3">
        <w:trPr>
          <w:trHeight w:val="346"/>
          <w:jc w:val="center"/>
        </w:trPr>
        <w:tc>
          <w:tcPr>
            <w:tcW w:w="14029" w:type="dxa"/>
            <w:gridSpan w:val="3"/>
            <w:tcBorders>
              <w:bottom w:val="single" w:sz="4" w:space="0" w:color="auto"/>
            </w:tcBorders>
            <w:shd w:val="clear" w:color="auto" w:fill="FF7900"/>
            <w:tcMar>
              <w:top w:w="85" w:type="dxa"/>
              <w:left w:w="85" w:type="dxa"/>
              <w:bottom w:w="85" w:type="dxa"/>
              <w:right w:w="85" w:type="dxa"/>
            </w:tcMar>
          </w:tcPr>
          <w:p w14:paraId="0021693B" w14:textId="77777777" w:rsidR="00AB66A8" w:rsidRPr="006C1C34" w:rsidRDefault="00AB66A8" w:rsidP="00081129">
            <w:pPr>
              <w:spacing w:before="60" w:after="60"/>
              <w:ind w:left="357" w:hanging="357"/>
              <w:jc w:val="both"/>
              <w:rPr>
                <w:b/>
                <w:bCs/>
                <w:noProof/>
                <w:color w:val="FFFFFF"/>
              </w:rPr>
            </w:pPr>
            <w:r>
              <w:rPr>
                <w:b/>
                <w:noProof/>
                <w:color w:val="FFFFFF" w:themeColor="background1"/>
              </w:rPr>
              <w:t>Die Menschen unterstützen, unsere Gesellschaften und unser Sozialmodell stärken</w:t>
            </w:r>
          </w:p>
        </w:tc>
      </w:tr>
      <w:tr w:rsidR="00AB66A8" w:rsidRPr="006C1C34" w14:paraId="001AC9B5" w14:textId="77777777" w:rsidTr="00C12335">
        <w:trPr>
          <w:trHeight w:val="20"/>
          <w:jc w:val="center"/>
        </w:trPr>
        <w:tc>
          <w:tcPr>
            <w:tcW w:w="562" w:type="dxa"/>
            <w:tcBorders>
              <w:top w:val="single" w:sz="4" w:space="0" w:color="auto"/>
              <w:bottom w:val="single" w:sz="4" w:space="0" w:color="auto"/>
              <w:right w:val="nil"/>
            </w:tcBorders>
            <w:shd w:val="clear" w:color="auto" w:fill="auto"/>
            <w:tcMar>
              <w:top w:w="85" w:type="dxa"/>
              <w:left w:w="85" w:type="dxa"/>
              <w:bottom w:w="85" w:type="dxa"/>
            </w:tcMar>
          </w:tcPr>
          <w:p w14:paraId="2F0D7026"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1943966" w14:textId="77777777" w:rsidR="00AB66A8" w:rsidRPr="00B831DE" w:rsidRDefault="00AB66A8" w:rsidP="00081129">
            <w:pPr>
              <w:jc w:val="both"/>
              <w:rPr>
                <w:noProof/>
              </w:rPr>
            </w:pPr>
            <w:r>
              <w:rPr>
                <w:noProof/>
              </w:rPr>
              <w:t>Vorschlag für einen BESCHLUSS DES EUROPÄISCHEN PARLAMENTS UND DES RATES über die Inanspruchnahme des Europäischen Fonds für die Anpassung an die Globalisierung zugunsten entlassener Arbeitnehmer — Antrag Belgiens (EGF/2024/002 BE/Limburg Maschinenbau und Papier)</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1E6ABE7F" w14:textId="1DCF30FD" w:rsidR="00AB66A8" w:rsidRPr="00B831DE" w:rsidRDefault="00AB66A8" w:rsidP="006C6FCD">
            <w:pPr>
              <w:rPr>
                <w:noProof/>
              </w:rPr>
            </w:pPr>
            <w:r>
              <w:rPr>
                <w:noProof/>
              </w:rPr>
              <w:t>COM(2024) 370 final</w:t>
            </w:r>
            <w:r>
              <w:rPr>
                <w:noProof/>
              </w:rPr>
              <w:br/>
              <w:t>2024/0286(BUD)</w:t>
            </w:r>
            <w:r>
              <w:rPr>
                <w:noProof/>
              </w:rPr>
              <w:br/>
              <w:t>5.11.2024</w:t>
            </w:r>
          </w:p>
        </w:tc>
      </w:tr>
      <w:tr w:rsidR="00576073" w:rsidRPr="006C1C34" w14:paraId="368E8860" w14:textId="77777777" w:rsidTr="00C12335">
        <w:trPr>
          <w:trHeight w:val="20"/>
          <w:jc w:val="center"/>
        </w:trPr>
        <w:tc>
          <w:tcPr>
            <w:tcW w:w="562" w:type="dxa"/>
            <w:tcBorders>
              <w:top w:val="single" w:sz="4" w:space="0" w:color="auto"/>
              <w:bottom w:val="single" w:sz="4" w:space="0" w:color="auto"/>
              <w:right w:val="nil"/>
            </w:tcBorders>
            <w:shd w:val="clear" w:color="auto" w:fill="auto"/>
            <w:tcMar>
              <w:top w:w="85" w:type="dxa"/>
              <w:left w:w="85" w:type="dxa"/>
              <w:bottom w:w="85" w:type="dxa"/>
            </w:tcMar>
          </w:tcPr>
          <w:p w14:paraId="77F17987" w14:textId="77777777" w:rsidR="00576073" w:rsidRPr="006C1C34" w:rsidRDefault="00576073"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5D029E1" w14:textId="57472AD3" w:rsidR="00576073" w:rsidRPr="00214397" w:rsidRDefault="00CA2C9C" w:rsidP="00081129">
            <w:pPr>
              <w:jc w:val="both"/>
              <w:rPr>
                <w:noProof/>
              </w:rPr>
            </w:pPr>
            <w:r>
              <w:rPr>
                <w:noProof/>
              </w:rPr>
              <w:t>Vorschlag für eine RICHTLINIE DES EUROPÄISCHEN PARLAMENTS UND DES RATES zur Verbesserung und Durchsetzung der Arbeitsbedingungen von Praktikanten und zur Bekämpfung von Scheinpraktika („Praktikumsrichtlinie“)</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1DE35DB4" w14:textId="64DC5CB8" w:rsidR="00576073" w:rsidRPr="001F152A" w:rsidRDefault="00576073" w:rsidP="006C6FCD">
            <w:pPr>
              <w:rPr>
                <w:noProof/>
              </w:rPr>
            </w:pPr>
            <w:r>
              <w:rPr>
                <w:noProof/>
              </w:rPr>
              <w:t>COM(2024) 132 final</w:t>
            </w:r>
            <w:r>
              <w:rPr>
                <w:noProof/>
              </w:rPr>
              <w:br/>
              <w:t>2024/0068(COD)</w:t>
            </w:r>
            <w:r>
              <w:rPr>
                <w:noProof/>
              </w:rPr>
              <w:br/>
              <w:t>20.3.2024</w:t>
            </w:r>
          </w:p>
        </w:tc>
      </w:tr>
      <w:tr w:rsidR="00AB66A8" w:rsidRPr="006C1C34" w14:paraId="02354DE6"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1EB8E7BE"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369F2656" w14:textId="77777777" w:rsidR="00AB66A8" w:rsidRPr="00214397" w:rsidRDefault="00AB66A8" w:rsidP="00081129">
            <w:pPr>
              <w:jc w:val="both"/>
              <w:rPr>
                <w:noProof/>
              </w:rPr>
            </w:pPr>
            <w:r>
              <w:rPr>
                <w:noProof/>
              </w:rPr>
              <w:t>Vorschlag für eine RICHTLINIE DES EUROPÄISCHEN PARLAMENTS UND DES RATES zur Änderung der Richtlinie 2009/38/EG betreffend die Einsetzung und Arbeitsweise Europäischer Betriebsräte und die wirksame Durchsetzung der Rechte auf länderübergreifende Unterrichtung und Anhörung</w:t>
            </w:r>
          </w:p>
        </w:tc>
        <w:tc>
          <w:tcPr>
            <w:tcW w:w="2003" w:type="dxa"/>
            <w:tcBorders>
              <w:top w:val="single" w:sz="4" w:space="0" w:color="auto"/>
              <w:left w:val="single" w:sz="4" w:space="0" w:color="auto"/>
              <w:bottom w:val="nil"/>
            </w:tcBorders>
            <w:tcMar>
              <w:top w:w="85" w:type="dxa"/>
              <w:left w:w="85" w:type="dxa"/>
              <w:bottom w:w="85" w:type="dxa"/>
            </w:tcMar>
          </w:tcPr>
          <w:p w14:paraId="128E8FF4" w14:textId="443AC27F" w:rsidR="00AB66A8" w:rsidRPr="001F152A" w:rsidRDefault="00AB66A8" w:rsidP="006C6FCD">
            <w:pPr>
              <w:rPr>
                <w:noProof/>
              </w:rPr>
            </w:pPr>
            <w:r>
              <w:rPr>
                <w:noProof/>
              </w:rPr>
              <w:t>COM(2024) 14 final</w:t>
            </w:r>
            <w:r>
              <w:rPr>
                <w:noProof/>
              </w:rPr>
              <w:br/>
              <w:t>2024/0006(COD)</w:t>
            </w:r>
            <w:r>
              <w:rPr>
                <w:noProof/>
              </w:rPr>
              <w:br/>
              <w:t>24.1.2024</w:t>
            </w:r>
          </w:p>
        </w:tc>
      </w:tr>
      <w:tr w:rsidR="00AB66A8" w:rsidRPr="006C1C34" w14:paraId="7C2598A9"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51FA2441"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44DB832" w14:textId="77777777" w:rsidR="00AB66A8" w:rsidRPr="00CE7E10" w:rsidRDefault="00AB66A8" w:rsidP="00081129">
            <w:pPr>
              <w:jc w:val="both"/>
              <w:rPr>
                <w:noProof/>
              </w:rPr>
            </w:pPr>
            <w:r>
              <w:rPr>
                <w:noProof/>
              </w:rPr>
              <w:t>Vorschlag für eine RICHTLINIE DES RATES zur Änderung der Richtlinie (EU) 2015/637 über Koordinierungs- und Kooperationsmaßnahmen zur Erleichterung des konsularischen Schutzes von nicht vertretenen Unionsbürgern in Drittländern und der Richtlinie (EU) 2019/997 zur Festlegung eines EU-Rückkehrausweises</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34A013D5" w14:textId="6FA9F558" w:rsidR="00AB66A8" w:rsidRPr="00CE7E10" w:rsidRDefault="00AB66A8" w:rsidP="006C6FCD">
            <w:pPr>
              <w:rPr>
                <w:noProof/>
              </w:rPr>
            </w:pPr>
            <w:r>
              <w:rPr>
                <w:noProof/>
              </w:rPr>
              <w:t>COM(2023) 930 final</w:t>
            </w:r>
            <w:r>
              <w:rPr>
                <w:noProof/>
              </w:rPr>
              <w:br/>
              <w:t>2023/0441(CNS)</w:t>
            </w:r>
            <w:r>
              <w:rPr>
                <w:noProof/>
              </w:rPr>
              <w:br/>
              <w:t>6.12.2023</w:t>
            </w:r>
          </w:p>
        </w:tc>
      </w:tr>
      <w:tr w:rsidR="00AB66A8" w:rsidRPr="006C1C34" w14:paraId="32AB4700"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495E73C5"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78C2774" w14:textId="77777777" w:rsidR="00AB66A8" w:rsidRPr="00CE7E10" w:rsidRDefault="00AB66A8" w:rsidP="00081129">
            <w:pPr>
              <w:jc w:val="both"/>
              <w:rPr>
                <w:noProof/>
              </w:rPr>
            </w:pPr>
            <w:r>
              <w:rPr>
                <w:noProof/>
              </w:rPr>
              <w:t>Vorschlag für eine RICHTLINIE DES EUROPÄISCHEN PARLAMENTS UND DES RATES zur Änderung der Richtlinie (EU) 2015/2302 zur wirksameren Gestaltung des Schutzes von Reisenden und zur Vereinfachung und Klarstellung bestimmter Aspekte der Richtlinie</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66D273A4" w14:textId="72C04F46" w:rsidR="00AB66A8" w:rsidRPr="00CE7E10" w:rsidRDefault="00AB66A8" w:rsidP="006C6FCD">
            <w:pPr>
              <w:rPr>
                <w:noProof/>
              </w:rPr>
            </w:pPr>
            <w:r>
              <w:rPr>
                <w:noProof/>
              </w:rPr>
              <w:t>COM(2023) 905 final</w:t>
            </w:r>
            <w:r>
              <w:rPr>
                <w:noProof/>
              </w:rPr>
              <w:br/>
              <w:t>2023/0435(COD)</w:t>
            </w:r>
            <w:r>
              <w:rPr>
                <w:noProof/>
              </w:rPr>
              <w:br/>
              <w:t>29.11.2023</w:t>
            </w:r>
          </w:p>
        </w:tc>
      </w:tr>
      <w:tr w:rsidR="00AB66A8" w:rsidRPr="0009755C" w14:paraId="16E4AA70"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6FCF9E78" w14:textId="77777777" w:rsidR="00AB66A8" w:rsidRPr="0009755C"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0AFF48C6" w14:textId="77777777" w:rsidR="00AB66A8" w:rsidRPr="0009755C" w:rsidRDefault="00AB66A8" w:rsidP="00081129">
            <w:pPr>
              <w:jc w:val="both"/>
              <w:rPr>
                <w:noProof/>
              </w:rPr>
            </w:pPr>
            <w:r>
              <w:rPr>
                <w:noProof/>
              </w:rPr>
              <w:t>Vorschlag für eine RICHTLINIE DES EUROPÄISCHEN PARLAMENTS UND DES RATES über den Schutz der Arbeitnehmer gegen Gefährdung durch Exposition gegenüber Karzinogenen, Mutagenen oder reproduktionstoxischen Stoffen bei der Arbeit (Sechste Einzelrichtlinie im Sinne von Artikel 16 Absatz 1 der Richtlinie 89/391/EWG des Rates) (kodifizierter Text)</w:t>
            </w:r>
          </w:p>
        </w:tc>
        <w:tc>
          <w:tcPr>
            <w:tcW w:w="2003" w:type="dxa"/>
            <w:tcBorders>
              <w:top w:val="single" w:sz="4" w:space="0" w:color="auto"/>
              <w:left w:val="single" w:sz="4" w:space="0" w:color="auto"/>
              <w:bottom w:val="nil"/>
            </w:tcBorders>
            <w:tcMar>
              <w:top w:w="85" w:type="dxa"/>
              <w:left w:w="85" w:type="dxa"/>
              <w:bottom w:w="85" w:type="dxa"/>
            </w:tcMar>
          </w:tcPr>
          <w:p w14:paraId="7E978C0C" w14:textId="1FD54B78" w:rsidR="00AB66A8" w:rsidRPr="0009755C" w:rsidRDefault="00AB66A8" w:rsidP="006C6FCD">
            <w:pPr>
              <w:rPr>
                <w:noProof/>
              </w:rPr>
            </w:pPr>
            <w:r>
              <w:rPr>
                <w:noProof/>
              </w:rPr>
              <w:t>COM(2023) 738 final</w:t>
            </w:r>
            <w:r>
              <w:rPr>
                <w:noProof/>
              </w:rPr>
              <w:br/>
              <w:t>2023/0421(COD)</w:t>
            </w:r>
            <w:r>
              <w:rPr>
                <w:noProof/>
              </w:rPr>
              <w:br/>
              <w:t>27.11.2023</w:t>
            </w:r>
          </w:p>
        </w:tc>
      </w:tr>
      <w:tr w:rsidR="00AB66A8" w:rsidRPr="006C1C34" w14:paraId="5088E48F"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5D6B4AC0"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781F8D33" w14:textId="77777777" w:rsidR="00AB66A8" w:rsidRPr="00C80EB6" w:rsidRDefault="00AB66A8" w:rsidP="00081129">
            <w:pPr>
              <w:jc w:val="both"/>
              <w:rPr>
                <w:noProof/>
              </w:rPr>
            </w:pPr>
            <w:r>
              <w:rPr>
                <w:noProof/>
              </w:rPr>
              <w:t>Vorschlag für eine RICHTLINIE DES EUROPÄISCHEN PARLAMENTS UND DES RATES zur Änderung der Richtlinie 2013/11/EU über die alternative Beilegung verbraucherrechtlicher Streitigkeiten sowie der Richtlinien (EU) 2015/2302, (EU) 2019/2161 und (EU) 2020/1828</w:t>
            </w:r>
          </w:p>
        </w:tc>
        <w:tc>
          <w:tcPr>
            <w:tcW w:w="2003" w:type="dxa"/>
            <w:tcBorders>
              <w:top w:val="single" w:sz="4" w:space="0" w:color="auto"/>
              <w:left w:val="single" w:sz="4" w:space="0" w:color="auto"/>
              <w:bottom w:val="nil"/>
            </w:tcBorders>
            <w:tcMar>
              <w:top w:w="85" w:type="dxa"/>
              <w:left w:w="85" w:type="dxa"/>
              <w:bottom w:w="85" w:type="dxa"/>
            </w:tcMar>
          </w:tcPr>
          <w:p w14:paraId="6D78DB7B" w14:textId="4BC5654C" w:rsidR="00AB66A8" w:rsidRPr="009022CF" w:rsidRDefault="00AB66A8" w:rsidP="006C6FCD">
            <w:pPr>
              <w:rPr>
                <w:bCs/>
                <w:noProof/>
                <w:color w:val="000000" w:themeColor="text1"/>
              </w:rPr>
            </w:pPr>
            <w:r>
              <w:rPr>
                <w:noProof/>
              </w:rPr>
              <w:t>COM(2023) 649 final</w:t>
            </w:r>
            <w:r>
              <w:rPr>
                <w:noProof/>
              </w:rPr>
              <w:br/>
              <w:t>2023/0376(COD)</w:t>
            </w:r>
            <w:r>
              <w:rPr>
                <w:noProof/>
              </w:rPr>
              <w:br/>
              <w:t>17.10.2023</w:t>
            </w:r>
          </w:p>
        </w:tc>
      </w:tr>
      <w:tr w:rsidR="00AB66A8" w:rsidRPr="006C1C34" w14:paraId="3721DF94"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2EB52AED"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773C8BEE" w14:textId="77777777" w:rsidR="00AB66A8" w:rsidRPr="00091301" w:rsidRDefault="00AB66A8" w:rsidP="00081129">
            <w:pPr>
              <w:jc w:val="both"/>
              <w:rPr>
                <w:noProof/>
              </w:rPr>
            </w:pPr>
            <w:r>
              <w:rPr>
                <w:noProof/>
              </w:rPr>
              <w:t>Vorschlag für eine VERORDNUNG DES EUROPÄISCHEN PARLAMENTS UND DES RATES zur Änderung der Verordnungen (EU) Nr. 1024/2012 und (EU) 2018/1724 hinsichtlich bestimmter in der Richtlinie (EU) XXXX/XXXX festgelegter Anforderungen</w:t>
            </w:r>
          </w:p>
        </w:tc>
        <w:tc>
          <w:tcPr>
            <w:tcW w:w="2003" w:type="dxa"/>
            <w:tcBorders>
              <w:top w:val="single" w:sz="4" w:space="0" w:color="auto"/>
              <w:left w:val="single" w:sz="4" w:space="0" w:color="auto"/>
              <w:bottom w:val="nil"/>
            </w:tcBorders>
            <w:tcMar>
              <w:top w:w="85" w:type="dxa"/>
              <w:left w:w="85" w:type="dxa"/>
              <w:bottom w:w="85" w:type="dxa"/>
            </w:tcMar>
          </w:tcPr>
          <w:p w14:paraId="68D10E63" w14:textId="4981231E" w:rsidR="00AB66A8" w:rsidRPr="00345A44" w:rsidRDefault="00AB66A8" w:rsidP="006C6FCD">
            <w:pPr>
              <w:rPr>
                <w:noProof/>
              </w:rPr>
            </w:pPr>
            <w:r>
              <w:rPr>
                <w:noProof/>
              </w:rPr>
              <w:t>COM(2023) 636 final</w:t>
            </w:r>
            <w:r>
              <w:rPr>
                <w:noProof/>
              </w:rPr>
              <w:br/>
              <w:t>2023/0462(COD)</w:t>
            </w:r>
            <w:r>
              <w:rPr>
                <w:noProof/>
              </w:rPr>
              <w:br/>
              <w:t>12.12.2023</w:t>
            </w:r>
          </w:p>
        </w:tc>
      </w:tr>
      <w:tr w:rsidR="00AB66A8" w:rsidRPr="006C1C34" w14:paraId="125E14D1"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298B1505"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57B23C01" w14:textId="77777777" w:rsidR="00AB66A8" w:rsidRPr="00F472C2" w:rsidRDefault="00AB66A8" w:rsidP="00081129">
            <w:pPr>
              <w:jc w:val="both"/>
              <w:rPr>
                <w:noProof/>
              </w:rPr>
            </w:pPr>
            <w:r>
              <w:rPr>
                <w:noProof/>
                <w:color w:val="000000"/>
              </w:rPr>
              <w:t>Vorschlag für eine VERORDNUNG DES EUROPÄISCHEN PARLAMENTS UND DES RATES über europäische Bevölkerungs- und Wohnungsstatistiken, zur Änderung der Verordnung (EG) Nr. 862/2007 und zur Aufhebung der Verordnungen (EG) Nr. 763/2008 und (EU) Nr. 1260/2013</w:t>
            </w:r>
          </w:p>
        </w:tc>
        <w:tc>
          <w:tcPr>
            <w:tcW w:w="2003" w:type="dxa"/>
            <w:tcBorders>
              <w:left w:val="single" w:sz="4" w:space="0" w:color="auto"/>
              <w:bottom w:val="single" w:sz="4" w:space="0" w:color="auto"/>
            </w:tcBorders>
            <w:shd w:val="clear" w:color="auto" w:fill="auto"/>
            <w:tcMar>
              <w:top w:w="85" w:type="dxa"/>
              <w:left w:w="85" w:type="dxa"/>
              <w:bottom w:w="85" w:type="dxa"/>
            </w:tcMar>
          </w:tcPr>
          <w:p w14:paraId="6BB4CE5F" w14:textId="37A66467" w:rsidR="00AB66A8" w:rsidRPr="00F472C2" w:rsidRDefault="00AB66A8" w:rsidP="006C6FCD">
            <w:pPr>
              <w:rPr>
                <w:noProof/>
              </w:rPr>
            </w:pPr>
            <w:r>
              <w:rPr>
                <w:noProof/>
              </w:rPr>
              <w:t>COM(2023) 31 final</w:t>
            </w:r>
            <w:r>
              <w:rPr>
                <w:noProof/>
              </w:rPr>
              <w:br/>
              <w:t>2023/0008(COD)</w:t>
            </w:r>
            <w:r>
              <w:rPr>
                <w:noProof/>
              </w:rPr>
              <w:br/>
              <w:t>20.1.2023</w:t>
            </w:r>
          </w:p>
        </w:tc>
      </w:tr>
      <w:tr w:rsidR="00AB66A8" w:rsidRPr="006C1C34" w14:paraId="0FED15A3"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3E51449B"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4EC1CE5E" w14:textId="0553D443" w:rsidR="00E3557D" w:rsidRPr="00C80EB6" w:rsidRDefault="00AB66A8" w:rsidP="00081129">
            <w:pPr>
              <w:jc w:val="both"/>
              <w:rPr>
                <w:noProof/>
              </w:rPr>
            </w:pPr>
            <w:r>
              <w:rPr>
                <w:noProof/>
              </w:rPr>
              <w:t>Vorschlag für eine VERORDNUNG DES RATES über die Zuständigkeit, das anzuwendende Recht, die Anerkennung von Entscheidungen und die Annahme öffentlicher Urkunden in Elternschaftssachen sowie zur Einführung eines europäischen Elternschaftszertifikats</w:t>
            </w:r>
          </w:p>
        </w:tc>
        <w:tc>
          <w:tcPr>
            <w:tcW w:w="2003" w:type="dxa"/>
            <w:tcBorders>
              <w:left w:val="single" w:sz="4" w:space="0" w:color="auto"/>
              <w:bottom w:val="single" w:sz="4" w:space="0" w:color="auto"/>
            </w:tcBorders>
            <w:shd w:val="clear" w:color="auto" w:fill="auto"/>
            <w:tcMar>
              <w:top w:w="85" w:type="dxa"/>
              <w:left w:w="85" w:type="dxa"/>
              <w:bottom w:w="85" w:type="dxa"/>
            </w:tcMar>
          </w:tcPr>
          <w:p w14:paraId="7C16C0BD" w14:textId="6A322526" w:rsidR="00AB66A8" w:rsidRPr="00C80EB6" w:rsidRDefault="00AB66A8" w:rsidP="006C6FCD">
            <w:pPr>
              <w:rPr>
                <w:noProof/>
              </w:rPr>
            </w:pPr>
            <w:r>
              <w:rPr>
                <w:noProof/>
              </w:rPr>
              <w:t>COM(2022) 695 final</w:t>
            </w:r>
            <w:r>
              <w:rPr>
                <w:noProof/>
              </w:rPr>
              <w:br/>
              <w:t>2022/0402(CNS)</w:t>
            </w:r>
            <w:r>
              <w:rPr>
                <w:noProof/>
              </w:rPr>
              <w:br/>
              <w:t>7.12.2022</w:t>
            </w:r>
          </w:p>
        </w:tc>
      </w:tr>
      <w:tr w:rsidR="00246285" w:rsidRPr="006C1C34" w14:paraId="32CCF56E"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1853C614" w14:textId="77777777" w:rsidR="00246285" w:rsidRPr="006C1C34" w:rsidRDefault="00246285" w:rsidP="00246285">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60E2A28A" w14:textId="068EF960" w:rsidR="00246285" w:rsidRPr="00724F26" w:rsidRDefault="00246285" w:rsidP="00246285">
            <w:pPr>
              <w:jc w:val="both"/>
              <w:rPr>
                <w:noProof/>
              </w:rPr>
            </w:pPr>
            <w:r>
              <w:rPr>
                <w:noProof/>
              </w:rPr>
              <w:t>Vorschlag für eine VERORDNUNG DES EUROPÄISCHEN PARLAMENTS UND DES RATES zur Änderung der Verordnung (EG) Nr. 883/2004 zur Koordinierung der Systeme der sozialen Sicherheit und der Verordnung (EG) Nr. 987/2009 zur Festlegung der Modalitäten für die Durchführung der Verordnung (EG) Nr. 883/2004</w:t>
            </w:r>
          </w:p>
        </w:tc>
        <w:tc>
          <w:tcPr>
            <w:tcW w:w="2003" w:type="dxa"/>
            <w:tcBorders>
              <w:left w:val="single" w:sz="4" w:space="0" w:color="auto"/>
              <w:bottom w:val="single" w:sz="4" w:space="0" w:color="auto"/>
            </w:tcBorders>
            <w:shd w:val="clear" w:color="auto" w:fill="auto"/>
            <w:tcMar>
              <w:top w:w="85" w:type="dxa"/>
              <w:left w:w="85" w:type="dxa"/>
              <w:bottom w:w="85" w:type="dxa"/>
            </w:tcMar>
          </w:tcPr>
          <w:p w14:paraId="71826797" w14:textId="2F9B6D1C" w:rsidR="00246285" w:rsidRPr="00CB2D22" w:rsidRDefault="00246285" w:rsidP="00246285">
            <w:pPr>
              <w:rPr>
                <w:noProof/>
              </w:rPr>
            </w:pPr>
            <w:r>
              <w:rPr>
                <w:noProof/>
              </w:rPr>
              <w:t>COM(2016) 815 final</w:t>
            </w:r>
            <w:r>
              <w:rPr>
                <w:noProof/>
              </w:rPr>
              <w:br/>
              <w:t>2016/0397(COD)</w:t>
            </w:r>
            <w:r>
              <w:rPr>
                <w:noProof/>
              </w:rPr>
              <w:br/>
              <w:t>13.12.2016</w:t>
            </w:r>
          </w:p>
        </w:tc>
      </w:tr>
      <w:tr w:rsidR="006009A2" w:rsidRPr="006C1C34" w14:paraId="0E074424"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3BCBD3EA" w14:textId="77777777" w:rsidR="006009A2" w:rsidRPr="006C1C34" w:rsidRDefault="006009A2"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158D838A" w14:textId="74EE7ACE" w:rsidR="006009A2" w:rsidRPr="00724F26" w:rsidRDefault="00D30D18" w:rsidP="00081129">
            <w:pPr>
              <w:jc w:val="both"/>
              <w:rPr>
                <w:noProof/>
              </w:rPr>
            </w:pPr>
            <w:r>
              <w:rPr>
                <w:noProof/>
              </w:rPr>
              <w:t>Vorschlag für eine VERORDNUNG DES RATES zur Änderung der Verordnung (EG) Nr. 866/2004 über eine Regelung nach Artikel 2 des Protokolls Nr. 10 zur Beitrittsakte in Bezug auf Waren, die den Qualitätsregelungen für Agrarerzeugnisse und Lebensmittel unterliegen</w:t>
            </w:r>
          </w:p>
        </w:tc>
        <w:tc>
          <w:tcPr>
            <w:tcW w:w="2003" w:type="dxa"/>
            <w:tcBorders>
              <w:left w:val="single" w:sz="4" w:space="0" w:color="auto"/>
              <w:bottom w:val="single" w:sz="4" w:space="0" w:color="auto"/>
            </w:tcBorders>
            <w:shd w:val="clear" w:color="auto" w:fill="auto"/>
            <w:tcMar>
              <w:top w:w="85" w:type="dxa"/>
              <w:left w:w="85" w:type="dxa"/>
              <w:bottom w:w="85" w:type="dxa"/>
            </w:tcMar>
          </w:tcPr>
          <w:p w14:paraId="70FBFC34" w14:textId="31A2E8A9" w:rsidR="006009A2" w:rsidRPr="00CB2D22" w:rsidRDefault="00D30D18" w:rsidP="006C6FCD">
            <w:pPr>
              <w:rPr>
                <w:noProof/>
              </w:rPr>
            </w:pPr>
            <w:r>
              <w:rPr>
                <w:noProof/>
              </w:rPr>
              <w:t>COM(2015) 380 final</w:t>
            </w:r>
            <w:r>
              <w:rPr>
                <w:noProof/>
              </w:rPr>
              <w:br/>
              <w:t>2015/0165(NLE)</w:t>
            </w:r>
            <w:r>
              <w:rPr>
                <w:noProof/>
              </w:rPr>
              <w:br/>
              <w:t>28.7.2015</w:t>
            </w:r>
          </w:p>
        </w:tc>
      </w:tr>
      <w:tr w:rsidR="006009A2" w:rsidRPr="006C1C34" w14:paraId="00A187D0"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412128CC" w14:textId="77777777" w:rsidR="006009A2" w:rsidRPr="006C1C34" w:rsidRDefault="006009A2"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3026EC45" w14:textId="6342948D" w:rsidR="006009A2" w:rsidRPr="00724F26" w:rsidRDefault="00D30D18" w:rsidP="00081129">
            <w:pPr>
              <w:jc w:val="both"/>
              <w:rPr>
                <w:noProof/>
              </w:rPr>
            </w:pPr>
            <w:r>
              <w:rPr>
                <w:noProof/>
              </w:rPr>
              <w:t>Vorschlag für eine Verordnung des Rates über Sonderregelungen für den Handel mit den Landesteilen der Republik Zypern, in denen die Regierung der Republik Zypern keine tatsächliche Kontrolle ausübt</w:t>
            </w:r>
          </w:p>
        </w:tc>
        <w:tc>
          <w:tcPr>
            <w:tcW w:w="2003" w:type="dxa"/>
            <w:tcBorders>
              <w:left w:val="single" w:sz="4" w:space="0" w:color="auto"/>
              <w:bottom w:val="single" w:sz="4" w:space="0" w:color="auto"/>
            </w:tcBorders>
            <w:shd w:val="clear" w:color="auto" w:fill="auto"/>
            <w:tcMar>
              <w:top w:w="85" w:type="dxa"/>
              <w:left w:w="85" w:type="dxa"/>
              <w:bottom w:w="85" w:type="dxa"/>
            </w:tcMar>
          </w:tcPr>
          <w:p w14:paraId="6042E03E" w14:textId="4C1E765C" w:rsidR="006009A2" w:rsidRPr="00CB2D22" w:rsidRDefault="00D30D18" w:rsidP="006C6FCD">
            <w:pPr>
              <w:rPr>
                <w:noProof/>
              </w:rPr>
            </w:pPr>
            <w:r>
              <w:rPr>
                <w:noProof/>
              </w:rPr>
              <w:t>COM(2004) 466 final</w:t>
            </w:r>
            <w:r>
              <w:rPr>
                <w:noProof/>
              </w:rPr>
              <w:br/>
              <w:t>2004/0148(COD)</w:t>
            </w:r>
            <w:r>
              <w:rPr>
                <w:noProof/>
              </w:rPr>
              <w:br/>
              <w:t>7.7.2004</w:t>
            </w:r>
          </w:p>
        </w:tc>
      </w:tr>
      <w:tr w:rsidR="00AB66A8" w:rsidRPr="006C1C34" w14:paraId="252EA0EF" w14:textId="77777777" w:rsidTr="00043CE7">
        <w:trPr>
          <w:jc w:val="center"/>
        </w:trPr>
        <w:tc>
          <w:tcPr>
            <w:tcW w:w="14029" w:type="dxa"/>
            <w:gridSpan w:val="3"/>
            <w:shd w:val="clear" w:color="auto" w:fill="B07442"/>
            <w:tcMar>
              <w:top w:w="85" w:type="dxa"/>
              <w:left w:w="85" w:type="dxa"/>
              <w:bottom w:w="85" w:type="dxa"/>
              <w:right w:w="85" w:type="dxa"/>
            </w:tcMar>
          </w:tcPr>
          <w:p w14:paraId="1DF0425D" w14:textId="77777777" w:rsidR="00AB66A8" w:rsidRPr="006C1C34" w:rsidRDefault="00AB66A8" w:rsidP="006041A8">
            <w:pPr>
              <w:spacing w:before="60" w:after="60"/>
              <w:ind w:left="357" w:hanging="357"/>
              <w:jc w:val="both"/>
              <w:rPr>
                <w:b/>
                <w:bCs/>
                <w:noProof/>
                <w:color w:val="FFFFFF"/>
              </w:rPr>
            </w:pPr>
            <w:r>
              <w:rPr>
                <w:b/>
                <w:noProof/>
                <w:color w:val="FFFFFF" w:themeColor="background1"/>
              </w:rPr>
              <w:t>Unsere Lebensqualität erhalten: Ernährungssicherheit, Wasser und Natur</w:t>
            </w:r>
          </w:p>
        </w:tc>
      </w:tr>
      <w:tr w:rsidR="00AB66A8" w:rsidRPr="006C1C34" w14:paraId="1351E07B" w14:textId="77777777" w:rsidTr="00C12335">
        <w:trPr>
          <w:jc w:val="center"/>
        </w:trPr>
        <w:tc>
          <w:tcPr>
            <w:tcW w:w="562" w:type="dxa"/>
          </w:tcPr>
          <w:p w14:paraId="08E0BEAE"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30FFC21F" w14:textId="77777777" w:rsidR="00AB66A8" w:rsidRPr="00D36AE4" w:rsidRDefault="00AB66A8" w:rsidP="00081129">
            <w:pPr>
              <w:jc w:val="both"/>
              <w:rPr>
                <w:noProof/>
              </w:rPr>
            </w:pPr>
            <w:r>
              <w:rPr>
                <w:noProof/>
              </w:rPr>
              <w:t>Vorschlag für eine VERORDNUNG DES EUROPÄISCHEN PARLAMENTS UND DES RATES zur Änderung der Verordnungen (EU) Nr. 1308/2013, (EU) 2021/2115 und (EU) 2021/2116 hinsichtlich der Stärkung der Position der Landwirtinnen und Landwirte in der Lebensmittelversorgungskette</w:t>
            </w:r>
          </w:p>
        </w:tc>
        <w:tc>
          <w:tcPr>
            <w:tcW w:w="2003" w:type="dxa"/>
          </w:tcPr>
          <w:p w14:paraId="5EC6FFD8" w14:textId="159E929E" w:rsidR="00AB66A8" w:rsidRPr="002F5835" w:rsidRDefault="00AB66A8" w:rsidP="006C6FCD">
            <w:pPr>
              <w:rPr>
                <w:noProof/>
              </w:rPr>
            </w:pPr>
            <w:r>
              <w:rPr>
                <w:noProof/>
              </w:rPr>
              <w:t>COM(2024) 577 final</w:t>
            </w:r>
            <w:r>
              <w:rPr>
                <w:noProof/>
              </w:rPr>
              <w:br/>
              <w:t>2024/0319(COD)</w:t>
            </w:r>
            <w:r>
              <w:rPr>
                <w:noProof/>
              </w:rPr>
              <w:br/>
              <w:t>10.12.2024</w:t>
            </w:r>
          </w:p>
        </w:tc>
      </w:tr>
      <w:tr w:rsidR="00AB66A8" w:rsidRPr="006C1C34" w14:paraId="181F2FA8" w14:textId="77777777" w:rsidTr="00C12335">
        <w:trPr>
          <w:jc w:val="center"/>
        </w:trPr>
        <w:tc>
          <w:tcPr>
            <w:tcW w:w="562" w:type="dxa"/>
          </w:tcPr>
          <w:p w14:paraId="471D8E73"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53EE9B5B" w14:textId="77777777" w:rsidR="00AB66A8" w:rsidRPr="00D36AE4" w:rsidRDefault="00AB66A8" w:rsidP="00081129">
            <w:pPr>
              <w:jc w:val="both"/>
              <w:rPr>
                <w:noProof/>
              </w:rPr>
            </w:pPr>
            <w:r>
              <w:rPr>
                <w:noProof/>
              </w:rPr>
              <w:t>Vorschlag für eine VERORDNUNG DES EUROPÄISCHEN PARLAMENTS UND DES RATES über die Zusammenarbeit zwischen den Durchsetzungsbehörden, die für die Durchsetzung der Richtlinie (EU) 2019/633 über unlautere Handelspraktiken in den Geschäftsbeziehungen zwischen Unternehmen in der Agrar- und Lebensmittelversorgungskette zuständig sind</w:t>
            </w:r>
          </w:p>
        </w:tc>
        <w:tc>
          <w:tcPr>
            <w:tcW w:w="2003" w:type="dxa"/>
          </w:tcPr>
          <w:p w14:paraId="03CADA23" w14:textId="30A24B66" w:rsidR="00AB66A8" w:rsidRPr="002F5835" w:rsidRDefault="00AB66A8" w:rsidP="006C6FCD">
            <w:pPr>
              <w:rPr>
                <w:noProof/>
              </w:rPr>
            </w:pPr>
            <w:r>
              <w:rPr>
                <w:noProof/>
              </w:rPr>
              <w:t>COM(2024) 576 final</w:t>
            </w:r>
            <w:r>
              <w:rPr>
                <w:noProof/>
              </w:rPr>
              <w:br/>
              <w:t>2024/0318(COD)</w:t>
            </w:r>
            <w:r>
              <w:rPr>
                <w:noProof/>
              </w:rPr>
              <w:br/>
              <w:t>10.12.2024</w:t>
            </w:r>
          </w:p>
        </w:tc>
      </w:tr>
      <w:tr w:rsidR="00AB66A8" w:rsidRPr="006C1C34" w14:paraId="061708E7" w14:textId="77777777" w:rsidTr="00C12335">
        <w:trPr>
          <w:jc w:val="center"/>
        </w:trPr>
        <w:tc>
          <w:tcPr>
            <w:tcW w:w="562" w:type="dxa"/>
          </w:tcPr>
          <w:p w14:paraId="7F7409AF"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21A46D9F" w14:textId="77777777" w:rsidR="00AB66A8" w:rsidRPr="00CE7E10" w:rsidRDefault="00AB66A8" w:rsidP="00081129">
            <w:pPr>
              <w:jc w:val="both"/>
              <w:rPr>
                <w:noProof/>
              </w:rPr>
            </w:pPr>
            <w:r>
              <w:rPr>
                <w:noProof/>
              </w:rPr>
              <w:t>Vorschlag für eine VERORDNUNG DES EUROPÄISCHEN PARLAMENTS UND DES RATES zur Änderung der Verordnung (EU) Nr. 1026/2012 über bestimmte Maßnahmen zur Unterstützung der Bestandserhaltung gegenüber Ländern, die nicht nachhaltigen Fischfang zulassen</w:t>
            </w:r>
          </w:p>
        </w:tc>
        <w:tc>
          <w:tcPr>
            <w:tcW w:w="2003" w:type="dxa"/>
          </w:tcPr>
          <w:p w14:paraId="3C0E27BB" w14:textId="0E621BF5" w:rsidR="00AB66A8" w:rsidRPr="00CE7E10" w:rsidRDefault="00AB66A8" w:rsidP="006C6FCD">
            <w:pPr>
              <w:rPr>
                <w:noProof/>
              </w:rPr>
            </w:pPr>
            <w:r>
              <w:rPr>
                <w:noProof/>
              </w:rPr>
              <w:t>COM(2024) 407 final</w:t>
            </w:r>
            <w:r>
              <w:rPr>
                <w:noProof/>
              </w:rPr>
              <w:br/>
              <w:t>2024/0224(COD)</w:t>
            </w:r>
            <w:r>
              <w:rPr>
                <w:noProof/>
              </w:rPr>
              <w:br/>
              <w:t>13.9.2024</w:t>
            </w:r>
          </w:p>
        </w:tc>
      </w:tr>
      <w:tr w:rsidR="00AB66A8" w:rsidRPr="006C1C34" w14:paraId="0484BC20" w14:textId="77777777" w:rsidTr="00C12335">
        <w:trPr>
          <w:jc w:val="center"/>
        </w:trPr>
        <w:tc>
          <w:tcPr>
            <w:tcW w:w="562" w:type="dxa"/>
          </w:tcPr>
          <w:p w14:paraId="3CBD42D6"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43B9D911" w14:textId="77777777" w:rsidR="00AB66A8" w:rsidRPr="00210349" w:rsidRDefault="00AB66A8" w:rsidP="00081129">
            <w:pPr>
              <w:jc w:val="both"/>
              <w:rPr>
                <w:noProof/>
              </w:rPr>
            </w:pPr>
            <w:r>
              <w:rPr>
                <w:noProof/>
              </w:rPr>
              <w:t>Vorschlag für eine VERORDNUNG DES EUROPÄISCHEN PARLAMENTS UND DES RATES zur Änderung der Verordnung (EU) 2023/2124 des Europäischen Parlaments und des Rates vom 4. Oktober 2023 mit Vorschriften für die Fischerei im Übereinkommensgebiet der GFCM (Allgemeine Kommission für die Fischerei im Mittelmeer)</w:t>
            </w:r>
          </w:p>
        </w:tc>
        <w:tc>
          <w:tcPr>
            <w:tcW w:w="2003" w:type="dxa"/>
          </w:tcPr>
          <w:p w14:paraId="4BC94C66" w14:textId="690F439A" w:rsidR="00AB66A8" w:rsidRPr="007A2DDB" w:rsidRDefault="00AB66A8" w:rsidP="006C6FCD">
            <w:pPr>
              <w:rPr>
                <w:noProof/>
              </w:rPr>
            </w:pPr>
            <w:r>
              <w:rPr>
                <w:noProof/>
              </w:rPr>
              <w:t>COM(2024) 183 final</w:t>
            </w:r>
            <w:r>
              <w:rPr>
                <w:noProof/>
              </w:rPr>
              <w:br/>
              <w:t>2024/0098(COD)</w:t>
            </w:r>
            <w:r>
              <w:rPr>
                <w:noProof/>
              </w:rPr>
              <w:br/>
              <w:t>30.4.2024</w:t>
            </w:r>
          </w:p>
        </w:tc>
      </w:tr>
      <w:tr w:rsidR="00AB66A8" w:rsidRPr="006C1C34" w14:paraId="0B632A01" w14:textId="77777777" w:rsidTr="00C12335">
        <w:trPr>
          <w:jc w:val="center"/>
        </w:trPr>
        <w:tc>
          <w:tcPr>
            <w:tcW w:w="562" w:type="dxa"/>
          </w:tcPr>
          <w:p w14:paraId="7331CDA5"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58AB31B8" w14:textId="77777777" w:rsidR="00AB66A8" w:rsidRPr="006C1C34" w:rsidRDefault="00AB66A8" w:rsidP="00081129">
            <w:pPr>
              <w:jc w:val="both"/>
              <w:rPr>
                <w:noProof/>
              </w:rPr>
            </w:pPr>
            <w:r>
              <w:rPr>
                <w:noProof/>
              </w:rPr>
              <w:t>Vorschlag für eine VERORDNUNG DES EUROPÄISCHEN PARLAMENTS UND DES RATES über einen Monitoringrahmen für widerstandsfähige europäische Wälder</w:t>
            </w:r>
          </w:p>
        </w:tc>
        <w:tc>
          <w:tcPr>
            <w:tcW w:w="2003" w:type="dxa"/>
          </w:tcPr>
          <w:p w14:paraId="3A9F4692" w14:textId="22DD8CFD" w:rsidR="00AB66A8" w:rsidRPr="006C1C34" w:rsidRDefault="00AB66A8" w:rsidP="006C6FCD">
            <w:pPr>
              <w:rPr>
                <w:noProof/>
              </w:rPr>
            </w:pPr>
            <w:r>
              <w:rPr>
                <w:noProof/>
              </w:rPr>
              <w:t>COM(2023) 728 final</w:t>
            </w:r>
            <w:r>
              <w:rPr>
                <w:noProof/>
              </w:rPr>
              <w:br/>
              <w:t>2023/0413(COD)</w:t>
            </w:r>
            <w:r>
              <w:rPr>
                <w:noProof/>
              </w:rPr>
              <w:br/>
              <w:t>22.11.2023</w:t>
            </w:r>
          </w:p>
        </w:tc>
      </w:tr>
      <w:tr w:rsidR="00AB66A8" w:rsidRPr="006C1C34" w14:paraId="59C7D3EC" w14:textId="77777777" w:rsidTr="00C12335">
        <w:trPr>
          <w:jc w:val="center"/>
        </w:trPr>
        <w:tc>
          <w:tcPr>
            <w:tcW w:w="562" w:type="dxa"/>
            <w:shd w:val="clear" w:color="auto" w:fill="auto"/>
          </w:tcPr>
          <w:p w14:paraId="764F2F7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6DCF6E5" w14:textId="77777777" w:rsidR="00AB66A8" w:rsidRPr="002821A8" w:rsidRDefault="00AB66A8" w:rsidP="00081129">
            <w:pPr>
              <w:jc w:val="both"/>
              <w:rPr>
                <w:noProof/>
              </w:rPr>
            </w:pPr>
            <w:r>
              <w:rPr>
                <w:noProof/>
              </w:rPr>
              <w:t>Vorschlag für einen BESCHLUSS DES EUROPÄISCHEN PARLAMENTS UND DES RATES zur Änderung der Entscheidung 89/367/EWG des Rates zur Einsetzung eines Ständigen Forstausschusses</w:t>
            </w:r>
          </w:p>
        </w:tc>
        <w:tc>
          <w:tcPr>
            <w:tcW w:w="2003" w:type="dxa"/>
            <w:shd w:val="clear" w:color="auto" w:fill="auto"/>
          </w:tcPr>
          <w:p w14:paraId="75F88308" w14:textId="43F83481" w:rsidR="00AB66A8" w:rsidRPr="00E876A4" w:rsidRDefault="00AB66A8" w:rsidP="006C6FCD">
            <w:pPr>
              <w:rPr>
                <w:noProof/>
              </w:rPr>
            </w:pPr>
            <w:r>
              <w:rPr>
                <w:noProof/>
              </w:rPr>
              <w:t>COM(2023) 727 final</w:t>
            </w:r>
            <w:r>
              <w:rPr>
                <w:noProof/>
              </w:rPr>
              <w:br/>
              <w:t>2023/0410(COD)</w:t>
            </w:r>
            <w:r>
              <w:rPr>
                <w:noProof/>
              </w:rPr>
              <w:br/>
              <w:t>22.11.2023</w:t>
            </w:r>
          </w:p>
        </w:tc>
      </w:tr>
      <w:tr w:rsidR="00AB66A8" w:rsidRPr="006C1C34" w14:paraId="2B28694E" w14:textId="77777777" w:rsidTr="00C12335">
        <w:trPr>
          <w:jc w:val="center"/>
        </w:trPr>
        <w:tc>
          <w:tcPr>
            <w:tcW w:w="562" w:type="dxa"/>
          </w:tcPr>
          <w:p w14:paraId="6219F50D"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18DAD847" w14:textId="77777777" w:rsidR="00AB66A8" w:rsidRPr="00E876A4" w:rsidRDefault="00AB66A8" w:rsidP="00081129">
            <w:pPr>
              <w:jc w:val="both"/>
              <w:rPr>
                <w:noProof/>
              </w:rPr>
            </w:pPr>
            <w:r>
              <w:rPr>
                <w:noProof/>
              </w:rPr>
              <w:t>Vorschlag für eine RICHTLINIE DES EUROPÄISCHEN PARLAMENTS UND DES RATES zur Bodenüberwachung und -resilienz (Bodenüberwachungsgesetz)</w:t>
            </w:r>
          </w:p>
        </w:tc>
        <w:tc>
          <w:tcPr>
            <w:tcW w:w="2003" w:type="dxa"/>
          </w:tcPr>
          <w:p w14:paraId="1EA7EC7E" w14:textId="78BE315F" w:rsidR="00AB66A8" w:rsidRPr="00E876A4" w:rsidRDefault="00AB66A8" w:rsidP="006C6FCD">
            <w:pPr>
              <w:rPr>
                <w:noProof/>
              </w:rPr>
            </w:pPr>
            <w:r>
              <w:rPr>
                <w:noProof/>
              </w:rPr>
              <w:t>COM(2023) 416 final</w:t>
            </w:r>
            <w:r>
              <w:rPr>
                <w:noProof/>
              </w:rPr>
              <w:br/>
              <w:t>2023/0232(COD)</w:t>
            </w:r>
            <w:r>
              <w:rPr>
                <w:noProof/>
              </w:rPr>
              <w:br/>
              <w:t>5.7.2023</w:t>
            </w:r>
          </w:p>
        </w:tc>
      </w:tr>
      <w:tr w:rsidR="00AB66A8" w:rsidRPr="006C1C34" w14:paraId="2C9D7166" w14:textId="77777777" w:rsidTr="00C12335">
        <w:trPr>
          <w:jc w:val="center"/>
        </w:trPr>
        <w:tc>
          <w:tcPr>
            <w:tcW w:w="562" w:type="dxa"/>
          </w:tcPr>
          <w:p w14:paraId="485C8C68"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21835F07" w14:textId="77777777" w:rsidR="00AB66A8" w:rsidRPr="00C3634B" w:rsidRDefault="00AB66A8" w:rsidP="00081129">
            <w:pPr>
              <w:jc w:val="both"/>
              <w:rPr>
                <w:noProof/>
              </w:rPr>
            </w:pPr>
            <w:r>
              <w:rPr>
                <w:noProof/>
              </w:rPr>
              <w:t>Vorschlag für eine VERORDNUNG DES EUROPÄISCHEN PARLAMENTS UND DES RATES über mit bestimmten neuen genomischen Techniken gewonnene Pflanzen und die aus ihnen gewonnenen Lebens- und Futtermittel sowie zur Änderung der Verordnung (EU) 2017/625</w:t>
            </w:r>
          </w:p>
        </w:tc>
        <w:tc>
          <w:tcPr>
            <w:tcW w:w="2003" w:type="dxa"/>
          </w:tcPr>
          <w:p w14:paraId="47E162F0" w14:textId="0E8EBC73" w:rsidR="00AB66A8" w:rsidRPr="00C3634B" w:rsidRDefault="00AB66A8" w:rsidP="006C6FCD">
            <w:pPr>
              <w:rPr>
                <w:noProof/>
              </w:rPr>
            </w:pPr>
            <w:r>
              <w:rPr>
                <w:noProof/>
              </w:rPr>
              <w:t>COM(2023) 411 final</w:t>
            </w:r>
            <w:r>
              <w:rPr>
                <w:noProof/>
              </w:rPr>
              <w:br/>
              <w:t>2023/0226(COD)</w:t>
            </w:r>
            <w:r>
              <w:rPr>
                <w:noProof/>
              </w:rPr>
              <w:br/>
              <w:t>5.7.2023</w:t>
            </w:r>
          </w:p>
        </w:tc>
      </w:tr>
      <w:tr w:rsidR="00AB66A8" w:rsidRPr="006C1C34" w14:paraId="22B002C8" w14:textId="77777777" w:rsidTr="00C12335">
        <w:trPr>
          <w:jc w:val="center"/>
        </w:trPr>
        <w:tc>
          <w:tcPr>
            <w:tcW w:w="562" w:type="dxa"/>
            <w:tcBorders>
              <w:bottom w:val="single" w:sz="4" w:space="0" w:color="auto"/>
            </w:tcBorders>
          </w:tcPr>
          <w:p w14:paraId="2F141239"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tcMar>
              <w:top w:w="85" w:type="dxa"/>
              <w:left w:w="85" w:type="dxa"/>
              <w:bottom w:w="85" w:type="dxa"/>
              <w:right w:w="85" w:type="dxa"/>
            </w:tcMar>
          </w:tcPr>
          <w:p w14:paraId="300BE914" w14:textId="77777777" w:rsidR="00AB66A8" w:rsidRPr="00C3634B" w:rsidRDefault="00AB66A8" w:rsidP="00081129">
            <w:pPr>
              <w:jc w:val="both"/>
              <w:rPr>
                <w:noProof/>
              </w:rPr>
            </w:pPr>
            <w:r>
              <w:rPr>
                <w:noProof/>
              </w:rPr>
              <w:t>Vorschlag für eine RICHTLINIE DES EUROPÄISCHEN PARLAMENTS UND DES RATES zur Änderung der Richtlinie 2000/60/EG zur Schaffung eines Ordnungsrahmens für Maßnahmen der Gemeinschaft im Bereich der Wasserpolitik, der Richtlinie 2006/118/EG zum Schutz des Grundwassers vor Verschmutzung und Verschlechterung und der Richtlinie 2008/105/EG über Umweltqualitätsnormen im Bereich der Wasserpolitik</w:t>
            </w:r>
          </w:p>
        </w:tc>
        <w:tc>
          <w:tcPr>
            <w:tcW w:w="2003" w:type="dxa"/>
            <w:tcBorders>
              <w:bottom w:val="single" w:sz="4" w:space="0" w:color="auto"/>
            </w:tcBorders>
          </w:tcPr>
          <w:p w14:paraId="53F96BF9" w14:textId="5A2E9FAC" w:rsidR="00AB66A8" w:rsidRPr="00C3634B" w:rsidRDefault="00AB66A8" w:rsidP="006C6FCD">
            <w:pPr>
              <w:rPr>
                <w:noProof/>
              </w:rPr>
            </w:pPr>
            <w:r>
              <w:rPr>
                <w:noProof/>
              </w:rPr>
              <w:t>COM(2022) 540 final</w:t>
            </w:r>
            <w:r>
              <w:rPr>
                <w:noProof/>
              </w:rPr>
              <w:br/>
              <w:t>2022/0344(COD)</w:t>
            </w:r>
            <w:r>
              <w:rPr>
                <w:noProof/>
              </w:rPr>
              <w:br/>
              <w:t>26.10.2022</w:t>
            </w:r>
          </w:p>
        </w:tc>
      </w:tr>
      <w:tr w:rsidR="00AB66A8" w:rsidRPr="006C1C34" w14:paraId="7AAEF90E" w14:textId="77777777" w:rsidTr="00FF69A3">
        <w:trPr>
          <w:jc w:val="center"/>
        </w:trPr>
        <w:tc>
          <w:tcPr>
            <w:tcW w:w="14029" w:type="dxa"/>
            <w:gridSpan w:val="3"/>
            <w:shd w:val="clear" w:color="auto" w:fill="6400D8"/>
            <w:tcMar>
              <w:top w:w="85" w:type="dxa"/>
              <w:left w:w="85" w:type="dxa"/>
              <w:bottom w:w="85" w:type="dxa"/>
              <w:right w:w="85" w:type="dxa"/>
            </w:tcMar>
          </w:tcPr>
          <w:p w14:paraId="55676588" w14:textId="77777777" w:rsidR="00AB66A8" w:rsidRPr="006C1C34" w:rsidRDefault="00AB66A8" w:rsidP="006041A8">
            <w:pPr>
              <w:spacing w:before="60" w:after="60"/>
              <w:ind w:left="357" w:hanging="357"/>
              <w:jc w:val="both"/>
              <w:rPr>
                <w:b/>
                <w:bCs/>
                <w:noProof/>
                <w:color w:val="FFFFFF"/>
              </w:rPr>
            </w:pPr>
            <w:r>
              <w:rPr>
                <w:noProof/>
              </w:rPr>
              <w:br w:type="page"/>
            </w:r>
            <w:r>
              <w:rPr>
                <w:b/>
                <w:noProof/>
                <w:color w:val="FFFFFF" w:themeColor="background1"/>
              </w:rPr>
              <w:t>Unsere Demokratie schützen und unsere Werte wahren</w:t>
            </w:r>
          </w:p>
        </w:tc>
      </w:tr>
      <w:tr w:rsidR="00AB66A8" w:rsidRPr="006C1C34" w14:paraId="1546CD20" w14:textId="77777777" w:rsidTr="00C12335">
        <w:trPr>
          <w:jc w:val="center"/>
        </w:trPr>
        <w:tc>
          <w:tcPr>
            <w:tcW w:w="562" w:type="dxa"/>
            <w:tcBorders>
              <w:right w:val="nil"/>
            </w:tcBorders>
            <w:shd w:val="clear" w:color="auto" w:fill="auto"/>
            <w:tcMar>
              <w:top w:w="85" w:type="dxa"/>
              <w:left w:w="85" w:type="dxa"/>
              <w:bottom w:w="85" w:type="dxa"/>
            </w:tcMar>
          </w:tcPr>
          <w:p w14:paraId="2595887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74A048B7" w14:textId="77777777" w:rsidR="00AB66A8" w:rsidRPr="00CE7E10" w:rsidRDefault="00AB66A8" w:rsidP="00081129">
            <w:pPr>
              <w:jc w:val="both"/>
              <w:rPr>
                <w:noProof/>
              </w:rPr>
            </w:pPr>
            <w:r>
              <w:rPr>
                <w:noProof/>
              </w:rPr>
              <w:t>Vorschlag für eine VERORDNUNG DES RATES über die Ausstellung von auf Personalausweisen basierenden digitalen Reiseausweisen und technische Standards für solche Reiseausweise</w:t>
            </w:r>
          </w:p>
        </w:tc>
        <w:tc>
          <w:tcPr>
            <w:tcW w:w="2003" w:type="dxa"/>
            <w:tcMar>
              <w:top w:w="85" w:type="dxa"/>
              <w:left w:w="85" w:type="dxa"/>
              <w:bottom w:w="85" w:type="dxa"/>
            </w:tcMar>
          </w:tcPr>
          <w:p w14:paraId="44128360" w14:textId="79483E8A" w:rsidR="00AB66A8" w:rsidRPr="00CE7E10" w:rsidRDefault="00AB66A8" w:rsidP="006C6FCD">
            <w:pPr>
              <w:rPr>
                <w:noProof/>
              </w:rPr>
            </w:pPr>
            <w:r>
              <w:rPr>
                <w:noProof/>
              </w:rPr>
              <w:t>COM(2024) 671 final</w:t>
            </w:r>
            <w:r>
              <w:rPr>
                <w:noProof/>
              </w:rPr>
              <w:br/>
              <w:t>2024/0248(CNS)</w:t>
            </w:r>
            <w:r>
              <w:rPr>
                <w:noProof/>
              </w:rPr>
              <w:br/>
              <w:t>8.10.2024</w:t>
            </w:r>
          </w:p>
        </w:tc>
      </w:tr>
      <w:tr w:rsidR="00AB66A8" w:rsidRPr="006C1C34" w14:paraId="316BBFA1" w14:textId="77777777" w:rsidTr="00C12335">
        <w:trPr>
          <w:jc w:val="center"/>
        </w:trPr>
        <w:tc>
          <w:tcPr>
            <w:tcW w:w="562" w:type="dxa"/>
            <w:tcBorders>
              <w:right w:val="nil"/>
            </w:tcBorders>
            <w:shd w:val="clear" w:color="auto" w:fill="auto"/>
            <w:tcMar>
              <w:top w:w="85" w:type="dxa"/>
              <w:left w:w="85" w:type="dxa"/>
              <w:bottom w:w="85" w:type="dxa"/>
            </w:tcMar>
          </w:tcPr>
          <w:p w14:paraId="5837F088"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75137C2D" w14:textId="77777777" w:rsidR="00AB66A8" w:rsidRPr="00CE7E10" w:rsidRDefault="00AB66A8" w:rsidP="00081129">
            <w:pPr>
              <w:jc w:val="both"/>
              <w:rPr>
                <w:noProof/>
              </w:rPr>
            </w:pPr>
            <w:r>
              <w:rPr>
                <w:noProof/>
              </w:rPr>
              <w:t>Vorschlag für eine VERORDNUNG DES RATES zur Erhöhung der Sicherheit der Personalausweise von Unionsbürgern und der Aufenthaltsdokumente, die Unionsbürgern und deren Familienangehörigen ausgestellt werden, die ihr Recht auf Freizügigkeit ausüben</w:t>
            </w:r>
          </w:p>
        </w:tc>
        <w:tc>
          <w:tcPr>
            <w:tcW w:w="2003" w:type="dxa"/>
            <w:tcMar>
              <w:top w:w="85" w:type="dxa"/>
              <w:left w:w="85" w:type="dxa"/>
              <w:bottom w:w="85" w:type="dxa"/>
            </w:tcMar>
          </w:tcPr>
          <w:p w14:paraId="078FC456" w14:textId="48D38B8A" w:rsidR="00AB66A8" w:rsidRPr="00CE7E10" w:rsidRDefault="00AB66A8" w:rsidP="006C6FCD">
            <w:pPr>
              <w:rPr>
                <w:noProof/>
              </w:rPr>
            </w:pPr>
            <w:r>
              <w:rPr>
                <w:noProof/>
              </w:rPr>
              <w:t>COM(2024) 316 final</w:t>
            </w:r>
            <w:r>
              <w:rPr>
                <w:noProof/>
              </w:rPr>
              <w:br/>
              <w:t>2024/0187(CNS)</w:t>
            </w:r>
            <w:r>
              <w:rPr>
                <w:noProof/>
              </w:rPr>
              <w:br/>
              <w:t>23.7.2024</w:t>
            </w:r>
          </w:p>
        </w:tc>
      </w:tr>
      <w:tr w:rsidR="00AB66A8" w:rsidRPr="006C1C34" w14:paraId="75E8544D" w14:textId="77777777" w:rsidTr="00C12335">
        <w:trPr>
          <w:jc w:val="center"/>
        </w:trPr>
        <w:tc>
          <w:tcPr>
            <w:tcW w:w="562" w:type="dxa"/>
            <w:tcBorders>
              <w:right w:val="nil"/>
            </w:tcBorders>
            <w:shd w:val="clear" w:color="auto" w:fill="auto"/>
            <w:tcMar>
              <w:top w:w="85" w:type="dxa"/>
              <w:left w:w="85" w:type="dxa"/>
              <w:bottom w:w="85" w:type="dxa"/>
            </w:tcMar>
          </w:tcPr>
          <w:p w14:paraId="0DA359A9"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4EB35786" w14:textId="77777777" w:rsidR="00AB66A8" w:rsidRPr="00422C0F" w:rsidRDefault="00AB66A8" w:rsidP="00081129">
            <w:pPr>
              <w:jc w:val="both"/>
              <w:rPr>
                <w:noProof/>
              </w:rPr>
            </w:pPr>
            <w:r>
              <w:rPr>
                <w:noProof/>
              </w:rPr>
              <w:t>Vorschlag für eine RICHTLINIE DES EUROPÄISCHEN PARLAMENTS UND DES RATES zur Festlegung harmonisierter Anforderungen im Binnenmarkt an die Transparenz der Interessenvertretung im Auftrag von Drittländern und zur Änderung der Richtlinie (EU) 2019/1937</w:t>
            </w:r>
          </w:p>
        </w:tc>
        <w:tc>
          <w:tcPr>
            <w:tcW w:w="2003" w:type="dxa"/>
            <w:tcMar>
              <w:top w:w="85" w:type="dxa"/>
              <w:left w:w="85" w:type="dxa"/>
              <w:bottom w:w="85" w:type="dxa"/>
            </w:tcMar>
          </w:tcPr>
          <w:p w14:paraId="5131932F" w14:textId="011E7043" w:rsidR="00AB66A8" w:rsidRPr="00422C0F" w:rsidRDefault="00AB66A8" w:rsidP="006C6FCD">
            <w:pPr>
              <w:rPr>
                <w:noProof/>
              </w:rPr>
            </w:pPr>
            <w:r>
              <w:rPr>
                <w:noProof/>
              </w:rPr>
              <w:t>COM(2023) 637 final</w:t>
            </w:r>
            <w:r>
              <w:rPr>
                <w:noProof/>
              </w:rPr>
              <w:br/>
              <w:t>2023/0463(COD)</w:t>
            </w:r>
            <w:r>
              <w:rPr>
                <w:noProof/>
              </w:rPr>
              <w:br/>
              <w:t>12.12.2023</w:t>
            </w:r>
          </w:p>
        </w:tc>
      </w:tr>
      <w:tr w:rsidR="00AB66A8" w:rsidRPr="006C1C34" w14:paraId="7EB35BB7" w14:textId="77777777" w:rsidTr="00C12335">
        <w:trPr>
          <w:jc w:val="center"/>
        </w:trPr>
        <w:tc>
          <w:tcPr>
            <w:tcW w:w="562" w:type="dxa"/>
            <w:tcBorders>
              <w:right w:val="nil"/>
            </w:tcBorders>
            <w:shd w:val="clear" w:color="auto" w:fill="auto"/>
            <w:tcMar>
              <w:top w:w="85" w:type="dxa"/>
              <w:left w:w="85" w:type="dxa"/>
              <w:bottom w:w="85" w:type="dxa"/>
            </w:tcMar>
          </w:tcPr>
          <w:p w14:paraId="6CF71331"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5DA83D81" w14:textId="77777777" w:rsidR="00AB66A8" w:rsidRPr="00CE7E10" w:rsidRDefault="00AB66A8" w:rsidP="00081129">
            <w:pPr>
              <w:jc w:val="both"/>
              <w:rPr>
                <w:noProof/>
              </w:rPr>
            </w:pPr>
            <w:r>
              <w:rPr>
                <w:noProof/>
              </w:rPr>
              <w:t>Vorschlag für eine RICHTLINIE DES EUROPÄISCHEN PARLAMENTS UND DES RATES zur Änderung der Richtlinie 2012/29/EU über Mindeststandards für die Rechte, die Unterstützung und den Schutz von Opfern von Straftaten sowie zur Ersetzung des Rahmenbeschlusses 2001/220/JI</w:t>
            </w:r>
          </w:p>
        </w:tc>
        <w:tc>
          <w:tcPr>
            <w:tcW w:w="2003" w:type="dxa"/>
            <w:tcMar>
              <w:top w:w="85" w:type="dxa"/>
              <w:left w:w="85" w:type="dxa"/>
              <w:bottom w:w="85" w:type="dxa"/>
            </w:tcMar>
          </w:tcPr>
          <w:p w14:paraId="1A4C5DB3" w14:textId="3CA27622" w:rsidR="00AB66A8" w:rsidRPr="00CE7E10" w:rsidRDefault="00AB66A8" w:rsidP="006C6FCD">
            <w:pPr>
              <w:rPr>
                <w:noProof/>
              </w:rPr>
            </w:pPr>
            <w:r>
              <w:rPr>
                <w:noProof/>
              </w:rPr>
              <w:t>COM(2023) 424 final</w:t>
            </w:r>
            <w:r>
              <w:rPr>
                <w:noProof/>
              </w:rPr>
              <w:br/>
              <w:t>2023/0250(COD)</w:t>
            </w:r>
            <w:r>
              <w:rPr>
                <w:noProof/>
              </w:rPr>
              <w:br/>
              <w:t>11.7.2023</w:t>
            </w:r>
          </w:p>
        </w:tc>
      </w:tr>
      <w:tr w:rsidR="00AB66A8" w:rsidRPr="006C1C34" w14:paraId="2504A90E" w14:textId="77777777" w:rsidTr="00C12335">
        <w:trPr>
          <w:jc w:val="center"/>
        </w:trPr>
        <w:tc>
          <w:tcPr>
            <w:tcW w:w="562" w:type="dxa"/>
            <w:tcBorders>
              <w:right w:val="nil"/>
            </w:tcBorders>
            <w:shd w:val="clear" w:color="auto" w:fill="auto"/>
            <w:tcMar>
              <w:top w:w="85" w:type="dxa"/>
              <w:left w:w="85" w:type="dxa"/>
              <w:bottom w:w="85" w:type="dxa"/>
            </w:tcMar>
          </w:tcPr>
          <w:p w14:paraId="41D26475"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F64A26A" w14:textId="77777777" w:rsidR="00AB66A8" w:rsidRPr="006C1C34" w:rsidRDefault="00AB66A8" w:rsidP="00081129">
            <w:pPr>
              <w:jc w:val="both"/>
              <w:rPr>
                <w:noProof/>
              </w:rPr>
            </w:pPr>
            <w:r>
              <w:rPr>
                <w:noProof/>
              </w:rPr>
              <w:t>Vorschlag für eine VERORDNUNG DES EUROPÄISCHEN PARLAMENTS UND DES RATES zur Festlegung zusätzlicher Verfahrensregeln für die Durchsetzung der Verordnung (EU) 2016/679</w:t>
            </w:r>
          </w:p>
        </w:tc>
        <w:tc>
          <w:tcPr>
            <w:tcW w:w="2003" w:type="dxa"/>
            <w:tcMar>
              <w:top w:w="85" w:type="dxa"/>
              <w:left w:w="85" w:type="dxa"/>
              <w:bottom w:w="85" w:type="dxa"/>
            </w:tcMar>
          </w:tcPr>
          <w:p w14:paraId="12B7820B" w14:textId="6136FE87" w:rsidR="00AB66A8" w:rsidRPr="006C1C34" w:rsidRDefault="00AB66A8" w:rsidP="006C6FCD">
            <w:pPr>
              <w:rPr>
                <w:noProof/>
              </w:rPr>
            </w:pPr>
            <w:r>
              <w:rPr>
                <w:noProof/>
              </w:rPr>
              <w:t>COM(2023) 348 final</w:t>
            </w:r>
            <w:r>
              <w:rPr>
                <w:noProof/>
              </w:rPr>
              <w:br/>
              <w:t>2023/0202(COD)</w:t>
            </w:r>
            <w:r>
              <w:rPr>
                <w:noProof/>
              </w:rPr>
              <w:br/>
              <w:t>4.7.2023</w:t>
            </w:r>
          </w:p>
        </w:tc>
      </w:tr>
      <w:tr w:rsidR="00AB66A8" w:rsidRPr="006C1C34" w14:paraId="28F8ADC1" w14:textId="77777777" w:rsidTr="00C12335">
        <w:trPr>
          <w:jc w:val="center"/>
        </w:trPr>
        <w:tc>
          <w:tcPr>
            <w:tcW w:w="562" w:type="dxa"/>
            <w:tcBorders>
              <w:right w:val="nil"/>
            </w:tcBorders>
            <w:shd w:val="clear" w:color="auto" w:fill="auto"/>
            <w:tcMar>
              <w:top w:w="85" w:type="dxa"/>
              <w:left w:w="85" w:type="dxa"/>
              <w:bottom w:w="85" w:type="dxa"/>
            </w:tcMar>
          </w:tcPr>
          <w:p w14:paraId="3ED6356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ACACC64" w14:textId="77777777" w:rsidR="00AB66A8" w:rsidRPr="00006850" w:rsidRDefault="00AB66A8" w:rsidP="00081129">
            <w:pPr>
              <w:jc w:val="both"/>
              <w:rPr>
                <w:noProof/>
              </w:rPr>
            </w:pPr>
            <w:r>
              <w:rPr>
                <w:noProof/>
              </w:rPr>
              <w:t>Vorschlag für eine VERORDNUNG DES EUROPÄISCHEN PARLAMENTS UND DES RATES über die Zuständigkeit, das anwendbare Recht, die Anerkennung und Vollstreckung von Maßnahmen und die Zusammenarbeit in Fragen betreffend den Schutz Erwachsener</w:t>
            </w:r>
          </w:p>
        </w:tc>
        <w:tc>
          <w:tcPr>
            <w:tcW w:w="2003" w:type="dxa"/>
            <w:tcMar>
              <w:top w:w="85" w:type="dxa"/>
              <w:left w:w="85" w:type="dxa"/>
              <w:bottom w:w="85" w:type="dxa"/>
            </w:tcMar>
          </w:tcPr>
          <w:p w14:paraId="110FDF5D" w14:textId="50D28B45" w:rsidR="00AB66A8" w:rsidRPr="00006850" w:rsidRDefault="00AB66A8" w:rsidP="006C6FCD">
            <w:pPr>
              <w:rPr>
                <w:noProof/>
              </w:rPr>
            </w:pPr>
            <w:r>
              <w:rPr>
                <w:noProof/>
              </w:rPr>
              <w:t>COM(2023) 280 final</w:t>
            </w:r>
            <w:r>
              <w:rPr>
                <w:noProof/>
              </w:rPr>
              <w:br/>
              <w:t>2023/0169(COD)</w:t>
            </w:r>
            <w:r>
              <w:rPr>
                <w:noProof/>
              </w:rPr>
              <w:br/>
              <w:t>31.1.2023</w:t>
            </w:r>
          </w:p>
        </w:tc>
      </w:tr>
      <w:tr w:rsidR="00AB66A8" w:rsidRPr="006C1C34" w14:paraId="66ED214C" w14:textId="77777777" w:rsidTr="00C12335">
        <w:trPr>
          <w:jc w:val="center"/>
        </w:trPr>
        <w:tc>
          <w:tcPr>
            <w:tcW w:w="562" w:type="dxa"/>
            <w:tcBorders>
              <w:right w:val="nil"/>
            </w:tcBorders>
            <w:shd w:val="clear" w:color="auto" w:fill="auto"/>
            <w:tcMar>
              <w:top w:w="85" w:type="dxa"/>
              <w:left w:w="85" w:type="dxa"/>
              <w:bottom w:w="85" w:type="dxa"/>
            </w:tcMar>
          </w:tcPr>
          <w:p w14:paraId="672E9D14"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24CEB8D" w14:textId="005F154D" w:rsidR="00AB66A8" w:rsidRPr="00006850" w:rsidRDefault="00AB66A8" w:rsidP="00081129">
            <w:pPr>
              <w:jc w:val="both"/>
              <w:rPr>
                <w:bCs/>
                <w:noProof/>
              </w:rPr>
            </w:pPr>
            <w:r>
              <w:rPr>
                <w:noProof/>
              </w:rPr>
              <w:t>Ein inklusiveres und besser schützendes Europa: Erweiterung der Liste der EU-Straftatbestände um Hetze und Hasskriminalität</w:t>
            </w:r>
          </w:p>
        </w:tc>
        <w:tc>
          <w:tcPr>
            <w:tcW w:w="2003" w:type="dxa"/>
            <w:tcMar>
              <w:top w:w="85" w:type="dxa"/>
              <w:left w:w="85" w:type="dxa"/>
              <w:bottom w:w="85" w:type="dxa"/>
            </w:tcMar>
          </w:tcPr>
          <w:p w14:paraId="5BF5272F" w14:textId="3835BB4C" w:rsidR="00AB66A8" w:rsidRPr="00006850" w:rsidRDefault="00AB66A8" w:rsidP="006C6FCD">
            <w:pPr>
              <w:rPr>
                <w:bCs/>
                <w:noProof/>
              </w:rPr>
            </w:pPr>
            <w:r>
              <w:rPr>
                <w:noProof/>
              </w:rPr>
              <w:t>COM(2021) 777 final</w:t>
            </w:r>
            <w:r>
              <w:rPr>
                <w:noProof/>
              </w:rPr>
              <w:br/>
              <w:t>9.12.2021</w:t>
            </w:r>
          </w:p>
        </w:tc>
      </w:tr>
      <w:tr w:rsidR="00AB66A8" w:rsidRPr="006C1C34" w14:paraId="61CCCE97" w14:textId="77777777" w:rsidTr="00C12335">
        <w:trPr>
          <w:jc w:val="center"/>
        </w:trPr>
        <w:tc>
          <w:tcPr>
            <w:tcW w:w="562" w:type="dxa"/>
            <w:tcBorders>
              <w:right w:val="nil"/>
            </w:tcBorders>
            <w:shd w:val="clear" w:color="auto" w:fill="auto"/>
            <w:tcMar>
              <w:top w:w="85" w:type="dxa"/>
              <w:left w:w="85" w:type="dxa"/>
              <w:bottom w:w="85" w:type="dxa"/>
            </w:tcMar>
          </w:tcPr>
          <w:p w14:paraId="32234EAE"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F8E3C89" w14:textId="77777777" w:rsidR="00AB66A8" w:rsidRPr="003D769A" w:rsidRDefault="00AB66A8" w:rsidP="00081129">
            <w:pPr>
              <w:jc w:val="both"/>
              <w:rPr>
                <w:noProof/>
              </w:rPr>
            </w:pPr>
            <w:r>
              <w:rPr>
                <w:noProof/>
              </w:rPr>
              <w:t>Vorschlag für eine VERORDNUNG DES EUROPÄISCHEN PARLAMENTS UND DES RATES über das Statut und die Finanzierung europäischer politischer Parteien und europäischer politischer Stiftungen (Neufassung)</w:t>
            </w:r>
          </w:p>
        </w:tc>
        <w:tc>
          <w:tcPr>
            <w:tcW w:w="2003" w:type="dxa"/>
            <w:tcMar>
              <w:top w:w="85" w:type="dxa"/>
              <w:left w:w="85" w:type="dxa"/>
              <w:bottom w:w="85" w:type="dxa"/>
            </w:tcMar>
          </w:tcPr>
          <w:p w14:paraId="5EB506A5" w14:textId="2E2B06AE" w:rsidR="00AB66A8" w:rsidRPr="003D769A" w:rsidRDefault="00AB66A8" w:rsidP="006C6FCD">
            <w:pPr>
              <w:rPr>
                <w:bCs/>
                <w:noProof/>
              </w:rPr>
            </w:pPr>
            <w:r>
              <w:rPr>
                <w:noProof/>
              </w:rPr>
              <w:t>COM(2021) 734 final</w:t>
            </w:r>
            <w:r>
              <w:rPr>
                <w:noProof/>
              </w:rPr>
              <w:br/>
              <w:t>2021/0375(COD)</w:t>
            </w:r>
            <w:r>
              <w:rPr>
                <w:noProof/>
              </w:rPr>
              <w:br/>
              <w:t>25.11.2021</w:t>
            </w:r>
          </w:p>
        </w:tc>
      </w:tr>
      <w:tr w:rsidR="00AB66A8" w:rsidRPr="006C1C34" w14:paraId="24E5D727" w14:textId="77777777" w:rsidTr="00C12335">
        <w:trPr>
          <w:jc w:val="center"/>
        </w:trPr>
        <w:tc>
          <w:tcPr>
            <w:tcW w:w="562" w:type="dxa"/>
            <w:tcBorders>
              <w:right w:val="nil"/>
            </w:tcBorders>
            <w:shd w:val="clear" w:color="auto" w:fill="auto"/>
            <w:tcMar>
              <w:top w:w="85" w:type="dxa"/>
              <w:left w:w="85" w:type="dxa"/>
              <w:bottom w:w="85" w:type="dxa"/>
            </w:tcMar>
          </w:tcPr>
          <w:p w14:paraId="091E7138"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6FEA1635" w14:textId="77777777" w:rsidR="00AB66A8" w:rsidRPr="003D769A" w:rsidRDefault="00AB66A8" w:rsidP="00081129">
            <w:pPr>
              <w:jc w:val="both"/>
              <w:rPr>
                <w:noProof/>
              </w:rPr>
            </w:pPr>
            <w:r>
              <w:rPr>
                <w:noProof/>
              </w:rPr>
              <w:t>Vorschlag für eine RICHTLINIE DES RATES über die Einzelheiten der Ausübung des aktiven und passiven Wahlrechts bei den Kommunalwahlen für Unionsbürger mit Wohnsitz in einem Mitgliedstaat, dessen Staatsangehörigkeit sie nicht besitzen (Neufassung)</w:t>
            </w:r>
          </w:p>
        </w:tc>
        <w:tc>
          <w:tcPr>
            <w:tcW w:w="2003" w:type="dxa"/>
            <w:tcMar>
              <w:top w:w="85" w:type="dxa"/>
              <w:left w:w="85" w:type="dxa"/>
              <w:bottom w:w="85" w:type="dxa"/>
            </w:tcMar>
          </w:tcPr>
          <w:p w14:paraId="0262D72F" w14:textId="4ACDCFBC" w:rsidR="00AB66A8" w:rsidRPr="003D769A" w:rsidRDefault="00AB66A8" w:rsidP="006C6FCD">
            <w:pPr>
              <w:rPr>
                <w:bCs/>
                <w:noProof/>
              </w:rPr>
            </w:pPr>
            <w:r>
              <w:rPr>
                <w:noProof/>
              </w:rPr>
              <w:t>COM(2021) 733 final</w:t>
            </w:r>
            <w:r>
              <w:rPr>
                <w:noProof/>
              </w:rPr>
              <w:br/>
              <w:t>2021/0373(CNS)</w:t>
            </w:r>
            <w:r>
              <w:rPr>
                <w:noProof/>
              </w:rPr>
              <w:br/>
              <w:t>25.11.2021</w:t>
            </w:r>
          </w:p>
        </w:tc>
      </w:tr>
      <w:tr w:rsidR="00AB66A8" w:rsidRPr="006C1C34" w14:paraId="54F8B670" w14:textId="77777777" w:rsidTr="00C12335">
        <w:trPr>
          <w:jc w:val="center"/>
        </w:trPr>
        <w:tc>
          <w:tcPr>
            <w:tcW w:w="562" w:type="dxa"/>
            <w:tcBorders>
              <w:right w:val="nil"/>
            </w:tcBorders>
            <w:shd w:val="clear" w:color="auto" w:fill="auto"/>
            <w:tcMar>
              <w:top w:w="85" w:type="dxa"/>
              <w:left w:w="85" w:type="dxa"/>
              <w:bottom w:w="85" w:type="dxa"/>
            </w:tcMar>
          </w:tcPr>
          <w:p w14:paraId="207BCC0A"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484F5015" w14:textId="77777777" w:rsidR="00AB66A8" w:rsidRPr="003D769A" w:rsidRDefault="00AB66A8" w:rsidP="00081129">
            <w:pPr>
              <w:jc w:val="both"/>
              <w:rPr>
                <w:noProof/>
              </w:rPr>
            </w:pPr>
            <w:r>
              <w:rPr>
                <w:noProof/>
              </w:rPr>
              <w:t>Vorschlag für eine RICHTLINIE DES RATES über die Einzelheiten der Ausübung des aktiven und passiven Wahlrechts bei den Wahlen zum Europäischen Parlament für Unionsbürger mit Wohnsitz in einem Mitgliedstaat, dessen Staatsangehörigkeit sie nicht besitzen (Neufassung)</w:t>
            </w:r>
          </w:p>
        </w:tc>
        <w:tc>
          <w:tcPr>
            <w:tcW w:w="2003" w:type="dxa"/>
            <w:tcMar>
              <w:top w:w="85" w:type="dxa"/>
              <w:left w:w="85" w:type="dxa"/>
              <w:bottom w:w="85" w:type="dxa"/>
            </w:tcMar>
          </w:tcPr>
          <w:p w14:paraId="25C0152A" w14:textId="322E89F4" w:rsidR="00AB66A8" w:rsidRPr="003D769A" w:rsidRDefault="00AB66A8" w:rsidP="006C6FCD">
            <w:pPr>
              <w:rPr>
                <w:bCs/>
                <w:noProof/>
              </w:rPr>
            </w:pPr>
            <w:r>
              <w:rPr>
                <w:noProof/>
              </w:rPr>
              <w:t>COM(2021) 732 final</w:t>
            </w:r>
            <w:r>
              <w:rPr>
                <w:noProof/>
              </w:rPr>
              <w:br/>
              <w:t>2021/0372(CNS)</w:t>
            </w:r>
            <w:r>
              <w:rPr>
                <w:noProof/>
              </w:rPr>
              <w:br/>
              <w:t>25.11.2021</w:t>
            </w:r>
          </w:p>
        </w:tc>
      </w:tr>
      <w:tr w:rsidR="00AB66A8" w:rsidRPr="006C1C34" w14:paraId="73AE9BC2" w14:textId="77777777" w:rsidTr="00FF69A3">
        <w:trPr>
          <w:jc w:val="center"/>
        </w:trPr>
        <w:tc>
          <w:tcPr>
            <w:tcW w:w="14029" w:type="dxa"/>
            <w:gridSpan w:val="3"/>
            <w:shd w:val="clear" w:color="auto" w:fill="000083"/>
            <w:tcMar>
              <w:top w:w="85" w:type="dxa"/>
              <w:left w:w="85" w:type="dxa"/>
              <w:bottom w:w="85" w:type="dxa"/>
              <w:right w:w="85" w:type="dxa"/>
            </w:tcMar>
          </w:tcPr>
          <w:p w14:paraId="5DB7EA91" w14:textId="77777777" w:rsidR="00AB66A8" w:rsidRPr="006C1C34" w:rsidRDefault="00AB66A8" w:rsidP="00081129">
            <w:pPr>
              <w:spacing w:before="60" w:after="60"/>
              <w:ind w:left="357" w:hanging="357"/>
              <w:jc w:val="both"/>
              <w:rPr>
                <w:b/>
                <w:bCs/>
                <w:noProof/>
                <w:color w:val="FFFFFF"/>
              </w:rPr>
            </w:pPr>
            <w:r>
              <w:rPr>
                <w:noProof/>
              </w:rPr>
              <w:br w:type="page"/>
            </w:r>
            <w:r>
              <w:rPr>
                <w:b/>
                <w:noProof/>
                <w:color w:val="FFFFFF" w:themeColor="background1"/>
              </w:rPr>
              <w:t>Europa in der Welt: unseren Einfluss und unsere Partnerschaften nutzen</w:t>
            </w:r>
          </w:p>
        </w:tc>
      </w:tr>
      <w:tr w:rsidR="00AB66A8" w:rsidRPr="006C1C34" w14:paraId="12E7304C" w14:textId="77777777" w:rsidTr="00C12335">
        <w:trPr>
          <w:jc w:val="center"/>
        </w:trPr>
        <w:tc>
          <w:tcPr>
            <w:tcW w:w="562" w:type="dxa"/>
            <w:tcBorders>
              <w:right w:val="nil"/>
            </w:tcBorders>
            <w:shd w:val="clear" w:color="auto" w:fill="auto"/>
            <w:tcMar>
              <w:top w:w="85" w:type="dxa"/>
              <w:left w:w="85" w:type="dxa"/>
              <w:bottom w:w="85" w:type="dxa"/>
            </w:tcMar>
          </w:tcPr>
          <w:p w14:paraId="0C9A4E9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6C522DD" w14:textId="77777777" w:rsidR="00AB66A8" w:rsidRPr="00F72E0D" w:rsidRDefault="00AB66A8" w:rsidP="00081129">
            <w:pPr>
              <w:jc w:val="both"/>
              <w:rPr>
                <w:bCs/>
                <w:noProof/>
              </w:rPr>
            </w:pPr>
            <w:r>
              <w:rPr>
                <w:noProof/>
              </w:rPr>
              <w:t>Vorschlag für eine VERORDNUNG DES EUROPÄISCHEN PARLAMENTS UND DES RATES zur Einrichtung der Reform- und Wachstumsfazilität für Moldau</w:t>
            </w:r>
          </w:p>
        </w:tc>
        <w:tc>
          <w:tcPr>
            <w:tcW w:w="2003" w:type="dxa"/>
            <w:tcMar>
              <w:top w:w="85" w:type="dxa"/>
              <w:left w:w="85" w:type="dxa"/>
              <w:bottom w:w="85" w:type="dxa"/>
            </w:tcMar>
          </w:tcPr>
          <w:p w14:paraId="23D73A60" w14:textId="3CF28F42" w:rsidR="00AB66A8" w:rsidRPr="008679E9" w:rsidRDefault="00AB66A8" w:rsidP="006C6FCD">
            <w:pPr>
              <w:rPr>
                <w:noProof/>
              </w:rPr>
            </w:pPr>
            <w:r>
              <w:rPr>
                <w:noProof/>
              </w:rPr>
              <w:t>COM(2024) 469 final</w:t>
            </w:r>
            <w:r>
              <w:rPr>
                <w:noProof/>
              </w:rPr>
              <w:br/>
              <w:t>2024/0258(COD)</w:t>
            </w:r>
            <w:r>
              <w:rPr>
                <w:noProof/>
              </w:rPr>
              <w:br/>
              <w:t>9.10.2024</w:t>
            </w:r>
          </w:p>
        </w:tc>
      </w:tr>
      <w:tr w:rsidR="00AB66A8" w:rsidRPr="006C1C34" w14:paraId="7721A349" w14:textId="77777777" w:rsidTr="00C12335">
        <w:trPr>
          <w:jc w:val="center"/>
        </w:trPr>
        <w:tc>
          <w:tcPr>
            <w:tcW w:w="562" w:type="dxa"/>
            <w:tcBorders>
              <w:right w:val="nil"/>
            </w:tcBorders>
            <w:shd w:val="clear" w:color="auto" w:fill="auto"/>
            <w:tcMar>
              <w:top w:w="85" w:type="dxa"/>
              <w:left w:w="85" w:type="dxa"/>
              <w:bottom w:w="85" w:type="dxa"/>
            </w:tcMar>
          </w:tcPr>
          <w:p w14:paraId="4A3488A9"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C6B85F2" w14:textId="77777777" w:rsidR="00AB66A8" w:rsidRPr="006C1C34" w:rsidRDefault="00AB66A8" w:rsidP="00081129">
            <w:pPr>
              <w:jc w:val="both"/>
              <w:rPr>
                <w:noProof/>
              </w:rPr>
            </w:pPr>
            <w:r>
              <w:rPr>
                <w:noProof/>
              </w:rPr>
              <w:t>Vorschlag für einen BESCHLUSS DES EUROPÄISCHEN PARLAMENTS UND DES RATES über eine Makrofinanzhilfe für die Arabische Republik Ägypten</w:t>
            </w:r>
          </w:p>
        </w:tc>
        <w:tc>
          <w:tcPr>
            <w:tcW w:w="2003" w:type="dxa"/>
            <w:tcMar>
              <w:top w:w="85" w:type="dxa"/>
              <w:left w:w="85" w:type="dxa"/>
              <w:bottom w:w="85" w:type="dxa"/>
            </w:tcMar>
          </w:tcPr>
          <w:p w14:paraId="23FE8ADA" w14:textId="6EECF157" w:rsidR="00AB66A8" w:rsidRPr="006C1C34" w:rsidRDefault="00AB66A8" w:rsidP="006C6FCD">
            <w:pPr>
              <w:rPr>
                <w:noProof/>
              </w:rPr>
            </w:pPr>
            <w:r>
              <w:rPr>
                <w:noProof/>
              </w:rPr>
              <w:t>COM(2024) 461 final</w:t>
            </w:r>
            <w:r>
              <w:rPr>
                <w:noProof/>
              </w:rPr>
              <w:br/>
              <w:t>2024/0071(COD)</w:t>
            </w:r>
            <w:r>
              <w:rPr>
                <w:noProof/>
              </w:rPr>
              <w:br/>
              <w:t>15.3.2024</w:t>
            </w:r>
          </w:p>
        </w:tc>
      </w:tr>
      <w:tr w:rsidR="00AB66A8" w:rsidRPr="006C1C34" w14:paraId="5F383BBE" w14:textId="77777777" w:rsidTr="00C12335">
        <w:trPr>
          <w:jc w:val="center"/>
        </w:trPr>
        <w:tc>
          <w:tcPr>
            <w:tcW w:w="562" w:type="dxa"/>
            <w:tcBorders>
              <w:right w:val="nil"/>
            </w:tcBorders>
            <w:shd w:val="clear" w:color="auto" w:fill="auto"/>
            <w:tcMar>
              <w:top w:w="85" w:type="dxa"/>
              <w:left w:w="85" w:type="dxa"/>
              <w:bottom w:w="85" w:type="dxa"/>
            </w:tcMar>
          </w:tcPr>
          <w:p w14:paraId="60821C6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A88A967" w14:textId="77777777" w:rsidR="00AB66A8" w:rsidRPr="00277F59" w:rsidRDefault="00AB66A8" w:rsidP="00081129">
            <w:pPr>
              <w:jc w:val="both"/>
              <w:rPr>
                <w:noProof/>
              </w:rPr>
            </w:pPr>
            <w:r>
              <w:rPr>
                <w:noProof/>
              </w:rPr>
              <w:t>Vorschlag für einen BESCHLUSS DES EUROPÄISCHEN PARLAMENTS UND DES RATES über eine Makrofinanzhilfe für das Haschemitische Königreich Jordanien</w:t>
            </w:r>
          </w:p>
        </w:tc>
        <w:tc>
          <w:tcPr>
            <w:tcW w:w="2003" w:type="dxa"/>
            <w:tcMar>
              <w:top w:w="85" w:type="dxa"/>
              <w:left w:w="85" w:type="dxa"/>
              <w:bottom w:w="85" w:type="dxa"/>
            </w:tcMar>
          </w:tcPr>
          <w:p w14:paraId="67D7DCA3" w14:textId="242CE91F" w:rsidR="00AB66A8" w:rsidRDefault="00AB66A8" w:rsidP="006C6FCD">
            <w:pPr>
              <w:rPr>
                <w:noProof/>
              </w:rPr>
            </w:pPr>
            <w:r>
              <w:rPr>
                <w:noProof/>
              </w:rPr>
              <w:t>COM(2024) 159 final</w:t>
            </w:r>
            <w:r>
              <w:rPr>
                <w:noProof/>
              </w:rPr>
              <w:br/>
              <w:t>2024/0086(COD)</w:t>
            </w:r>
            <w:r>
              <w:rPr>
                <w:noProof/>
              </w:rPr>
              <w:br/>
              <w:t>8.4.2024</w:t>
            </w:r>
          </w:p>
        </w:tc>
      </w:tr>
      <w:tr w:rsidR="00AB66A8" w:rsidRPr="006C1C34" w14:paraId="336235EF" w14:textId="77777777" w:rsidTr="00C12335">
        <w:trPr>
          <w:jc w:val="center"/>
        </w:trPr>
        <w:tc>
          <w:tcPr>
            <w:tcW w:w="562" w:type="dxa"/>
            <w:tcBorders>
              <w:right w:val="nil"/>
            </w:tcBorders>
            <w:shd w:val="clear" w:color="auto" w:fill="auto"/>
            <w:tcMar>
              <w:top w:w="85" w:type="dxa"/>
              <w:left w:w="85" w:type="dxa"/>
              <w:bottom w:w="85" w:type="dxa"/>
            </w:tcMar>
          </w:tcPr>
          <w:p w14:paraId="0B58E2C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BFFF42E" w14:textId="77777777" w:rsidR="00AB66A8" w:rsidRPr="00277F59" w:rsidRDefault="00AB66A8" w:rsidP="00081129">
            <w:pPr>
              <w:jc w:val="both"/>
              <w:rPr>
                <w:noProof/>
              </w:rPr>
            </w:pPr>
            <w:r>
              <w:rPr>
                <w:noProof/>
              </w:rPr>
              <w:t>Vorschlag für einen BESCHLUSS DES EUROPÄISCHEN PARLAMENTS UND DES RATES über die Gleichstellung von Feldbesichtigungen von Saatgutvermehrungsbeständen in Drittländern und über die Gleichstellung von in Drittländern erzeugtem Saatgut (kodifizierter Text)</w:t>
            </w:r>
          </w:p>
        </w:tc>
        <w:tc>
          <w:tcPr>
            <w:tcW w:w="2003" w:type="dxa"/>
            <w:tcMar>
              <w:top w:w="85" w:type="dxa"/>
              <w:left w:w="85" w:type="dxa"/>
              <w:bottom w:w="85" w:type="dxa"/>
            </w:tcMar>
          </w:tcPr>
          <w:p w14:paraId="55478265" w14:textId="6F236FE6" w:rsidR="00AB66A8" w:rsidRDefault="00AB66A8" w:rsidP="006C6FCD">
            <w:pPr>
              <w:rPr>
                <w:noProof/>
              </w:rPr>
            </w:pPr>
            <w:r>
              <w:rPr>
                <w:noProof/>
              </w:rPr>
              <w:t>COM(2024) 53 final</w:t>
            </w:r>
            <w:r>
              <w:rPr>
                <w:noProof/>
              </w:rPr>
              <w:br/>
              <w:t>2024/0030(COD)</w:t>
            </w:r>
            <w:r>
              <w:rPr>
                <w:noProof/>
              </w:rPr>
              <w:br/>
              <w:t>6.2.2024</w:t>
            </w:r>
          </w:p>
        </w:tc>
      </w:tr>
      <w:tr w:rsidR="00AB66A8" w:rsidRPr="006C1C34" w14:paraId="376CD0C7" w14:textId="77777777" w:rsidTr="00C12335">
        <w:trPr>
          <w:jc w:val="center"/>
        </w:trPr>
        <w:tc>
          <w:tcPr>
            <w:tcW w:w="562" w:type="dxa"/>
            <w:tcBorders>
              <w:right w:val="nil"/>
            </w:tcBorders>
            <w:shd w:val="clear" w:color="auto" w:fill="auto"/>
            <w:tcMar>
              <w:top w:w="85" w:type="dxa"/>
              <w:left w:w="85" w:type="dxa"/>
              <w:bottom w:w="85" w:type="dxa"/>
            </w:tcMar>
          </w:tcPr>
          <w:p w14:paraId="59BBD21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5787688" w14:textId="77777777" w:rsidR="00AB66A8" w:rsidRPr="00C3634B" w:rsidRDefault="00AB66A8" w:rsidP="00081129">
            <w:pPr>
              <w:jc w:val="both"/>
              <w:rPr>
                <w:bCs/>
                <w:noProof/>
              </w:rPr>
            </w:pPr>
            <w:r>
              <w:rPr>
                <w:noProof/>
              </w:rPr>
              <w:t>Vorschlag für eine VERORDNUNG DES EUROPÄISCHEN PARLAMENTS UND DES RATES über die Überprüfung ausländischer Investitionen in der Union und zur Aufhebung der Verordnung (EU) 2019/452 des Europäischen Parlaments und des Rates</w:t>
            </w:r>
          </w:p>
        </w:tc>
        <w:tc>
          <w:tcPr>
            <w:tcW w:w="2003" w:type="dxa"/>
            <w:tcMar>
              <w:top w:w="85" w:type="dxa"/>
              <w:left w:w="85" w:type="dxa"/>
              <w:bottom w:w="85" w:type="dxa"/>
            </w:tcMar>
          </w:tcPr>
          <w:p w14:paraId="49680AA2" w14:textId="43A0A89B" w:rsidR="00AB66A8" w:rsidRPr="00C3634B" w:rsidRDefault="00AB66A8" w:rsidP="006C6FCD">
            <w:pPr>
              <w:rPr>
                <w:bCs/>
                <w:noProof/>
              </w:rPr>
            </w:pPr>
            <w:r>
              <w:rPr>
                <w:noProof/>
              </w:rPr>
              <w:t>COM(2024) 23 final</w:t>
            </w:r>
            <w:r>
              <w:rPr>
                <w:noProof/>
              </w:rPr>
              <w:br/>
              <w:t>2024/0017(COD)</w:t>
            </w:r>
            <w:r>
              <w:rPr>
                <w:noProof/>
              </w:rPr>
              <w:br/>
              <w:t>24.1.2024</w:t>
            </w:r>
          </w:p>
        </w:tc>
      </w:tr>
      <w:tr w:rsidR="00AB66A8" w:rsidRPr="006C1C34" w14:paraId="4732A193" w14:textId="77777777" w:rsidTr="00C12335">
        <w:trPr>
          <w:jc w:val="center"/>
        </w:trPr>
        <w:tc>
          <w:tcPr>
            <w:tcW w:w="562" w:type="dxa"/>
            <w:tcBorders>
              <w:right w:val="nil"/>
            </w:tcBorders>
            <w:shd w:val="clear" w:color="auto" w:fill="auto"/>
            <w:tcMar>
              <w:top w:w="85" w:type="dxa"/>
              <w:left w:w="85" w:type="dxa"/>
              <w:bottom w:w="85" w:type="dxa"/>
            </w:tcMar>
          </w:tcPr>
          <w:p w14:paraId="649239A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8BADA4A" w14:textId="77777777" w:rsidR="00AB66A8" w:rsidRPr="006C1C34" w:rsidRDefault="00AB66A8" w:rsidP="00081129">
            <w:pPr>
              <w:jc w:val="both"/>
              <w:rPr>
                <w:noProof/>
              </w:rPr>
            </w:pPr>
            <w:r>
              <w:rPr>
                <w:noProof/>
              </w:rPr>
              <w:t>Vorschlag für eine VERORDNUNG DES EUROPÄISCHEN PARLAMENTS UND DES RATES über ein Schema allgemeiner Zollpräferenzen und zur Aufhebung der Verordnung (EU) Nr. 978/2012 des Europäischen Parlaments und des Rates</w:t>
            </w:r>
          </w:p>
        </w:tc>
        <w:tc>
          <w:tcPr>
            <w:tcW w:w="2003" w:type="dxa"/>
            <w:tcMar>
              <w:top w:w="85" w:type="dxa"/>
              <w:left w:w="85" w:type="dxa"/>
              <w:bottom w:w="85" w:type="dxa"/>
            </w:tcMar>
          </w:tcPr>
          <w:p w14:paraId="1355372E" w14:textId="5F7CCD89" w:rsidR="00AB66A8" w:rsidRPr="006C1C34" w:rsidRDefault="00AB66A8" w:rsidP="006C6FCD">
            <w:pPr>
              <w:rPr>
                <w:noProof/>
              </w:rPr>
            </w:pPr>
            <w:r>
              <w:rPr>
                <w:noProof/>
              </w:rPr>
              <w:t>COM(2021) 579 final</w:t>
            </w:r>
            <w:r>
              <w:rPr>
                <w:noProof/>
              </w:rPr>
              <w:br/>
              <w:t>2021/0297(COD)</w:t>
            </w:r>
            <w:r>
              <w:rPr>
                <w:noProof/>
              </w:rPr>
              <w:br/>
              <w:t>22.9.2021</w:t>
            </w:r>
          </w:p>
        </w:tc>
      </w:tr>
      <w:tr w:rsidR="00AB66A8" w:rsidRPr="006C1C34" w14:paraId="107B2F9B" w14:textId="77777777" w:rsidTr="00C12335">
        <w:trPr>
          <w:jc w:val="center"/>
        </w:trPr>
        <w:tc>
          <w:tcPr>
            <w:tcW w:w="562" w:type="dxa"/>
            <w:tcBorders>
              <w:right w:val="nil"/>
            </w:tcBorders>
            <w:shd w:val="clear" w:color="auto" w:fill="auto"/>
            <w:tcMar>
              <w:top w:w="85" w:type="dxa"/>
              <w:left w:w="85" w:type="dxa"/>
              <w:bottom w:w="85" w:type="dxa"/>
            </w:tcMar>
          </w:tcPr>
          <w:p w14:paraId="7C6D514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8D3F893" w14:textId="77777777" w:rsidR="00AB66A8" w:rsidRPr="006C1C34" w:rsidRDefault="00AB66A8" w:rsidP="00081129">
            <w:pPr>
              <w:jc w:val="both"/>
              <w:rPr>
                <w:bCs/>
                <w:noProof/>
              </w:rPr>
            </w:pPr>
            <w:r>
              <w:rPr>
                <w:noProof/>
              </w:rPr>
              <w:t>Vorschlag für eine VERORDNUNG DES EUROPÄISCHEN PARLAMENTS UND DES RATES zur Umsetzung des Zertifikationssystems des Kimberley-Prozesses für den internationalen Handel mit Rohdiamanten (Neufassung)</w:t>
            </w:r>
          </w:p>
        </w:tc>
        <w:tc>
          <w:tcPr>
            <w:tcW w:w="2003" w:type="dxa"/>
            <w:tcMar>
              <w:top w:w="85" w:type="dxa"/>
              <w:left w:w="85" w:type="dxa"/>
              <w:bottom w:w="85" w:type="dxa"/>
            </w:tcMar>
          </w:tcPr>
          <w:p w14:paraId="46F3C28B" w14:textId="7C2B2B61" w:rsidR="00AB66A8" w:rsidRPr="00EA4DC6" w:rsidRDefault="00AB66A8" w:rsidP="006C6FCD">
            <w:pPr>
              <w:rPr>
                <w:bCs/>
                <w:noProof/>
              </w:rPr>
            </w:pPr>
            <w:r>
              <w:rPr>
                <w:noProof/>
              </w:rPr>
              <w:t>COM(2021) 115 final</w:t>
            </w:r>
            <w:r>
              <w:rPr>
                <w:noProof/>
              </w:rPr>
              <w:br/>
              <w:t>2021/0060(COD)</w:t>
            </w:r>
            <w:r>
              <w:rPr>
                <w:noProof/>
              </w:rPr>
              <w:br/>
              <w:t>12.3.2021</w:t>
            </w:r>
          </w:p>
        </w:tc>
      </w:tr>
      <w:tr w:rsidR="00AB66A8" w:rsidRPr="006C1C34" w14:paraId="4226D5CB" w14:textId="77777777" w:rsidTr="00FF69A3">
        <w:trPr>
          <w:jc w:val="center"/>
        </w:trPr>
        <w:tc>
          <w:tcPr>
            <w:tcW w:w="14029" w:type="dxa"/>
            <w:gridSpan w:val="3"/>
            <w:tcBorders>
              <w:bottom w:val="single" w:sz="4" w:space="0" w:color="auto"/>
            </w:tcBorders>
            <w:shd w:val="clear" w:color="auto" w:fill="0EC6D6"/>
            <w:tcMar>
              <w:top w:w="85" w:type="dxa"/>
              <w:left w:w="85" w:type="dxa"/>
              <w:bottom w:w="85" w:type="dxa"/>
              <w:right w:w="85" w:type="dxa"/>
            </w:tcMar>
          </w:tcPr>
          <w:p w14:paraId="60DE105E" w14:textId="77777777" w:rsidR="00AB66A8" w:rsidRPr="006C1C34" w:rsidRDefault="00AB66A8" w:rsidP="00DC3189">
            <w:pPr>
              <w:spacing w:before="60" w:after="60"/>
              <w:ind w:left="357" w:hanging="357"/>
              <w:jc w:val="both"/>
              <w:rPr>
                <w:b/>
                <w:bCs/>
                <w:noProof/>
                <w:color w:val="FFFFFF"/>
              </w:rPr>
            </w:pPr>
            <w:r>
              <w:rPr>
                <w:noProof/>
              </w:rPr>
              <w:br w:type="page"/>
            </w:r>
            <w:r>
              <w:rPr>
                <w:b/>
                <w:noProof/>
                <w:color w:val="FFFFFF" w:themeColor="background1"/>
              </w:rPr>
              <w:t>Gemeinsam handeln und die Zukunft unserer Union vorbereiten</w:t>
            </w:r>
          </w:p>
        </w:tc>
      </w:tr>
      <w:tr w:rsidR="00AB66A8" w:rsidRPr="006C1C34" w14:paraId="69986228" w14:textId="77777777" w:rsidTr="00C12335">
        <w:trPr>
          <w:jc w:val="center"/>
        </w:trPr>
        <w:tc>
          <w:tcPr>
            <w:tcW w:w="562" w:type="dxa"/>
            <w:tcBorders>
              <w:top w:val="single" w:sz="4" w:space="0" w:color="auto"/>
              <w:bottom w:val="nil"/>
              <w:right w:val="nil"/>
            </w:tcBorders>
            <w:shd w:val="clear" w:color="auto" w:fill="auto"/>
            <w:tcMar>
              <w:top w:w="85" w:type="dxa"/>
              <w:left w:w="85" w:type="dxa"/>
              <w:bottom w:w="85" w:type="dxa"/>
            </w:tcMar>
          </w:tcPr>
          <w:p w14:paraId="63065CE8"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tcBorders>
            <w:shd w:val="clear" w:color="auto" w:fill="auto"/>
            <w:tcMar>
              <w:top w:w="85" w:type="dxa"/>
              <w:left w:w="85" w:type="dxa"/>
              <w:bottom w:w="85" w:type="dxa"/>
              <w:right w:w="85" w:type="dxa"/>
            </w:tcMar>
          </w:tcPr>
          <w:p w14:paraId="06271A9C" w14:textId="77777777" w:rsidR="00AB66A8" w:rsidRPr="00CE7E10" w:rsidRDefault="00AB66A8" w:rsidP="00DC3189">
            <w:pPr>
              <w:jc w:val="both"/>
              <w:rPr>
                <w:bCs/>
                <w:noProof/>
                <w:highlight w:val="lightGray"/>
              </w:rPr>
            </w:pPr>
            <w:r>
              <w:rPr>
                <w:noProof/>
              </w:rPr>
              <w:t>Vorschlag für eine VERORDNUNG DES RATES zur Änderung der Verordnung (EU, Euratom) 2021/768 vom 30. April 2021 im Hinblick auf Durchführungsmaßnahmen für neue Eigenmittel der Europäischen Union</w:t>
            </w:r>
          </w:p>
        </w:tc>
        <w:tc>
          <w:tcPr>
            <w:tcW w:w="2003" w:type="dxa"/>
            <w:tcBorders>
              <w:top w:val="single" w:sz="4" w:space="0" w:color="auto"/>
              <w:bottom w:val="nil"/>
            </w:tcBorders>
            <w:tcMar>
              <w:top w:w="85" w:type="dxa"/>
              <w:left w:w="85" w:type="dxa"/>
              <w:bottom w:w="85" w:type="dxa"/>
            </w:tcMar>
          </w:tcPr>
          <w:p w14:paraId="25347C7C" w14:textId="7D90D7ED" w:rsidR="00AB66A8" w:rsidRPr="00CE7E10" w:rsidRDefault="00AB66A8" w:rsidP="006C6FCD">
            <w:pPr>
              <w:rPr>
                <w:noProof/>
                <w:highlight w:val="lightGray"/>
              </w:rPr>
            </w:pPr>
            <w:r>
              <w:rPr>
                <w:noProof/>
              </w:rPr>
              <w:t>COM(2022) 102 final</w:t>
            </w:r>
            <w:r>
              <w:rPr>
                <w:noProof/>
              </w:rPr>
              <w:br/>
              <w:t>2022/0072(APP)</w:t>
            </w:r>
            <w:r>
              <w:rPr>
                <w:noProof/>
              </w:rPr>
              <w:br/>
              <w:t>14.3.2022</w:t>
            </w:r>
          </w:p>
        </w:tc>
      </w:tr>
      <w:tr w:rsidR="00AB66A8" w:rsidRPr="006C1C34" w14:paraId="39CC5741" w14:textId="77777777" w:rsidTr="00C12335">
        <w:trPr>
          <w:jc w:val="center"/>
        </w:trPr>
        <w:tc>
          <w:tcPr>
            <w:tcW w:w="562" w:type="dxa"/>
            <w:tcBorders>
              <w:top w:val="nil"/>
              <w:bottom w:val="single" w:sz="4" w:space="0" w:color="auto"/>
              <w:right w:val="nil"/>
            </w:tcBorders>
            <w:shd w:val="clear" w:color="auto" w:fill="auto"/>
            <w:tcMar>
              <w:top w:w="85" w:type="dxa"/>
              <w:left w:w="85" w:type="dxa"/>
              <w:bottom w:w="85" w:type="dxa"/>
            </w:tcMar>
          </w:tcPr>
          <w:p w14:paraId="15FA92D1" w14:textId="77777777" w:rsidR="00AB66A8" w:rsidRPr="006C1C34" w:rsidRDefault="00AB66A8" w:rsidP="006C6FCD">
            <w:pPr>
              <w:ind w:left="425" w:hanging="357"/>
              <w:contextualSpacing/>
              <w:rPr>
                <w:b/>
                <w:noProof/>
              </w:rPr>
            </w:pPr>
          </w:p>
        </w:tc>
        <w:tc>
          <w:tcPr>
            <w:tcW w:w="11464" w:type="dxa"/>
            <w:tcBorders>
              <w:top w:val="nil"/>
              <w:bottom w:val="single" w:sz="4" w:space="0" w:color="auto"/>
            </w:tcBorders>
            <w:shd w:val="clear" w:color="auto" w:fill="auto"/>
            <w:tcMar>
              <w:top w:w="85" w:type="dxa"/>
              <w:left w:w="85" w:type="dxa"/>
              <w:bottom w:w="85" w:type="dxa"/>
              <w:right w:w="85" w:type="dxa"/>
            </w:tcMar>
          </w:tcPr>
          <w:p w14:paraId="48DF202F" w14:textId="77777777" w:rsidR="00AB66A8" w:rsidRPr="00D506A5" w:rsidRDefault="00AB66A8" w:rsidP="00DC3189">
            <w:pPr>
              <w:jc w:val="both"/>
              <w:rPr>
                <w:noProof/>
              </w:rPr>
            </w:pPr>
            <w:r>
              <w:rPr>
                <w:noProof/>
              </w:rPr>
              <w:t>Geänderter Vorschlag für eine VERORDNUNG DES RATES zur Änderung der Verordnung (EU, Euratom) 2021/768 vom 30. April 2021 im Hinblick auf Durchführungsmaßnahmen für neue Eigenmittel der Europäischen Union</w:t>
            </w:r>
          </w:p>
        </w:tc>
        <w:tc>
          <w:tcPr>
            <w:tcW w:w="2003" w:type="dxa"/>
            <w:tcBorders>
              <w:top w:val="nil"/>
              <w:bottom w:val="single" w:sz="4" w:space="0" w:color="auto"/>
            </w:tcBorders>
            <w:tcMar>
              <w:top w:w="85" w:type="dxa"/>
              <w:left w:w="85" w:type="dxa"/>
              <w:bottom w:w="85" w:type="dxa"/>
            </w:tcMar>
          </w:tcPr>
          <w:p w14:paraId="32E2971F" w14:textId="38B8AA04" w:rsidR="00AB66A8" w:rsidRDefault="00AB66A8" w:rsidP="006C6FCD">
            <w:pPr>
              <w:rPr>
                <w:noProof/>
              </w:rPr>
            </w:pPr>
            <w:r>
              <w:rPr>
                <w:noProof/>
              </w:rPr>
              <w:t>geändert durch COM(2023) 332 final</w:t>
            </w:r>
            <w:r>
              <w:rPr>
                <w:noProof/>
              </w:rPr>
              <w:br/>
              <w:t>20.6.2023</w:t>
            </w:r>
          </w:p>
        </w:tc>
      </w:tr>
      <w:tr w:rsidR="00AB66A8" w:rsidRPr="006C1C34" w14:paraId="4CCD3BD9" w14:textId="77777777" w:rsidTr="00C12335">
        <w:trPr>
          <w:jc w:val="center"/>
        </w:trPr>
        <w:tc>
          <w:tcPr>
            <w:tcW w:w="562" w:type="dxa"/>
            <w:tcBorders>
              <w:top w:val="single" w:sz="4" w:space="0" w:color="auto"/>
              <w:bottom w:val="nil"/>
              <w:right w:val="nil"/>
            </w:tcBorders>
            <w:shd w:val="clear" w:color="auto" w:fill="auto"/>
            <w:tcMar>
              <w:top w:w="85" w:type="dxa"/>
              <w:left w:w="85" w:type="dxa"/>
              <w:bottom w:w="85" w:type="dxa"/>
            </w:tcMar>
          </w:tcPr>
          <w:p w14:paraId="6F3C2E07"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tcBorders>
            <w:shd w:val="clear" w:color="auto" w:fill="auto"/>
            <w:tcMar>
              <w:top w:w="85" w:type="dxa"/>
              <w:left w:w="85" w:type="dxa"/>
              <w:bottom w:w="85" w:type="dxa"/>
              <w:right w:w="85" w:type="dxa"/>
            </w:tcMar>
          </w:tcPr>
          <w:p w14:paraId="72BEC571" w14:textId="77777777" w:rsidR="00AB66A8" w:rsidRPr="009E521F" w:rsidRDefault="00AB66A8" w:rsidP="00DC3189">
            <w:pPr>
              <w:jc w:val="both"/>
              <w:rPr>
                <w:bCs/>
                <w:noProof/>
              </w:rPr>
            </w:pPr>
            <w:r>
              <w:rPr>
                <w:noProof/>
              </w:rPr>
              <w:t>Vorschlag für eine VERORDNUNG DES RATES zur Festlegung der Methoden und Verfahren für die Bereitstellung von Eigenmitteln auf der Grundlage des Emissionshandelssystems, des CO2-Grenzausgleichssystems und neu zugewiesener Gewinne sowie der Maßnahmen zur Bereitstellung der erforderlichen Kassenmittel</w:t>
            </w:r>
          </w:p>
        </w:tc>
        <w:tc>
          <w:tcPr>
            <w:tcW w:w="2003" w:type="dxa"/>
            <w:tcBorders>
              <w:top w:val="single" w:sz="4" w:space="0" w:color="auto"/>
              <w:bottom w:val="nil"/>
            </w:tcBorders>
            <w:tcMar>
              <w:top w:w="85" w:type="dxa"/>
              <w:left w:w="85" w:type="dxa"/>
              <w:bottom w:w="85" w:type="dxa"/>
            </w:tcMar>
          </w:tcPr>
          <w:p w14:paraId="1BA9667B" w14:textId="21335F70" w:rsidR="00AB66A8" w:rsidRPr="009E521F" w:rsidRDefault="00AB66A8" w:rsidP="006C6FCD">
            <w:pPr>
              <w:rPr>
                <w:noProof/>
              </w:rPr>
            </w:pPr>
            <w:r>
              <w:rPr>
                <w:noProof/>
              </w:rPr>
              <w:t>COM(2022) 101 final</w:t>
            </w:r>
            <w:r>
              <w:rPr>
                <w:noProof/>
              </w:rPr>
              <w:br/>
              <w:t>2022/0071(NLE)</w:t>
            </w:r>
            <w:r>
              <w:rPr>
                <w:noProof/>
              </w:rPr>
              <w:br/>
              <w:t>14.3.2022</w:t>
            </w:r>
          </w:p>
        </w:tc>
      </w:tr>
      <w:tr w:rsidR="00AB66A8" w:rsidRPr="006C1C34" w14:paraId="5DDF3C9A"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787DD263"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0DFD2903" w14:textId="77777777" w:rsidR="00AB66A8" w:rsidRPr="00826914" w:rsidRDefault="00AB66A8" w:rsidP="00DC3189">
            <w:pPr>
              <w:jc w:val="both"/>
              <w:rPr>
                <w:noProof/>
              </w:rPr>
            </w:pPr>
            <w:r>
              <w:rPr>
                <w:noProof/>
              </w:rPr>
              <w:t>Geänderter Vorschlag für eine VERORDNUNG DES RATES zur Festlegung der Methoden und Verfahren für die Bereitstellung von Eigenmitteln auf der Grundlage des Emissionshandelssystems, des CO2-Grenzausgleichssystems, neu zugewiesener Gewinne und von Statistiken zu Unternehmensgewinnen sowie der Maßnahmen zur Bereitstellung der erforderlichen Kassenmittel</w:t>
            </w:r>
          </w:p>
        </w:tc>
        <w:tc>
          <w:tcPr>
            <w:tcW w:w="2003" w:type="dxa"/>
            <w:tcBorders>
              <w:top w:val="nil"/>
              <w:bottom w:val="nil"/>
            </w:tcBorders>
            <w:tcMar>
              <w:top w:w="85" w:type="dxa"/>
              <w:left w:w="85" w:type="dxa"/>
              <w:bottom w:w="85" w:type="dxa"/>
            </w:tcMar>
          </w:tcPr>
          <w:p w14:paraId="441B141C" w14:textId="4AE120E1" w:rsidR="00AB66A8" w:rsidRPr="00947590" w:rsidRDefault="00AB66A8" w:rsidP="006C6FCD">
            <w:pPr>
              <w:rPr>
                <w:noProof/>
              </w:rPr>
            </w:pPr>
            <w:r>
              <w:rPr>
                <w:noProof/>
              </w:rPr>
              <w:t>geändert durch COM(2023) 333 final</w:t>
            </w:r>
            <w:r>
              <w:rPr>
                <w:noProof/>
              </w:rPr>
              <w:br/>
              <w:t>20.6.2023</w:t>
            </w:r>
          </w:p>
        </w:tc>
      </w:tr>
      <w:tr w:rsidR="003D41EE" w:rsidRPr="006C1C34" w14:paraId="4EED4DB2" w14:textId="77777777" w:rsidTr="00C12335">
        <w:trPr>
          <w:jc w:val="center"/>
        </w:trPr>
        <w:tc>
          <w:tcPr>
            <w:tcW w:w="562" w:type="dxa"/>
            <w:tcBorders>
              <w:bottom w:val="nil"/>
              <w:right w:val="nil"/>
            </w:tcBorders>
            <w:shd w:val="clear" w:color="auto" w:fill="auto"/>
            <w:tcMar>
              <w:top w:w="85" w:type="dxa"/>
              <w:left w:w="85" w:type="dxa"/>
              <w:bottom w:w="85" w:type="dxa"/>
            </w:tcMar>
          </w:tcPr>
          <w:p w14:paraId="5C307660" w14:textId="77777777" w:rsidR="003D41EE" w:rsidRPr="006C1C34" w:rsidRDefault="003D41EE"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4A3A334A" w14:textId="77A85C9A" w:rsidR="003D41EE" w:rsidRPr="009E521F" w:rsidRDefault="0041000C" w:rsidP="00DC3189">
            <w:pPr>
              <w:jc w:val="both"/>
              <w:rPr>
                <w:bCs/>
                <w:noProof/>
              </w:rPr>
            </w:pPr>
            <w:r>
              <w:rPr>
                <w:noProof/>
              </w:rPr>
              <w:t>Vorschlag für einen BESCHLUSS DES RATES zur Änderung des Beschlusses (EU, Euratom) 2020/2053 über das Eigenmittelsystem der Europäischen Union</w:t>
            </w:r>
          </w:p>
        </w:tc>
        <w:tc>
          <w:tcPr>
            <w:tcW w:w="2003" w:type="dxa"/>
            <w:tcBorders>
              <w:bottom w:val="nil"/>
            </w:tcBorders>
            <w:tcMar>
              <w:top w:w="85" w:type="dxa"/>
              <w:left w:w="85" w:type="dxa"/>
              <w:bottom w:w="85" w:type="dxa"/>
            </w:tcMar>
          </w:tcPr>
          <w:p w14:paraId="35CE85BC" w14:textId="46FB09A6" w:rsidR="003D41EE" w:rsidRPr="009E521F" w:rsidRDefault="0041000C" w:rsidP="006C6FCD">
            <w:pPr>
              <w:rPr>
                <w:noProof/>
              </w:rPr>
            </w:pPr>
            <w:r>
              <w:rPr>
                <w:noProof/>
              </w:rPr>
              <w:t>COM(2021) 570 final</w:t>
            </w:r>
            <w:r>
              <w:rPr>
                <w:noProof/>
              </w:rPr>
              <w:br/>
              <w:t>2021/0430(CNS)</w:t>
            </w:r>
            <w:r>
              <w:rPr>
                <w:noProof/>
              </w:rPr>
              <w:br/>
              <w:t>22.12.2021</w:t>
            </w:r>
          </w:p>
        </w:tc>
      </w:tr>
      <w:tr w:rsidR="00AB66A8" w:rsidRPr="006C1C34" w14:paraId="6B0D20AC" w14:textId="77777777" w:rsidTr="00C12335">
        <w:trPr>
          <w:jc w:val="center"/>
        </w:trPr>
        <w:tc>
          <w:tcPr>
            <w:tcW w:w="562" w:type="dxa"/>
            <w:tcBorders>
              <w:top w:val="nil"/>
              <w:bottom w:val="single" w:sz="4" w:space="0" w:color="auto"/>
              <w:right w:val="nil"/>
            </w:tcBorders>
            <w:shd w:val="clear" w:color="auto" w:fill="auto"/>
            <w:tcMar>
              <w:top w:w="85" w:type="dxa"/>
              <w:left w:w="85" w:type="dxa"/>
              <w:bottom w:w="85" w:type="dxa"/>
            </w:tcMar>
          </w:tcPr>
          <w:p w14:paraId="296F8B04" w14:textId="77777777" w:rsidR="00AB66A8" w:rsidRPr="006C1C34" w:rsidRDefault="00AB66A8" w:rsidP="006C6FCD">
            <w:pPr>
              <w:ind w:left="283"/>
              <w:contextualSpacing/>
              <w:rPr>
                <w:b/>
                <w:noProof/>
              </w:rPr>
            </w:pPr>
          </w:p>
        </w:tc>
        <w:tc>
          <w:tcPr>
            <w:tcW w:w="11464" w:type="dxa"/>
            <w:tcBorders>
              <w:top w:val="nil"/>
              <w:bottom w:val="single" w:sz="4" w:space="0" w:color="auto"/>
            </w:tcBorders>
            <w:shd w:val="clear" w:color="auto" w:fill="auto"/>
            <w:tcMar>
              <w:top w:w="85" w:type="dxa"/>
              <w:left w:w="85" w:type="dxa"/>
              <w:bottom w:w="85" w:type="dxa"/>
              <w:right w:w="85" w:type="dxa"/>
            </w:tcMar>
          </w:tcPr>
          <w:p w14:paraId="3734E089" w14:textId="77777777" w:rsidR="00AB66A8" w:rsidRPr="009E521F" w:rsidRDefault="00AB66A8" w:rsidP="00DC3189">
            <w:pPr>
              <w:jc w:val="both"/>
              <w:rPr>
                <w:bCs/>
                <w:noProof/>
              </w:rPr>
            </w:pPr>
            <w:r>
              <w:rPr>
                <w:noProof/>
              </w:rPr>
              <w:t>Geänderter Vorschlag für einen BESCHLUSS DES RATES zur Änderung des Beschlusses (EU, Euratom) 2020/2053 über das Eigenmittelsystem der Europäischen Union</w:t>
            </w:r>
          </w:p>
        </w:tc>
        <w:tc>
          <w:tcPr>
            <w:tcW w:w="2003" w:type="dxa"/>
            <w:tcBorders>
              <w:top w:val="nil"/>
              <w:bottom w:val="single" w:sz="4" w:space="0" w:color="auto"/>
            </w:tcBorders>
            <w:tcMar>
              <w:top w:w="85" w:type="dxa"/>
              <w:left w:w="85" w:type="dxa"/>
              <w:bottom w:w="85" w:type="dxa"/>
            </w:tcMar>
          </w:tcPr>
          <w:p w14:paraId="0296B792" w14:textId="27AE02AB" w:rsidR="00AB66A8" w:rsidRPr="009E521F" w:rsidRDefault="00AB66A8" w:rsidP="006C6FCD">
            <w:pPr>
              <w:rPr>
                <w:noProof/>
              </w:rPr>
            </w:pPr>
            <w:r>
              <w:rPr>
                <w:noProof/>
              </w:rPr>
              <w:t>geändert durch COM(2023) 331 final</w:t>
            </w:r>
            <w:r>
              <w:rPr>
                <w:noProof/>
              </w:rPr>
              <w:br/>
              <w:t>20.6.2023</w:t>
            </w:r>
          </w:p>
        </w:tc>
      </w:tr>
    </w:tbl>
    <w:p w14:paraId="6FBDCCB6" w14:textId="77777777" w:rsidR="001D790B" w:rsidRDefault="001D790B" w:rsidP="00EC1C82">
      <w:pPr>
        <w:jc w:val="center"/>
        <w:rPr>
          <w:rFonts w:ascii="Times New Roman" w:eastAsia="Times New Roman" w:hAnsi="Times New Roman" w:cs="Times New Roman"/>
          <w:b/>
          <w:bCs/>
          <w:noProof/>
          <w:sz w:val="28"/>
          <w:szCs w:val="28"/>
          <w:u w:val="single"/>
          <w:lang w:val="en-GB" w:eastAsia="en-GB"/>
        </w:rPr>
      </w:pPr>
    </w:p>
    <w:p w14:paraId="01752456" w14:textId="78897B0D" w:rsidR="001D790B" w:rsidRDefault="001D790B">
      <w:pPr>
        <w:rPr>
          <w:rFonts w:ascii="Times New Roman" w:eastAsia="Times New Roman" w:hAnsi="Times New Roman" w:cs="Times New Roman"/>
          <w:b/>
          <w:bCs/>
          <w:noProof/>
          <w:sz w:val="28"/>
          <w:szCs w:val="28"/>
          <w:u w:val="single"/>
          <w:lang w:val="en-GB" w:eastAsia="en-GB"/>
        </w:rPr>
      </w:pPr>
    </w:p>
    <w:p w14:paraId="75A43DAD" w14:textId="77777777" w:rsidR="005857DA" w:rsidRDefault="005857DA">
      <w:pPr>
        <w:rPr>
          <w:rFonts w:ascii="Times New Roman" w:eastAsia="Times New Roman" w:hAnsi="Times New Roman" w:cs="Times New Roman"/>
          <w:b/>
          <w:bCs/>
          <w:noProof/>
          <w:sz w:val="28"/>
          <w:szCs w:val="28"/>
          <w:u w:val="single"/>
        </w:rPr>
      </w:pPr>
      <w:r>
        <w:rPr>
          <w:noProof/>
        </w:rPr>
        <w:br w:type="page"/>
      </w:r>
    </w:p>
    <w:p w14:paraId="52858B5C" w14:textId="24F8BE2B" w:rsidR="00804D14" w:rsidRDefault="007927AA" w:rsidP="00EC1C82">
      <w:pPr>
        <w:jc w:val="center"/>
        <w:rPr>
          <w:rFonts w:ascii="Times New Roman" w:eastAsia="Times New Roman" w:hAnsi="Times New Roman" w:cs="Times New Roman"/>
          <w:b/>
          <w:bCs/>
          <w:noProof/>
          <w:sz w:val="28"/>
          <w:szCs w:val="28"/>
          <w:u w:val="single"/>
        </w:rPr>
      </w:pPr>
      <w:r>
        <w:rPr>
          <w:rFonts w:ascii="Times New Roman" w:hAnsi="Times New Roman"/>
          <w:b/>
          <w:noProof/>
          <w:sz w:val="28"/>
          <w:u w:val="single"/>
        </w:rPr>
        <w:t>Anhang IV: Rücknahmen</w:t>
      </w:r>
      <w:r>
        <w:rPr>
          <w:rFonts w:ascii="Times New Roman" w:eastAsia="Times New Roman" w:hAnsi="Times New Roman" w:cs="Times New Roman"/>
          <w:noProof/>
          <w:vertAlign w:val="superscript"/>
          <w:lang w:val="en-GB" w:eastAsia="en-GB"/>
        </w:rPr>
        <w:footnoteReference w:id="3"/>
      </w:r>
    </w:p>
    <w:p w14:paraId="1AF8F774" w14:textId="77777777" w:rsidR="008A414A" w:rsidRDefault="008A414A" w:rsidP="00EC1C82">
      <w:pPr>
        <w:jc w:val="center"/>
        <w:rPr>
          <w:rFonts w:ascii="Times New Roman" w:eastAsia="Times New Roman" w:hAnsi="Times New Roman" w:cs="Times New Roman"/>
          <w:b/>
          <w:bCs/>
          <w:noProof/>
          <w:sz w:val="28"/>
          <w:szCs w:val="28"/>
          <w:u w:val="single"/>
          <w:lang w:val="en-GB" w:eastAsia="en-GB"/>
        </w:rPr>
      </w:pPr>
    </w:p>
    <w:tbl>
      <w:tblPr>
        <w:tblStyle w:val="TableGrid"/>
        <w:tblW w:w="14034" w:type="dxa"/>
        <w:tblInd w:w="-572" w:type="dxa"/>
        <w:tblLayout w:type="fixed"/>
        <w:tblCellMar>
          <w:top w:w="57" w:type="dxa"/>
          <w:left w:w="85" w:type="dxa"/>
          <w:bottom w:w="57" w:type="dxa"/>
          <w:right w:w="85" w:type="dxa"/>
        </w:tblCellMar>
        <w:tblLook w:val="04A0" w:firstRow="1" w:lastRow="0" w:firstColumn="1" w:lastColumn="0" w:noHBand="0" w:noVBand="1"/>
      </w:tblPr>
      <w:tblGrid>
        <w:gridCol w:w="567"/>
        <w:gridCol w:w="2177"/>
        <w:gridCol w:w="6622"/>
        <w:gridCol w:w="4668"/>
      </w:tblGrid>
      <w:tr w:rsidR="00157B8E" w:rsidRPr="007716D3" w14:paraId="20C9F6AD" w14:textId="77777777" w:rsidTr="002E78DB">
        <w:trPr>
          <w:cantSplit/>
          <w:tblHeader/>
        </w:trPr>
        <w:tc>
          <w:tcPr>
            <w:tcW w:w="567"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14:paraId="6B9BE1DF" w14:textId="77777777" w:rsidR="008A414A" w:rsidRPr="007716D3" w:rsidRDefault="008A414A" w:rsidP="00DE18E1">
            <w:pPr>
              <w:spacing w:before="60" w:after="60"/>
              <w:jc w:val="both"/>
              <w:rPr>
                <w:b/>
                <w:bCs/>
                <w:noProof/>
              </w:rPr>
            </w:pPr>
            <w:r>
              <w:rPr>
                <w:b/>
                <w:noProof/>
              </w:rPr>
              <w:t>Nr.</w:t>
            </w:r>
          </w:p>
        </w:tc>
        <w:tc>
          <w:tcPr>
            <w:tcW w:w="217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56350AB1" w14:textId="77777777" w:rsidR="008A414A" w:rsidRPr="007716D3" w:rsidRDefault="008A414A" w:rsidP="00DE18E1">
            <w:pPr>
              <w:spacing w:before="60" w:after="60"/>
              <w:jc w:val="center"/>
              <w:rPr>
                <w:b/>
                <w:bCs/>
                <w:noProof/>
              </w:rPr>
            </w:pPr>
            <w:r>
              <w:rPr>
                <w:b/>
                <w:noProof/>
              </w:rPr>
              <w:t>Bezugsdokumente</w:t>
            </w:r>
          </w:p>
        </w:tc>
        <w:tc>
          <w:tcPr>
            <w:tcW w:w="6622"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4BE80AAE" w14:textId="77777777" w:rsidR="008A414A" w:rsidRPr="007716D3" w:rsidRDefault="008A414A" w:rsidP="00DE18E1">
            <w:pPr>
              <w:spacing w:before="60" w:after="60"/>
              <w:jc w:val="center"/>
              <w:rPr>
                <w:b/>
                <w:bCs/>
                <w:noProof/>
              </w:rPr>
            </w:pPr>
            <w:r>
              <w:rPr>
                <w:b/>
                <w:noProof/>
              </w:rPr>
              <w:t>Titel</w:t>
            </w:r>
          </w:p>
        </w:tc>
        <w:tc>
          <w:tcPr>
            <w:tcW w:w="4668"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1FEEA202" w14:textId="77777777" w:rsidR="008A414A" w:rsidRPr="007716D3" w:rsidRDefault="008A414A" w:rsidP="00DE18E1">
            <w:pPr>
              <w:spacing w:before="60" w:after="60"/>
              <w:jc w:val="center"/>
              <w:rPr>
                <w:b/>
                <w:bCs/>
                <w:noProof/>
              </w:rPr>
            </w:pPr>
            <w:r>
              <w:rPr>
                <w:b/>
                <w:noProof/>
              </w:rPr>
              <w:t>Begründung der Rücknahme</w:t>
            </w:r>
          </w:p>
        </w:tc>
      </w:tr>
      <w:tr w:rsidR="008C139E" w:rsidRPr="007716D3" w14:paraId="1BBA7228" w14:textId="77777777" w:rsidTr="002E78DB">
        <w:trPr>
          <w:cantSplit/>
        </w:trPr>
        <w:tc>
          <w:tcPr>
            <w:tcW w:w="14034" w:type="dxa"/>
            <w:gridSpan w:val="4"/>
            <w:shd w:val="clear" w:color="auto" w:fill="0046FF"/>
            <w:tcMar>
              <w:top w:w="85" w:type="dxa"/>
              <w:bottom w:w="85" w:type="dxa"/>
              <w:right w:w="108" w:type="dxa"/>
            </w:tcMar>
          </w:tcPr>
          <w:p w14:paraId="7F091D6A" w14:textId="77777777" w:rsidR="008A414A" w:rsidRPr="007716D3" w:rsidRDefault="008A414A" w:rsidP="00DE18E1">
            <w:pPr>
              <w:spacing w:before="60" w:after="60"/>
              <w:jc w:val="both"/>
              <w:rPr>
                <w:noProof/>
              </w:rPr>
            </w:pPr>
            <w:r>
              <w:rPr>
                <w:b/>
                <w:noProof/>
                <w:color w:val="FFFFFF"/>
              </w:rPr>
              <w:t>Ein neuer Plan für nachhaltigen Wohlstand und nachhaltige Wettbewerbsfähigkeit in Europa</w:t>
            </w:r>
          </w:p>
        </w:tc>
      </w:tr>
      <w:tr w:rsidR="008C139E" w:rsidRPr="007716D3" w14:paraId="34BAA5D2" w14:textId="77777777" w:rsidTr="002E78DB">
        <w:trPr>
          <w:cantSplit/>
        </w:trPr>
        <w:tc>
          <w:tcPr>
            <w:tcW w:w="567" w:type="dxa"/>
            <w:tcBorders>
              <w:right w:val="nil"/>
            </w:tcBorders>
            <w:shd w:val="clear" w:color="auto" w:fill="auto"/>
            <w:tcMar>
              <w:top w:w="85" w:type="dxa"/>
              <w:bottom w:w="85" w:type="dxa"/>
              <w:right w:w="108" w:type="dxa"/>
            </w:tcMar>
          </w:tcPr>
          <w:p w14:paraId="5ABA2BBE"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332CEF3E" w14:textId="59A91A09" w:rsidR="008A414A" w:rsidRPr="007F6CD9" w:rsidRDefault="008A414A" w:rsidP="00903CD5">
            <w:pPr>
              <w:rPr>
                <w:noProof/>
              </w:rPr>
            </w:pPr>
            <w:r>
              <w:rPr>
                <w:noProof/>
              </w:rPr>
              <w:t>COM(2011) 714 final</w:t>
            </w:r>
            <w:r>
              <w:rPr>
                <w:noProof/>
              </w:rPr>
              <w:br/>
              <w:t>2011/0314(CNS)</w:t>
            </w:r>
          </w:p>
        </w:tc>
        <w:tc>
          <w:tcPr>
            <w:tcW w:w="6622" w:type="dxa"/>
            <w:shd w:val="clear" w:color="auto" w:fill="auto"/>
            <w:tcMar>
              <w:top w:w="85" w:type="dxa"/>
              <w:bottom w:w="85" w:type="dxa"/>
              <w:right w:w="108" w:type="dxa"/>
            </w:tcMar>
          </w:tcPr>
          <w:p w14:paraId="5DE2E17B" w14:textId="77777777" w:rsidR="008A414A" w:rsidRPr="007F6CD9" w:rsidRDefault="008A414A" w:rsidP="00903CD5">
            <w:pPr>
              <w:jc w:val="both"/>
              <w:rPr>
                <w:noProof/>
              </w:rPr>
            </w:pPr>
            <w:r>
              <w:rPr>
                <w:noProof/>
              </w:rPr>
              <w:t>Vorschlag für RICHTLINIE DES RATES über eine gemeinsame Steuerregelung für Zahlungen von Zinsen und Lizenzgebühren zwischen verbundenen Unternehmen verschiedener Mitgliedstaaten</w:t>
            </w:r>
          </w:p>
        </w:tc>
        <w:tc>
          <w:tcPr>
            <w:tcW w:w="4668" w:type="dxa"/>
            <w:tcMar>
              <w:top w:w="85" w:type="dxa"/>
              <w:bottom w:w="85" w:type="dxa"/>
              <w:right w:w="108" w:type="dxa"/>
            </w:tcMar>
          </w:tcPr>
          <w:p w14:paraId="63F12238" w14:textId="3AB53F4E" w:rsidR="008A414A" w:rsidRDefault="008A414A" w:rsidP="00903CD5">
            <w:pPr>
              <w:jc w:val="both"/>
              <w:rPr>
                <w:noProof/>
              </w:rPr>
            </w:pPr>
            <w:r>
              <w:rPr>
                <w:noProof/>
              </w:rPr>
              <w:t>Hinfällig – der Anwendungsbereich des Vorschlags wurde teilweise durch die Richtlinie zur Umsetzung der zweiten Säule der OECD-Vereinbarung zur Mindestbesteuerung von Unternehmen übernommen. Die verbleibenden Fragen, die mit dem Vorschlag angegangen werden sollen, werden im Rahmen des Vereinfachungsprozesses in einem künftigen Omnibus-Rechtsakt behandelt.</w:t>
            </w:r>
          </w:p>
        </w:tc>
      </w:tr>
      <w:tr w:rsidR="008C139E" w:rsidRPr="007716D3" w14:paraId="762A0139" w14:textId="77777777" w:rsidTr="002E78DB">
        <w:trPr>
          <w:cantSplit/>
        </w:trPr>
        <w:tc>
          <w:tcPr>
            <w:tcW w:w="567" w:type="dxa"/>
            <w:tcBorders>
              <w:right w:val="nil"/>
            </w:tcBorders>
            <w:shd w:val="clear" w:color="auto" w:fill="auto"/>
            <w:tcMar>
              <w:top w:w="85" w:type="dxa"/>
              <w:bottom w:w="85" w:type="dxa"/>
              <w:right w:w="108" w:type="dxa"/>
            </w:tcMar>
          </w:tcPr>
          <w:p w14:paraId="77783D35"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5AD104E0" w14:textId="4758A2C9" w:rsidR="008A414A" w:rsidRPr="007716D3" w:rsidRDefault="008A414A" w:rsidP="00903CD5">
            <w:pPr>
              <w:rPr>
                <w:noProof/>
              </w:rPr>
            </w:pPr>
            <w:r>
              <w:rPr>
                <w:noProof/>
              </w:rPr>
              <w:t>COM(2011) 827 final</w:t>
            </w:r>
            <w:r>
              <w:rPr>
                <w:noProof/>
              </w:rPr>
              <w:br/>
              <w:t>2011/0391(COD)</w:t>
            </w:r>
          </w:p>
        </w:tc>
        <w:tc>
          <w:tcPr>
            <w:tcW w:w="6622" w:type="dxa"/>
            <w:shd w:val="clear" w:color="auto" w:fill="auto"/>
            <w:tcMar>
              <w:top w:w="85" w:type="dxa"/>
              <w:bottom w:w="85" w:type="dxa"/>
              <w:right w:w="108" w:type="dxa"/>
            </w:tcMar>
          </w:tcPr>
          <w:p w14:paraId="7BA17318" w14:textId="2BBF23AF" w:rsidR="008A414A" w:rsidRPr="007716D3" w:rsidRDefault="008A414A" w:rsidP="00903CD5">
            <w:pPr>
              <w:jc w:val="both"/>
              <w:rPr>
                <w:noProof/>
              </w:rPr>
            </w:pPr>
            <w:r>
              <w:rPr>
                <w:noProof/>
              </w:rPr>
              <w:t>Vorschlag für VERORDNUNG DES EUROPÄISCHEN PARLAMENTS UND DES RATES über gemeinsame Regeln für die Zuweisung von Zeitnischen auf Flughäfen in der Europäischen Union</w:t>
            </w:r>
          </w:p>
        </w:tc>
        <w:tc>
          <w:tcPr>
            <w:tcW w:w="4668" w:type="dxa"/>
            <w:tcMar>
              <w:top w:w="85" w:type="dxa"/>
              <w:bottom w:w="85" w:type="dxa"/>
              <w:right w:w="108" w:type="dxa"/>
            </w:tcMar>
          </w:tcPr>
          <w:p w14:paraId="7BC95760" w14:textId="77777777" w:rsidR="008A414A" w:rsidRPr="007716D3" w:rsidRDefault="008A414A" w:rsidP="00903CD5">
            <w:pPr>
              <w:jc w:val="both"/>
              <w:rPr>
                <w:noProof/>
              </w:rPr>
            </w:pPr>
            <w:r>
              <w:rPr>
                <w:noProof/>
              </w:rPr>
              <w:t>Hinfällig – der Vorschlag ist inzwischen hinfällig. Die Kommission hat eine Eignungsprüfung eingeleitet und wird auf der Grundlage der Ergebnisse über das weitere Vorgehen entscheiden.</w:t>
            </w:r>
          </w:p>
        </w:tc>
      </w:tr>
      <w:tr w:rsidR="008C139E" w:rsidRPr="007716D3" w14:paraId="491EFF2A" w14:textId="77777777" w:rsidTr="002E78DB">
        <w:trPr>
          <w:cantSplit/>
        </w:trPr>
        <w:tc>
          <w:tcPr>
            <w:tcW w:w="567" w:type="dxa"/>
            <w:tcBorders>
              <w:right w:val="nil"/>
            </w:tcBorders>
            <w:shd w:val="clear" w:color="auto" w:fill="auto"/>
            <w:tcMar>
              <w:top w:w="85" w:type="dxa"/>
              <w:bottom w:w="85" w:type="dxa"/>
              <w:right w:w="108" w:type="dxa"/>
            </w:tcMar>
          </w:tcPr>
          <w:p w14:paraId="447DD195"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9DE0DEF" w14:textId="2E69D8DB" w:rsidR="008A414A" w:rsidRPr="007716D3" w:rsidRDefault="008A414A" w:rsidP="00903CD5">
            <w:pPr>
              <w:rPr>
                <w:noProof/>
              </w:rPr>
            </w:pPr>
            <w:r>
              <w:rPr>
                <w:noProof/>
              </w:rPr>
              <w:t>COM(2012) 336 final</w:t>
            </w:r>
            <w:r>
              <w:rPr>
                <w:noProof/>
              </w:rPr>
              <w:br/>
              <w:t>2012/0164(APP)</w:t>
            </w:r>
          </w:p>
        </w:tc>
        <w:tc>
          <w:tcPr>
            <w:tcW w:w="6622" w:type="dxa"/>
            <w:shd w:val="clear" w:color="auto" w:fill="auto"/>
            <w:tcMar>
              <w:top w:w="85" w:type="dxa"/>
              <w:bottom w:w="85" w:type="dxa"/>
              <w:right w:w="108" w:type="dxa"/>
            </w:tcMar>
          </w:tcPr>
          <w:p w14:paraId="46C94445" w14:textId="26060B79" w:rsidR="008A414A" w:rsidRPr="007716D3" w:rsidRDefault="008A414A" w:rsidP="00903CD5">
            <w:pPr>
              <w:jc w:val="both"/>
              <w:rPr>
                <w:noProof/>
              </w:rPr>
            </w:pPr>
            <w:r>
              <w:rPr>
                <w:noProof/>
              </w:rPr>
              <w:t>Vorschlag für eine VERORDNUNG DES RATES zur Schaffung einer Fazilität des finanziellen Beistands für Mitgliedstaaten, deren Währung nicht der Euro ist</w:t>
            </w:r>
          </w:p>
        </w:tc>
        <w:tc>
          <w:tcPr>
            <w:tcW w:w="4668" w:type="dxa"/>
            <w:tcMar>
              <w:top w:w="85" w:type="dxa"/>
              <w:bottom w:w="85" w:type="dxa"/>
              <w:right w:w="108" w:type="dxa"/>
            </w:tcMar>
          </w:tcPr>
          <w:p w14:paraId="324CD89E" w14:textId="77777777" w:rsidR="008A414A" w:rsidRPr="007716D3" w:rsidRDefault="008A414A" w:rsidP="00903CD5">
            <w:pPr>
              <w:jc w:val="both"/>
              <w:rPr>
                <w:noProof/>
              </w:rPr>
            </w:pPr>
            <w:r>
              <w:rPr>
                <w:noProof/>
              </w:rPr>
              <w:t>Hinfällig – der Vorschlag muss aktualisiert werden, unter anderem in Bezug auf die Finanzierungsmodalitäten der Zahlungsbilanzfazilität, und die Lehren aus den jüngsten Krisen sowie die institutionellen, wirtschaftlichen und finanziellen Entwicklungen seit 2009 und ihre möglichen Auswirkungen auf die Gestaltung und Umsetzung der Fazilität müssen gemäß den Schlussfolgerungen des Rates vom 27. März 2024 einbezogen werden.</w:t>
            </w:r>
          </w:p>
        </w:tc>
      </w:tr>
      <w:tr w:rsidR="008C139E" w:rsidRPr="007716D3" w14:paraId="5ED0930C" w14:textId="77777777" w:rsidTr="002E78DB">
        <w:trPr>
          <w:cantSplit/>
          <w:trHeight w:val="1041"/>
        </w:trPr>
        <w:tc>
          <w:tcPr>
            <w:tcW w:w="567" w:type="dxa"/>
            <w:tcBorders>
              <w:right w:val="nil"/>
            </w:tcBorders>
            <w:shd w:val="clear" w:color="auto" w:fill="auto"/>
            <w:tcMar>
              <w:top w:w="85" w:type="dxa"/>
              <w:bottom w:w="85" w:type="dxa"/>
              <w:right w:w="108" w:type="dxa"/>
            </w:tcMar>
          </w:tcPr>
          <w:p w14:paraId="6D0D32EC" w14:textId="77777777" w:rsidR="00F023AA" w:rsidRPr="007716D3" w:rsidRDefault="00F023AA" w:rsidP="00F023AA">
            <w:pPr>
              <w:numPr>
                <w:ilvl w:val="0"/>
                <w:numId w:val="2"/>
              </w:numPr>
              <w:ind w:left="426"/>
              <w:contextualSpacing/>
              <w:jc w:val="both"/>
              <w:rPr>
                <w:noProof/>
                <w:lang w:val="en-IE"/>
              </w:rPr>
            </w:pPr>
          </w:p>
        </w:tc>
        <w:tc>
          <w:tcPr>
            <w:tcW w:w="2177" w:type="dxa"/>
            <w:tcMar>
              <w:top w:w="85" w:type="dxa"/>
              <w:bottom w:w="85" w:type="dxa"/>
              <w:right w:w="108" w:type="dxa"/>
            </w:tcMar>
          </w:tcPr>
          <w:p w14:paraId="2E677C06" w14:textId="134FE3F0" w:rsidR="00F023AA" w:rsidRPr="007716D3" w:rsidRDefault="00F023AA" w:rsidP="00F023AA">
            <w:pPr>
              <w:rPr>
                <w:noProof/>
              </w:rPr>
            </w:pPr>
            <w:r>
              <w:rPr>
                <w:noProof/>
              </w:rPr>
              <w:t>COM(2015) 603 final</w:t>
            </w:r>
            <w:r>
              <w:rPr>
                <w:noProof/>
              </w:rPr>
              <w:br/>
              <w:t>2015/0250(NLE)</w:t>
            </w:r>
          </w:p>
        </w:tc>
        <w:tc>
          <w:tcPr>
            <w:tcW w:w="6622" w:type="dxa"/>
            <w:shd w:val="clear" w:color="auto" w:fill="auto"/>
            <w:tcMar>
              <w:top w:w="85" w:type="dxa"/>
              <w:bottom w:w="85" w:type="dxa"/>
              <w:right w:w="108" w:type="dxa"/>
            </w:tcMar>
          </w:tcPr>
          <w:p w14:paraId="530DC86C" w14:textId="0777CDA6" w:rsidR="00F023AA" w:rsidRPr="007716D3" w:rsidRDefault="00F023AA" w:rsidP="00F023AA">
            <w:pPr>
              <w:jc w:val="both"/>
              <w:rPr>
                <w:noProof/>
              </w:rPr>
            </w:pPr>
            <w:r>
              <w:rPr>
                <w:noProof/>
              </w:rPr>
              <w:t>Vorschlag für einen BESCHLUSS DES RATES über Maßnahmen zur schrittweisen Einrichtung einer einheitlichen Vertretung des Euro-Währungsgebiets im Internationalen Währungsfonds</w:t>
            </w:r>
          </w:p>
        </w:tc>
        <w:tc>
          <w:tcPr>
            <w:tcW w:w="4668" w:type="dxa"/>
            <w:tcMar>
              <w:top w:w="85" w:type="dxa"/>
              <w:bottom w:w="85" w:type="dxa"/>
              <w:right w:w="108" w:type="dxa"/>
            </w:tcMar>
          </w:tcPr>
          <w:p w14:paraId="52CEB3B2" w14:textId="1A1916AC" w:rsidR="00F023AA" w:rsidRPr="007716D3" w:rsidRDefault="00F023AA" w:rsidP="00F023AA">
            <w:pPr>
              <w:jc w:val="both"/>
              <w:rPr>
                <w:noProof/>
              </w:rPr>
            </w:pPr>
            <w:r>
              <w:rPr>
                <w:noProof/>
              </w:rPr>
              <w:t>Keine Einigung absehbar – im Rahmen der Diskussionen über die wirtschaftliche und finanzielle Souveränität Europas wird die Kommission prüfen, ob ein weiterer Vorschlag vorgelegt oder ein anderer Ansatz gewählt werden sollte.</w:t>
            </w:r>
          </w:p>
        </w:tc>
      </w:tr>
      <w:tr w:rsidR="008C139E" w:rsidRPr="007716D3" w14:paraId="4FFE0894" w14:textId="77777777" w:rsidTr="002E78DB">
        <w:trPr>
          <w:cantSplit/>
        </w:trPr>
        <w:tc>
          <w:tcPr>
            <w:tcW w:w="567" w:type="dxa"/>
            <w:tcBorders>
              <w:right w:val="nil"/>
            </w:tcBorders>
            <w:shd w:val="clear" w:color="auto" w:fill="auto"/>
            <w:tcMar>
              <w:top w:w="85" w:type="dxa"/>
              <w:bottom w:w="85" w:type="dxa"/>
              <w:right w:w="108" w:type="dxa"/>
            </w:tcMar>
          </w:tcPr>
          <w:p w14:paraId="1E0C21F3"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527F205F" w14:textId="1220E723" w:rsidR="008A414A" w:rsidRPr="007716D3" w:rsidRDefault="008A414A" w:rsidP="00903CD5">
            <w:pPr>
              <w:rPr>
                <w:noProof/>
              </w:rPr>
            </w:pPr>
            <w:r>
              <w:rPr>
                <w:noProof/>
              </w:rPr>
              <w:t>COM(2017) 276 final</w:t>
            </w:r>
            <w:r>
              <w:rPr>
                <w:noProof/>
              </w:rPr>
              <w:br/>
              <w:t>2017/0115(CNS)</w:t>
            </w:r>
          </w:p>
        </w:tc>
        <w:tc>
          <w:tcPr>
            <w:tcW w:w="6622" w:type="dxa"/>
            <w:shd w:val="clear" w:color="auto" w:fill="auto"/>
            <w:tcMar>
              <w:top w:w="85" w:type="dxa"/>
              <w:bottom w:w="85" w:type="dxa"/>
              <w:right w:w="108" w:type="dxa"/>
            </w:tcMar>
          </w:tcPr>
          <w:p w14:paraId="7209C615" w14:textId="77777777" w:rsidR="008A414A" w:rsidRPr="007716D3" w:rsidRDefault="008A414A" w:rsidP="00903CD5">
            <w:pPr>
              <w:jc w:val="both"/>
              <w:rPr>
                <w:noProof/>
              </w:rPr>
            </w:pPr>
            <w:r>
              <w:rPr>
                <w:noProof/>
              </w:rPr>
              <w:t>Vorschlag für eine RICHTLINIE DES RATES zur Änderung der Richtlinie 1999/62/EG über die Erhebung von Gebühren für die Benutzung bestimmter Verkehrswege durch schwere Nutzfahrzeuge hinsichtlich bestimmter Vorschriften zu den Kraftfahrzeugsteuern</w:t>
            </w:r>
          </w:p>
        </w:tc>
        <w:tc>
          <w:tcPr>
            <w:tcW w:w="4668" w:type="dxa"/>
            <w:tcMar>
              <w:top w:w="85" w:type="dxa"/>
              <w:bottom w:w="85" w:type="dxa"/>
              <w:right w:w="108" w:type="dxa"/>
            </w:tcMar>
          </w:tcPr>
          <w:p w14:paraId="7C011135" w14:textId="77777777" w:rsidR="008A414A" w:rsidRPr="007716D3" w:rsidRDefault="008A414A" w:rsidP="00903CD5">
            <w:pPr>
              <w:jc w:val="both"/>
              <w:rPr>
                <w:noProof/>
              </w:rPr>
            </w:pPr>
            <w:r>
              <w:rPr>
                <w:noProof/>
              </w:rPr>
              <w:t>Keine Einigung absehbar – der Vorschlag ist ohne Aussicht auf eine Einigung blockiert.</w:t>
            </w:r>
          </w:p>
        </w:tc>
      </w:tr>
      <w:tr w:rsidR="008C139E" w:rsidRPr="007716D3" w14:paraId="648179E1" w14:textId="77777777" w:rsidTr="002E78DB">
        <w:trPr>
          <w:cantSplit/>
        </w:trPr>
        <w:tc>
          <w:tcPr>
            <w:tcW w:w="567" w:type="dxa"/>
            <w:tcBorders>
              <w:right w:val="nil"/>
            </w:tcBorders>
            <w:shd w:val="clear" w:color="auto" w:fill="auto"/>
            <w:tcMar>
              <w:top w:w="85" w:type="dxa"/>
              <w:bottom w:w="85" w:type="dxa"/>
              <w:right w:w="108" w:type="dxa"/>
            </w:tcMar>
          </w:tcPr>
          <w:p w14:paraId="5F9BE603"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7AD3EF88" w14:textId="7805D09C" w:rsidR="008A414A" w:rsidRPr="007716D3" w:rsidRDefault="008A414A" w:rsidP="00903CD5">
            <w:pPr>
              <w:rPr>
                <w:noProof/>
              </w:rPr>
            </w:pPr>
            <w:r>
              <w:rPr>
                <w:noProof/>
              </w:rPr>
              <w:t>COM(2017) 647 final</w:t>
            </w:r>
            <w:r>
              <w:rPr>
                <w:noProof/>
              </w:rPr>
              <w:br/>
              <w:t>2017/0288(COD)</w:t>
            </w:r>
          </w:p>
        </w:tc>
        <w:tc>
          <w:tcPr>
            <w:tcW w:w="6622" w:type="dxa"/>
            <w:shd w:val="clear" w:color="auto" w:fill="auto"/>
            <w:tcMar>
              <w:top w:w="85" w:type="dxa"/>
              <w:bottom w:w="85" w:type="dxa"/>
              <w:right w:w="108" w:type="dxa"/>
            </w:tcMar>
          </w:tcPr>
          <w:p w14:paraId="2F992A92" w14:textId="77777777" w:rsidR="008A414A" w:rsidRPr="007716D3" w:rsidRDefault="008A414A" w:rsidP="00903CD5">
            <w:pPr>
              <w:jc w:val="both"/>
              <w:rPr>
                <w:noProof/>
              </w:rPr>
            </w:pPr>
            <w:r>
              <w:rPr>
                <w:noProof/>
              </w:rPr>
              <w:t>Vorschlag für eine VERORDNUNG DES EUROPÄISCHEN PARLAMENTS UND DES RATES zur Änderung der Verordnung (EG) Nr. 1073/2009 über gemeinsame Regeln für den Zugang zum grenzüberschreitenden Personenkraftverkehrsmarkt</w:t>
            </w:r>
          </w:p>
        </w:tc>
        <w:tc>
          <w:tcPr>
            <w:tcW w:w="4668" w:type="dxa"/>
            <w:tcMar>
              <w:top w:w="85" w:type="dxa"/>
              <w:bottom w:w="85" w:type="dxa"/>
              <w:right w:w="108" w:type="dxa"/>
            </w:tcMar>
          </w:tcPr>
          <w:p w14:paraId="2202E7C0" w14:textId="77777777" w:rsidR="008A414A" w:rsidRPr="007716D3" w:rsidRDefault="008A414A" w:rsidP="00903CD5">
            <w:pPr>
              <w:jc w:val="both"/>
              <w:rPr>
                <w:noProof/>
              </w:rPr>
            </w:pPr>
            <w:r>
              <w:rPr>
                <w:noProof/>
              </w:rPr>
              <w:t>Keine Einigung absehbar – der Vorschlag wurde im Rat nicht erörtert und ist inzwischen veraltet.</w:t>
            </w:r>
          </w:p>
        </w:tc>
      </w:tr>
      <w:tr w:rsidR="008C139E" w:rsidRPr="007716D3" w14:paraId="039DDEAA" w14:textId="77777777" w:rsidTr="002E78DB">
        <w:trPr>
          <w:cantSplit/>
          <w:trHeight w:val="938"/>
        </w:trPr>
        <w:tc>
          <w:tcPr>
            <w:tcW w:w="567" w:type="dxa"/>
            <w:tcBorders>
              <w:right w:val="nil"/>
            </w:tcBorders>
            <w:shd w:val="clear" w:color="auto" w:fill="auto"/>
            <w:tcMar>
              <w:top w:w="85" w:type="dxa"/>
              <w:bottom w:w="85" w:type="dxa"/>
              <w:right w:w="108" w:type="dxa"/>
            </w:tcMar>
          </w:tcPr>
          <w:p w14:paraId="562D915E"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D2E9AD1" w14:textId="6F96674C" w:rsidR="008A414A" w:rsidRPr="007716D3" w:rsidRDefault="008A414A" w:rsidP="00903CD5">
            <w:pPr>
              <w:rPr>
                <w:noProof/>
              </w:rPr>
            </w:pPr>
            <w:r>
              <w:rPr>
                <w:noProof/>
              </w:rPr>
              <w:t>COM(2017) 827 final</w:t>
            </w:r>
            <w:r>
              <w:rPr>
                <w:noProof/>
              </w:rPr>
              <w:br/>
              <w:t>2017/0333(APP)</w:t>
            </w:r>
          </w:p>
        </w:tc>
        <w:tc>
          <w:tcPr>
            <w:tcW w:w="6622" w:type="dxa"/>
            <w:shd w:val="clear" w:color="auto" w:fill="auto"/>
            <w:tcMar>
              <w:top w:w="85" w:type="dxa"/>
              <w:bottom w:w="85" w:type="dxa"/>
              <w:right w:w="108" w:type="dxa"/>
            </w:tcMar>
          </w:tcPr>
          <w:p w14:paraId="6FF60B54" w14:textId="77777777" w:rsidR="008A414A" w:rsidRPr="007716D3" w:rsidRDefault="008A414A" w:rsidP="00903CD5">
            <w:pPr>
              <w:jc w:val="both"/>
              <w:rPr>
                <w:noProof/>
              </w:rPr>
            </w:pPr>
            <w:r>
              <w:rPr>
                <w:noProof/>
              </w:rPr>
              <w:t>Vorschlag für eine VERORDNUNG DES RATES über die Einrichtung des Europäischen Währungsfonds</w:t>
            </w:r>
          </w:p>
        </w:tc>
        <w:tc>
          <w:tcPr>
            <w:tcW w:w="4668" w:type="dxa"/>
            <w:tcMar>
              <w:top w:w="85" w:type="dxa"/>
              <w:bottom w:w="85" w:type="dxa"/>
              <w:right w:w="108" w:type="dxa"/>
            </w:tcMar>
          </w:tcPr>
          <w:p w14:paraId="4D1D99B0" w14:textId="2DB10940" w:rsidR="008A414A" w:rsidRPr="007716D3" w:rsidRDefault="008A414A" w:rsidP="00903CD5">
            <w:pPr>
              <w:jc w:val="both"/>
              <w:rPr>
                <w:noProof/>
              </w:rPr>
            </w:pPr>
            <w:r>
              <w:rPr>
                <w:noProof/>
              </w:rPr>
              <w:t>Keine Einigung absehbar – viele der im Rahmen dieser Initiative vorgeschlagenen Änderungen wurden in eine gesonderte Überarbeitung des Vertrags über den Europäischen Stabilitätsmechanismus aufgenommen.</w:t>
            </w:r>
          </w:p>
        </w:tc>
      </w:tr>
      <w:tr w:rsidR="008C139E" w:rsidRPr="007716D3" w14:paraId="213FEF67" w14:textId="77777777" w:rsidTr="002E78DB">
        <w:trPr>
          <w:cantSplit/>
          <w:trHeight w:val="401"/>
        </w:trPr>
        <w:tc>
          <w:tcPr>
            <w:tcW w:w="567" w:type="dxa"/>
            <w:tcBorders>
              <w:right w:val="nil"/>
            </w:tcBorders>
            <w:shd w:val="clear" w:color="auto" w:fill="auto"/>
            <w:tcMar>
              <w:top w:w="85" w:type="dxa"/>
              <w:bottom w:w="85" w:type="dxa"/>
              <w:right w:w="108" w:type="dxa"/>
            </w:tcMar>
          </w:tcPr>
          <w:p w14:paraId="5A73DE8C"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A2D82F1" w14:textId="02436C17" w:rsidR="008A414A" w:rsidRPr="007716D3" w:rsidRDefault="008A414A" w:rsidP="00903CD5">
            <w:pPr>
              <w:rPr>
                <w:noProof/>
              </w:rPr>
            </w:pPr>
            <w:r>
              <w:rPr>
                <w:noProof/>
              </w:rPr>
              <w:t>COM(2018) 135 final</w:t>
            </w:r>
            <w:r>
              <w:rPr>
                <w:noProof/>
              </w:rPr>
              <w:br/>
              <w:t>2018/0063B(COD)</w:t>
            </w:r>
          </w:p>
        </w:tc>
        <w:tc>
          <w:tcPr>
            <w:tcW w:w="6622" w:type="dxa"/>
            <w:shd w:val="clear" w:color="auto" w:fill="auto"/>
            <w:tcMar>
              <w:top w:w="85" w:type="dxa"/>
              <w:bottom w:w="85" w:type="dxa"/>
              <w:right w:w="108" w:type="dxa"/>
            </w:tcMar>
          </w:tcPr>
          <w:p w14:paraId="2F05287A" w14:textId="77777777" w:rsidR="008A414A" w:rsidRPr="007716D3" w:rsidRDefault="008A414A" w:rsidP="00903CD5">
            <w:pPr>
              <w:jc w:val="both"/>
              <w:rPr>
                <w:noProof/>
              </w:rPr>
            </w:pPr>
            <w:r>
              <w:rPr>
                <w:noProof/>
              </w:rPr>
              <w:t>Vorschlag für eine RICHTLINIE DES EUROPÄISCHEN PARLAMENTS UND DES RATES über Kreditdienstleister, Kreditkäufer und die Verwertung von Sicherheiten</w:t>
            </w:r>
          </w:p>
        </w:tc>
        <w:tc>
          <w:tcPr>
            <w:tcW w:w="4668" w:type="dxa"/>
            <w:tcMar>
              <w:top w:w="85" w:type="dxa"/>
              <w:bottom w:w="85" w:type="dxa"/>
              <w:right w:w="108" w:type="dxa"/>
            </w:tcMar>
          </w:tcPr>
          <w:p w14:paraId="73EE8A63" w14:textId="77777777" w:rsidR="008A414A" w:rsidRPr="007716D3" w:rsidRDefault="008A414A" w:rsidP="00903CD5">
            <w:pPr>
              <w:jc w:val="both"/>
              <w:rPr>
                <w:noProof/>
              </w:rPr>
            </w:pPr>
            <w:r>
              <w:rPr>
                <w:noProof/>
              </w:rPr>
              <w:t>Keine Einigung absehbar – der Vorschlag ist blockiert und weitere Entwicklungen sind unwahrscheinlich.</w:t>
            </w:r>
          </w:p>
        </w:tc>
      </w:tr>
      <w:tr w:rsidR="008C139E" w:rsidRPr="007716D3" w14:paraId="24E334E8" w14:textId="77777777" w:rsidTr="002E78DB">
        <w:trPr>
          <w:cantSplit/>
          <w:trHeight w:val="493"/>
        </w:trPr>
        <w:tc>
          <w:tcPr>
            <w:tcW w:w="567" w:type="dxa"/>
            <w:tcBorders>
              <w:right w:val="nil"/>
            </w:tcBorders>
            <w:shd w:val="clear" w:color="auto" w:fill="auto"/>
            <w:tcMar>
              <w:top w:w="85" w:type="dxa"/>
              <w:bottom w:w="85" w:type="dxa"/>
              <w:right w:w="108" w:type="dxa"/>
            </w:tcMar>
          </w:tcPr>
          <w:p w14:paraId="10669FC8" w14:textId="77777777" w:rsidR="00A56760" w:rsidRPr="009022CF" w:rsidRDefault="00A56760" w:rsidP="00A56760">
            <w:pPr>
              <w:numPr>
                <w:ilvl w:val="0"/>
                <w:numId w:val="2"/>
              </w:numPr>
              <w:ind w:left="426"/>
              <w:contextualSpacing/>
              <w:jc w:val="both"/>
              <w:rPr>
                <w:noProof/>
              </w:rPr>
            </w:pPr>
          </w:p>
        </w:tc>
        <w:tc>
          <w:tcPr>
            <w:tcW w:w="2177" w:type="dxa"/>
            <w:tcMar>
              <w:top w:w="85" w:type="dxa"/>
              <w:bottom w:w="85" w:type="dxa"/>
              <w:right w:w="108" w:type="dxa"/>
            </w:tcMar>
          </w:tcPr>
          <w:p w14:paraId="4C0C85E9" w14:textId="498CD0C8" w:rsidR="00A56760" w:rsidRPr="007F6CD9" w:rsidRDefault="00A56760" w:rsidP="00A56760">
            <w:pPr>
              <w:rPr>
                <w:noProof/>
              </w:rPr>
            </w:pPr>
            <w:r>
              <w:rPr>
                <w:noProof/>
              </w:rPr>
              <w:t>COM(2018) 329 final</w:t>
            </w:r>
            <w:r>
              <w:rPr>
                <w:noProof/>
              </w:rPr>
              <w:br/>
              <w:t>2018/0164(CNS)</w:t>
            </w:r>
          </w:p>
        </w:tc>
        <w:tc>
          <w:tcPr>
            <w:tcW w:w="6622" w:type="dxa"/>
            <w:shd w:val="clear" w:color="auto" w:fill="auto"/>
            <w:tcMar>
              <w:top w:w="85" w:type="dxa"/>
              <w:bottom w:w="85" w:type="dxa"/>
              <w:right w:w="108" w:type="dxa"/>
            </w:tcMar>
          </w:tcPr>
          <w:p w14:paraId="177A15B6" w14:textId="3A32765A" w:rsidR="00A56760" w:rsidRPr="00420869" w:rsidRDefault="00A56760" w:rsidP="00A56760">
            <w:pPr>
              <w:jc w:val="both"/>
              <w:rPr>
                <w:noProof/>
              </w:rPr>
            </w:pPr>
            <w:r>
              <w:rPr>
                <w:noProof/>
              </w:rPr>
              <w:t>Vorschlag für eine RICHTLINIE DES RATES zur Änderung der Richtlinie 2006/112/EG in Bezug auf die Einführung der detaillierten technischen Maßnahmen für die Anwendung des endgültigen Mehrwertsteuersystems für die Besteuerung des Handels zwischen Mitgliedstaaten</w:t>
            </w:r>
          </w:p>
        </w:tc>
        <w:tc>
          <w:tcPr>
            <w:tcW w:w="4668" w:type="dxa"/>
            <w:tcMar>
              <w:top w:w="85" w:type="dxa"/>
              <w:bottom w:w="85" w:type="dxa"/>
              <w:right w:w="108" w:type="dxa"/>
            </w:tcMar>
          </w:tcPr>
          <w:p w14:paraId="419FA755" w14:textId="3CF3318A" w:rsidR="00A56760" w:rsidRDefault="00A56760" w:rsidP="00A56760">
            <w:pPr>
              <w:jc w:val="both"/>
              <w:rPr>
                <w:noProof/>
              </w:rPr>
            </w:pPr>
            <w:r>
              <w:rPr>
                <w:noProof/>
              </w:rPr>
              <w:t>Keine Einigung absehbar – die Gespräche sind seit 2019 ausgesetzt und weitere Entwicklungen sind unwahrscheinlich.</w:t>
            </w:r>
          </w:p>
        </w:tc>
      </w:tr>
      <w:tr w:rsidR="008C139E" w:rsidRPr="007716D3" w14:paraId="35AB6BDD" w14:textId="77777777" w:rsidTr="002E78DB">
        <w:trPr>
          <w:cantSplit/>
          <w:trHeight w:val="420"/>
        </w:trPr>
        <w:tc>
          <w:tcPr>
            <w:tcW w:w="567" w:type="dxa"/>
            <w:tcBorders>
              <w:right w:val="nil"/>
            </w:tcBorders>
            <w:shd w:val="clear" w:color="auto" w:fill="auto"/>
            <w:tcMar>
              <w:top w:w="85" w:type="dxa"/>
              <w:bottom w:w="85" w:type="dxa"/>
              <w:right w:w="108" w:type="dxa"/>
            </w:tcMar>
          </w:tcPr>
          <w:p w14:paraId="03D52BA0"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3F758E4" w14:textId="59AAA331" w:rsidR="008A414A" w:rsidRPr="007F6CD9" w:rsidRDefault="008A414A" w:rsidP="00903CD5">
            <w:pPr>
              <w:rPr>
                <w:noProof/>
              </w:rPr>
            </w:pPr>
            <w:r>
              <w:rPr>
                <w:noProof/>
              </w:rPr>
              <w:t>COM(2018) 339 final</w:t>
            </w:r>
            <w:r>
              <w:rPr>
                <w:noProof/>
              </w:rPr>
              <w:br/>
              <w:t>2018/0171(COD)</w:t>
            </w:r>
          </w:p>
        </w:tc>
        <w:tc>
          <w:tcPr>
            <w:tcW w:w="6622" w:type="dxa"/>
            <w:shd w:val="clear" w:color="auto" w:fill="auto"/>
            <w:tcMar>
              <w:top w:w="85" w:type="dxa"/>
              <w:bottom w:w="85" w:type="dxa"/>
              <w:right w:w="108" w:type="dxa"/>
            </w:tcMar>
          </w:tcPr>
          <w:p w14:paraId="6319EC68" w14:textId="77777777" w:rsidR="008A414A" w:rsidRPr="00420869" w:rsidRDefault="008A414A" w:rsidP="00903CD5">
            <w:pPr>
              <w:jc w:val="both"/>
              <w:rPr>
                <w:noProof/>
              </w:rPr>
            </w:pPr>
            <w:r>
              <w:rPr>
                <w:noProof/>
              </w:rPr>
              <w:t>Vorschlag für eine VERORDNUNG DES EUROPÄISCHEN PARLAMENTS UND DES RATES über staatsanleihebesicherte Wertpapiere</w:t>
            </w:r>
          </w:p>
        </w:tc>
        <w:tc>
          <w:tcPr>
            <w:tcW w:w="4668" w:type="dxa"/>
            <w:tcMar>
              <w:top w:w="85" w:type="dxa"/>
              <w:bottom w:w="85" w:type="dxa"/>
              <w:right w:w="108" w:type="dxa"/>
            </w:tcMar>
          </w:tcPr>
          <w:p w14:paraId="748F39DB" w14:textId="77777777" w:rsidR="008A414A" w:rsidRDefault="008A414A" w:rsidP="00903CD5">
            <w:pPr>
              <w:jc w:val="both"/>
              <w:rPr>
                <w:noProof/>
              </w:rPr>
            </w:pPr>
            <w:r>
              <w:rPr>
                <w:noProof/>
              </w:rPr>
              <w:t>Keine Einigung absehbar – der Vorschlag ist blockiert und weitere Entwicklungen sind unwahrscheinlich.</w:t>
            </w:r>
          </w:p>
        </w:tc>
      </w:tr>
      <w:tr w:rsidR="008C139E" w:rsidRPr="007716D3" w14:paraId="144729D7" w14:textId="77777777" w:rsidTr="002E78DB">
        <w:trPr>
          <w:cantSplit/>
          <w:trHeight w:val="1041"/>
        </w:trPr>
        <w:tc>
          <w:tcPr>
            <w:tcW w:w="567" w:type="dxa"/>
            <w:tcBorders>
              <w:right w:val="nil"/>
            </w:tcBorders>
            <w:shd w:val="clear" w:color="auto" w:fill="auto"/>
            <w:tcMar>
              <w:top w:w="85" w:type="dxa"/>
              <w:bottom w:w="85" w:type="dxa"/>
              <w:right w:w="108" w:type="dxa"/>
            </w:tcMar>
          </w:tcPr>
          <w:p w14:paraId="0C55C6F1"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51BDD43B" w14:textId="0E274A1F" w:rsidR="008A414A" w:rsidRPr="007F6CD9" w:rsidRDefault="008A414A" w:rsidP="00903CD5">
            <w:pPr>
              <w:rPr>
                <w:noProof/>
              </w:rPr>
            </w:pPr>
            <w:r>
              <w:rPr>
                <w:noProof/>
              </w:rPr>
              <w:t>COM(2018) 387 final</w:t>
            </w:r>
            <w:r>
              <w:rPr>
                <w:noProof/>
              </w:rPr>
              <w:br/>
              <w:t>2018/0212(COD)</w:t>
            </w:r>
          </w:p>
        </w:tc>
        <w:tc>
          <w:tcPr>
            <w:tcW w:w="6622" w:type="dxa"/>
            <w:shd w:val="clear" w:color="auto" w:fill="auto"/>
            <w:tcMar>
              <w:top w:w="85" w:type="dxa"/>
              <w:bottom w:w="85" w:type="dxa"/>
              <w:right w:w="108" w:type="dxa"/>
            </w:tcMar>
          </w:tcPr>
          <w:p w14:paraId="2AE7C36E" w14:textId="2062E2E0" w:rsidR="008A414A" w:rsidRPr="007F6CD9" w:rsidRDefault="008A414A" w:rsidP="00903CD5">
            <w:pPr>
              <w:jc w:val="both"/>
              <w:rPr>
                <w:noProof/>
              </w:rPr>
            </w:pPr>
            <w:r>
              <w:rPr>
                <w:noProof/>
              </w:rPr>
              <w:t>Vorschlag für eine VERORDNUNG DES EUROPÄISCHEN PARLAMENTS UND DES RATES zur Schaffung einer Europäischen Investitionsstabilisierungsfunktion</w:t>
            </w:r>
          </w:p>
        </w:tc>
        <w:tc>
          <w:tcPr>
            <w:tcW w:w="4668" w:type="dxa"/>
            <w:tcMar>
              <w:top w:w="85" w:type="dxa"/>
              <w:bottom w:w="85" w:type="dxa"/>
              <w:right w:w="108" w:type="dxa"/>
            </w:tcMar>
          </w:tcPr>
          <w:p w14:paraId="1841181F" w14:textId="7BBC9EDC" w:rsidR="008A414A" w:rsidRPr="007716D3" w:rsidRDefault="008A414A" w:rsidP="00903CD5">
            <w:pPr>
              <w:jc w:val="both"/>
              <w:rPr>
                <w:noProof/>
              </w:rPr>
            </w:pPr>
            <w:r>
              <w:rPr>
                <w:noProof/>
              </w:rPr>
              <w:t>Keine Einigung absehbar – der Vorschlag ist mit dem Inkrafttreten von NGEU und der Aufbau- und Resilienzfazilität (RRF) sowie der Abschaffung des Haushaltsinstruments für Konvergenz und Wettbewerbsfähigkeit im Februar 2021 veraltet.</w:t>
            </w:r>
          </w:p>
        </w:tc>
      </w:tr>
      <w:tr w:rsidR="008C139E" w:rsidRPr="007716D3" w14:paraId="7A160869" w14:textId="77777777" w:rsidTr="002E78DB">
        <w:trPr>
          <w:cantSplit/>
        </w:trPr>
        <w:tc>
          <w:tcPr>
            <w:tcW w:w="567" w:type="dxa"/>
            <w:tcBorders>
              <w:right w:val="nil"/>
            </w:tcBorders>
            <w:shd w:val="clear" w:color="auto" w:fill="auto"/>
            <w:tcMar>
              <w:top w:w="85" w:type="dxa"/>
              <w:bottom w:w="85" w:type="dxa"/>
              <w:right w:w="108" w:type="dxa"/>
            </w:tcMar>
          </w:tcPr>
          <w:p w14:paraId="42B5AE72"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4EF22926" w14:textId="5FC207E1" w:rsidR="008A414A" w:rsidRPr="007716D3" w:rsidRDefault="008A414A" w:rsidP="00903CD5">
            <w:pPr>
              <w:rPr>
                <w:noProof/>
              </w:rPr>
            </w:pPr>
            <w:r>
              <w:rPr>
                <w:noProof/>
              </w:rPr>
              <w:t>COM(2019) 38 final</w:t>
            </w:r>
            <w:r>
              <w:rPr>
                <w:noProof/>
              </w:rPr>
              <w:br/>
              <w:t>2019/0017(COD)</w:t>
            </w:r>
          </w:p>
        </w:tc>
        <w:tc>
          <w:tcPr>
            <w:tcW w:w="6622" w:type="dxa"/>
            <w:shd w:val="clear" w:color="auto" w:fill="auto"/>
            <w:tcMar>
              <w:top w:w="85" w:type="dxa"/>
              <w:bottom w:w="85" w:type="dxa"/>
              <w:right w:w="108" w:type="dxa"/>
            </w:tcMar>
          </w:tcPr>
          <w:p w14:paraId="3B217990" w14:textId="77777777" w:rsidR="008A414A" w:rsidRPr="007716D3" w:rsidRDefault="008A414A" w:rsidP="00903CD5">
            <w:pPr>
              <w:jc w:val="both"/>
              <w:rPr>
                <w:noProof/>
              </w:rPr>
            </w:pPr>
            <w:r>
              <w:rPr>
                <w:noProof/>
              </w:rPr>
              <w:t>Vorschlag für eine VERORDNUNG DES EUROPÄISCHEN PARLAMENTS UND DES RATES zur Änderung der Verordnung (EU) 2015/757 zwecks angemessener Berücksichtigung des globalen Datenerhebungssystems für den Kraftstoffverbrauch von Schiffen</w:t>
            </w:r>
          </w:p>
        </w:tc>
        <w:tc>
          <w:tcPr>
            <w:tcW w:w="4668" w:type="dxa"/>
            <w:tcMar>
              <w:top w:w="85" w:type="dxa"/>
              <w:bottom w:w="85" w:type="dxa"/>
              <w:right w:w="108" w:type="dxa"/>
            </w:tcMar>
          </w:tcPr>
          <w:p w14:paraId="0E414C3A" w14:textId="77777777" w:rsidR="008A414A" w:rsidRPr="007716D3" w:rsidRDefault="008A414A" w:rsidP="00903CD5">
            <w:pPr>
              <w:jc w:val="both"/>
              <w:rPr>
                <w:noProof/>
              </w:rPr>
            </w:pPr>
            <w:r>
              <w:rPr>
                <w:noProof/>
              </w:rPr>
              <w:t>Hinfällig – die in diesem Vorschlag enthaltenen Änderungen wurden in die jüngste Überarbeitung des EU-EHS aufgenommen, die 2023 angenommen wurde.</w:t>
            </w:r>
          </w:p>
        </w:tc>
      </w:tr>
      <w:tr w:rsidR="008C139E" w:rsidRPr="007716D3" w14:paraId="534A7D81" w14:textId="77777777" w:rsidTr="002E78DB">
        <w:trPr>
          <w:cantSplit/>
        </w:trPr>
        <w:tc>
          <w:tcPr>
            <w:tcW w:w="567" w:type="dxa"/>
            <w:tcBorders>
              <w:right w:val="nil"/>
            </w:tcBorders>
            <w:shd w:val="clear" w:color="auto" w:fill="auto"/>
            <w:tcMar>
              <w:top w:w="85" w:type="dxa"/>
              <w:bottom w:w="85" w:type="dxa"/>
              <w:right w:w="108" w:type="dxa"/>
            </w:tcMar>
          </w:tcPr>
          <w:p w14:paraId="3A4D9EF4"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4ED7C564" w14:textId="37269F82" w:rsidR="008A414A" w:rsidRPr="007716D3" w:rsidRDefault="008A414A" w:rsidP="00903CD5">
            <w:pPr>
              <w:rPr>
                <w:noProof/>
              </w:rPr>
            </w:pPr>
            <w:bookmarkStart w:id="3" w:name="_Hlk182497928"/>
            <w:r>
              <w:rPr>
                <w:noProof/>
              </w:rPr>
              <w:t>COM(2020) 49 final</w:t>
            </w:r>
            <w:r>
              <w:rPr>
                <w:noProof/>
              </w:rPr>
              <w:br/>
              <w:t>2020/0022(CNS)</w:t>
            </w:r>
            <w:bookmarkEnd w:id="3"/>
          </w:p>
        </w:tc>
        <w:tc>
          <w:tcPr>
            <w:tcW w:w="6622" w:type="dxa"/>
            <w:shd w:val="clear" w:color="auto" w:fill="auto"/>
            <w:tcMar>
              <w:top w:w="85" w:type="dxa"/>
              <w:bottom w:w="85" w:type="dxa"/>
              <w:right w:w="108" w:type="dxa"/>
            </w:tcMar>
          </w:tcPr>
          <w:p w14:paraId="4441D4A1" w14:textId="35EF5864" w:rsidR="008A414A" w:rsidRPr="007716D3" w:rsidRDefault="008A414A" w:rsidP="00903CD5">
            <w:pPr>
              <w:jc w:val="both"/>
              <w:rPr>
                <w:noProof/>
              </w:rPr>
            </w:pPr>
            <w:r>
              <w:rPr>
                <w:noProof/>
              </w:rPr>
              <w:t>Vorschlag für eine RICHTLINIE DES RATES über die Zusammenarbeit der Verwaltungsbehörden im Bereich der Besteuerung (kodifizierter Text)</w:t>
            </w:r>
          </w:p>
        </w:tc>
        <w:tc>
          <w:tcPr>
            <w:tcW w:w="4668" w:type="dxa"/>
            <w:tcMar>
              <w:top w:w="85" w:type="dxa"/>
              <w:bottom w:w="85" w:type="dxa"/>
              <w:right w:w="108" w:type="dxa"/>
            </w:tcMar>
          </w:tcPr>
          <w:p w14:paraId="2C8707FF" w14:textId="77777777" w:rsidR="008A414A" w:rsidRPr="007716D3" w:rsidRDefault="008A414A" w:rsidP="00903CD5">
            <w:pPr>
              <w:jc w:val="both"/>
              <w:rPr>
                <w:noProof/>
              </w:rPr>
            </w:pPr>
            <w:bookmarkStart w:id="4" w:name="_Hlk182497968"/>
            <w:r>
              <w:rPr>
                <w:noProof/>
              </w:rPr>
              <w:t>Hinfällig – seit der Annahme dieses Vorschlags im Jahr 2020 wurde eine Reihe wichtiger Änderungen angenommen, wodurch dieser Kodifizierungsvorschlag hinfällig geworden ist. Die Kommission wird einen neuen kodifizierten Vorschlag vorlegen.</w:t>
            </w:r>
            <w:bookmarkEnd w:id="4"/>
          </w:p>
        </w:tc>
      </w:tr>
      <w:tr w:rsidR="008C139E" w:rsidRPr="007716D3" w14:paraId="69167857" w14:textId="77777777" w:rsidTr="002E78DB">
        <w:trPr>
          <w:cantSplit/>
        </w:trPr>
        <w:tc>
          <w:tcPr>
            <w:tcW w:w="567" w:type="dxa"/>
            <w:tcBorders>
              <w:right w:val="nil"/>
            </w:tcBorders>
            <w:shd w:val="clear" w:color="auto" w:fill="auto"/>
            <w:tcMar>
              <w:top w:w="85" w:type="dxa"/>
              <w:bottom w:w="85" w:type="dxa"/>
              <w:right w:w="108" w:type="dxa"/>
            </w:tcMar>
          </w:tcPr>
          <w:p w14:paraId="1DB16995" w14:textId="77777777" w:rsidR="008A414A" w:rsidRPr="007716D3" w:rsidRDefault="008A414A" w:rsidP="00903CD5">
            <w:pPr>
              <w:numPr>
                <w:ilvl w:val="0"/>
                <w:numId w:val="2"/>
              </w:numPr>
              <w:ind w:left="426"/>
              <w:contextualSpacing/>
              <w:jc w:val="both"/>
              <w:rPr>
                <w:noProof/>
                <w:lang w:val="en-IE"/>
              </w:rPr>
            </w:pPr>
          </w:p>
        </w:tc>
        <w:tc>
          <w:tcPr>
            <w:tcW w:w="2177" w:type="dxa"/>
            <w:tcMar>
              <w:top w:w="85" w:type="dxa"/>
              <w:bottom w:w="85" w:type="dxa"/>
              <w:right w:w="108" w:type="dxa"/>
            </w:tcMar>
          </w:tcPr>
          <w:p w14:paraId="3A2C3A8B" w14:textId="31B531C9" w:rsidR="008A414A" w:rsidRPr="007716D3" w:rsidRDefault="008A414A" w:rsidP="00903CD5">
            <w:pPr>
              <w:rPr>
                <w:noProof/>
              </w:rPr>
            </w:pPr>
            <w:r>
              <w:rPr>
                <w:noProof/>
              </w:rPr>
              <w:t>COM(2020) 577 final</w:t>
            </w:r>
            <w:r>
              <w:rPr>
                <w:noProof/>
              </w:rPr>
              <w:br/>
              <w:t>2020/0264(COD)</w:t>
            </w:r>
          </w:p>
        </w:tc>
        <w:tc>
          <w:tcPr>
            <w:tcW w:w="6622" w:type="dxa"/>
            <w:shd w:val="clear" w:color="auto" w:fill="auto"/>
            <w:tcMar>
              <w:top w:w="85" w:type="dxa"/>
              <w:bottom w:w="85" w:type="dxa"/>
              <w:right w:w="108" w:type="dxa"/>
            </w:tcMar>
          </w:tcPr>
          <w:p w14:paraId="4DCEAFED" w14:textId="77777777" w:rsidR="008A414A" w:rsidRPr="007716D3" w:rsidRDefault="008A414A" w:rsidP="00903CD5">
            <w:pPr>
              <w:jc w:val="both"/>
              <w:rPr>
                <w:noProof/>
              </w:rPr>
            </w:pPr>
            <w:r>
              <w:rPr>
                <w:noProof/>
              </w:rPr>
              <w:t>Vorschlag für eine VERORDNUNG DES EUROPÄISCHEN PARLAMENTS UND DES RATES zur Änderung der Verordnung (EU) 2018/1139 des Europäischen Parlaments und des Rates in Bezug auf die Fähigkeit der Agentur der Europäischen Union für Flugsicherheit, als Leistungsüberprüfungsgremium für den einheitlichen europäischen Luftraum zu handeln</w:t>
            </w:r>
          </w:p>
        </w:tc>
        <w:tc>
          <w:tcPr>
            <w:tcW w:w="4668" w:type="dxa"/>
            <w:tcMar>
              <w:top w:w="85" w:type="dxa"/>
              <w:bottom w:w="85" w:type="dxa"/>
              <w:right w:w="108" w:type="dxa"/>
            </w:tcMar>
          </w:tcPr>
          <w:p w14:paraId="0D3FF13D" w14:textId="77777777" w:rsidR="008A414A" w:rsidRPr="007716D3" w:rsidRDefault="008A414A" w:rsidP="00903CD5">
            <w:pPr>
              <w:tabs>
                <w:tab w:val="left" w:pos="2980"/>
              </w:tabs>
              <w:jc w:val="both"/>
              <w:rPr>
                <w:noProof/>
              </w:rPr>
            </w:pPr>
            <w:r>
              <w:rPr>
                <w:noProof/>
              </w:rPr>
              <w:t>Hinfällig – die in diesem Vorschlag enthaltenen Änderungen wurden in die Verordnung über den einheitlichen europäischen Luftraum („SES II+“) aufgenommen.</w:t>
            </w:r>
          </w:p>
        </w:tc>
      </w:tr>
      <w:tr w:rsidR="008C139E" w:rsidRPr="007716D3" w14:paraId="2E0E1ED4" w14:textId="77777777" w:rsidTr="002E78DB">
        <w:trPr>
          <w:cantSplit/>
        </w:trPr>
        <w:tc>
          <w:tcPr>
            <w:tcW w:w="567" w:type="dxa"/>
            <w:tcBorders>
              <w:right w:val="nil"/>
            </w:tcBorders>
            <w:shd w:val="clear" w:color="auto" w:fill="auto"/>
            <w:tcMar>
              <w:top w:w="85" w:type="dxa"/>
              <w:bottom w:w="85" w:type="dxa"/>
              <w:right w:w="108" w:type="dxa"/>
            </w:tcMar>
          </w:tcPr>
          <w:p w14:paraId="1E1390E0"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6FA9B119" w14:textId="0F43A6D7" w:rsidR="008A414A" w:rsidRPr="007716D3" w:rsidRDefault="008A414A" w:rsidP="00903CD5">
            <w:pPr>
              <w:rPr>
                <w:noProof/>
              </w:rPr>
            </w:pPr>
            <w:bookmarkStart w:id="5" w:name="_Hlk182498614"/>
            <w:r>
              <w:rPr>
                <w:noProof/>
              </w:rPr>
              <w:t>COM(2021) 769 final</w:t>
            </w:r>
            <w:r>
              <w:rPr>
                <w:noProof/>
              </w:rPr>
              <w:br/>
              <w:t>2021/0400(COD)</w:t>
            </w:r>
            <w:bookmarkEnd w:id="5"/>
          </w:p>
        </w:tc>
        <w:tc>
          <w:tcPr>
            <w:tcW w:w="6622" w:type="dxa"/>
            <w:shd w:val="clear" w:color="auto" w:fill="auto"/>
            <w:tcMar>
              <w:top w:w="85" w:type="dxa"/>
              <w:bottom w:w="85" w:type="dxa"/>
              <w:right w:w="108" w:type="dxa"/>
            </w:tcMar>
          </w:tcPr>
          <w:p w14:paraId="6B374EE4" w14:textId="1A6FFB83" w:rsidR="008A414A" w:rsidRPr="007716D3" w:rsidRDefault="008A414A" w:rsidP="00903CD5">
            <w:pPr>
              <w:jc w:val="both"/>
              <w:rPr>
                <w:noProof/>
              </w:rPr>
            </w:pPr>
            <w:r>
              <w:rPr>
                <w:noProof/>
              </w:rPr>
              <w:t>Vorschlag für eine RICHTLINIE DES EUROPÄISCHEN PARLAMENTS UND DES RATES zur Festlegung der höchstzulässigen Abmessungen für bestimmte Straßenfahrzeuge im innerstaatlichen und grenzüberschreitenden Verkehr in der Union sowie zur Festlegung der höchstzulässigen Gewichte im grenzüberschreitenden Verkehr (kodifizierter Text)</w:t>
            </w:r>
          </w:p>
        </w:tc>
        <w:tc>
          <w:tcPr>
            <w:tcW w:w="4668" w:type="dxa"/>
            <w:tcMar>
              <w:top w:w="85" w:type="dxa"/>
              <w:bottom w:w="85" w:type="dxa"/>
              <w:right w:w="108" w:type="dxa"/>
            </w:tcMar>
          </w:tcPr>
          <w:p w14:paraId="43DA702C" w14:textId="77777777" w:rsidR="008A414A" w:rsidRPr="007716D3" w:rsidRDefault="008A414A" w:rsidP="00903CD5">
            <w:pPr>
              <w:jc w:val="both"/>
              <w:rPr>
                <w:noProof/>
                <w:highlight w:val="yellow"/>
              </w:rPr>
            </w:pPr>
            <w:r>
              <w:rPr>
                <w:noProof/>
              </w:rPr>
              <w:t>Hinfällig – seit der Annahme dieses Vorschlags im Jahr 2021 hat die Kommission eine Änderung vorgeschlagen, die diesen Kodifizierungsvorschlag hinfällig machen wird. Die Kommission wird einen neuen kodifizierten Vorschlag vorlegen, sobald die neue Änderung angenommen ist.</w:t>
            </w:r>
          </w:p>
        </w:tc>
      </w:tr>
      <w:tr w:rsidR="008C139E" w:rsidRPr="007716D3" w14:paraId="0FFE2EFB" w14:textId="77777777" w:rsidTr="002E78DB">
        <w:trPr>
          <w:cantSplit/>
        </w:trPr>
        <w:tc>
          <w:tcPr>
            <w:tcW w:w="567" w:type="dxa"/>
            <w:tcBorders>
              <w:right w:val="nil"/>
            </w:tcBorders>
            <w:shd w:val="clear" w:color="auto" w:fill="auto"/>
            <w:tcMar>
              <w:top w:w="85" w:type="dxa"/>
              <w:bottom w:w="85" w:type="dxa"/>
              <w:right w:w="108" w:type="dxa"/>
            </w:tcMar>
          </w:tcPr>
          <w:p w14:paraId="6EC1727F"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0E5256EB" w14:textId="31645023" w:rsidR="008A414A" w:rsidRPr="007716D3" w:rsidRDefault="008A414A" w:rsidP="00903CD5">
            <w:pPr>
              <w:rPr>
                <w:noProof/>
              </w:rPr>
            </w:pPr>
            <w:r>
              <w:rPr>
                <w:noProof/>
              </w:rPr>
              <w:t>COM(2022) 222 final</w:t>
            </w:r>
            <w:r>
              <w:rPr>
                <w:noProof/>
              </w:rPr>
              <w:br/>
              <w:t>2022/0160(COD)</w:t>
            </w:r>
          </w:p>
        </w:tc>
        <w:tc>
          <w:tcPr>
            <w:tcW w:w="6622" w:type="dxa"/>
            <w:shd w:val="clear" w:color="auto" w:fill="auto"/>
            <w:tcMar>
              <w:top w:w="85" w:type="dxa"/>
              <w:bottom w:w="85" w:type="dxa"/>
              <w:right w:w="108" w:type="dxa"/>
            </w:tcMar>
          </w:tcPr>
          <w:p w14:paraId="07DD34B0" w14:textId="77777777" w:rsidR="008A414A" w:rsidRPr="007716D3" w:rsidRDefault="008A414A" w:rsidP="00903CD5">
            <w:pPr>
              <w:jc w:val="both"/>
              <w:rPr>
                <w:noProof/>
              </w:rPr>
            </w:pPr>
            <w:r>
              <w:rPr>
                <w:noProof/>
              </w:rPr>
              <w:t>Vorschlag für eine RICHTLINIE DES EUROPÄISCHEN PARLAMENTS UND DES RATES zur Änderung der Richtlinie (EU) 2018/2001 zur Förderung der Nutzung von Energie aus erneuerbaren Quellen, der Richtlinie 2010/31/EU über die Gesamtenergieeffizienz von Gebäuden sowie der Richtlinie 2012/27/EU zur Energieeffizienz</w:t>
            </w:r>
          </w:p>
        </w:tc>
        <w:tc>
          <w:tcPr>
            <w:tcW w:w="4668" w:type="dxa"/>
            <w:tcMar>
              <w:top w:w="85" w:type="dxa"/>
              <w:bottom w:w="85" w:type="dxa"/>
              <w:right w:w="108" w:type="dxa"/>
            </w:tcMar>
          </w:tcPr>
          <w:p w14:paraId="4C3B0A12" w14:textId="77777777" w:rsidR="008A414A" w:rsidRPr="007716D3" w:rsidRDefault="008A414A" w:rsidP="00903CD5">
            <w:pPr>
              <w:jc w:val="both"/>
              <w:rPr>
                <w:noProof/>
              </w:rPr>
            </w:pPr>
            <w:r>
              <w:rPr>
                <w:noProof/>
              </w:rPr>
              <w:t>Hinfällig – die in diesem Vorschlag enthaltenen Änderungen wurden während der Diskussionen zur Überarbeitung der Richtlinie über die Gesamtenergieeffizienz von Gebäuden, der Energieeffizienz-Richtlinie und der Erneuerbare-Energien-Richtlinie erörtert.</w:t>
            </w:r>
          </w:p>
        </w:tc>
      </w:tr>
      <w:tr w:rsidR="008C139E" w:rsidRPr="007716D3" w:rsidDel="00A846F4" w14:paraId="3FDC380F" w14:textId="77777777" w:rsidTr="002E78DB">
        <w:trPr>
          <w:cantSplit/>
        </w:trPr>
        <w:tc>
          <w:tcPr>
            <w:tcW w:w="567" w:type="dxa"/>
            <w:tcBorders>
              <w:right w:val="nil"/>
            </w:tcBorders>
            <w:shd w:val="clear" w:color="auto" w:fill="auto"/>
            <w:tcMar>
              <w:top w:w="85" w:type="dxa"/>
              <w:bottom w:w="85" w:type="dxa"/>
              <w:right w:w="108" w:type="dxa"/>
            </w:tcMar>
          </w:tcPr>
          <w:p w14:paraId="255D0FE1" w14:textId="77777777" w:rsidR="008A414A" w:rsidRPr="009022CF" w:rsidDel="00A846F4"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7E36E328" w14:textId="706313DF" w:rsidR="008A414A" w:rsidDel="00A846F4" w:rsidRDefault="008A414A" w:rsidP="00903CD5">
            <w:pPr>
              <w:rPr>
                <w:noProof/>
              </w:rPr>
            </w:pPr>
            <w:r>
              <w:rPr>
                <w:noProof/>
              </w:rPr>
              <w:t>COM(2023) 232 final</w:t>
            </w:r>
            <w:r>
              <w:rPr>
                <w:noProof/>
              </w:rPr>
              <w:br/>
              <w:t>2023/0133(COD)</w:t>
            </w:r>
          </w:p>
        </w:tc>
        <w:tc>
          <w:tcPr>
            <w:tcW w:w="6622" w:type="dxa"/>
            <w:shd w:val="clear" w:color="auto" w:fill="auto"/>
            <w:tcMar>
              <w:top w:w="85" w:type="dxa"/>
              <w:bottom w:w="85" w:type="dxa"/>
              <w:right w:w="108" w:type="dxa"/>
            </w:tcMar>
          </w:tcPr>
          <w:p w14:paraId="1AB56D1F" w14:textId="77777777" w:rsidR="008A414A" w:rsidRPr="00D83AF3" w:rsidDel="00A846F4" w:rsidRDefault="008A414A" w:rsidP="00903CD5">
            <w:pPr>
              <w:jc w:val="both"/>
              <w:rPr>
                <w:noProof/>
              </w:rPr>
            </w:pPr>
            <w:r>
              <w:rPr>
                <w:noProof/>
              </w:rPr>
              <w:t>Vorschlag für eine VERORDNUNG DES EUROPÄISCHEN PARLAMENTS UND DES RATES über standardessenzielle Patente und zur Änderung der Verordnung (EU) 2017/1001</w:t>
            </w:r>
          </w:p>
        </w:tc>
        <w:tc>
          <w:tcPr>
            <w:tcW w:w="4668" w:type="dxa"/>
            <w:tcMar>
              <w:top w:w="85" w:type="dxa"/>
              <w:bottom w:w="85" w:type="dxa"/>
              <w:right w:w="108" w:type="dxa"/>
            </w:tcMar>
          </w:tcPr>
          <w:p w14:paraId="3D27EDD7" w14:textId="77777777" w:rsidR="008A414A" w:rsidRPr="003656E5" w:rsidDel="00A846F4" w:rsidRDefault="008A414A" w:rsidP="00903CD5">
            <w:pPr>
              <w:jc w:val="both"/>
              <w:rPr>
                <w:noProof/>
              </w:rPr>
            </w:pPr>
            <w:r>
              <w:rPr>
                <w:noProof/>
              </w:rPr>
              <w:t>Keine Einigung absehbar – die Kommission wird prüfen, ob ein weiterer Vorschlag vorgelegt oder ein anderer Ansatz gewählt werden sollte.</w:t>
            </w:r>
          </w:p>
        </w:tc>
      </w:tr>
      <w:tr w:rsidR="002E78DB" w:rsidRPr="007716D3" w14:paraId="65B7E366" w14:textId="77777777" w:rsidTr="002E78DB">
        <w:trPr>
          <w:cantSplit/>
        </w:trPr>
        <w:tc>
          <w:tcPr>
            <w:tcW w:w="14034" w:type="dxa"/>
            <w:gridSpan w:val="4"/>
            <w:shd w:val="clear" w:color="auto" w:fill="006666"/>
            <w:tcMar>
              <w:top w:w="85" w:type="dxa"/>
              <w:bottom w:w="85" w:type="dxa"/>
              <w:right w:w="108" w:type="dxa"/>
            </w:tcMar>
          </w:tcPr>
          <w:p w14:paraId="31B41C8C" w14:textId="4BFD84E3" w:rsidR="002E78DB" w:rsidRPr="002061CE" w:rsidRDefault="002E78DB" w:rsidP="002E78DB">
            <w:pPr>
              <w:spacing w:before="60" w:after="60"/>
              <w:jc w:val="both"/>
              <w:rPr>
                <w:noProof/>
              </w:rPr>
            </w:pPr>
            <w:r>
              <w:rPr>
                <w:b/>
                <w:noProof/>
                <w:color w:val="FFFFFF"/>
              </w:rPr>
              <w:t>Eine neue Ära für die europäische Verteidigung und Sicherheit</w:t>
            </w:r>
          </w:p>
        </w:tc>
      </w:tr>
      <w:tr w:rsidR="008C139E" w:rsidRPr="007716D3" w14:paraId="436F0C65" w14:textId="77777777" w:rsidTr="002E78DB">
        <w:trPr>
          <w:cantSplit/>
        </w:trPr>
        <w:tc>
          <w:tcPr>
            <w:tcW w:w="567" w:type="dxa"/>
            <w:tcBorders>
              <w:right w:val="nil"/>
            </w:tcBorders>
            <w:shd w:val="clear" w:color="auto" w:fill="auto"/>
            <w:tcMar>
              <w:top w:w="85" w:type="dxa"/>
              <w:bottom w:w="85" w:type="dxa"/>
              <w:right w:w="108" w:type="dxa"/>
            </w:tcMar>
          </w:tcPr>
          <w:p w14:paraId="203217E8"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3CCBD9BA" w14:textId="23FE44F4" w:rsidR="008A414A" w:rsidRPr="007716D3" w:rsidRDefault="008A414A" w:rsidP="00903CD5">
            <w:pPr>
              <w:rPr>
                <w:noProof/>
              </w:rPr>
            </w:pPr>
            <w:r>
              <w:rPr>
                <w:noProof/>
              </w:rPr>
              <w:t>COM(2018) 634 final</w:t>
            </w:r>
            <w:r>
              <w:rPr>
                <w:noProof/>
              </w:rPr>
              <w:br/>
              <w:t>2018/0329(COD)</w:t>
            </w:r>
          </w:p>
        </w:tc>
        <w:tc>
          <w:tcPr>
            <w:tcW w:w="6622" w:type="dxa"/>
            <w:shd w:val="clear" w:color="auto" w:fill="auto"/>
            <w:tcMar>
              <w:top w:w="85" w:type="dxa"/>
              <w:bottom w:w="85" w:type="dxa"/>
              <w:right w:w="108" w:type="dxa"/>
            </w:tcMar>
          </w:tcPr>
          <w:p w14:paraId="736C821E" w14:textId="53BDC97C" w:rsidR="008A414A" w:rsidRPr="007716D3" w:rsidRDefault="000A31B9" w:rsidP="00903CD5">
            <w:pPr>
              <w:jc w:val="both"/>
              <w:rPr>
                <w:noProof/>
              </w:rPr>
            </w:pPr>
            <w:r>
              <w:rPr>
                <w:noProof/>
              </w:rPr>
              <w:t>Vorschlag für eine RICHTLINIE DES EUROPÄISCHEN PARLAMENTS UND DES RATES über gemeinsame Normen und Verfahren in den Mitgliedstaaten zur Rückführung illegal aufhältiger Drittstaatsangehöriger (Neufassung) – Ein Beitrag der Europäischen Kommission zum Treffen der EU-Führungsspitzen in Salzburg am 19./20. September 2018</w:t>
            </w:r>
          </w:p>
        </w:tc>
        <w:tc>
          <w:tcPr>
            <w:tcW w:w="4668" w:type="dxa"/>
            <w:tcMar>
              <w:top w:w="85" w:type="dxa"/>
              <w:bottom w:w="85" w:type="dxa"/>
              <w:right w:w="108" w:type="dxa"/>
            </w:tcMar>
          </w:tcPr>
          <w:p w14:paraId="24C8B907" w14:textId="32E7844C" w:rsidR="008A414A" w:rsidRPr="007716D3" w:rsidRDefault="000A31B9" w:rsidP="00903CD5">
            <w:pPr>
              <w:jc w:val="both"/>
              <w:rPr>
                <w:noProof/>
              </w:rPr>
            </w:pPr>
            <w:r>
              <w:rPr>
                <w:noProof/>
              </w:rPr>
              <w:t>Hinfällig – die Kommission beabsichtigt, 2025 einen neuen Vorschlag (siehe Anhang 1 dieses Arbeitsprogramms der Kommission) vorzulegen, in dessen Rahmen der derzeit anhängige Vorschlag effektiv zurückgezogen wird.</w:t>
            </w:r>
          </w:p>
        </w:tc>
      </w:tr>
      <w:tr w:rsidR="008C139E" w:rsidRPr="007716D3" w14:paraId="60CFB7D9" w14:textId="77777777" w:rsidTr="002E78DB">
        <w:trPr>
          <w:cantSplit/>
        </w:trPr>
        <w:tc>
          <w:tcPr>
            <w:tcW w:w="567" w:type="dxa"/>
            <w:tcBorders>
              <w:right w:val="nil"/>
            </w:tcBorders>
            <w:shd w:val="clear" w:color="auto" w:fill="auto"/>
            <w:tcMar>
              <w:top w:w="85" w:type="dxa"/>
              <w:bottom w:w="85" w:type="dxa"/>
              <w:right w:w="108" w:type="dxa"/>
            </w:tcMar>
          </w:tcPr>
          <w:p w14:paraId="72D897A4" w14:textId="77777777" w:rsidR="00A56760" w:rsidRPr="009022CF" w:rsidRDefault="00A56760" w:rsidP="00A56760">
            <w:pPr>
              <w:numPr>
                <w:ilvl w:val="0"/>
                <w:numId w:val="2"/>
              </w:numPr>
              <w:ind w:left="426"/>
              <w:contextualSpacing/>
              <w:jc w:val="both"/>
              <w:rPr>
                <w:noProof/>
              </w:rPr>
            </w:pPr>
          </w:p>
        </w:tc>
        <w:tc>
          <w:tcPr>
            <w:tcW w:w="2177" w:type="dxa"/>
            <w:tcMar>
              <w:top w:w="85" w:type="dxa"/>
              <w:bottom w:w="85" w:type="dxa"/>
              <w:right w:w="108" w:type="dxa"/>
            </w:tcMar>
          </w:tcPr>
          <w:p w14:paraId="7A3E50BB" w14:textId="6CA810B1" w:rsidR="00A56760" w:rsidRPr="007716D3" w:rsidRDefault="00A56760" w:rsidP="00A56760">
            <w:pPr>
              <w:rPr>
                <w:noProof/>
              </w:rPr>
            </w:pPr>
            <w:r>
              <w:rPr>
                <w:noProof/>
              </w:rPr>
              <w:t>COM(2021) 890 final</w:t>
            </w:r>
            <w:r>
              <w:rPr>
                <w:noProof/>
              </w:rPr>
              <w:br/>
              <w:t>2021/0427(COD)</w:t>
            </w:r>
          </w:p>
        </w:tc>
        <w:tc>
          <w:tcPr>
            <w:tcW w:w="6622" w:type="dxa"/>
            <w:shd w:val="clear" w:color="auto" w:fill="auto"/>
            <w:tcMar>
              <w:top w:w="85" w:type="dxa"/>
              <w:bottom w:w="85" w:type="dxa"/>
              <w:right w:w="108" w:type="dxa"/>
            </w:tcMar>
          </w:tcPr>
          <w:p w14:paraId="43AC1456" w14:textId="4A0954A3" w:rsidR="00A56760" w:rsidRPr="007716D3" w:rsidRDefault="00A56760" w:rsidP="00A56760">
            <w:pPr>
              <w:jc w:val="both"/>
              <w:rPr>
                <w:noProof/>
              </w:rPr>
            </w:pPr>
            <w:r>
              <w:rPr>
                <w:noProof/>
              </w:rPr>
              <w:t>Vorschlag für eine VERORDNUNG DES EUROPÄISCHEN PARLAMENTS UND DES RATES zur Bewältigung von Situationen der Instrumentalisierung im Bereich Migration und Asyl</w:t>
            </w:r>
          </w:p>
        </w:tc>
        <w:tc>
          <w:tcPr>
            <w:tcW w:w="4668" w:type="dxa"/>
            <w:tcMar>
              <w:top w:w="85" w:type="dxa"/>
              <w:bottom w:w="85" w:type="dxa"/>
              <w:right w:w="108" w:type="dxa"/>
            </w:tcMar>
          </w:tcPr>
          <w:p w14:paraId="3B951191" w14:textId="6300DD69" w:rsidR="00A56760" w:rsidRPr="007716D3" w:rsidRDefault="00A56760" w:rsidP="00A56760">
            <w:pPr>
              <w:jc w:val="both"/>
              <w:rPr>
                <w:noProof/>
              </w:rPr>
            </w:pPr>
            <w:r>
              <w:rPr>
                <w:noProof/>
              </w:rPr>
              <w:t>Hinfällig – der Inhalt dieses Vorschlags wurde in die Verordnung (EU) 2024/1359 zur Bewältigung von Krisensituationen und Situationen höherer Gewalt im Bereich Migration und Asyl und zur Änderung der Verordnung (EU) 2021/1147 aufgenommen.</w:t>
            </w:r>
          </w:p>
        </w:tc>
      </w:tr>
      <w:tr w:rsidR="008C139E" w:rsidRPr="007716D3" w14:paraId="2B277EDF" w14:textId="77777777" w:rsidTr="002E78DB">
        <w:trPr>
          <w:cantSplit/>
        </w:trPr>
        <w:tc>
          <w:tcPr>
            <w:tcW w:w="567" w:type="dxa"/>
            <w:tcBorders>
              <w:right w:val="nil"/>
            </w:tcBorders>
            <w:shd w:val="clear" w:color="auto" w:fill="auto"/>
            <w:tcMar>
              <w:top w:w="85" w:type="dxa"/>
              <w:bottom w:w="85" w:type="dxa"/>
              <w:right w:w="108" w:type="dxa"/>
            </w:tcMar>
          </w:tcPr>
          <w:p w14:paraId="325A92C2" w14:textId="77777777" w:rsidR="00A56760" w:rsidRPr="009022CF" w:rsidRDefault="00A56760" w:rsidP="00A56760">
            <w:pPr>
              <w:numPr>
                <w:ilvl w:val="0"/>
                <w:numId w:val="2"/>
              </w:numPr>
              <w:ind w:left="426"/>
              <w:contextualSpacing/>
              <w:jc w:val="both"/>
              <w:rPr>
                <w:noProof/>
              </w:rPr>
            </w:pPr>
          </w:p>
        </w:tc>
        <w:tc>
          <w:tcPr>
            <w:tcW w:w="2177" w:type="dxa"/>
            <w:tcMar>
              <w:top w:w="85" w:type="dxa"/>
              <w:bottom w:w="85" w:type="dxa"/>
              <w:right w:w="108" w:type="dxa"/>
            </w:tcMar>
          </w:tcPr>
          <w:p w14:paraId="57BCE2FC" w14:textId="06953E28" w:rsidR="00A56760" w:rsidRPr="007716D3" w:rsidRDefault="00A56760" w:rsidP="00A56760">
            <w:pPr>
              <w:rPr>
                <w:noProof/>
              </w:rPr>
            </w:pPr>
            <w:r>
              <w:rPr>
                <w:noProof/>
              </w:rPr>
              <w:t>COM(2021) 752 final</w:t>
            </w:r>
            <w:r>
              <w:rPr>
                <w:noProof/>
              </w:rPr>
              <w:br/>
              <w:t xml:space="preserve">2021/0401(CNS) </w:t>
            </w:r>
          </w:p>
        </w:tc>
        <w:tc>
          <w:tcPr>
            <w:tcW w:w="6622" w:type="dxa"/>
            <w:shd w:val="clear" w:color="auto" w:fill="auto"/>
            <w:tcMar>
              <w:top w:w="85" w:type="dxa"/>
              <w:bottom w:w="85" w:type="dxa"/>
              <w:right w:w="108" w:type="dxa"/>
            </w:tcMar>
          </w:tcPr>
          <w:p w14:paraId="045CB478" w14:textId="2E8D56F4" w:rsidR="00A56760" w:rsidRPr="007716D3" w:rsidRDefault="00A56760" w:rsidP="00A56760">
            <w:pPr>
              <w:jc w:val="both"/>
              <w:rPr>
                <w:noProof/>
              </w:rPr>
            </w:pPr>
            <w:r>
              <w:rPr>
                <w:noProof/>
              </w:rPr>
              <w:t>Vorschlag für einen BESCHLUSS DES RATES über vorläufige Sofortmaßnahmen zugunsten von Lettland, Litauen und Polen</w:t>
            </w:r>
          </w:p>
        </w:tc>
        <w:tc>
          <w:tcPr>
            <w:tcW w:w="4668" w:type="dxa"/>
            <w:tcMar>
              <w:top w:w="85" w:type="dxa"/>
              <w:bottom w:w="85" w:type="dxa"/>
              <w:right w:w="108" w:type="dxa"/>
            </w:tcMar>
          </w:tcPr>
          <w:p w14:paraId="738407AD" w14:textId="7F4D9DFC" w:rsidR="00A56760" w:rsidRPr="007716D3" w:rsidRDefault="00A56760" w:rsidP="00A56760">
            <w:pPr>
              <w:jc w:val="both"/>
              <w:rPr>
                <w:noProof/>
              </w:rPr>
            </w:pPr>
            <w:r>
              <w:rPr>
                <w:noProof/>
              </w:rPr>
              <w:t>Hinfällig – der Vorschlag wurde während der interinstitutionellen Beratungen blockiert und ist nun hinfällig.</w:t>
            </w:r>
          </w:p>
        </w:tc>
      </w:tr>
      <w:tr w:rsidR="008C139E" w:rsidRPr="007716D3" w14:paraId="18F0E187" w14:textId="77777777" w:rsidTr="002E78DB">
        <w:trPr>
          <w:cantSplit/>
        </w:trPr>
        <w:tc>
          <w:tcPr>
            <w:tcW w:w="567" w:type="dxa"/>
            <w:tcBorders>
              <w:right w:val="nil"/>
            </w:tcBorders>
            <w:shd w:val="clear" w:color="auto" w:fill="auto"/>
            <w:tcMar>
              <w:top w:w="85" w:type="dxa"/>
              <w:bottom w:w="85" w:type="dxa"/>
              <w:right w:w="108" w:type="dxa"/>
            </w:tcMar>
          </w:tcPr>
          <w:p w14:paraId="33C7C11D" w14:textId="77777777" w:rsidR="008A414A" w:rsidRPr="009022CF"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11483B12" w14:textId="267E2EB8" w:rsidR="008A414A" w:rsidRPr="007716D3" w:rsidRDefault="008A414A" w:rsidP="00903CD5">
            <w:pPr>
              <w:rPr>
                <w:noProof/>
              </w:rPr>
            </w:pPr>
            <w:r>
              <w:rPr>
                <w:noProof/>
              </w:rPr>
              <w:t>COM(2024) 174 final</w:t>
            </w:r>
            <w:r>
              <w:rPr>
                <w:noProof/>
              </w:rPr>
              <w:br/>
              <w:t>2024/0094(NLE)</w:t>
            </w:r>
          </w:p>
        </w:tc>
        <w:tc>
          <w:tcPr>
            <w:tcW w:w="6622" w:type="dxa"/>
            <w:shd w:val="clear" w:color="auto" w:fill="auto"/>
            <w:tcMar>
              <w:top w:w="85" w:type="dxa"/>
              <w:bottom w:w="85" w:type="dxa"/>
              <w:right w:w="108" w:type="dxa"/>
            </w:tcMar>
          </w:tcPr>
          <w:p w14:paraId="1B0EEA99" w14:textId="77777777" w:rsidR="008A414A" w:rsidRPr="007716D3" w:rsidRDefault="008A414A" w:rsidP="00903CD5">
            <w:pPr>
              <w:jc w:val="both"/>
              <w:rPr>
                <w:noProof/>
              </w:rPr>
            </w:pPr>
            <w:r>
              <w:rPr>
                <w:noProof/>
              </w:rPr>
              <w:t>Vorschlag für eine EMPFEHLUNG DES RATES für den Schengen-Zyklus 2024-2025</w:t>
            </w:r>
          </w:p>
        </w:tc>
        <w:tc>
          <w:tcPr>
            <w:tcW w:w="4668" w:type="dxa"/>
            <w:tcMar>
              <w:top w:w="85" w:type="dxa"/>
              <w:bottom w:w="85" w:type="dxa"/>
              <w:right w:w="108" w:type="dxa"/>
            </w:tcMar>
          </w:tcPr>
          <w:p w14:paraId="264AA6E2" w14:textId="77777777" w:rsidR="008A414A" w:rsidRPr="007716D3" w:rsidRDefault="008A414A" w:rsidP="00903CD5">
            <w:pPr>
              <w:jc w:val="both"/>
              <w:rPr>
                <w:noProof/>
              </w:rPr>
            </w:pPr>
            <w:r>
              <w:rPr>
                <w:noProof/>
              </w:rPr>
              <w:t>Hinfällig – es war keine Einigung absehbar. Der Schengen-Rat einigte sich auf eine Reihe von Handlungsschwerpunkten, die auf anderem Wege als durch diesen Vorschlag behandelt werden.</w:t>
            </w:r>
          </w:p>
        </w:tc>
      </w:tr>
      <w:tr w:rsidR="002E78DB" w:rsidRPr="007716D3" w14:paraId="17D601AE" w14:textId="77777777" w:rsidTr="002E78DB">
        <w:trPr>
          <w:cantSplit/>
        </w:trPr>
        <w:tc>
          <w:tcPr>
            <w:tcW w:w="14034" w:type="dxa"/>
            <w:gridSpan w:val="4"/>
            <w:shd w:val="clear" w:color="auto" w:fill="B07442"/>
            <w:tcMar>
              <w:top w:w="85" w:type="dxa"/>
              <w:bottom w:w="85" w:type="dxa"/>
              <w:right w:w="108" w:type="dxa"/>
            </w:tcMar>
          </w:tcPr>
          <w:p w14:paraId="7E68DC3D" w14:textId="7A94DC10" w:rsidR="002E78DB" w:rsidRPr="007716D3" w:rsidRDefault="002E78DB" w:rsidP="002E78DB">
            <w:pPr>
              <w:spacing w:before="60" w:after="60"/>
              <w:jc w:val="both"/>
              <w:rPr>
                <w:noProof/>
              </w:rPr>
            </w:pPr>
            <w:r>
              <w:rPr>
                <w:b/>
                <w:noProof/>
                <w:color w:val="FFFFFF"/>
              </w:rPr>
              <w:t>Unsere Lebensqualität erhalten: Ernährungssicherheit, Wasser und Natur</w:t>
            </w:r>
          </w:p>
        </w:tc>
      </w:tr>
      <w:tr w:rsidR="002E78DB" w:rsidRPr="007716D3" w14:paraId="55DCD473" w14:textId="77777777" w:rsidTr="002E78DB">
        <w:trPr>
          <w:cantSplit/>
        </w:trPr>
        <w:tc>
          <w:tcPr>
            <w:tcW w:w="567" w:type="dxa"/>
            <w:tcBorders>
              <w:right w:val="nil"/>
            </w:tcBorders>
            <w:shd w:val="clear" w:color="auto" w:fill="auto"/>
            <w:tcMar>
              <w:top w:w="85" w:type="dxa"/>
              <w:bottom w:w="85" w:type="dxa"/>
              <w:right w:w="108" w:type="dxa"/>
            </w:tcMar>
          </w:tcPr>
          <w:p w14:paraId="7C159B83" w14:textId="77777777" w:rsidR="002E78DB" w:rsidRPr="009022CF"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63FBD7FD" w14:textId="51D3066F" w:rsidR="002E78DB" w:rsidRPr="007716D3" w:rsidRDefault="002E78DB" w:rsidP="002E78DB">
            <w:pPr>
              <w:rPr>
                <w:noProof/>
              </w:rPr>
            </w:pPr>
            <w:r>
              <w:rPr>
                <w:noProof/>
              </w:rPr>
              <w:t>COM(2012) 403 final</w:t>
            </w:r>
            <w:r>
              <w:rPr>
                <w:noProof/>
              </w:rPr>
              <w:br/>
              <w:t>2012/0196(COD)</w:t>
            </w:r>
          </w:p>
        </w:tc>
        <w:tc>
          <w:tcPr>
            <w:tcW w:w="6622" w:type="dxa"/>
            <w:shd w:val="clear" w:color="auto" w:fill="auto"/>
            <w:tcMar>
              <w:top w:w="85" w:type="dxa"/>
              <w:bottom w:w="85" w:type="dxa"/>
              <w:right w:w="108" w:type="dxa"/>
            </w:tcMar>
          </w:tcPr>
          <w:p w14:paraId="4F99F839" w14:textId="77777777" w:rsidR="002E78DB" w:rsidRPr="007716D3" w:rsidRDefault="002E78DB" w:rsidP="002E78DB">
            <w:pPr>
              <w:jc w:val="both"/>
              <w:rPr>
                <w:noProof/>
              </w:rPr>
            </w:pPr>
            <w:r>
              <w:rPr>
                <w:noProof/>
              </w:rPr>
              <w:t>Vorschlag für eine VERORDNUNG DES EUROPÄISCHEN PARLAMENTS UND DES RATES über den Schutz von Exemplaren wildlebender Tier- und Pflanzenarten durch Überwachung des Handels (Neufassung)</w:t>
            </w:r>
          </w:p>
        </w:tc>
        <w:tc>
          <w:tcPr>
            <w:tcW w:w="4668" w:type="dxa"/>
            <w:tcMar>
              <w:top w:w="85" w:type="dxa"/>
              <w:bottom w:w="85" w:type="dxa"/>
              <w:right w:w="108" w:type="dxa"/>
            </w:tcMar>
          </w:tcPr>
          <w:p w14:paraId="60D49173" w14:textId="77777777" w:rsidR="002E78DB" w:rsidRPr="007716D3" w:rsidRDefault="002E78DB" w:rsidP="002E78DB">
            <w:pPr>
              <w:jc w:val="both"/>
              <w:rPr>
                <w:noProof/>
              </w:rPr>
            </w:pPr>
            <w:r>
              <w:rPr>
                <w:noProof/>
              </w:rPr>
              <w:t>Keine Einigung absehbar – es ist keine Einigung zu erwarten. Darüber haben sich seit 2012 Entwicklungen ergeben, die diesen Vorschlag hinfällig machen. Die Kommission wird prüfen, ob ein weiterer Vorschlag vorgelegt oder ein anderer Ansatz gewählt werden sollte, um einen vollständigen Neubeginn zu ermöglichen.</w:t>
            </w:r>
          </w:p>
        </w:tc>
      </w:tr>
      <w:tr w:rsidR="002E78DB" w:rsidRPr="007716D3" w14:paraId="2E1E5D03" w14:textId="77777777" w:rsidTr="002E78DB">
        <w:trPr>
          <w:cantSplit/>
        </w:trPr>
        <w:tc>
          <w:tcPr>
            <w:tcW w:w="567" w:type="dxa"/>
            <w:tcBorders>
              <w:right w:val="nil"/>
            </w:tcBorders>
            <w:shd w:val="clear" w:color="auto" w:fill="auto"/>
            <w:tcMar>
              <w:top w:w="85" w:type="dxa"/>
              <w:bottom w:w="85" w:type="dxa"/>
              <w:right w:w="108" w:type="dxa"/>
            </w:tcMar>
          </w:tcPr>
          <w:p w14:paraId="13CF1A4B" w14:textId="77777777" w:rsidR="002E78DB" w:rsidRPr="009022CF"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0B3072E9" w14:textId="27AAB601" w:rsidR="002E78DB" w:rsidRPr="007716D3" w:rsidRDefault="002E78DB" w:rsidP="002E78DB">
            <w:pPr>
              <w:rPr>
                <w:noProof/>
              </w:rPr>
            </w:pPr>
            <w:r>
              <w:rPr>
                <w:noProof/>
              </w:rPr>
              <w:t>COM(2015) 177 final</w:t>
            </w:r>
            <w:r>
              <w:rPr>
                <w:noProof/>
              </w:rPr>
              <w:br/>
              <w:t>2015/0093(COD)</w:t>
            </w:r>
          </w:p>
        </w:tc>
        <w:tc>
          <w:tcPr>
            <w:tcW w:w="6622" w:type="dxa"/>
            <w:shd w:val="clear" w:color="auto" w:fill="auto"/>
            <w:tcMar>
              <w:top w:w="85" w:type="dxa"/>
              <w:bottom w:w="85" w:type="dxa"/>
              <w:right w:w="108" w:type="dxa"/>
            </w:tcMar>
          </w:tcPr>
          <w:p w14:paraId="5CB508F1" w14:textId="77777777" w:rsidR="002E78DB" w:rsidRPr="007716D3" w:rsidRDefault="002E78DB" w:rsidP="002E78DB">
            <w:pPr>
              <w:jc w:val="both"/>
              <w:rPr>
                <w:noProof/>
              </w:rPr>
            </w:pPr>
            <w:r>
              <w:rPr>
                <w:noProof/>
              </w:rPr>
              <w:t>Vorschlag für eine VERORDNUNG DES EUROPÄISCHEN PARLAMENTS UND DES RATES zur Änderung der Verordnung (EG) Nr. 1829/2003 hinsichtlich der Möglichkeit für die Mitgliedstaaten, die Verwendung genetisch veränderter Lebens- und Futtermittel in ihrem Hoheitsgebiet zu beschränken oder zu untersagen</w:t>
            </w:r>
          </w:p>
        </w:tc>
        <w:tc>
          <w:tcPr>
            <w:tcW w:w="4668" w:type="dxa"/>
            <w:tcMar>
              <w:top w:w="85" w:type="dxa"/>
              <w:bottom w:w="85" w:type="dxa"/>
              <w:right w:w="108" w:type="dxa"/>
            </w:tcMar>
          </w:tcPr>
          <w:p w14:paraId="2824FD83" w14:textId="77777777" w:rsidR="002E78DB" w:rsidRPr="007716D3" w:rsidRDefault="002E78DB" w:rsidP="002E78DB">
            <w:pPr>
              <w:jc w:val="both"/>
              <w:rPr>
                <w:noProof/>
              </w:rPr>
            </w:pPr>
            <w:r>
              <w:rPr>
                <w:noProof/>
              </w:rPr>
              <w:t>Keine Einigung absehbar – jede mögliche weitere Änderung der GVO-Rechtsvorschriften wird vom Ergebnis der Verhandlungen über den Vorschlag zu neuen genomischen Techniken oder von der Ermittlung von Themen abhängen, die im Rahmen der Initiative zu Biotechnologie und -produktion zu behandeln sind.</w:t>
            </w:r>
          </w:p>
        </w:tc>
      </w:tr>
      <w:tr w:rsidR="002E78DB" w:rsidRPr="007716D3" w14:paraId="1277D71B" w14:textId="77777777" w:rsidTr="002E78DB">
        <w:trPr>
          <w:cantSplit/>
        </w:trPr>
        <w:tc>
          <w:tcPr>
            <w:tcW w:w="567" w:type="dxa"/>
            <w:tcBorders>
              <w:right w:val="nil"/>
            </w:tcBorders>
            <w:shd w:val="clear" w:color="auto" w:fill="auto"/>
            <w:tcMar>
              <w:top w:w="85" w:type="dxa"/>
              <w:bottom w:w="85" w:type="dxa"/>
              <w:right w:w="108" w:type="dxa"/>
            </w:tcMar>
          </w:tcPr>
          <w:p w14:paraId="5DE30E6F" w14:textId="77777777" w:rsidR="002E78DB" w:rsidRPr="009022CF"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6AADAA10" w14:textId="5B150A7F" w:rsidR="002E78DB" w:rsidRPr="007716D3" w:rsidRDefault="002E78DB" w:rsidP="002E78DB">
            <w:pPr>
              <w:rPr>
                <w:noProof/>
              </w:rPr>
            </w:pPr>
            <w:r>
              <w:rPr>
                <w:noProof/>
              </w:rPr>
              <w:t>COM(2022) 563 final</w:t>
            </w:r>
            <w:r>
              <w:rPr>
                <w:noProof/>
              </w:rPr>
              <w:br/>
              <w:t>2022/0348(COD)</w:t>
            </w:r>
          </w:p>
        </w:tc>
        <w:tc>
          <w:tcPr>
            <w:tcW w:w="6622" w:type="dxa"/>
            <w:shd w:val="clear" w:color="auto" w:fill="auto"/>
            <w:tcMar>
              <w:top w:w="85" w:type="dxa"/>
              <w:bottom w:w="85" w:type="dxa"/>
              <w:right w:w="108" w:type="dxa"/>
            </w:tcMar>
          </w:tcPr>
          <w:p w14:paraId="23621DAD" w14:textId="77777777" w:rsidR="002E78DB" w:rsidRPr="007716D3" w:rsidRDefault="002E78DB" w:rsidP="002E78DB">
            <w:pPr>
              <w:jc w:val="both"/>
              <w:rPr>
                <w:noProof/>
              </w:rPr>
            </w:pPr>
            <w:r>
              <w:rPr>
                <w:noProof/>
              </w:rPr>
              <w:t>Vorschlag für eine VERORDNUNG DES EUROPÄISCHEN PARLAMENTS UND DES RATES zur Festlegung von Bewirtschaftungs-, Bestandserhaltungs- und Kontrollmaßnahmen für den Bereich des Übereinkommens über die Fischerei im südlichen Indischen Ozean (SIOFA)</w:t>
            </w:r>
          </w:p>
        </w:tc>
        <w:tc>
          <w:tcPr>
            <w:tcW w:w="4668" w:type="dxa"/>
            <w:tcMar>
              <w:top w:w="85" w:type="dxa"/>
              <w:bottom w:w="85" w:type="dxa"/>
              <w:right w:w="108" w:type="dxa"/>
            </w:tcMar>
          </w:tcPr>
          <w:p w14:paraId="061944FA" w14:textId="332ADE75" w:rsidR="002E78DB" w:rsidRPr="007716D3" w:rsidRDefault="002E78DB" w:rsidP="002E78DB">
            <w:pPr>
              <w:jc w:val="both"/>
              <w:rPr>
                <w:noProof/>
              </w:rPr>
            </w:pPr>
            <w:r>
              <w:rPr>
                <w:noProof/>
              </w:rPr>
              <w:t>Keine Einigung absehbar – es wird keine Einigung zwischen dem Europäischen Parlament und dem Rat in erster Lesung erwartet. Die Kommission beabsichtigt, 2025 einen neuen Vorschlag vorzulegen, in dessen Rahmen der derzeit anhängige Vorschlag effektiv zurückgezogen wird.</w:t>
            </w:r>
          </w:p>
        </w:tc>
      </w:tr>
      <w:tr w:rsidR="002E78DB" w:rsidRPr="007716D3" w14:paraId="3AE37A59" w14:textId="77777777" w:rsidTr="002E78DB">
        <w:trPr>
          <w:cantSplit/>
        </w:trPr>
        <w:tc>
          <w:tcPr>
            <w:tcW w:w="567" w:type="dxa"/>
            <w:tcBorders>
              <w:right w:val="nil"/>
            </w:tcBorders>
            <w:shd w:val="clear" w:color="auto" w:fill="auto"/>
            <w:tcMar>
              <w:top w:w="85" w:type="dxa"/>
              <w:bottom w:w="85" w:type="dxa"/>
              <w:right w:w="108" w:type="dxa"/>
            </w:tcMar>
          </w:tcPr>
          <w:p w14:paraId="1A83E7B3" w14:textId="77777777" w:rsidR="002E78DB" w:rsidRPr="009022CF"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515C7D0B" w14:textId="51408493" w:rsidR="002E78DB" w:rsidRPr="007716D3" w:rsidRDefault="002E78DB" w:rsidP="002E78DB">
            <w:pPr>
              <w:rPr>
                <w:noProof/>
              </w:rPr>
            </w:pPr>
            <w:r>
              <w:rPr>
                <w:noProof/>
              </w:rPr>
              <w:t>COM(2023) 771 final</w:t>
            </w:r>
            <w:r>
              <w:rPr>
                <w:noProof/>
              </w:rPr>
              <w:br/>
              <w:t>2023/0449(COD)</w:t>
            </w:r>
          </w:p>
        </w:tc>
        <w:tc>
          <w:tcPr>
            <w:tcW w:w="6622" w:type="dxa"/>
            <w:shd w:val="clear" w:color="auto" w:fill="auto"/>
            <w:tcMar>
              <w:top w:w="85" w:type="dxa"/>
              <w:bottom w:w="85" w:type="dxa"/>
              <w:right w:w="108" w:type="dxa"/>
            </w:tcMar>
          </w:tcPr>
          <w:p w14:paraId="6435DF9E" w14:textId="77777777" w:rsidR="002E78DB" w:rsidRPr="007716D3" w:rsidRDefault="002E78DB" w:rsidP="002E78DB">
            <w:pPr>
              <w:jc w:val="both"/>
              <w:rPr>
                <w:noProof/>
              </w:rPr>
            </w:pPr>
            <w:r>
              <w:rPr>
                <w:noProof/>
              </w:rPr>
              <w:t>Vorschlag für eine VERORDNUNG DES EUROPÄISCHEN PARLAMENTS UND DES RATES zur Änderung der Verordnungen (EU) 2016/1139, (EU) 2018/973 und (EU) 2019/472 hinsichtlich der Ziele für die Festsetzung der Fangmöglichkeiten</w:t>
            </w:r>
          </w:p>
        </w:tc>
        <w:tc>
          <w:tcPr>
            <w:tcW w:w="4668" w:type="dxa"/>
            <w:tcMar>
              <w:top w:w="85" w:type="dxa"/>
              <w:bottom w:w="85" w:type="dxa"/>
              <w:right w:w="108" w:type="dxa"/>
            </w:tcMar>
          </w:tcPr>
          <w:p w14:paraId="01D09B53" w14:textId="77777777" w:rsidR="002E78DB" w:rsidRPr="007716D3" w:rsidRDefault="002E78DB" w:rsidP="002E78DB">
            <w:pPr>
              <w:jc w:val="both"/>
              <w:rPr>
                <w:noProof/>
              </w:rPr>
            </w:pPr>
            <w:r>
              <w:rPr>
                <w:noProof/>
              </w:rPr>
              <w:t>Keine Einigung absehbar – es ist keine Einigung der beiden gesetzgebenden Organe zu erwarten.</w:t>
            </w:r>
          </w:p>
        </w:tc>
      </w:tr>
      <w:tr w:rsidR="007F2587" w:rsidRPr="007716D3" w14:paraId="658028E7" w14:textId="77777777" w:rsidTr="007F2587">
        <w:trPr>
          <w:cantSplit/>
        </w:trPr>
        <w:tc>
          <w:tcPr>
            <w:tcW w:w="14034" w:type="dxa"/>
            <w:gridSpan w:val="4"/>
            <w:shd w:val="clear" w:color="auto" w:fill="6400D8"/>
            <w:tcMar>
              <w:top w:w="85" w:type="dxa"/>
              <w:bottom w:w="85" w:type="dxa"/>
              <w:right w:w="108" w:type="dxa"/>
            </w:tcMar>
          </w:tcPr>
          <w:p w14:paraId="1B60A3FF" w14:textId="437FF0E5" w:rsidR="007F2587" w:rsidRPr="003B072E" w:rsidRDefault="007F2587" w:rsidP="007F2587">
            <w:pPr>
              <w:spacing w:before="60" w:after="60"/>
              <w:jc w:val="both"/>
              <w:rPr>
                <w:noProof/>
              </w:rPr>
            </w:pPr>
            <w:r>
              <w:rPr>
                <w:b/>
                <w:noProof/>
                <w:color w:val="FFFFFF"/>
              </w:rPr>
              <w:t>Unsere Demokratie schützen und unsere Werte wahren</w:t>
            </w:r>
          </w:p>
        </w:tc>
      </w:tr>
      <w:tr w:rsidR="007F2587" w:rsidRPr="007716D3" w14:paraId="7E6912F7" w14:textId="77777777" w:rsidTr="002E78DB">
        <w:trPr>
          <w:cantSplit/>
        </w:trPr>
        <w:tc>
          <w:tcPr>
            <w:tcW w:w="567" w:type="dxa"/>
            <w:tcBorders>
              <w:right w:val="nil"/>
            </w:tcBorders>
            <w:shd w:val="clear" w:color="auto" w:fill="auto"/>
            <w:tcMar>
              <w:top w:w="85" w:type="dxa"/>
              <w:bottom w:w="85" w:type="dxa"/>
              <w:right w:w="108" w:type="dxa"/>
            </w:tcMar>
          </w:tcPr>
          <w:p w14:paraId="0C05FDEE"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5CEB4E94" w14:textId="6CFBA11A" w:rsidR="007F2587" w:rsidRPr="007716D3" w:rsidRDefault="007F2587" w:rsidP="007F2587">
            <w:pPr>
              <w:rPr>
                <w:noProof/>
              </w:rPr>
            </w:pPr>
            <w:r>
              <w:rPr>
                <w:noProof/>
              </w:rPr>
              <w:t>COM(2008) 426 final</w:t>
            </w:r>
            <w:r>
              <w:rPr>
                <w:noProof/>
              </w:rPr>
              <w:br/>
              <w:t>2008/0140(CNS)</w:t>
            </w:r>
          </w:p>
        </w:tc>
        <w:tc>
          <w:tcPr>
            <w:tcW w:w="6622" w:type="dxa"/>
            <w:shd w:val="clear" w:color="auto" w:fill="auto"/>
            <w:tcMar>
              <w:top w:w="85" w:type="dxa"/>
              <w:bottom w:w="85" w:type="dxa"/>
              <w:right w:w="108" w:type="dxa"/>
            </w:tcMar>
          </w:tcPr>
          <w:p w14:paraId="4A3269AB" w14:textId="77777777" w:rsidR="007F2587" w:rsidRPr="007716D3" w:rsidRDefault="007F2587" w:rsidP="007F2587">
            <w:pPr>
              <w:rPr>
                <w:noProof/>
              </w:rPr>
            </w:pPr>
            <w:r>
              <w:rPr>
                <w:noProof/>
              </w:rPr>
              <w:t>Vorschlag für eine RICHTLINIE DES RATES zur Anwendung des Grundsatzes der Gleichbehandlung ungeachtet der Religion oder der Weltanschauung, einer Behinderung, des Alters oder der sexuellen Ausrichtung</w:t>
            </w:r>
          </w:p>
        </w:tc>
        <w:tc>
          <w:tcPr>
            <w:tcW w:w="4668" w:type="dxa"/>
            <w:tcMar>
              <w:top w:w="85" w:type="dxa"/>
              <w:bottom w:w="85" w:type="dxa"/>
              <w:right w:w="108" w:type="dxa"/>
            </w:tcMar>
          </w:tcPr>
          <w:p w14:paraId="0B0CA02A" w14:textId="77777777" w:rsidR="007F2587" w:rsidRPr="007716D3" w:rsidRDefault="007F2587" w:rsidP="007F2587">
            <w:pPr>
              <w:jc w:val="both"/>
              <w:rPr>
                <w:noProof/>
                <w:highlight w:val="yellow"/>
              </w:rPr>
            </w:pPr>
            <w:r>
              <w:rPr>
                <w:noProof/>
              </w:rPr>
              <w:t>Keine Einigung absehbar – der Vorschlag ist blockiert und weitere Entwicklungen sind unwahrscheinlich.</w:t>
            </w:r>
          </w:p>
        </w:tc>
      </w:tr>
      <w:tr w:rsidR="007F2587" w:rsidRPr="007716D3" w14:paraId="62D4ECCE" w14:textId="77777777" w:rsidTr="002E78DB">
        <w:trPr>
          <w:cantSplit/>
        </w:trPr>
        <w:tc>
          <w:tcPr>
            <w:tcW w:w="567" w:type="dxa"/>
            <w:tcBorders>
              <w:right w:val="nil"/>
            </w:tcBorders>
            <w:shd w:val="clear" w:color="auto" w:fill="auto"/>
            <w:tcMar>
              <w:top w:w="85" w:type="dxa"/>
              <w:bottom w:w="85" w:type="dxa"/>
              <w:right w:w="108" w:type="dxa"/>
            </w:tcMar>
          </w:tcPr>
          <w:p w14:paraId="20099846"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2B2389BA" w14:textId="6516333C" w:rsidR="007F2587" w:rsidRPr="009022CF" w:rsidRDefault="007F2587" w:rsidP="007F2587">
            <w:pPr>
              <w:rPr>
                <w:noProof/>
                <w:lang w:val="en-IE"/>
              </w:rPr>
            </w:pPr>
            <w:r w:rsidRPr="009022CF">
              <w:rPr>
                <w:noProof/>
                <w:lang w:val="en-IE"/>
              </w:rPr>
              <w:t>COM(2011) 137 final</w:t>
            </w:r>
            <w:r w:rsidRPr="009022CF">
              <w:rPr>
                <w:noProof/>
                <w:lang w:val="en-IE"/>
              </w:rPr>
              <w:br/>
              <w:t>2011/0073(COD)</w:t>
            </w:r>
          </w:p>
          <w:p w14:paraId="5B36EC9B" w14:textId="77777777" w:rsidR="007F2587" w:rsidRPr="007716D3" w:rsidRDefault="007F2587" w:rsidP="007F2587">
            <w:pPr>
              <w:rPr>
                <w:noProof/>
                <w:lang w:val="pt-PT"/>
              </w:rPr>
            </w:pPr>
          </w:p>
          <w:p w14:paraId="0D676550" w14:textId="681FD2C6" w:rsidR="007F2587" w:rsidRPr="009022CF" w:rsidRDefault="007F2587" w:rsidP="007F2587">
            <w:pPr>
              <w:rPr>
                <w:noProof/>
                <w:lang w:val="en-IE"/>
              </w:rPr>
            </w:pPr>
            <w:r w:rsidRPr="009022CF">
              <w:rPr>
                <w:noProof/>
                <w:lang w:val="en-IE"/>
              </w:rPr>
              <w:t>COM(2008) 229 final</w:t>
            </w:r>
            <w:r w:rsidRPr="009022CF">
              <w:rPr>
                <w:noProof/>
                <w:lang w:val="en-IE"/>
              </w:rPr>
              <w:br/>
              <w:t>2008/0090(COD)</w:t>
            </w:r>
          </w:p>
        </w:tc>
        <w:tc>
          <w:tcPr>
            <w:tcW w:w="6622" w:type="dxa"/>
            <w:shd w:val="clear" w:color="auto" w:fill="auto"/>
            <w:tcMar>
              <w:top w:w="85" w:type="dxa"/>
              <w:bottom w:w="85" w:type="dxa"/>
              <w:right w:w="108" w:type="dxa"/>
            </w:tcMar>
          </w:tcPr>
          <w:p w14:paraId="539CC0F1" w14:textId="0EA50D4B" w:rsidR="007F2587" w:rsidRPr="007716D3" w:rsidRDefault="007F2587" w:rsidP="007F2587">
            <w:pPr>
              <w:rPr>
                <w:noProof/>
              </w:rPr>
            </w:pPr>
            <w:r>
              <w:rPr>
                <w:noProof/>
              </w:rPr>
              <w:t>Vorschlag für eine VERORDNUNG DES EUROPÄISCHEN PARLAMENTS UND DES RATES zur Änderung der Verordnung (EG) Nr. 1049/2001 über den Zugang der Öffentlichkeit zu Dokumenten des Europäischen Parlaments, des Rates und der Kommission</w:t>
            </w:r>
          </w:p>
        </w:tc>
        <w:tc>
          <w:tcPr>
            <w:tcW w:w="4668" w:type="dxa"/>
            <w:tcMar>
              <w:top w:w="85" w:type="dxa"/>
              <w:bottom w:w="85" w:type="dxa"/>
              <w:right w:w="108" w:type="dxa"/>
            </w:tcMar>
          </w:tcPr>
          <w:p w14:paraId="3FA2C7B9" w14:textId="77777777" w:rsidR="007F2587" w:rsidRPr="007716D3" w:rsidRDefault="007F2587" w:rsidP="007F2587">
            <w:pPr>
              <w:jc w:val="both"/>
              <w:rPr>
                <w:noProof/>
              </w:rPr>
            </w:pPr>
            <w:r>
              <w:rPr>
                <w:noProof/>
              </w:rPr>
              <w:t>Keine Einigung absehbar – seit 2011 wurden keine Fortschritte erzielt.</w:t>
            </w:r>
          </w:p>
        </w:tc>
      </w:tr>
      <w:tr w:rsidR="007F2587" w:rsidRPr="007716D3" w14:paraId="5E57D2AE" w14:textId="77777777" w:rsidTr="002E78DB">
        <w:trPr>
          <w:cantSplit/>
        </w:trPr>
        <w:tc>
          <w:tcPr>
            <w:tcW w:w="567" w:type="dxa"/>
            <w:tcBorders>
              <w:right w:val="nil"/>
            </w:tcBorders>
            <w:shd w:val="clear" w:color="auto" w:fill="auto"/>
            <w:tcMar>
              <w:top w:w="85" w:type="dxa"/>
              <w:bottom w:w="85" w:type="dxa"/>
              <w:right w:w="108" w:type="dxa"/>
            </w:tcMar>
          </w:tcPr>
          <w:p w14:paraId="1D8D8A8E"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5A093CC1" w14:textId="27E5ECC5" w:rsidR="007F2587" w:rsidRPr="007716D3" w:rsidRDefault="007F2587" w:rsidP="007F2587">
            <w:pPr>
              <w:rPr>
                <w:noProof/>
              </w:rPr>
            </w:pPr>
            <w:r>
              <w:rPr>
                <w:noProof/>
              </w:rPr>
              <w:t>COM(2016) 799 final</w:t>
            </w:r>
            <w:r>
              <w:rPr>
                <w:noProof/>
              </w:rPr>
              <w:br/>
              <w:t>2016/0400B(COD)</w:t>
            </w:r>
          </w:p>
        </w:tc>
        <w:tc>
          <w:tcPr>
            <w:tcW w:w="6622" w:type="dxa"/>
            <w:shd w:val="clear" w:color="auto" w:fill="auto"/>
            <w:tcMar>
              <w:top w:w="85" w:type="dxa"/>
              <w:bottom w:w="85" w:type="dxa"/>
              <w:right w:w="108" w:type="dxa"/>
            </w:tcMar>
          </w:tcPr>
          <w:p w14:paraId="2F6CA9C8" w14:textId="77777777" w:rsidR="007F2587" w:rsidRPr="007716D3" w:rsidRDefault="007F2587" w:rsidP="007F2587">
            <w:pPr>
              <w:rPr>
                <w:noProof/>
              </w:rPr>
            </w:pPr>
            <w:r>
              <w:rPr>
                <w:noProof/>
              </w:rPr>
              <w:t>Vorschlag für eine VERORDNUNG DES EUROPÄISCHEN PARLAMENTS UND DES RATES zur Anpassung von Rechtsakten, in denen auf das Regelungsverfahren mit Kontrolle Bezug genommen wird, an Artikel 290 und 291 des Vertrags über die Arbeitsweise der Europäischen Union</w:t>
            </w:r>
          </w:p>
        </w:tc>
        <w:tc>
          <w:tcPr>
            <w:tcW w:w="4668" w:type="dxa"/>
            <w:tcMar>
              <w:top w:w="85" w:type="dxa"/>
              <w:bottom w:w="85" w:type="dxa"/>
              <w:right w:w="108" w:type="dxa"/>
            </w:tcMar>
          </w:tcPr>
          <w:p w14:paraId="76BA262F" w14:textId="77777777" w:rsidR="007F2587" w:rsidRPr="007716D3" w:rsidRDefault="007F2587" w:rsidP="007F2587">
            <w:pPr>
              <w:jc w:val="both"/>
              <w:rPr>
                <w:noProof/>
              </w:rPr>
            </w:pPr>
            <w:r>
              <w:rPr>
                <w:noProof/>
              </w:rPr>
              <w:t>Keine Einigung absehbar – der Vorschlag ist blockiert und weitere Entwicklungen sind unwahrscheinlich. Es besteht eine rechtliche Verpflichtung, Rechtsakte, die vor dem Inkrafttreten des Vertrags von Lissabon angenommen wurden, mit den Artikeln 290 und 291 AEUV in Einklang zu bringen. Die Kommission wird daher den beiden gesetzgebenden Organen einen entsprechenden neuen Vorschlag vorlegen.</w:t>
            </w:r>
          </w:p>
        </w:tc>
      </w:tr>
      <w:tr w:rsidR="007F2587" w:rsidRPr="007716D3" w14:paraId="10FC1757" w14:textId="77777777" w:rsidTr="002E78DB">
        <w:trPr>
          <w:cantSplit/>
          <w:trHeight w:val="879"/>
        </w:trPr>
        <w:tc>
          <w:tcPr>
            <w:tcW w:w="567" w:type="dxa"/>
            <w:tcBorders>
              <w:right w:val="nil"/>
            </w:tcBorders>
            <w:shd w:val="clear" w:color="auto" w:fill="auto"/>
            <w:tcMar>
              <w:top w:w="85" w:type="dxa"/>
              <w:bottom w:w="85" w:type="dxa"/>
              <w:right w:w="108" w:type="dxa"/>
            </w:tcMar>
          </w:tcPr>
          <w:p w14:paraId="6A3A55EB"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5AFF0A1C" w14:textId="3AB8F831" w:rsidR="007F2587" w:rsidRPr="007716D3" w:rsidRDefault="007F2587" w:rsidP="007F2587">
            <w:pPr>
              <w:rPr>
                <w:noProof/>
              </w:rPr>
            </w:pPr>
            <w:r>
              <w:rPr>
                <w:noProof/>
              </w:rPr>
              <w:t>COM(2017) 10 final</w:t>
            </w:r>
            <w:r>
              <w:rPr>
                <w:noProof/>
              </w:rPr>
              <w:br/>
              <w:t>2017/0003(COD)</w:t>
            </w:r>
          </w:p>
        </w:tc>
        <w:tc>
          <w:tcPr>
            <w:tcW w:w="6622" w:type="dxa"/>
            <w:shd w:val="clear" w:color="auto" w:fill="auto"/>
            <w:tcMar>
              <w:top w:w="85" w:type="dxa"/>
              <w:bottom w:w="85" w:type="dxa"/>
              <w:right w:w="108" w:type="dxa"/>
            </w:tcMar>
          </w:tcPr>
          <w:p w14:paraId="0533CA0A" w14:textId="77777777" w:rsidR="007F2587" w:rsidRPr="007716D3" w:rsidRDefault="007F2587" w:rsidP="007F2587">
            <w:pPr>
              <w:jc w:val="both"/>
              <w:rPr>
                <w:noProof/>
              </w:rPr>
            </w:pPr>
            <w:r>
              <w:rPr>
                <w:noProof/>
              </w:rPr>
              <w:t>Vorschlag für eine VERORDNUNG DES EUROPÄISCHEN PARLAMENTS UND DES RATES über die Achtung des Privatlebens und den Schutz personenbezogener Daten in der elektronischen Kommunikation und zur Aufhebung der Richtlinie 2002/58/EG (Verordnung über Privatsphäre und elektronische Kommunikation)</w:t>
            </w:r>
          </w:p>
        </w:tc>
        <w:tc>
          <w:tcPr>
            <w:tcW w:w="4668" w:type="dxa"/>
            <w:tcMar>
              <w:top w:w="85" w:type="dxa"/>
              <w:bottom w:w="85" w:type="dxa"/>
              <w:right w:w="108" w:type="dxa"/>
            </w:tcMar>
          </w:tcPr>
          <w:p w14:paraId="2EDA8A65" w14:textId="77777777" w:rsidR="007F2587" w:rsidRPr="007716D3" w:rsidRDefault="007F2587" w:rsidP="007F2587">
            <w:pPr>
              <w:jc w:val="both"/>
              <w:rPr>
                <w:noProof/>
                <w:highlight w:val="yellow"/>
              </w:rPr>
            </w:pPr>
            <w:r>
              <w:rPr>
                <w:noProof/>
              </w:rPr>
              <w:t>Keine Einigung absehbar – es ist keine Einigung der beiden gesetzgebenden Organe zu erwarten. Darüber hinaus ist der Vorschlag angesichts einiger neuerer Rechtsvorschriften sowohl im technologischen als auch im legislativen Bereich überholt.</w:t>
            </w:r>
          </w:p>
        </w:tc>
      </w:tr>
      <w:tr w:rsidR="007F2587" w:rsidRPr="007716D3" w14:paraId="5F4701F7" w14:textId="77777777" w:rsidTr="002E78DB">
        <w:trPr>
          <w:cantSplit/>
          <w:trHeight w:val="879"/>
        </w:trPr>
        <w:tc>
          <w:tcPr>
            <w:tcW w:w="567" w:type="dxa"/>
            <w:tcBorders>
              <w:right w:val="nil"/>
            </w:tcBorders>
            <w:shd w:val="clear" w:color="auto" w:fill="auto"/>
            <w:tcMar>
              <w:top w:w="85" w:type="dxa"/>
              <w:bottom w:w="85" w:type="dxa"/>
              <w:right w:w="108" w:type="dxa"/>
            </w:tcMar>
          </w:tcPr>
          <w:p w14:paraId="3218257F"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63633826" w14:textId="1FB870EC" w:rsidR="007F2587" w:rsidRPr="007716D3" w:rsidRDefault="007F2587" w:rsidP="007F2587">
            <w:pPr>
              <w:rPr>
                <w:noProof/>
              </w:rPr>
            </w:pPr>
            <w:r>
              <w:rPr>
                <w:noProof/>
              </w:rPr>
              <w:t>COM(2017) 85 final</w:t>
            </w:r>
            <w:r>
              <w:rPr>
                <w:noProof/>
              </w:rPr>
              <w:br/>
              <w:t>2017/0035(COD)</w:t>
            </w:r>
          </w:p>
        </w:tc>
        <w:tc>
          <w:tcPr>
            <w:tcW w:w="6622" w:type="dxa"/>
            <w:shd w:val="clear" w:color="auto" w:fill="auto"/>
            <w:tcMar>
              <w:top w:w="85" w:type="dxa"/>
              <w:bottom w:w="85" w:type="dxa"/>
              <w:right w:w="108" w:type="dxa"/>
            </w:tcMar>
          </w:tcPr>
          <w:p w14:paraId="706E00CA" w14:textId="77777777" w:rsidR="007F2587" w:rsidRPr="007716D3" w:rsidRDefault="007F2587" w:rsidP="007F2587">
            <w:pPr>
              <w:jc w:val="both"/>
              <w:rPr>
                <w:noProof/>
              </w:rPr>
            </w:pPr>
            <w:r>
              <w:rPr>
                <w:noProof/>
              </w:rPr>
              <w:t>Vorschlag für eine VERORDNUNG DES EUROPÄISCHEN PARLAMENTS UND DES RATES zur Änderung der Verordnung (EU) Nr. 182/2011 zur Festlegung der allgemeinen Regeln und Grundsätze, nach denen die Mitgliedstaaten die Wahrnehmung der Durchführungsbefugnisse durch die Kommission kontrollieren</w:t>
            </w:r>
          </w:p>
        </w:tc>
        <w:tc>
          <w:tcPr>
            <w:tcW w:w="4668" w:type="dxa"/>
            <w:tcMar>
              <w:top w:w="85" w:type="dxa"/>
              <w:bottom w:w="85" w:type="dxa"/>
              <w:right w:w="108" w:type="dxa"/>
            </w:tcMar>
          </w:tcPr>
          <w:p w14:paraId="4721304E" w14:textId="77777777" w:rsidR="007F2587" w:rsidRPr="007716D3" w:rsidRDefault="007F2587" w:rsidP="007F2587">
            <w:pPr>
              <w:jc w:val="both"/>
              <w:rPr>
                <w:noProof/>
              </w:rPr>
            </w:pPr>
            <w:r>
              <w:rPr>
                <w:noProof/>
              </w:rPr>
              <w:t>Keine Einigung absehbar – der Vorschlag ist blockiert und weitere Entwicklungen sind unwahrscheinlich.</w:t>
            </w:r>
          </w:p>
        </w:tc>
      </w:tr>
      <w:tr w:rsidR="007F2587" w:rsidRPr="007716D3" w14:paraId="12EBCAF0" w14:textId="77777777" w:rsidTr="002E78DB">
        <w:trPr>
          <w:cantSplit/>
          <w:trHeight w:val="527"/>
        </w:trPr>
        <w:tc>
          <w:tcPr>
            <w:tcW w:w="567" w:type="dxa"/>
            <w:tcBorders>
              <w:right w:val="nil"/>
            </w:tcBorders>
            <w:shd w:val="clear" w:color="auto" w:fill="auto"/>
            <w:tcMar>
              <w:top w:w="85" w:type="dxa"/>
              <w:bottom w:w="85" w:type="dxa"/>
              <w:right w:w="108" w:type="dxa"/>
            </w:tcMar>
          </w:tcPr>
          <w:p w14:paraId="42235492"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607037D5" w14:textId="01D0C556" w:rsidR="007F2587" w:rsidRDefault="007F2587" w:rsidP="007F2587">
            <w:pPr>
              <w:rPr>
                <w:noProof/>
              </w:rPr>
            </w:pPr>
            <w:r>
              <w:rPr>
                <w:noProof/>
              </w:rPr>
              <w:t>COM(2018) 96 final</w:t>
            </w:r>
            <w:r>
              <w:rPr>
                <w:noProof/>
              </w:rPr>
              <w:br/>
              <w:t>2018/0044(COD)</w:t>
            </w:r>
          </w:p>
        </w:tc>
        <w:tc>
          <w:tcPr>
            <w:tcW w:w="6622" w:type="dxa"/>
            <w:shd w:val="clear" w:color="auto" w:fill="auto"/>
            <w:tcMar>
              <w:top w:w="85" w:type="dxa"/>
              <w:bottom w:w="85" w:type="dxa"/>
              <w:right w:w="108" w:type="dxa"/>
            </w:tcMar>
          </w:tcPr>
          <w:p w14:paraId="4C1ADB91" w14:textId="77777777" w:rsidR="007F2587" w:rsidRPr="004E75CA" w:rsidRDefault="007F2587" w:rsidP="007F2587">
            <w:pPr>
              <w:jc w:val="both"/>
              <w:rPr>
                <w:noProof/>
              </w:rPr>
            </w:pPr>
            <w:r>
              <w:rPr>
                <w:noProof/>
              </w:rPr>
              <w:t>Vorschlag für eine VERORDNUNG DES EUROPÄISCHEN PARLAMENTS UND DES RATES über das auf die Drittwirkung von Forderungsübertragungen anzuwendende Recht</w:t>
            </w:r>
          </w:p>
        </w:tc>
        <w:tc>
          <w:tcPr>
            <w:tcW w:w="4668" w:type="dxa"/>
            <w:tcMar>
              <w:top w:w="85" w:type="dxa"/>
              <w:bottom w:w="85" w:type="dxa"/>
              <w:right w:w="108" w:type="dxa"/>
            </w:tcMar>
          </w:tcPr>
          <w:p w14:paraId="3D6626D0" w14:textId="77777777" w:rsidR="007F2587" w:rsidRPr="003656E5" w:rsidRDefault="007F2587" w:rsidP="007F2587">
            <w:pPr>
              <w:jc w:val="both"/>
              <w:rPr>
                <w:noProof/>
              </w:rPr>
            </w:pPr>
            <w:r>
              <w:rPr>
                <w:noProof/>
              </w:rPr>
              <w:t>Keine Einigung absehbar – der Vorschlag ist blockiert und weitere Entwicklungen sind unwahrscheinlich.</w:t>
            </w:r>
          </w:p>
        </w:tc>
      </w:tr>
      <w:tr w:rsidR="007F2587" w:rsidRPr="007716D3" w14:paraId="72CCC6EE" w14:textId="77777777" w:rsidTr="002E78DB">
        <w:trPr>
          <w:cantSplit/>
          <w:trHeight w:val="527"/>
        </w:trPr>
        <w:tc>
          <w:tcPr>
            <w:tcW w:w="567" w:type="dxa"/>
            <w:tcBorders>
              <w:right w:val="nil"/>
            </w:tcBorders>
            <w:shd w:val="clear" w:color="auto" w:fill="auto"/>
            <w:tcMar>
              <w:top w:w="85" w:type="dxa"/>
              <w:bottom w:w="85" w:type="dxa"/>
              <w:right w:w="108" w:type="dxa"/>
            </w:tcMar>
          </w:tcPr>
          <w:p w14:paraId="7AD516B3"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5BD4D619" w14:textId="412F1F2D" w:rsidR="007F2587" w:rsidRDefault="007F2587" w:rsidP="007F2587">
            <w:pPr>
              <w:rPr>
                <w:noProof/>
              </w:rPr>
            </w:pPr>
            <w:r>
              <w:rPr>
                <w:noProof/>
              </w:rPr>
              <w:t>COM(2022) 496 final</w:t>
            </w:r>
            <w:r>
              <w:rPr>
                <w:noProof/>
              </w:rPr>
              <w:br/>
              <w:t>2022/0303(COD)</w:t>
            </w:r>
          </w:p>
        </w:tc>
        <w:tc>
          <w:tcPr>
            <w:tcW w:w="6622" w:type="dxa"/>
            <w:shd w:val="clear" w:color="auto" w:fill="auto"/>
            <w:tcMar>
              <w:top w:w="85" w:type="dxa"/>
              <w:bottom w:w="85" w:type="dxa"/>
              <w:right w:w="108" w:type="dxa"/>
            </w:tcMar>
          </w:tcPr>
          <w:p w14:paraId="0F266DB4" w14:textId="77777777" w:rsidR="007F2587" w:rsidRPr="004E75CA" w:rsidRDefault="007F2587" w:rsidP="007F2587">
            <w:pPr>
              <w:jc w:val="both"/>
              <w:rPr>
                <w:noProof/>
              </w:rPr>
            </w:pPr>
            <w:r>
              <w:rPr>
                <w:noProof/>
              </w:rPr>
              <w:t>Vorschlag für eine RICHTLINIE DES EUROPÄISCHEN PARLAMENTS UND DES RATES zur Anpassung der Vorschriften über außervertragliche zivilrechtliche Haftung an künstliche Intelligenz (KI-Haftung)</w:t>
            </w:r>
          </w:p>
        </w:tc>
        <w:tc>
          <w:tcPr>
            <w:tcW w:w="4668" w:type="dxa"/>
            <w:tcMar>
              <w:top w:w="85" w:type="dxa"/>
              <w:bottom w:w="85" w:type="dxa"/>
              <w:right w:w="108" w:type="dxa"/>
            </w:tcMar>
          </w:tcPr>
          <w:p w14:paraId="504B4617" w14:textId="77777777" w:rsidR="007F2587" w:rsidRPr="003656E5" w:rsidRDefault="007F2587" w:rsidP="007F2587">
            <w:pPr>
              <w:jc w:val="both"/>
              <w:rPr>
                <w:noProof/>
              </w:rPr>
            </w:pPr>
            <w:r>
              <w:rPr>
                <w:noProof/>
              </w:rPr>
              <w:t>Keine Einigung absehbar – die Kommission wird prüfen, ob ein weiterer Vorschlag vorgelegt oder ein anderer Ansatz gewählt werden sollte.</w:t>
            </w:r>
          </w:p>
        </w:tc>
      </w:tr>
      <w:tr w:rsidR="007F2587" w:rsidRPr="007716D3" w14:paraId="349FF3AA" w14:textId="77777777" w:rsidTr="007F2587">
        <w:trPr>
          <w:cantSplit/>
        </w:trPr>
        <w:tc>
          <w:tcPr>
            <w:tcW w:w="14034" w:type="dxa"/>
            <w:gridSpan w:val="4"/>
            <w:shd w:val="clear" w:color="auto" w:fill="000083"/>
            <w:tcMar>
              <w:top w:w="85" w:type="dxa"/>
              <w:bottom w:w="85" w:type="dxa"/>
              <w:right w:w="108" w:type="dxa"/>
            </w:tcMar>
          </w:tcPr>
          <w:p w14:paraId="5E45BE3C" w14:textId="24312599" w:rsidR="007F2587" w:rsidRPr="007716D3" w:rsidRDefault="007F2587" w:rsidP="007F2587">
            <w:pPr>
              <w:spacing w:before="60" w:after="60"/>
              <w:jc w:val="both"/>
              <w:rPr>
                <w:noProof/>
              </w:rPr>
            </w:pPr>
            <w:r>
              <w:rPr>
                <w:b/>
                <w:noProof/>
                <w:color w:val="FFFFFF"/>
              </w:rPr>
              <w:t>Europa in der Welt: unseren Einfluss und unsere Partnerschaften nutzen</w:t>
            </w:r>
          </w:p>
        </w:tc>
      </w:tr>
      <w:tr w:rsidR="007F2587" w:rsidRPr="007716D3" w14:paraId="6599B66F" w14:textId="77777777" w:rsidTr="002E78DB">
        <w:trPr>
          <w:cantSplit/>
        </w:trPr>
        <w:tc>
          <w:tcPr>
            <w:tcW w:w="567" w:type="dxa"/>
            <w:tcBorders>
              <w:right w:val="nil"/>
            </w:tcBorders>
            <w:shd w:val="clear" w:color="auto" w:fill="auto"/>
            <w:tcMar>
              <w:top w:w="85" w:type="dxa"/>
              <w:bottom w:w="85" w:type="dxa"/>
              <w:right w:w="108" w:type="dxa"/>
            </w:tcMar>
          </w:tcPr>
          <w:p w14:paraId="0587310D"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2E717440" w14:textId="47CBDE43" w:rsidR="007F2587" w:rsidRPr="007716D3" w:rsidRDefault="007F2587" w:rsidP="007F2587">
            <w:pPr>
              <w:rPr>
                <w:noProof/>
              </w:rPr>
            </w:pPr>
            <w:r>
              <w:rPr>
                <w:noProof/>
              </w:rPr>
              <w:t>JOIN(2015) 36 final</w:t>
            </w:r>
            <w:r>
              <w:rPr>
                <w:noProof/>
              </w:rPr>
              <w:br/>
              <w:t>2015/0302(NLE)</w:t>
            </w:r>
          </w:p>
        </w:tc>
        <w:tc>
          <w:tcPr>
            <w:tcW w:w="6622" w:type="dxa"/>
            <w:shd w:val="clear" w:color="auto" w:fill="auto"/>
            <w:tcMar>
              <w:top w:w="85" w:type="dxa"/>
              <w:bottom w:w="85" w:type="dxa"/>
              <w:right w:w="108" w:type="dxa"/>
            </w:tcMar>
          </w:tcPr>
          <w:p w14:paraId="51857B63" w14:textId="77777777" w:rsidR="007F2587" w:rsidRPr="007716D3" w:rsidRDefault="007F2587" w:rsidP="007F2587">
            <w:pPr>
              <w:jc w:val="both"/>
              <w:rPr>
                <w:noProof/>
              </w:rPr>
            </w:pPr>
            <w:r>
              <w:rPr>
                <w:noProof/>
              </w:rPr>
              <w:t>Gemeinsamer Vorschlag für einen BESCHLUSS DES RATES über den Abschluss – im Namen der Europäischen Union – des Kooperationsabkommens über Partnerschaft und Entwicklung zwischen der Europäischen Union und der Islamischen Republik Afghanistan</w:t>
            </w:r>
          </w:p>
        </w:tc>
        <w:tc>
          <w:tcPr>
            <w:tcW w:w="4668" w:type="dxa"/>
            <w:tcMar>
              <w:top w:w="85" w:type="dxa"/>
              <w:bottom w:w="85" w:type="dxa"/>
              <w:right w:w="108" w:type="dxa"/>
            </w:tcMar>
          </w:tcPr>
          <w:p w14:paraId="08DB7164" w14:textId="77777777" w:rsidR="007F2587" w:rsidRPr="007716D3" w:rsidRDefault="007F2587" w:rsidP="007F2587">
            <w:pPr>
              <w:jc w:val="both"/>
              <w:rPr>
                <w:noProof/>
              </w:rPr>
            </w:pPr>
            <w:r>
              <w:rPr>
                <w:noProof/>
              </w:rPr>
              <w:t>Hinfällig – das Ratifizierungsverfahren dieses Abkommens wurde durch die Einsetzung einer von den Taliban ernannten Übergangsregierung unterbrochen, die bislang von der internationalen Gemeinschaft nicht anerkannt wurde, sodass das ursprüngliche Abkommen hinfällig geworden ist.</w:t>
            </w:r>
          </w:p>
        </w:tc>
      </w:tr>
      <w:tr w:rsidR="007F2587" w:rsidRPr="007716D3" w14:paraId="6B66D0AA" w14:textId="77777777" w:rsidTr="002E78DB">
        <w:trPr>
          <w:cantSplit/>
        </w:trPr>
        <w:tc>
          <w:tcPr>
            <w:tcW w:w="567" w:type="dxa"/>
            <w:tcBorders>
              <w:right w:val="nil"/>
            </w:tcBorders>
            <w:shd w:val="clear" w:color="auto" w:fill="auto"/>
            <w:tcMar>
              <w:top w:w="85" w:type="dxa"/>
              <w:bottom w:w="85" w:type="dxa"/>
              <w:right w:w="108" w:type="dxa"/>
            </w:tcMar>
          </w:tcPr>
          <w:p w14:paraId="54F8A780"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623EB7E8" w14:textId="731A83CF" w:rsidR="007F2587" w:rsidRPr="007716D3" w:rsidRDefault="007F2587" w:rsidP="007F2587">
            <w:pPr>
              <w:rPr>
                <w:noProof/>
              </w:rPr>
            </w:pPr>
            <w:r>
              <w:rPr>
                <w:noProof/>
              </w:rPr>
              <w:t>COM(2022) 63 final</w:t>
            </w:r>
            <w:r>
              <w:rPr>
                <w:noProof/>
              </w:rPr>
              <w:br/>
              <w:t>2022/0043(NLE)</w:t>
            </w:r>
          </w:p>
        </w:tc>
        <w:tc>
          <w:tcPr>
            <w:tcW w:w="6622" w:type="dxa"/>
            <w:shd w:val="clear" w:color="auto" w:fill="auto"/>
            <w:tcMar>
              <w:top w:w="85" w:type="dxa"/>
              <w:bottom w:w="85" w:type="dxa"/>
              <w:right w:w="108" w:type="dxa"/>
            </w:tcMar>
          </w:tcPr>
          <w:p w14:paraId="1B223A64" w14:textId="77777777" w:rsidR="007F2587" w:rsidRPr="007716D3" w:rsidRDefault="007F2587" w:rsidP="007F2587">
            <w:pPr>
              <w:jc w:val="both"/>
              <w:rPr>
                <w:noProof/>
              </w:rPr>
            </w:pPr>
            <w:r>
              <w:rPr>
                <w:noProof/>
              </w:rPr>
              <w:t>Vorschlag für einen BESCHLUSS DES RATES über den Standpunkt, der im Namen der Europäischen Union im schriftlichen Verfahren von den Teilnehmern an dem Übereinkommen über öffentlich unterstützte Exportkredite in Bezug auf eine Änderung des Anhangs IV zu vertreten ist</w:t>
            </w:r>
          </w:p>
        </w:tc>
        <w:tc>
          <w:tcPr>
            <w:tcW w:w="4668" w:type="dxa"/>
            <w:tcMar>
              <w:top w:w="85" w:type="dxa"/>
              <w:bottom w:w="85" w:type="dxa"/>
              <w:right w:w="108" w:type="dxa"/>
            </w:tcMar>
          </w:tcPr>
          <w:p w14:paraId="0B26D284" w14:textId="77777777" w:rsidR="007F2587" w:rsidRPr="007716D3" w:rsidRDefault="007F2587" w:rsidP="007F2587">
            <w:pPr>
              <w:jc w:val="both"/>
              <w:rPr>
                <w:noProof/>
              </w:rPr>
            </w:pPr>
            <w:r>
              <w:rPr>
                <w:noProof/>
              </w:rPr>
              <w:t>Hinfällig – der Vorschlag wurde in den Verhandlungen über die Modernisierung des Übereinkommens über öffentlich unterstützte Exportkredite eingebracht, die 2023 abgeschlossen wurden. Der Inhalt dieses Vorschlags wurde in einen anderen Beschluss des Rates aufgenommen, mit dem dieser Vorschlag hinfällig wurde.</w:t>
            </w:r>
          </w:p>
        </w:tc>
      </w:tr>
      <w:tr w:rsidR="007F2587" w:rsidRPr="007716D3" w14:paraId="3820395D" w14:textId="77777777" w:rsidTr="007F2587">
        <w:trPr>
          <w:cantSplit/>
        </w:trPr>
        <w:tc>
          <w:tcPr>
            <w:tcW w:w="14034" w:type="dxa"/>
            <w:gridSpan w:val="4"/>
            <w:shd w:val="clear" w:color="auto" w:fill="0EC6D6"/>
            <w:tcMar>
              <w:top w:w="85" w:type="dxa"/>
              <w:bottom w:w="85" w:type="dxa"/>
              <w:right w:w="108" w:type="dxa"/>
            </w:tcMar>
          </w:tcPr>
          <w:p w14:paraId="2F144823" w14:textId="4912A85F" w:rsidR="007F2587" w:rsidRPr="007716D3" w:rsidRDefault="007F2587" w:rsidP="007F2587">
            <w:pPr>
              <w:spacing w:before="60" w:after="60"/>
              <w:jc w:val="both"/>
              <w:rPr>
                <w:noProof/>
              </w:rPr>
            </w:pPr>
            <w:r>
              <w:rPr>
                <w:b/>
                <w:noProof/>
                <w:color w:val="FFFFFF"/>
              </w:rPr>
              <w:t>Gemeinsam handeln und die Zukunft unserer Union vorbereiten</w:t>
            </w:r>
          </w:p>
        </w:tc>
      </w:tr>
      <w:tr w:rsidR="007F2587" w:rsidRPr="007716D3" w14:paraId="307AA3E5" w14:textId="77777777" w:rsidTr="002E78DB">
        <w:trPr>
          <w:cantSplit/>
        </w:trPr>
        <w:tc>
          <w:tcPr>
            <w:tcW w:w="567" w:type="dxa"/>
            <w:tcBorders>
              <w:right w:val="nil"/>
            </w:tcBorders>
            <w:shd w:val="clear" w:color="auto" w:fill="auto"/>
            <w:tcMar>
              <w:top w:w="85" w:type="dxa"/>
              <w:bottom w:w="85" w:type="dxa"/>
              <w:right w:w="108" w:type="dxa"/>
            </w:tcMar>
          </w:tcPr>
          <w:p w14:paraId="09CE052B"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3FA8F0DA" w14:textId="5B3F8360" w:rsidR="007F2587" w:rsidRPr="007716D3" w:rsidRDefault="007F2587" w:rsidP="007F2587">
            <w:pPr>
              <w:rPr>
                <w:noProof/>
              </w:rPr>
            </w:pPr>
            <w:r>
              <w:rPr>
                <w:noProof/>
              </w:rPr>
              <w:t>COM(2022) 184 final</w:t>
            </w:r>
            <w:r>
              <w:rPr>
                <w:noProof/>
              </w:rPr>
              <w:br/>
              <w:t>2022/0125(COD)</w:t>
            </w:r>
          </w:p>
        </w:tc>
        <w:tc>
          <w:tcPr>
            <w:tcW w:w="6622" w:type="dxa"/>
            <w:shd w:val="clear" w:color="auto" w:fill="auto"/>
            <w:tcMar>
              <w:top w:w="85" w:type="dxa"/>
              <w:bottom w:w="85" w:type="dxa"/>
              <w:right w:w="108" w:type="dxa"/>
            </w:tcMar>
          </w:tcPr>
          <w:p w14:paraId="4F2CB7CE" w14:textId="77777777" w:rsidR="007F2587" w:rsidRPr="007716D3" w:rsidRDefault="007F2587" w:rsidP="007F2587">
            <w:pPr>
              <w:jc w:val="both"/>
              <w:rPr>
                <w:noProof/>
              </w:rPr>
            </w:pPr>
            <w:r>
              <w:rPr>
                <w:noProof/>
              </w:rPr>
              <w:t>Vorschlag für eine VERORDNUNG DES EUROPÄISCHEN PARLAMENTS UND DES RATES zur Änderung der Verordnung (EU, Euratom) 2018/1046 über die Haushaltsordnung für den Gesamthaushaltsplan der Union</w:t>
            </w:r>
          </w:p>
        </w:tc>
        <w:tc>
          <w:tcPr>
            <w:tcW w:w="4668" w:type="dxa"/>
            <w:tcMar>
              <w:top w:w="85" w:type="dxa"/>
              <w:bottom w:w="85" w:type="dxa"/>
              <w:right w:w="108" w:type="dxa"/>
            </w:tcMar>
          </w:tcPr>
          <w:p w14:paraId="01944729" w14:textId="2E9FD85C" w:rsidR="007F2587" w:rsidRPr="007716D3" w:rsidRDefault="007F2587" w:rsidP="007F2587">
            <w:pPr>
              <w:jc w:val="both"/>
              <w:rPr>
                <w:noProof/>
              </w:rPr>
            </w:pPr>
            <w:r>
              <w:rPr>
                <w:noProof/>
              </w:rPr>
              <w:t>Hinfällig – der Inhalt des Vorschlags wurde Ende September 2024 im Rahmen der Neufassung der Haushaltsordnung angenommen.</w:t>
            </w:r>
          </w:p>
        </w:tc>
      </w:tr>
      <w:tr w:rsidR="007F2587" w:rsidRPr="007716D3" w14:paraId="64A2185E" w14:textId="77777777" w:rsidTr="002E78DB">
        <w:trPr>
          <w:cantSplit/>
        </w:trPr>
        <w:tc>
          <w:tcPr>
            <w:tcW w:w="567" w:type="dxa"/>
            <w:tcBorders>
              <w:right w:val="nil"/>
            </w:tcBorders>
            <w:shd w:val="clear" w:color="auto" w:fill="auto"/>
            <w:tcMar>
              <w:top w:w="85" w:type="dxa"/>
              <w:bottom w:w="85" w:type="dxa"/>
              <w:right w:w="108" w:type="dxa"/>
            </w:tcMar>
          </w:tcPr>
          <w:p w14:paraId="6BEE6447"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3389E633" w14:textId="453C1D22" w:rsidR="007F2587" w:rsidRPr="007716D3" w:rsidRDefault="007F2587" w:rsidP="007F2587">
            <w:pPr>
              <w:rPr>
                <w:noProof/>
              </w:rPr>
            </w:pPr>
            <w:r>
              <w:rPr>
                <w:noProof/>
              </w:rPr>
              <w:t>COM(2024) 301 final</w:t>
            </w:r>
            <w:r>
              <w:rPr>
                <w:noProof/>
              </w:rPr>
              <w:br/>
              <w:t>2024/0059(COD)</w:t>
            </w:r>
          </w:p>
        </w:tc>
        <w:tc>
          <w:tcPr>
            <w:tcW w:w="6622" w:type="dxa"/>
            <w:shd w:val="clear" w:color="auto" w:fill="auto"/>
            <w:tcMar>
              <w:top w:w="85" w:type="dxa"/>
              <w:bottom w:w="85" w:type="dxa"/>
              <w:right w:w="108" w:type="dxa"/>
            </w:tcMar>
          </w:tcPr>
          <w:p w14:paraId="4C51120F" w14:textId="77777777" w:rsidR="007F2587" w:rsidRPr="007716D3" w:rsidRDefault="007F2587" w:rsidP="007F2587">
            <w:pPr>
              <w:jc w:val="both"/>
              <w:rPr>
                <w:noProof/>
              </w:rPr>
            </w:pPr>
            <w:r>
              <w:rPr>
                <w:noProof/>
              </w:rPr>
              <w:t>Vorschlag für eine VERORDNUNG DES EUROPÄISCHEN PARLAMENTS UND DES RATES zur Änderung der Verordnung (EU) 2021/1148 hinsichtlich der Finanzausstattung und der Mittelzuweisung für die thematische Fazilität</w:t>
            </w:r>
          </w:p>
        </w:tc>
        <w:tc>
          <w:tcPr>
            <w:tcW w:w="4668" w:type="dxa"/>
            <w:tcMar>
              <w:top w:w="85" w:type="dxa"/>
              <w:bottom w:w="85" w:type="dxa"/>
              <w:right w:w="108" w:type="dxa"/>
            </w:tcMar>
          </w:tcPr>
          <w:p w14:paraId="5D2EB9FD" w14:textId="77777777" w:rsidR="007F2587" w:rsidRPr="007716D3" w:rsidRDefault="007F2587" w:rsidP="007F2587">
            <w:pPr>
              <w:jc w:val="both"/>
              <w:rPr>
                <w:noProof/>
              </w:rPr>
            </w:pPr>
            <w:r>
              <w:rPr>
                <w:noProof/>
              </w:rPr>
              <w:t>Keine Einigung absehbar – es ist keine Einigung zu erwarten. Darüber hinaus kann die Halbzeitüberprüfung des MFR ohne diesen Legislativvorschlag vorgenommen werden.</w:t>
            </w:r>
          </w:p>
        </w:tc>
      </w:tr>
      <w:tr w:rsidR="007F2587" w:rsidRPr="007716D3" w14:paraId="250E8946" w14:textId="77777777" w:rsidTr="002E78DB">
        <w:trPr>
          <w:cantSplit/>
        </w:trPr>
        <w:tc>
          <w:tcPr>
            <w:tcW w:w="567" w:type="dxa"/>
            <w:tcBorders>
              <w:right w:val="nil"/>
            </w:tcBorders>
            <w:shd w:val="clear" w:color="auto" w:fill="auto"/>
            <w:tcMar>
              <w:top w:w="85" w:type="dxa"/>
              <w:bottom w:w="85" w:type="dxa"/>
              <w:right w:w="108" w:type="dxa"/>
            </w:tcMar>
          </w:tcPr>
          <w:p w14:paraId="398DB8D9" w14:textId="77777777" w:rsidR="007F2587" w:rsidRPr="009022CF"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0CF9297D" w14:textId="2E3687C8" w:rsidR="007F2587" w:rsidRPr="007716D3" w:rsidRDefault="007F2587" w:rsidP="007F2587">
            <w:pPr>
              <w:rPr>
                <w:noProof/>
              </w:rPr>
            </w:pPr>
            <w:r>
              <w:rPr>
                <w:noProof/>
              </w:rPr>
              <w:t>COM(2024) 100 final</w:t>
            </w:r>
            <w:r>
              <w:rPr>
                <w:noProof/>
              </w:rPr>
              <w:br/>
              <w:t>2024/0060(COD)</w:t>
            </w:r>
          </w:p>
        </w:tc>
        <w:tc>
          <w:tcPr>
            <w:tcW w:w="6622" w:type="dxa"/>
            <w:shd w:val="clear" w:color="auto" w:fill="auto"/>
            <w:tcMar>
              <w:top w:w="85" w:type="dxa"/>
              <w:bottom w:w="85" w:type="dxa"/>
              <w:right w:w="108" w:type="dxa"/>
            </w:tcMar>
          </w:tcPr>
          <w:p w14:paraId="4DB94CEB" w14:textId="77777777" w:rsidR="007F2587" w:rsidRPr="007716D3" w:rsidRDefault="007F2587" w:rsidP="007F2587">
            <w:pPr>
              <w:jc w:val="both"/>
              <w:rPr>
                <w:noProof/>
              </w:rPr>
            </w:pPr>
            <w:r>
              <w:rPr>
                <w:noProof/>
              </w:rPr>
              <w:t>Vorschlag für eine VERORDNUNG DES EUROPÄISCHEN PARLAMENTS UND DES RATES zur Änderung der Verordnung (EU) Nr. 2021/522, der Verordnung (EU) Nr. 2021/1057, der Verordnung (EU) Nr. 2021/1060, der Verordnung (EU) Nr. 2021/1139, der Verordnung (EU) Nr. 2021/1229 und der Verordnung (EU) Nr. 2021/1775 im Hinblick auf Änderungen der Mittelausstattungen für bestimmte Programme und Fonds</w:t>
            </w:r>
          </w:p>
        </w:tc>
        <w:tc>
          <w:tcPr>
            <w:tcW w:w="4668" w:type="dxa"/>
            <w:tcMar>
              <w:top w:w="85" w:type="dxa"/>
              <w:bottom w:w="85" w:type="dxa"/>
              <w:right w:w="108" w:type="dxa"/>
            </w:tcMar>
          </w:tcPr>
          <w:p w14:paraId="58C8A92A" w14:textId="77777777" w:rsidR="007F2587" w:rsidRPr="007716D3" w:rsidRDefault="007F2587" w:rsidP="007F2587">
            <w:pPr>
              <w:jc w:val="both"/>
              <w:rPr>
                <w:noProof/>
              </w:rPr>
            </w:pPr>
            <w:r>
              <w:rPr>
                <w:noProof/>
              </w:rPr>
              <w:t>Keine Einigung absehbar – es ist keine Einigung zu erwarten. Die Halbzeitüberprüfung des MFR kann ohne diesen Legislativvorschlag vorgenommen werden. Die Kommission wird 2025 eine Änderung der Verordnung (EU) 2021/1755 zur Einrichtung der Reserve für die Anpassung an den Brexit vorschlagen, um eine Rechtsgrundlage für die Umverteilung der ausstehenden Beträge zwischen den Mitgliedstaaten zu schaffen.</w:t>
            </w:r>
          </w:p>
        </w:tc>
      </w:tr>
    </w:tbl>
    <w:p w14:paraId="61D9E0E2" w14:textId="77777777" w:rsidR="00421A45" w:rsidRDefault="00421A45">
      <w:pPr>
        <w:rPr>
          <w:rFonts w:ascii="Times New Roman" w:eastAsia="Times New Roman" w:hAnsi="Times New Roman" w:cs="Times New Roman"/>
          <w:b/>
          <w:bCs/>
          <w:noProof/>
          <w:sz w:val="28"/>
          <w:szCs w:val="28"/>
          <w:u w:val="single"/>
        </w:rPr>
      </w:pPr>
      <w:r>
        <w:rPr>
          <w:noProof/>
        </w:rPr>
        <w:br w:type="page"/>
      </w:r>
    </w:p>
    <w:p w14:paraId="141E26C1" w14:textId="298E7AC0" w:rsidR="00AB61A2" w:rsidRDefault="00634366" w:rsidP="00A2610D">
      <w:pPr>
        <w:jc w:val="center"/>
        <w:rPr>
          <w:rFonts w:ascii="Times New Roman" w:eastAsia="Times New Roman" w:hAnsi="Times New Roman" w:cs="Times New Roman"/>
          <w:b/>
          <w:bCs/>
          <w:noProof/>
          <w:sz w:val="28"/>
          <w:szCs w:val="28"/>
          <w:u w:val="single"/>
        </w:rPr>
      </w:pPr>
      <w:r>
        <w:rPr>
          <w:rFonts w:ascii="Times New Roman" w:hAnsi="Times New Roman"/>
          <w:b/>
          <w:noProof/>
          <w:sz w:val="28"/>
          <w:u w:val="single"/>
        </w:rPr>
        <w:t>Anhang V: Geplante Aufhebungen</w:t>
      </w:r>
    </w:p>
    <w:p w14:paraId="0F16B8B7" w14:textId="77777777" w:rsidR="00634366" w:rsidRPr="00634366" w:rsidRDefault="00634366" w:rsidP="00A2610D">
      <w:pPr>
        <w:jc w:val="center"/>
        <w:rPr>
          <w:rFonts w:ascii="Times New Roman" w:eastAsia="Times New Roman" w:hAnsi="Times New Roman" w:cs="Times New Roman"/>
          <w:noProof/>
          <w:sz w:val="28"/>
          <w:szCs w:val="28"/>
          <w:lang w:val="en-GB" w:eastAsia="en-GB"/>
        </w:rPr>
      </w:pPr>
    </w:p>
    <w:tbl>
      <w:tblPr>
        <w:tblW w:w="55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67"/>
        <w:gridCol w:w="1844"/>
        <w:gridCol w:w="3952"/>
        <w:gridCol w:w="8040"/>
      </w:tblGrid>
      <w:tr w:rsidR="00E77E8E" w:rsidRPr="00A26A97" w14:paraId="55014939" w14:textId="77777777" w:rsidTr="00A2610D">
        <w:trPr>
          <w:cantSplit/>
          <w:trHeight w:val="300"/>
          <w:tblHeader/>
        </w:trPr>
        <w:tc>
          <w:tcPr>
            <w:tcW w:w="197" w:type="pct"/>
            <w:tcBorders>
              <w:bottom w:val="single" w:sz="4" w:space="0" w:color="auto"/>
            </w:tcBorders>
            <w:shd w:val="clear" w:color="auto" w:fill="99CCFF"/>
            <w:vAlign w:val="center"/>
          </w:tcPr>
          <w:p w14:paraId="42900288" w14:textId="3FBDA792"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Nr.</w:t>
            </w:r>
          </w:p>
        </w:tc>
        <w:tc>
          <w:tcPr>
            <w:tcW w:w="640" w:type="pct"/>
            <w:tcBorders>
              <w:bottom w:val="single" w:sz="4" w:space="0" w:color="auto"/>
            </w:tcBorders>
            <w:shd w:val="clear" w:color="auto" w:fill="99CCFF"/>
            <w:vAlign w:val="center"/>
          </w:tcPr>
          <w:p w14:paraId="29BDED9B" w14:textId="77777777"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Politikbereich</w:t>
            </w:r>
          </w:p>
        </w:tc>
        <w:tc>
          <w:tcPr>
            <w:tcW w:w="1372" w:type="pct"/>
            <w:tcBorders>
              <w:bottom w:val="single" w:sz="4" w:space="0" w:color="auto"/>
            </w:tcBorders>
            <w:shd w:val="clear" w:color="auto" w:fill="99CCFF"/>
            <w:vAlign w:val="center"/>
          </w:tcPr>
          <w:p w14:paraId="765110BF" w14:textId="77777777"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Titel</w:t>
            </w:r>
          </w:p>
        </w:tc>
        <w:tc>
          <w:tcPr>
            <w:tcW w:w="2791" w:type="pct"/>
            <w:tcBorders>
              <w:bottom w:val="single" w:sz="4" w:space="0" w:color="auto"/>
            </w:tcBorders>
            <w:shd w:val="clear" w:color="auto" w:fill="99CCFF"/>
            <w:vAlign w:val="center"/>
          </w:tcPr>
          <w:p w14:paraId="1EFC6D7E" w14:textId="77777777"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 xml:space="preserve">Begründung der Aufhebung </w:t>
            </w:r>
          </w:p>
        </w:tc>
      </w:tr>
      <w:tr w:rsidR="00E77E8E" w:rsidRPr="00A26A97" w14:paraId="6CB8DC92"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2D62F05E" w14:textId="77777777" w:rsidR="00DB10BC" w:rsidRPr="00A2610D" w:rsidRDefault="00DB10BC" w:rsidP="00B85D50">
            <w:pPr>
              <w:numPr>
                <w:ilvl w:val="0"/>
                <w:numId w:val="5"/>
              </w:numPr>
              <w:spacing w:after="0" w:line="240" w:lineRule="auto"/>
              <w:ind w:left="470" w:hanging="357"/>
              <w:jc w:val="both"/>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47AC05C3" w14:textId="77777777" w:rsidR="00DB10BC" w:rsidRPr="0078755D" w:rsidRDefault="00DB10BC" w:rsidP="006B1F8A">
            <w:pPr>
              <w:spacing w:after="0" w:line="240" w:lineRule="auto"/>
              <w:rPr>
                <w:rStyle w:val="normaltextrun"/>
                <w:rFonts w:ascii="Times New Roman" w:eastAsia="Times New Roman" w:hAnsi="Times New Roman"/>
                <w:noProof/>
                <w:sz w:val="20"/>
                <w:szCs w:val="20"/>
              </w:rPr>
            </w:pPr>
            <w:r>
              <w:rPr>
                <w:rStyle w:val="normaltextrun"/>
                <w:rFonts w:ascii="Times New Roman" w:hAnsi="Times New Roman"/>
                <w:noProof/>
                <w:sz w:val="20"/>
              </w:rPr>
              <w:t>Landwirtschaft</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D65EBD9" w14:textId="7D03C2BE"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Style w:val="normaltextrun"/>
                <w:rFonts w:ascii="Times New Roman" w:hAnsi="Times New Roman"/>
                <w:noProof/>
                <w:sz w:val="20"/>
              </w:rPr>
              <w:t>Verordnung (EG) Nr. 870/2004 des Rates vom 26. April 2004 über ein Gemeinschaftsprogramm zur Erhaltung, Charakterisierung, Sammlung und Nutzung genetischer Ressourcen in der Landwirtschaft und zur Aufhebung der Verordnung (EG) Nr. 1467/94</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3A15ADC9" w14:textId="77777777"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Dieses Gemeinschaftsprogramm wurde für den Zeitraum 2004 bis 2006 aufgelegt, um die auf einzelstaatlicher Ebene eingeleiteten Maßnahmen zur Erhaltung, Charakterisierung, Sammlung und Nutzung genetischer Ressourcen in der Landwirtschaft zu ergänzen und zu fördern. Die Unterstützung unter diesem Programm ist nicht mehr verfügbar, da die gesamte Unterstützung im Rahmen der Gemeinsamen Agrarpolitik (GAP) derzeit über die laufenden Programme zur Entwicklung des ländlichen Raums (bis 2025) und die nationalen GAP-Strategiepläne (bis 2027) gemäß der Verordnung (EU) 1305/2013 bzw. der Verordnung (EU) 2021/2115 gewährt wird, wodurch diese Verordnung hinfällig wird.</w:t>
            </w:r>
          </w:p>
        </w:tc>
      </w:tr>
      <w:tr w:rsidR="00E77E8E" w:rsidRPr="00A26A97" w14:paraId="32877D94"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0AF2C41B" w14:textId="77777777" w:rsidR="00DB10BC" w:rsidRPr="00A2610D" w:rsidRDefault="00DB10BC" w:rsidP="00B85D50">
            <w:pPr>
              <w:numPr>
                <w:ilvl w:val="0"/>
                <w:numId w:val="5"/>
              </w:numPr>
              <w:spacing w:after="0" w:line="240" w:lineRule="auto"/>
              <w:ind w:left="470" w:hanging="357"/>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1E59E50D" w14:textId="77777777" w:rsidR="00DB10BC" w:rsidRPr="0078755D" w:rsidRDefault="00DB10BC" w:rsidP="006B1F8A">
            <w:pPr>
              <w:spacing w:after="0" w:line="240" w:lineRule="auto"/>
              <w:rPr>
                <w:rStyle w:val="normaltextrun"/>
                <w:rFonts w:ascii="Times New Roman" w:eastAsia="Times New Roman" w:hAnsi="Times New Roman"/>
                <w:noProof/>
                <w:sz w:val="20"/>
                <w:szCs w:val="20"/>
              </w:rPr>
            </w:pPr>
            <w:r>
              <w:rPr>
                <w:rStyle w:val="normaltextrun"/>
                <w:rFonts w:ascii="Times New Roman" w:hAnsi="Times New Roman"/>
                <w:noProof/>
                <w:sz w:val="20"/>
              </w:rPr>
              <w:t>Europäische Statistiken</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9B4E1C3" w14:textId="77777777"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Style w:val="normaltextrun"/>
                <w:rFonts w:ascii="Times New Roman" w:hAnsi="Times New Roman"/>
                <w:noProof/>
                <w:sz w:val="20"/>
              </w:rPr>
              <w:t>Verordnung (EWG) Nr. 3037/90 des Rates vom 9. Oktober 1990 betreffend die statistische Systematik der Wirtschaftszweige in der Europäischen Gemeinschaft</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2B45DEF7" w14:textId="4CF38DB2"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Die Einstufung aus dem Jahr 1990 ist überholt. Die derzeitige statistische Systematik der Wirtschaftszweige in der Europäischen Gemeinschaft (NACE) ist in der Verordnung (EG) Nr. 1893/2006 des Europäischen Parlaments und des Rates vom 20. Dezember 2006, zuletzt geändert durch die Delegierte Verordnung (EU) 2023/137 der Kommission vom 10. Oktober 2022, festgelegt.</w:t>
            </w:r>
          </w:p>
        </w:tc>
      </w:tr>
      <w:tr w:rsidR="00E77E8E" w:rsidRPr="00A26A97" w14:paraId="08B712BB"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12E9540F" w14:textId="77777777" w:rsidR="00DB10BC" w:rsidRPr="00A2610D" w:rsidRDefault="00DB10BC" w:rsidP="00B85D50">
            <w:pPr>
              <w:numPr>
                <w:ilvl w:val="0"/>
                <w:numId w:val="5"/>
              </w:numPr>
              <w:spacing w:after="0" w:line="240" w:lineRule="auto"/>
              <w:ind w:left="470" w:hanging="357"/>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1C4A8D42" w14:textId="77777777" w:rsidR="00DB10BC" w:rsidRPr="0078755D" w:rsidRDefault="00DB10BC" w:rsidP="006B1F8A">
            <w:pPr>
              <w:spacing w:after="0" w:line="240" w:lineRule="auto"/>
              <w:rPr>
                <w:rStyle w:val="normaltextrun"/>
                <w:rFonts w:ascii="Times New Roman" w:eastAsia="Times New Roman" w:hAnsi="Times New Roman"/>
                <w:noProof/>
                <w:sz w:val="20"/>
                <w:szCs w:val="20"/>
              </w:rPr>
            </w:pPr>
            <w:r>
              <w:rPr>
                <w:rStyle w:val="normaltextrun"/>
                <w:rFonts w:ascii="Times New Roman" w:hAnsi="Times New Roman"/>
                <w:noProof/>
                <w:sz w:val="20"/>
              </w:rPr>
              <w:t>Europäische Statistiken</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319CD3A" w14:textId="77777777"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Style w:val="normaltextrun"/>
                <w:rFonts w:ascii="Times New Roman" w:hAnsi="Times New Roman"/>
                <w:noProof/>
                <w:sz w:val="20"/>
              </w:rPr>
              <w:t>Entscheidung des Rates vom 25. Juni 1996 zur Verbesserung der Agrarstatistik der Gemeinschaft (96/411/EG)</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3FE32960" w14:textId="77777777"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Die Entscheidung ist überholt. Sie wurde durch neue Verordnungen zur Agrarstatistik (integrierte Statistiken zu landwirtschaftlichen Betrieben, landwirtschaftliche Betriebsmittel und landwirtschaftliche Erzeugung, Landwirtschaftliche Gesamtrechnung) ersetzt.</w:t>
            </w:r>
          </w:p>
        </w:tc>
      </w:tr>
      <w:tr w:rsidR="00E77E8E" w:rsidRPr="00A26A97" w14:paraId="2B6F93E6"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72565504" w14:textId="77777777" w:rsidR="00DB10BC" w:rsidRPr="00A2610D" w:rsidRDefault="00DB10BC" w:rsidP="00B85D50">
            <w:pPr>
              <w:numPr>
                <w:ilvl w:val="0"/>
                <w:numId w:val="5"/>
              </w:numPr>
              <w:spacing w:after="0" w:line="240" w:lineRule="auto"/>
              <w:ind w:left="470" w:hanging="357"/>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7508666C" w14:textId="77777777" w:rsidR="00DB10BC" w:rsidRPr="0078755D" w:rsidRDefault="00DB10BC" w:rsidP="006B1F8A">
            <w:pPr>
              <w:spacing w:after="0" w:line="240" w:lineRule="auto"/>
              <w:rPr>
                <w:rFonts w:ascii="Times New Roman" w:hAnsi="Times New Roman"/>
                <w:noProof/>
                <w:sz w:val="20"/>
                <w:szCs w:val="20"/>
              </w:rPr>
            </w:pPr>
            <w:r>
              <w:rPr>
                <w:rFonts w:ascii="Times New Roman" w:hAnsi="Times New Roman"/>
                <w:noProof/>
                <w:sz w:val="20"/>
              </w:rPr>
              <w:t>Straßengüterverkehr</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5E4E33B2" w14:textId="77777777"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Fonts w:ascii="Times New Roman" w:hAnsi="Times New Roman"/>
                <w:noProof/>
                <w:sz w:val="20"/>
              </w:rPr>
              <w:t>Verordnung (EWG) Nr. 4058/89 des Rates vom 21. Dezember 1989 über die Preisbildung im Güterkraftverkehr zwischen den Mitgliedstaaten</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7922143E" w14:textId="77777777"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Mithilfe moderner EU-Rechtsvorschriften wurde ein umfassender Rahmen für die Regulierung des Straßenverkehrs geschaffen, dessen Schwerpunkt auf Sicherheit, Umweltstandards und fairem Wettbewerb liegt, ohne dass eine Festsetzung von Verkehrstarifen erforderlich ist. Durch Verordnungen wie die Verordnung (EG) Nr. 1071/2009, die Verordnung (EG) Nr. 1072/2009 und die Verordnung (EG) Nr. 1073/2009 wurden die Bestimmungen der Verordnung (EWG) Nr. 4058/89 des Rates praktisch überflüssig und sind dementsprechend hinfällig.</w:t>
            </w:r>
          </w:p>
        </w:tc>
      </w:tr>
    </w:tbl>
    <w:p w14:paraId="3B0E43A3" w14:textId="77777777" w:rsidR="00DF550A" w:rsidRDefault="00DF550A">
      <w:pPr>
        <w:rPr>
          <w:noProof/>
        </w:rPr>
      </w:pPr>
    </w:p>
    <w:p w14:paraId="4E7720AF" w14:textId="77777777" w:rsidR="00311D5E" w:rsidRDefault="00311D5E">
      <w:pPr>
        <w:rPr>
          <w:noProof/>
        </w:rPr>
      </w:pPr>
    </w:p>
    <w:sectPr w:rsidR="00311D5E" w:rsidSect="00053B16">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E037" w14:textId="77777777" w:rsidR="00C152DB" w:rsidRDefault="00C152DB" w:rsidP="00831FEE">
      <w:pPr>
        <w:spacing w:after="0" w:line="240" w:lineRule="auto"/>
      </w:pPr>
      <w:r>
        <w:separator/>
      </w:r>
    </w:p>
  </w:endnote>
  <w:endnote w:type="continuationSeparator" w:id="0">
    <w:p w14:paraId="2C686E47" w14:textId="77777777" w:rsidR="00C152DB" w:rsidRDefault="00C152DB" w:rsidP="00831FEE">
      <w:pPr>
        <w:spacing w:after="0" w:line="240" w:lineRule="auto"/>
      </w:pPr>
      <w:r>
        <w:continuationSeparator/>
      </w:r>
    </w:p>
  </w:endnote>
  <w:endnote w:type="continuationNotice" w:id="1">
    <w:p w14:paraId="74343047" w14:textId="77777777" w:rsidR="00C152DB" w:rsidRDefault="00C15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EB61" w14:textId="064F7A26" w:rsidR="00716BCE" w:rsidRPr="00716BCE" w:rsidRDefault="00716BCE" w:rsidP="00716BCE">
    <w:pPr>
      <w:pStyle w:val="FooterCoverPage"/>
      <w:rPr>
        <w:rFonts w:ascii="Arial" w:hAnsi="Arial" w:cs="Arial"/>
        <w:b/>
        <w:sz w:val="48"/>
      </w:rPr>
    </w:pPr>
    <w:r w:rsidRPr="00716BCE">
      <w:rPr>
        <w:rFonts w:ascii="Arial" w:hAnsi="Arial" w:cs="Arial"/>
        <w:b/>
        <w:sz w:val="48"/>
      </w:rPr>
      <w:t>DE</w:t>
    </w:r>
    <w:r w:rsidRPr="00716BCE">
      <w:rPr>
        <w:rFonts w:ascii="Arial" w:hAnsi="Arial" w:cs="Arial"/>
        <w:b/>
        <w:sz w:val="48"/>
      </w:rPr>
      <w:tab/>
    </w:r>
    <w:r w:rsidRPr="00716BCE">
      <w:rPr>
        <w:rFonts w:ascii="Arial" w:hAnsi="Arial" w:cs="Arial"/>
        <w:b/>
        <w:sz w:val="48"/>
      </w:rPr>
      <w:tab/>
    </w:r>
    <w:r w:rsidRPr="00716BCE">
      <w:tab/>
    </w:r>
    <w:r w:rsidRPr="00716BCE">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5C86" w14:textId="35AEC1EB" w:rsidR="00716BCE" w:rsidRPr="00716BCE" w:rsidRDefault="00716BCE" w:rsidP="00716BCE">
    <w:pPr>
      <w:pStyle w:val="FooterCoverPage"/>
      <w:rPr>
        <w:rFonts w:ascii="Arial" w:hAnsi="Arial" w:cs="Arial"/>
        <w:b/>
        <w:sz w:val="48"/>
      </w:rPr>
    </w:pPr>
    <w:r w:rsidRPr="00716BCE">
      <w:rPr>
        <w:rFonts w:ascii="Arial" w:hAnsi="Arial" w:cs="Arial"/>
        <w:b/>
        <w:sz w:val="48"/>
      </w:rPr>
      <w:t>DE</w:t>
    </w:r>
    <w:r w:rsidRPr="00716BCE">
      <w:rPr>
        <w:rFonts w:ascii="Arial" w:hAnsi="Arial" w:cs="Arial"/>
        <w:b/>
        <w:sz w:val="48"/>
      </w:rPr>
      <w:tab/>
    </w:r>
    <w:r w:rsidRPr="00716BCE">
      <w:rPr>
        <w:rFonts w:ascii="Arial" w:hAnsi="Arial" w:cs="Arial"/>
        <w:b/>
        <w:sz w:val="48"/>
      </w:rPr>
      <w:tab/>
    </w:r>
    <w:r w:rsidRPr="00716BCE">
      <w:tab/>
    </w:r>
    <w:r w:rsidRPr="00716BC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7C63E" w14:textId="77777777" w:rsidR="00716BCE" w:rsidRPr="00716BCE" w:rsidRDefault="00716BCE" w:rsidP="00716B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72D0" w14:textId="77777777" w:rsidR="00053B16" w:rsidRDefault="00053B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43822868"/>
      <w:docPartObj>
        <w:docPartGallery w:val="Page Numbers (Bottom of Page)"/>
        <w:docPartUnique/>
      </w:docPartObj>
    </w:sdtPr>
    <w:sdtEndPr/>
    <w:sdtContent>
      <w:p w14:paraId="70A6B590" w14:textId="42E56781" w:rsidR="00423439" w:rsidRPr="00173616" w:rsidRDefault="00423439">
        <w:pPr>
          <w:pStyle w:val="Footer"/>
          <w:jc w:val="right"/>
          <w:rPr>
            <w:rFonts w:ascii="Times New Roman" w:hAnsi="Times New Roman" w:cs="Times New Roman"/>
            <w:sz w:val="16"/>
            <w:szCs w:val="16"/>
          </w:rPr>
        </w:pPr>
        <w:r>
          <w:rPr>
            <w:rFonts w:ascii="Times New Roman" w:hAnsi="Times New Roman" w:cs="Times New Roman"/>
            <w:sz w:val="16"/>
          </w:rPr>
          <w:fldChar w:fldCharType="begin"/>
        </w:r>
        <w:r>
          <w:rPr>
            <w:rFonts w:ascii="Times New Roman" w:hAnsi="Times New Roman" w:cs="Times New Roman"/>
            <w:sz w:val="16"/>
          </w:rPr>
          <w:instrText xml:space="preserve"> PAGE   \* MERGEFORMAT </w:instrText>
        </w:r>
        <w:r>
          <w:rPr>
            <w:rFonts w:ascii="Times New Roman" w:hAnsi="Times New Roman" w:cs="Times New Roman"/>
            <w:sz w:val="16"/>
          </w:rPr>
          <w:fldChar w:fldCharType="separate"/>
        </w:r>
        <w:r w:rsidR="00716BCE">
          <w:rPr>
            <w:rFonts w:ascii="Times New Roman" w:hAnsi="Times New Roman" w:cs="Times New Roman"/>
            <w:noProof/>
            <w:sz w:val="16"/>
          </w:rPr>
          <w:t>1</w:t>
        </w:r>
        <w:r>
          <w:rPr>
            <w:rFonts w:ascii="Times New Roman" w:hAnsi="Times New Roman" w:cs="Times New Roman"/>
            <w:sz w:val="16"/>
          </w:rPr>
          <w:fldChar w:fldCharType="end"/>
        </w:r>
      </w:p>
    </w:sdtContent>
  </w:sdt>
  <w:p w14:paraId="3B13CEF4" w14:textId="77777777" w:rsidR="00053B16" w:rsidRDefault="00053B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9A42" w14:textId="77777777" w:rsidR="00053B16" w:rsidRDefault="0005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73855" w14:textId="77777777" w:rsidR="00C152DB" w:rsidRDefault="00C152DB" w:rsidP="00831FEE">
      <w:pPr>
        <w:spacing w:after="0" w:line="240" w:lineRule="auto"/>
      </w:pPr>
      <w:r>
        <w:separator/>
      </w:r>
    </w:p>
  </w:footnote>
  <w:footnote w:type="continuationSeparator" w:id="0">
    <w:p w14:paraId="15CC7504" w14:textId="77777777" w:rsidR="00C152DB" w:rsidRDefault="00C152DB" w:rsidP="00831FEE">
      <w:pPr>
        <w:spacing w:after="0" w:line="240" w:lineRule="auto"/>
      </w:pPr>
      <w:r>
        <w:continuationSeparator/>
      </w:r>
    </w:p>
  </w:footnote>
  <w:footnote w:type="continuationNotice" w:id="1">
    <w:p w14:paraId="42447FFF" w14:textId="77777777" w:rsidR="00C152DB" w:rsidRDefault="00C152DB">
      <w:pPr>
        <w:spacing w:after="0" w:line="240" w:lineRule="auto"/>
      </w:pPr>
    </w:p>
  </w:footnote>
  <w:footnote w:id="2">
    <w:p w14:paraId="2E375007" w14:textId="77777777" w:rsidR="00305F66" w:rsidRPr="003E2201" w:rsidRDefault="00305F66" w:rsidP="00A80851">
      <w:pPr>
        <w:pStyle w:val="FootnoteText"/>
        <w:ind w:left="0" w:hanging="284"/>
      </w:pPr>
      <w:r>
        <w:rPr>
          <w:rStyle w:val="FootnoteReference"/>
          <w:rFonts w:eastAsiaTheme="majorEastAsia"/>
        </w:rPr>
        <w:footnoteRef/>
      </w:r>
      <w:r>
        <w:tab/>
        <w:t xml:space="preserve">Im Einklang mit der Interinstitutionellen Vereinbarung über bessere Rechtsetzung stellt die Kommission in diesem Anhang – soweit verfügbar – weitere Informationen zu den in ihrem Arbeitsprogramm enthaltenen Initiativen bereit. Bei den Informationen, die bei den einzelnen Initiativen in Klammern aufgeführt sind, handelt es sich um vorläufige Angaben, die sich im Laufe des Vorbereitungsprozesses und insbesondere infolge der Ergebnisse einer etwaigen Folgenabschätzung noch ändern können. Vereinfachungsinitiativen oder Initiativen mit großem Vereinfachungspotenzial sind </w:t>
      </w:r>
      <w:r>
        <w:rPr>
          <w:shd w:val="clear" w:color="auto" w:fill="C1E4F5" w:themeFill="accent1" w:themeFillTint="33"/>
        </w:rPr>
        <w:t>blau hinterlegt</w:t>
      </w:r>
      <w:r>
        <w:t>.</w:t>
      </w:r>
    </w:p>
  </w:footnote>
  <w:footnote w:id="3">
    <w:p w14:paraId="7F0E153B" w14:textId="77777777" w:rsidR="00BE2853" w:rsidRPr="00592B6F" w:rsidRDefault="00BE2853" w:rsidP="00BE2853">
      <w:pPr>
        <w:pStyle w:val="FootnoteText"/>
        <w:ind w:left="0"/>
      </w:pPr>
      <w:r>
        <w:rPr>
          <w:rStyle w:val="FootnoteReference"/>
        </w:rPr>
        <w:footnoteRef/>
      </w:r>
      <w:r>
        <w:tab/>
        <w:t xml:space="preserve">Diese Liste enthält anhängige Gesetzgebungsvorschläge, die die Kommission innerhalb der nächsten sechs Monate zurückzunehmen gedenkt.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DC94" w14:textId="77777777" w:rsidR="00716BCE" w:rsidRPr="00716BCE" w:rsidRDefault="00716BCE" w:rsidP="00716BC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16BF" w14:textId="77777777" w:rsidR="00716BCE" w:rsidRPr="00716BCE" w:rsidRDefault="00716BCE" w:rsidP="00716B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0A6B" w14:textId="77777777" w:rsidR="00716BCE" w:rsidRPr="00716BCE" w:rsidRDefault="00716BCE" w:rsidP="00716B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8670" w14:textId="77777777" w:rsidR="00053B16" w:rsidRDefault="00053B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F212" w14:textId="67431946" w:rsidR="00053B16" w:rsidRPr="00CC0BE2" w:rsidRDefault="00053B16" w:rsidP="00A36824">
    <w:pPr>
      <w:pStyle w:val="Header"/>
      <w:ind w:right="-223"/>
      <w:jc w:val="right"/>
      <w:rPr>
        <w:rFonts w:ascii="Times New Roman" w:hAnsi="Times New Roman" w:cs="Times New Roman"/>
        <w:sz w:val="20"/>
        <w:szCs w:val="20"/>
        <w:lang w:val="fr-BE"/>
      </w:rPr>
    </w:pPr>
  </w:p>
  <w:p w14:paraId="247C4561" w14:textId="4FA6AAA9" w:rsidR="00CC0BE2" w:rsidRPr="00CC0BE2" w:rsidRDefault="00CC0BE2" w:rsidP="00A36824">
    <w:pPr>
      <w:pStyle w:val="Header"/>
      <w:ind w:right="-223"/>
      <w:jc w:val="right"/>
      <w:rPr>
        <w:rFonts w:ascii="Times New Roman" w:hAnsi="Times New Roman" w:cs="Times New Roman"/>
        <w:sz w:val="20"/>
        <w:szCs w:val="20"/>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74EF7" w14:textId="77777777" w:rsidR="00053B16" w:rsidRDefault="00053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34FE"/>
    <w:multiLevelType w:val="hybridMultilevel"/>
    <w:tmpl w:val="25BE5CB4"/>
    <w:lvl w:ilvl="0" w:tplc="819006E2">
      <w:start w:val="1"/>
      <w:numFmt w:val="decimal"/>
      <w:lvlText w:val="%1."/>
      <w:lvlJc w:val="left"/>
      <w:pPr>
        <w:ind w:left="363" w:hanging="363"/>
      </w:pPr>
      <w:rPr>
        <w:rFonts w:hint="default"/>
        <w:b w:val="0"/>
        <w:sz w:val="20"/>
        <w:szCs w:val="20"/>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 w15:restartNumberingAfterBreak="0">
    <w:nsid w:val="1AFF6AC2"/>
    <w:multiLevelType w:val="hybridMultilevel"/>
    <w:tmpl w:val="B6DA6FF4"/>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633FB9"/>
    <w:multiLevelType w:val="hybridMultilevel"/>
    <w:tmpl w:val="DDF223B4"/>
    <w:lvl w:ilvl="0" w:tplc="FFFFFFFF">
      <w:start w:val="1"/>
      <w:numFmt w:val="decimal"/>
      <w:lvlText w:val="%1."/>
      <w:lvlJc w:val="left"/>
      <w:pPr>
        <w:ind w:left="363" w:hanging="363"/>
      </w:pPr>
      <w:rPr>
        <w:rFonts w:hint="default"/>
        <w:b w:val="0"/>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357B7E92"/>
    <w:multiLevelType w:val="hybridMultilevel"/>
    <w:tmpl w:val="DDF223B4"/>
    <w:lvl w:ilvl="0" w:tplc="150EFE18">
      <w:start w:val="1"/>
      <w:numFmt w:val="decimal"/>
      <w:lvlText w:val="%1."/>
      <w:lvlJc w:val="left"/>
      <w:pPr>
        <w:ind w:left="720" w:hanging="363"/>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7B2722"/>
    <w:multiLevelType w:val="hybridMultilevel"/>
    <w:tmpl w:val="B6DA6FF4"/>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6C143F"/>
    <w:multiLevelType w:val="hybridMultilevel"/>
    <w:tmpl w:val="C0E0C20A"/>
    <w:lvl w:ilvl="0" w:tplc="B8E48B0A">
      <w:start w:val="1"/>
      <w:numFmt w:val="decimal"/>
      <w:lvlText w:val="%1."/>
      <w:lvlJc w:val="left"/>
      <w:pPr>
        <w:ind w:left="1440"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4E722D81"/>
    <w:multiLevelType w:val="hybridMultilevel"/>
    <w:tmpl w:val="37EA63AE"/>
    <w:lvl w:ilvl="0" w:tplc="BAFCF44E">
      <w:start w:val="1"/>
      <w:numFmt w:val="decimal"/>
      <w:lvlText w:val="%1."/>
      <w:lvlJc w:val="left"/>
      <w:pPr>
        <w:ind w:left="786" w:hanging="360"/>
      </w:pPr>
      <w:rPr>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8D95CA1"/>
    <w:multiLevelType w:val="hybridMultilevel"/>
    <w:tmpl w:val="DDF223B4"/>
    <w:lvl w:ilvl="0" w:tplc="FFFFFFFF">
      <w:start w:val="1"/>
      <w:numFmt w:val="decimal"/>
      <w:lvlText w:val="%1."/>
      <w:lvlJc w:val="left"/>
      <w:pPr>
        <w:ind w:left="363" w:hanging="363"/>
      </w:pPr>
      <w:rPr>
        <w:rFonts w:hint="default"/>
        <w:b w:val="0"/>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er"/>
    <w:docVar w:name="LW_ANNEX_NBR_FIRST" w:val="1"/>
    <w:docVar w:name="LW_ANNEX_NBR_LAST" w:val="5"/>
    <w:docVar w:name="LW_ANNEX_UNIQUE" w:val="0"/>
    <w:docVar w:name="LW_CORRIGENDUM" w:val="&lt;UNUSED&gt;"/>
    <w:docVar w:name="LW_COVERPAGE_EXISTS" w:val="True"/>
    <w:docVar w:name="LW_COVERPAGE_GUID" w:val="47DACEDA-16F0-4303-B7E9-0940A250687C"/>
    <w:docVar w:name="LW_COVERPAGE_TYPE" w:val="1"/>
    <w:docVar w:name="LW_CROSSREFERENCE" w:val="&lt;UNUSED&gt;"/>
    <w:docVar w:name="LW_DocType" w:val="NORMAL"/>
    <w:docVar w:name="LW_EMISSION" w:val="11.2.2025"/>
    <w:docVar w:name="LW_EMISSION_ISODATE" w:val="2025-02-11"/>
    <w:docVar w:name="LW_EMISSION_LOCATION" w:val="STR"/>
    <w:docVar w:name="LW_EMISSION_PREFIX" w:val="Straßburg,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Arbeitsprogramm der Kommission für 2025_x000d__x000d__x000d__x000d__x000b__x000d__x000d__x000d__x000d__x000d__x000d__x000d__x000d__x000d__x000d__x000d__x000d__x000b__x000d__x000d__x000d__x000d__x000d__x000d__x000d__x000d__x000d__x000b__x000d__x000d__x000d__x000d__x000d__x000d__x000d__x000d__x000d__x000b__x000d__x000d__x000d__x000d__x000d__x000d__x000d__x000d__x000d__x000b__x000d_Gemeinsam voranschreiten: Eine mutigere, unkompliziertere und schnellere Union"/>
    <w:docVar w:name="LW_PART_NBR" w:val="&lt;UNUSED&gt;"/>
    <w:docVar w:name="LW_PART_NBR_TOTAL" w:val="&lt;UNUSED&gt;"/>
    <w:docVar w:name="LW_REF.INST.NEW" w:val="COM"/>
    <w:docVar w:name="LW_REF.INST.NEW_ADOPTED" w:val="final"/>
    <w:docVar w:name="LW_REF.INST.NEW_TEXT" w:val="(2025) 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ÄNGE_x000b_"/>
    <w:docVar w:name="LW_TYPEACTEPRINCIPAL.CP" w:val="MITTEILUNG DER KOMMISSION AN DAS EUROPÄISCHE PARLAMENT, DEN RAT, DEN EUROPÄISCHEN WIRTSCHAFTS- UND SOZIALAUSSCHUSS UND DEN AUSSCHUSS DER REGIONEN"/>
    <w:docVar w:name="LwApiVersions" w:val="LW4CoDe 1.24.5.0; LW 9.0, Build 20240221"/>
  </w:docVars>
  <w:rsids>
    <w:rsidRoot w:val="032C8567"/>
    <w:rsid w:val="00000007"/>
    <w:rsid w:val="00000051"/>
    <w:rsid w:val="00000797"/>
    <w:rsid w:val="0000088A"/>
    <w:rsid w:val="000010C8"/>
    <w:rsid w:val="00001426"/>
    <w:rsid w:val="000014F1"/>
    <w:rsid w:val="00001FAE"/>
    <w:rsid w:val="00002323"/>
    <w:rsid w:val="000027F7"/>
    <w:rsid w:val="00002CAB"/>
    <w:rsid w:val="0000381F"/>
    <w:rsid w:val="00004354"/>
    <w:rsid w:val="00004394"/>
    <w:rsid w:val="000043E5"/>
    <w:rsid w:val="000045A1"/>
    <w:rsid w:val="00004BFF"/>
    <w:rsid w:val="00004DF8"/>
    <w:rsid w:val="000050CC"/>
    <w:rsid w:val="000051B3"/>
    <w:rsid w:val="00006736"/>
    <w:rsid w:val="00007122"/>
    <w:rsid w:val="0000738F"/>
    <w:rsid w:val="000079E0"/>
    <w:rsid w:val="00010AC4"/>
    <w:rsid w:val="000112AF"/>
    <w:rsid w:val="00011FD4"/>
    <w:rsid w:val="000127A8"/>
    <w:rsid w:val="00012E78"/>
    <w:rsid w:val="00013077"/>
    <w:rsid w:val="000131C8"/>
    <w:rsid w:val="0001369D"/>
    <w:rsid w:val="00013A88"/>
    <w:rsid w:val="0001467F"/>
    <w:rsid w:val="00014C27"/>
    <w:rsid w:val="00014C87"/>
    <w:rsid w:val="000154BF"/>
    <w:rsid w:val="00016F89"/>
    <w:rsid w:val="0001788C"/>
    <w:rsid w:val="00017B8D"/>
    <w:rsid w:val="00020112"/>
    <w:rsid w:val="00020260"/>
    <w:rsid w:val="000207ED"/>
    <w:rsid w:val="000210ED"/>
    <w:rsid w:val="000211EB"/>
    <w:rsid w:val="00021C9F"/>
    <w:rsid w:val="00021E93"/>
    <w:rsid w:val="000224DE"/>
    <w:rsid w:val="00022714"/>
    <w:rsid w:val="0002371E"/>
    <w:rsid w:val="000240F0"/>
    <w:rsid w:val="00024E51"/>
    <w:rsid w:val="00024E97"/>
    <w:rsid w:val="000252D2"/>
    <w:rsid w:val="00025762"/>
    <w:rsid w:val="00026218"/>
    <w:rsid w:val="00026BC4"/>
    <w:rsid w:val="00026D47"/>
    <w:rsid w:val="000270D0"/>
    <w:rsid w:val="00027357"/>
    <w:rsid w:val="000276C4"/>
    <w:rsid w:val="00027B46"/>
    <w:rsid w:val="00027BF8"/>
    <w:rsid w:val="000300CA"/>
    <w:rsid w:val="000321E8"/>
    <w:rsid w:val="000323E7"/>
    <w:rsid w:val="00032F2B"/>
    <w:rsid w:val="000338D1"/>
    <w:rsid w:val="0003561F"/>
    <w:rsid w:val="000356C9"/>
    <w:rsid w:val="00035B20"/>
    <w:rsid w:val="00036385"/>
    <w:rsid w:val="000373FE"/>
    <w:rsid w:val="000379D4"/>
    <w:rsid w:val="00037F7D"/>
    <w:rsid w:val="00040090"/>
    <w:rsid w:val="00040FBE"/>
    <w:rsid w:val="000410CB"/>
    <w:rsid w:val="00041783"/>
    <w:rsid w:val="00041D9D"/>
    <w:rsid w:val="00041EFD"/>
    <w:rsid w:val="00042C59"/>
    <w:rsid w:val="00042CCE"/>
    <w:rsid w:val="00042DE7"/>
    <w:rsid w:val="00042E5F"/>
    <w:rsid w:val="00043441"/>
    <w:rsid w:val="00043690"/>
    <w:rsid w:val="000436FE"/>
    <w:rsid w:val="00043CE7"/>
    <w:rsid w:val="0004407C"/>
    <w:rsid w:val="000444CE"/>
    <w:rsid w:val="00044BC1"/>
    <w:rsid w:val="00044C12"/>
    <w:rsid w:val="00044EF5"/>
    <w:rsid w:val="00045268"/>
    <w:rsid w:val="0004739A"/>
    <w:rsid w:val="000475EC"/>
    <w:rsid w:val="00050177"/>
    <w:rsid w:val="00050670"/>
    <w:rsid w:val="00050812"/>
    <w:rsid w:val="00050B45"/>
    <w:rsid w:val="00050D2E"/>
    <w:rsid w:val="0005102C"/>
    <w:rsid w:val="000512DF"/>
    <w:rsid w:val="00051A16"/>
    <w:rsid w:val="00051C20"/>
    <w:rsid w:val="00051C66"/>
    <w:rsid w:val="00052B9A"/>
    <w:rsid w:val="00053A7B"/>
    <w:rsid w:val="00053B16"/>
    <w:rsid w:val="00053B1F"/>
    <w:rsid w:val="0005448C"/>
    <w:rsid w:val="00055292"/>
    <w:rsid w:val="000552F0"/>
    <w:rsid w:val="0005585D"/>
    <w:rsid w:val="00055F80"/>
    <w:rsid w:val="00055FFF"/>
    <w:rsid w:val="00056D37"/>
    <w:rsid w:val="000570F4"/>
    <w:rsid w:val="000573A8"/>
    <w:rsid w:val="00057673"/>
    <w:rsid w:val="00057A86"/>
    <w:rsid w:val="0006034B"/>
    <w:rsid w:val="000604EE"/>
    <w:rsid w:val="0006121D"/>
    <w:rsid w:val="000617EB"/>
    <w:rsid w:val="00061AAE"/>
    <w:rsid w:val="00061E79"/>
    <w:rsid w:val="00062AAF"/>
    <w:rsid w:val="00063055"/>
    <w:rsid w:val="000636B5"/>
    <w:rsid w:val="0006388D"/>
    <w:rsid w:val="00063F28"/>
    <w:rsid w:val="000641D5"/>
    <w:rsid w:val="00065404"/>
    <w:rsid w:val="00065619"/>
    <w:rsid w:val="00066690"/>
    <w:rsid w:val="00066F19"/>
    <w:rsid w:val="00067191"/>
    <w:rsid w:val="0006790D"/>
    <w:rsid w:val="00067A58"/>
    <w:rsid w:val="00067E07"/>
    <w:rsid w:val="00070169"/>
    <w:rsid w:val="00070437"/>
    <w:rsid w:val="00070B83"/>
    <w:rsid w:val="00070CA6"/>
    <w:rsid w:val="00070F00"/>
    <w:rsid w:val="00071EF8"/>
    <w:rsid w:val="00071F72"/>
    <w:rsid w:val="000728F6"/>
    <w:rsid w:val="00072CD4"/>
    <w:rsid w:val="0007393A"/>
    <w:rsid w:val="00073DC6"/>
    <w:rsid w:val="00073E22"/>
    <w:rsid w:val="00073ECD"/>
    <w:rsid w:val="00074289"/>
    <w:rsid w:val="00074AD0"/>
    <w:rsid w:val="00074FF6"/>
    <w:rsid w:val="00075005"/>
    <w:rsid w:val="00075D28"/>
    <w:rsid w:val="00075F2B"/>
    <w:rsid w:val="00076166"/>
    <w:rsid w:val="0007621C"/>
    <w:rsid w:val="00076D81"/>
    <w:rsid w:val="0007707F"/>
    <w:rsid w:val="000770DC"/>
    <w:rsid w:val="000773A1"/>
    <w:rsid w:val="00077A61"/>
    <w:rsid w:val="00077EE3"/>
    <w:rsid w:val="00080955"/>
    <w:rsid w:val="00080DF0"/>
    <w:rsid w:val="00081129"/>
    <w:rsid w:val="00081E27"/>
    <w:rsid w:val="00081F2D"/>
    <w:rsid w:val="00082E47"/>
    <w:rsid w:val="00083409"/>
    <w:rsid w:val="000839F9"/>
    <w:rsid w:val="00083BB3"/>
    <w:rsid w:val="00083C79"/>
    <w:rsid w:val="00084083"/>
    <w:rsid w:val="0008431D"/>
    <w:rsid w:val="00084B9F"/>
    <w:rsid w:val="00085055"/>
    <w:rsid w:val="00085354"/>
    <w:rsid w:val="000858C8"/>
    <w:rsid w:val="00085D15"/>
    <w:rsid w:val="00085E6D"/>
    <w:rsid w:val="00086895"/>
    <w:rsid w:val="00086B1A"/>
    <w:rsid w:val="00087537"/>
    <w:rsid w:val="0008783A"/>
    <w:rsid w:val="000901F6"/>
    <w:rsid w:val="00090294"/>
    <w:rsid w:val="00090462"/>
    <w:rsid w:val="00090735"/>
    <w:rsid w:val="000909AF"/>
    <w:rsid w:val="00091693"/>
    <w:rsid w:val="00091ACB"/>
    <w:rsid w:val="00091CCA"/>
    <w:rsid w:val="00091FCD"/>
    <w:rsid w:val="0009229C"/>
    <w:rsid w:val="00092401"/>
    <w:rsid w:val="000932FE"/>
    <w:rsid w:val="00093438"/>
    <w:rsid w:val="00093691"/>
    <w:rsid w:val="000949A9"/>
    <w:rsid w:val="00094C28"/>
    <w:rsid w:val="000952B8"/>
    <w:rsid w:val="00095956"/>
    <w:rsid w:val="00095B42"/>
    <w:rsid w:val="00095D95"/>
    <w:rsid w:val="00095E59"/>
    <w:rsid w:val="00095F32"/>
    <w:rsid w:val="00095FEA"/>
    <w:rsid w:val="00096C6A"/>
    <w:rsid w:val="00097071"/>
    <w:rsid w:val="00097136"/>
    <w:rsid w:val="00097374"/>
    <w:rsid w:val="00097C14"/>
    <w:rsid w:val="000A009D"/>
    <w:rsid w:val="000A046E"/>
    <w:rsid w:val="000A0BE2"/>
    <w:rsid w:val="000A0D32"/>
    <w:rsid w:val="000A1691"/>
    <w:rsid w:val="000A1C42"/>
    <w:rsid w:val="000A2B26"/>
    <w:rsid w:val="000A3126"/>
    <w:rsid w:val="000A31B9"/>
    <w:rsid w:val="000A32F4"/>
    <w:rsid w:val="000A3629"/>
    <w:rsid w:val="000A4621"/>
    <w:rsid w:val="000A4BD5"/>
    <w:rsid w:val="000A4D4C"/>
    <w:rsid w:val="000A4F20"/>
    <w:rsid w:val="000A5793"/>
    <w:rsid w:val="000A59D0"/>
    <w:rsid w:val="000A68DF"/>
    <w:rsid w:val="000A7B57"/>
    <w:rsid w:val="000B002C"/>
    <w:rsid w:val="000B0145"/>
    <w:rsid w:val="000B024A"/>
    <w:rsid w:val="000B0318"/>
    <w:rsid w:val="000B06EB"/>
    <w:rsid w:val="000B102B"/>
    <w:rsid w:val="000B140F"/>
    <w:rsid w:val="000B1EC0"/>
    <w:rsid w:val="000B26A2"/>
    <w:rsid w:val="000B296A"/>
    <w:rsid w:val="000B2D04"/>
    <w:rsid w:val="000B2F79"/>
    <w:rsid w:val="000B32C5"/>
    <w:rsid w:val="000B3444"/>
    <w:rsid w:val="000B3650"/>
    <w:rsid w:val="000B49A6"/>
    <w:rsid w:val="000B4DB0"/>
    <w:rsid w:val="000B54BE"/>
    <w:rsid w:val="000B560F"/>
    <w:rsid w:val="000B57F5"/>
    <w:rsid w:val="000B586A"/>
    <w:rsid w:val="000B5989"/>
    <w:rsid w:val="000B5D5E"/>
    <w:rsid w:val="000B6146"/>
    <w:rsid w:val="000B66E4"/>
    <w:rsid w:val="000B6C55"/>
    <w:rsid w:val="000B7287"/>
    <w:rsid w:val="000B7730"/>
    <w:rsid w:val="000C07DE"/>
    <w:rsid w:val="000C0AE8"/>
    <w:rsid w:val="000C0FD0"/>
    <w:rsid w:val="000C161E"/>
    <w:rsid w:val="000C1869"/>
    <w:rsid w:val="000C1A80"/>
    <w:rsid w:val="000C1B22"/>
    <w:rsid w:val="000C1FA0"/>
    <w:rsid w:val="000C298C"/>
    <w:rsid w:val="000C2BD9"/>
    <w:rsid w:val="000C2DD2"/>
    <w:rsid w:val="000C2EB1"/>
    <w:rsid w:val="000C3001"/>
    <w:rsid w:val="000C312C"/>
    <w:rsid w:val="000C34DE"/>
    <w:rsid w:val="000C3839"/>
    <w:rsid w:val="000C3D1D"/>
    <w:rsid w:val="000C3E87"/>
    <w:rsid w:val="000C4149"/>
    <w:rsid w:val="000C419F"/>
    <w:rsid w:val="000C5917"/>
    <w:rsid w:val="000C6170"/>
    <w:rsid w:val="000C62D1"/>
    <w:rsid w:val="000C6737"/>
    <w:rsid w:val="000C683F"/>
    <w:rsid w:val="000C6C0D"/>
    <w:rsid w:val="000C6E69"/>
    <w:rsid w:val="000C721B"/>
    <w:rsid w:val="000C73A0"/>
    <w:rsid w:val="000C7505"/>
    <w:rsid w:val="000C7652"/>
    <w:rsid w:val="000C7DEB"/>
    <w:rsid w:val="000C7F0F"/>
    <w:rsid w:val="000D0181"/>
    <w:rsid w:val="000D0471"/>
    <w:rsid w:val="000D0C87"/>
    <w:rsid w:val="000D0F8A"/>
    <w:rsid w:val="000D1EA5"/>
    <w:rsid w:val="000D24CA"/>
    <w:rsid w:val="000D344A"/>
    <w:rsid w:val="000D3CDB"/>
    <w:rsid w:val="000D4D6D"/>
    <w:rsid w:val="000D5071"/>
    <w:rsid w:val="000D5228"/>
    <w:rsid w:val="000D534E"/>
    <w:rsid w:val="000D57CE"/>
    <w:rsid w:val="000D5C22"/>
    <w:rsid w:val="000D5EDD"/>
    <w:rsid w:val="000D666B"/>
    <w:rsid w:val="000D6D3F"/>
    <w:rsid w:val="000D75D4"/>
    <w:rsid w:val="000D7617"/>
    <w:rsid w:val="000D7A9B"/>
    <w:rsid w:val="000D7BE8"/>
    <w:rsid w:val="000E0120"/>
    <w:rsid w:val="000E04E0"/>
    <w:rsid w:val="000E064A"/>
    <w:rsid w:val="000E0693"/>
    <w:rsid w:val="000E09C2"/>
    <w:rsid w:val="000E0D2D"/>
    <w:rsid w:val="000E1956"/>
    <w:rsid w:val="000E1B2C"/>
    <w:rsid w:val="000E2681"/>
    <w:rsid w:val="000E4485"/>
    <w:rsid w:val="000E467B"/>
    <w:rsid w:val="000E4901"/>
    <w:rsid w:val="000E50FA"/>
    <w:rsid w:val="000E5787"/>
    <w:rsid w:val="000E59C0"/>
    <w:rsid w:val="000E679F"/>
    <w:rsid w:val="000E6F8D"/>
    <w:rsid w:val="000E7E85"/>
    <w:rsid w:val="000F0EB4"/>
    <w:rsid w:val="000F1021"/>
    <w:rsid w:val="000F171E"/>
    <w:rsid w:val="000F1952"/>
    <w:rsid w:val="000F1C73"/>
    <w:rsid w:val="000F1E14"/>
    <w:rsid w:val="000F20A2"/>
    <w:rsid w:val="000F2360"/>
    <w:rsid w:val="000F23A6"/>
    <w:rsid w:val="000F276B"/>
    <w:rsid w:val="000F2F2A"/>
    <w:rsid w:val="000F364F"/>
    <w:rsid w:val="000F3D7C"/>
    <w:rsid w:val="000F3EE7"/>
    <w:rsid w:val="000F40CC"/>
    <w:rsid w:val="000F4ADA"/>
    <w:rsid w:val="000F58A0"/>
    <w:rsid w:val="000F62B7"/>
    <w:rsid w:val="000F63BD"/>
    <w:rsid w:val="000F6C36"/>
    <w:rsid w:val="000F6E18"/>
    <w:rsid w:val="000F781D"/>
    <w:rsid w:val="000F7A79"/>
    <w:rsid w:val="000F7C7A"/>
    <w:rsid w:val="000F7D2C"/>
    <w:rsid w:val="000F7D46"/>
    <w:rsid w:val="00100578"/>
    <w:rsid w:val="00100594"/>
    <w:rsid w:val="00100B17"/>
    <w:rsid w:val="00100E7D"/>
    <w:rsid w:val="001011AD"/>
    <w:rsid w:val="0010153C"/>
    <w:rsid w:val="00101A69"/>
    <w:rsid w:val="00101C82"/>
    <w:rsid w:val="001021A8"/>
    <w:rsid w:val="001021D8"/>
    <w:rsid w:val="001032B2"/>
    <w:rsid w:val="001035D2"/>
    <w:rsid w:val="00103C7A"/>
    <w:rsid w:val="00104548"/>
    <w:rsid w:val="001048F6"/>
    <w:rsid w:val="00104C5D"/>
    <w:rsid w:val="00104FDF"/>
    <w:rsid w:val="0010692B"/>
    <w:rsid w:val="00106DD2"/>
    <w:rsid w:val="00106E0D"/>
    <w:rsid w:val="00107095"/>
    <w:rsid w:val="0010709F"/>
    <w:rsid w:val="001075CA"/>
    <w:rsid w:val="001078FE"/>
    <w:rsid w:val="00107AB1"/>
    <w:rsid w:val="00107DC6"/>
    <w:rsid w:val="00110509"/>
    <w:rsid w:val="001107BB"/>
    <w:rsid w:val="00110C93"/>
    <w:rsid w:val="00111EA3"/>
    <w:rsid w:val="00111F79"/>
    <w:rsid w:val="00112342"/>
    <w:rsid w:val="00112A6D"/>
    <w:rsid w:val="00112DBD"/>
    <w:rsid w:val="00113045"/>
    <w:rsid w:val="0011380A"/>
    <w:rsid w:val="00113830"/>
    <w:rsid w:val="00113B86"/>
    <w:rsid w:val="00113F6D"/>
    <w:rsid w:val="0011410B"/>
    <w:rsid w:val="00114D80"/>
    <w:rsid w:val="00115422"/>
    <w:rsid w:val="00115B19"/>
    <w:rsid w:val="00115C50"/>
    <w:rsid w:val="00115CE1"/>
    <w:rsid w:val="0011623C"/>
    <w:rsid w:val="00116AA5"/>
    <w:rsid w:val="0011766F"/>
    <w:rsid w:val="0011773E"/>
    <w:rsid w:val="00117C17"/>
    <w:rsid w:val="00117D42"/>
    <w:rsid w:val="0012009C"/>
    <w:rsid w:val="00120145"/>
    <w:rsid w:val="00120D83"/>
    <w:rsid w:val="0012100E"/>
    <w:rsid w:val="00121015"/>
    <w:rsid w:val="001216FC"/>
    <w:rsid w:val="00121C40"/>
    <w:rsid w:val="0012249E"/>
    <w:rsid w:val="00122605"/>
    <w:rsid w:val="00122D58"/>
    <w:rsid w:val="00123341"/>
    <w:rsid w:val="001243A3"/>
    <w:rsid w:val="0012499B"/>
    <w:rsid w:val="00124F9D"/>
    <w:rsid w:val="00125388"/>
    <w:rsid w:val="001254F7"/>
    <w:rsid w:val="00125729"/>
    <w:rsid w:val="00125DB5"/>
    <w:rsid w:val="00125E9B"/>
    <w:rsid w:val="00127732"/>
    <w:rsid w:val="0013051B"/>
    <w:rsid w:val="00130558"/>
    <w:rsid w:val="00130B56"/>
    <w:rsid w:val="00131766"/>
    <w:rsid w:val="0013216E"/>
    <w:rsid w:val="00132370"/>
    <w:rsid w:val="00132938"/>
    <w:rsid w:val="00132995"/>
    <w:rsid w:val="001329F4"/>
    <w:rsid w:val="00132DC3"/>
    <w:rsid w:val="0013384F"/>
    <w:rsid w:val="00133E62"/>
    <w:rsid w:val="00134043"/>
    <w:rsid w:val="001341A9"/>
    <w:rsid w:val="00134725"/>
    <w:rsid w:val="00135232"/>
    <w:rsid w:val="00136048"/>
    <w:rsid w:val="00136920"/>
    <w:rsid w:val="00136C17"/>
    <w:rsid w:val="00136F6A"/>
    <w:rsid w:val="00137483"/>
    <w:rsid w:val="0014004C"/>
    <w:rsid w:val="00140147"/>
    <w:rsid w:val="0014076D"/>
    <w:rsid w:val="00141C42"/>
    <w:rsid w:val="0014239E"/>
    <w:rsid w:val="001436FD"/>
    <w:rsid w:val="00143E60"/>
    <w:rsid w:val="00144150"/>
    <w:rsid w:val="001449B5"/>
    <w:rsid w:val="00144B2D"/>
    <w:rsid w:val="00144EA1"/>
    <w:rsid w:val="00145422"/>
    <w:rsid w:val="00145BBC"/>
    <w:rsid w:val="00145E58"/>
    <w:rsid w:val="0014639E"/>
    <w:rsid w:val="001468D8"/>
    <w:rsid w:val="00146939"/>
    <w:rsid w:val="00147339"/>
    <w:rsid w:val="001473D4"/>
    <w:rsid w:val="001500E4"/>
    <w:rsid w:val="00150949"/>
    <w:rsid w:val="0015276A"/>
    <w:rsid w:val="001528A9"/>
    <w:rsid w:val="00152C07"/>
    <w:rsid w:val="00153316"/>
    <w:rsid w:val="00153609"/>
    <w:rsid w:val="00153DFE"/>
    <w:rsid w:val="00154218"/>
    <w:rsid w:val="001545CF"/>
    <w:rsid w:val="001546CD"/>
    <w:rsid w:val="00154812"/>
    <w:rsid w:val="001555F5"/>
    <w:rsid w:val="001563EE"/>
    <w:rsid w:val="00156D60"/>
    <w:rsid w:val="0015736A"/>
    <w:rsid w:val="00157685"/>
    <w:rsid w:val="001576EA"/>
    <w:rsid w:val="001577F5"/>
    <w:rsid w:val="00157B8E"/>
    <w:rsid w:val="00157B9D"/>
    <w:rsid w:val="00157BFB"/>
    <w:rsid w:val="00157F0E"/>
    <w:rsid w:val="00160248"/>
    <w:rsid w:val="00160683"/>
    <w:rsid w:val="001607A5"/>
    <w:rsid w:val="00160F0D"/>
    <w:rsid w:val="00162D74"/>
    <w:rsid w:val="00163066"/>
    <w:rsid w:val="00163580"/>
    <w:rsid w:val="00163792"/>
    <w:rsid w:val="00163805"/>
    <w:rsid w:val="00163C91"/>
    <w:rsid w:val="00164743"/>
    <w:rsid w:val="001647D9"/>
    <w:rsid w:val="00164E40"/>
    <w:rsid w:val="00165554"/>
    <w:rsid w:val="00165917"/>
    <w:rsid w:val="00165AC1"/>
    <w:rsid w:val="00165B2F"/>
    <w:rsid w:val="0016615C"/>
    <w:rsid w:val="001664D1"/>
    <w:rsid w:val="00167199"/>
    <w:rsid w:val="0016775A"/>
    <w:rsid w:val="0017089D"/>
    <w:rsid w:val="00170D61"/>
    <w:rsid w:val="001712A6"/>
    <w:rsid w:val="001715CD"/>
    <w:rsid w:val="001716B6"/>
    <w:rsid w:val="0017188A"/>
    <w:rsid w:val="00171C90"/>
    <w:rsid w:val="00171C95"/>
    <w:rsid w:val="0017230D"/>
    <w:rsid w:val="00172326"/>
    <w:rsid w:val="00173616"/>
    <w:rsid w:val="00173D07"/>
    <w:rsid w:val="00173DB6"/>
    <w:rsid w:val="001744F6"/>
    <w:rsid w:val="001747A5"/>
    <w:rsid w:val="00174902"/>
    <w:rsid w:val="0017491C"/>
    <w:rsid w:val="00174EE5"/>
    <w:rsid w:val="001765D6"/>
    <w:rsid w:val="0017688F"/>
    <w:rsid w:val="00176EFD"/>
    <w:rsid w:val="001770CF"/>
    <w:rsid w:val="0017774E"/>
    <w:rsid w:val="00180376"/>
    <w:rsid w:val="001808E0"/>
    <w:rsid w:val="00181980"/>
    <w:rsid w:val="00181AB1"/>
    <w:rsid w:val="00181B83"/>
    <w:rsid w:val="001824BD"/>
    <w:rsid w:val="001829EA"/>
    <w:rsid w:val="00182D29"/>
    <w:rsid w:val="0018508C"/>
    <w:rsid w:val="00185149"/>
    <w:rsid w:val="00185579"/>
    <w:rsid w:val="001856E0"/>
    <w:rsid w:val="00185804"/>
    <w:rsid w:val="001867A5"/>
    <w:rsid w:val="001867C7"/>
    <w:rsid w:val="00186B63"/>
    <w:rsid w:val="00187377"/>
    <w:rsid w:val="001902AB"/>
    <w:rsid w:val="00190584"/>
    <w:rsid w:val="0019099F"/>
    <w:rsid w:val="00190F3F"/>
    <w:rsid w:val="001922FE"/>
    <w:rsid w:val="00192A7D"/>
    <w:rsid w:val="00192DA2"/>
    <w:rsid w:val="001932DC"/>
    <w:rsid w:val="00193404"/>
    <w:rsid w:val="0019343B"/>
    <w:rsid w:val="001937EF"/>
    <w:rsid w:val="00193C79"/>
    <w:rsid w:val="00194610"/>
    <w:rsid w:val="0019464C"/>
    <w:rsid w:val="00194CF4"/>
    <w:rsid w:val="00195444"/>
    <w:rsid w:val="001958F6"/>
    <w:rsid w:val="00195977"/>
    <w:rsid w:val="00195A72"/>
    <w:rsid w:val="00195C7C"/>
    <w:rsid w:val="00196066"/>
    <w:rsid w:val="001978D6"/>
    <w:rsid w:val="00197937"/>
    <w:rsid w:val="001A0149"/>
    <w:rsid w:val="001A046A"/>
    <w:rsid w:val="001A05F2"/>
    <w:rsid w:val="001A08AA"/>
    <w:rsid w:val="001A1276"/>
    <w:rsid w:val="001A2418"/>
    <w:rsid w:val="001A265E"/>
    <w:rsid w:val="001A28F6"/>
    <w:rsid w:val="001A2ABA"/>
    <w:rsid w:val="001A2E1E"/>
    <w:rsid w:val="001A4B8C"/>
    <w:rsid w:val="001A53AA"/>
    <w:rsid w:val="001A550E"/>
    <w:rsid w:val="001A5E4D"/>
    <w:rsid w:val="001A6753"/>
    <w:rsid w:val="001A6F3A"/>
    <w:rsid w:val="001A74DF"/>
    <w:rsid w:val="001A7BE7"/>
    <w:rsid w:val="001B0977"/>
    <w:rsid w:val="001B0A3A"/>
    <w:rsid w:val="001B0D48"/>
    <w:rsid w:val="001B11E6"/>
    <w:rsid w:val="001B1540"/>
    <w:rsid w:val="001B1B7D"/>
    <w:rsid w:val="001B1E49"/>
    <w:rsid w:val="001B1ECE"/>
    <w:rsid w:val="001B2E7B"/>
    <w:rsid w:val="001B2F27"/>
    <w:rsid w:val="001B42EF"/>
    <w:rsid w:val="001B4491"/>
    <w:rsid w:val="001B44ED"/>
    <w:rsid w:val="001B52CE"/>
    <w:rsid w:val="001B5633"/>
    <w:rsid w:val="001B567D"/>
    <w:rsid w:val="001B58DA"/>
    <w:rsid w:val="001B5C48"/>
    <w:rsid w:val="001B611E"/>
    <w:rsid w:val="001B706B"/>
    <w:rsid w:val="001B7174"/>
    <w:rsid w:val="001B7529"/>
    <w:rsid w:val="001B779F"/>
    <w:rsid w:val="001B7C16"/>
    <w:rsid w:val="001C047F"/>
    <w:rsid w:val="001C07A8"/>
    <w:rsid w:val="001C0E44"/>
    <w:rsid w:val="001C0F66"/>
    <w:rsid w:val="001C12C9"/>
    <w:rsid w:val="001C166C"/>
    <w:rsid w:val="001C267A"/>
    <w:rsid w:val="001C29ED"/>
    <w:rsid w:val="001C2EC8"/>
    <w:rsid w:val="001C2FEA"/>
    <w:rsid w:val="001C314D"/>
    <w:rsid w:val="001C3372"/>
    <w:rsid w:val="001C3C7F"/>
    <w:rsid w:val="001C42C6"/>
    <w:rsid w:val="001C44F9"/>
    <w:rsid w:val="001C484D"/>
    <w:rsid w:val="001C4C6A"/>
    <w:rsid w:val="001C6483"/>
    <w:rsid w:val="001C662F"/>
    <w:rsid w:val="001C689A"/>
    <w:rsid w:val="001C6C96"/>
    <w:rsid w:val="001C78C5"/>
    <w:rsid w:val="001C7965"/>
    <w:rsid w:val="001C7AAE"/>
    <w:rsid w:val="001D069B"/>
    <w:rsid w:val="001D08CF"/>
    <w:rsid w:val="001D0BA7"/>
    <w:rsid w:val="001D1700"/>
    <w:rsid w:val="001D198C"/>
    <w:rsid w:val="001D1CDE"/>
    <w:rsid w:val="001D1E38"/>
    <w:rsid w:val="001D1E77"/>
    <w:rsid w:val="001D27EB"/>
    <w:rsid w:val="001D2821"/>
    <w:rsid w:val="001D285D"/>
    <w:rsid w:val="001D4CEF"/>
    <w:rsid w:val="001D4E98"/>
    <w:rsid w:val="001D62FE"/>
    <w:rsid w:val="001D779A"/>
    <w:rsid w:val="001D790B"/>
    <w:rsid w:val="001D7A00"/>
    <w:rsid w:val="001D7FDC"/>
    <w:rsid w:val="001E00FA"/>
    <w:rsid w:val="001E0B6E"/>
    <w:rsid w:val="001E139B"/>
    <w:rsid w:val="001E16E7"/>
    <w:rsid w:val="001E1866"/>
    <w:rsid w:val="001E1CAD"/>
    <w:rsid w:val="001E1DCB"/>
    <w:rsid w:val="001E2A6B"/>
    <w:rsid w:val="001E2B7D"/>
    <w:rsid w:val="001E2DE1"/>
    <w:rsid w:val="001E359A"/>
    <w:rsid w:val="001E3B07"/>
    <w:rsid w:val="001E43FE"/>
    <w:rsid w:val="001E489B"/>
    <w:rsid w:val="001E4AF6"/>
    <w:rsid w:val="001E5100"/>
    <w:rsid w:val="001E51EA"/>
    <w:rsid w:val="001E54BF"/>
    <w:rsid w:val="001E5798"/>
    <w:rsid w:val="001E63ED"/>
    <w:rsid w:val="001E689A"/>
    <w:rsid w:val="001E6B97"/>
    <w:rsid w:val="001E6CCC"/>
    <w:rsid w:val="001E7126"/>
    <w:rsid w:val="001E7214"/>
    <w:rsid w:val="001F0969"/>
    <w:rsid w:val="001F09A8"/>
    <w:rsid w:val="001F0B7C"/>
    <w:rsid w:val="001F1120"/>
    <w:rsid w:val="001F1583"/>
    <w:rsid w:val="001F1E4B"/>
    <w:rsid w:val="001F2A30"/>
    <w:rsid w:val="001F39C1"/>
    <w:rsid w:val="001F3A99"/>
    <w:rsid w:val="001F4034"/>
    <w:rsid w:val="001F420B"/>
    <w:rsid w:val="001F4469"/>
    <w:rsid w:val="001F46F9"/>
    <w:rsid w:val="001F4863"/>
    <w:rsid w:val="001F494B"/>
    <w:rsid w:val="001F4E9B"/>
    <w:rsid w:val="001F55E8"/>
    <w:rsid w:val="001F5706"/>
    <w:rsid w:val="001F5BF3"/>
    <w:rsid w:val="001F6AA3"/>
    <w:rsid w:val="001F733E"/>
    <w:rsid w:val="001F73D3"/>
    <w:rsid w:val="001F7C2E"/>
    <w:rsid w:val="00200A7B"/>
    <w:rsid w:val="00200CAD"/>
    <w:rsid w:val="0020113E"/>
    <w:rsid w:val="002020E7"/>
    <w:rsid w:val="00202326"/>
    <w:rsid w:val="002023F8"/>
    <w:rsid w:val="00202DF4"/>
    <w:rsid w:val="00203006"/>
    <w:rsid w:val="0020337A"/>
    <w:rsid w:val="00203B43"/>
    <w:rsid w:val="002045AC"/>
    <w:rsid w:val="002046F9"/>
    <w:rsid w:val="002047E9"/>
    <w:rsid w:val="00205B5A"/>
    <w:rsid w:val="00205CD7"/>
    <w:rsid w:val="00205FD7"/>
    <w:rsid w:val="00206598"/>
    <w:rsid w:val="00206610"/>
    <w:rsid w:val="00206AB5"/>
    <w:rsid w:val="00207041"/>
    <w:rsid w:val="002073D7"/>
    <w:rsid w:val="00210600"/>
    <w:rsid w:val="0021063F"/>
    <w:rsid w:val="00211187"/>
    <w:rsid w:val="00211B00"/>
    <w:rsid w:val="00211CC0"/>
    <w:rsid w:val="00212453"/>
    <w:rsid w:val="00212510"/>
    <w:rsid w:val="00213A6B"/>
    <w:rsid w:val="00213AE1"/>
    <w:rsid w:val="00214106"/>
    <w:rsid w:val="0021463F"/>
    <w:rsid w:val="002148B4"/>
    <w:rsid w:val="00214C0B"/>
    <w:rsid w:val="00215883"/>
    <w:rsid w:val="00215F21"/>
    <w:rsid w:val="002161F1"/>
    <w:rsid w:val="002162B5"/>
    <w:rsid w:val="0021653E"/>
    <w:rsid w:val="002167B8"/>
    <w:rsid w:val="00216B07"/>
    <w:rsid w:val="0021725A"/>
    <w:rsid w:val="00217305"/>
    <w:rsid w:val="00217A54"/>
    <w:rsid w:val="00220057"/>
    <w:rsid w:val="00220992"/>
    <w:rsid w:val="00220B4D"/>
    <w:rsid w:val="00220CDB"/>
    <w:rsid w:val="00220D08"/>
    <w:rsid w:val="00221637"/>
    <w:rsid w:val="00221895"/>
    <w:rsid w:val="00221A20"/>
    <w:rsid w:val="002227E6"/>
    <w:rsid w:val="002227E8"/>
    <w:rsid w:val="00222C26"/>
    <w:rsid w:val="00223038"/>
    <w:rsid w:val="00223305"/>
    <w:rsid w:val="00223707"/>
    <w:rsid w:val="002237A4"/>
    <w:rsid w:val="00223895"/>
    <w:rsid w:val="002239BC"/>
    <w:rsid w:val="00223B2E"/>
    <w:rsid w:val="00223B63"/>
    <w:rsid w:val="0022429F"/>
    <w:rsid w:val="002243E1"/>
    <w:rsid w:val="00224E00"/>
    <w:rsid w:val="00225549"/>
    <w:rsid w:val="00225581"/>
    <w:rsid w:val="002259FA"/>
    <w:rsid w:val="00226081"/>
    <w:rsid w:val="0022648A"/>
    <w:rsid w:val="00226572"/>
    <w:rsid w:val="002266B8"/>
    <w:rsid w:val="00226DC4"/>
    <w:rsid w:val="002271A4"/>
    <w:rsid w:val="00227A0B"/>
    <w:rsid w:val="0023021B"/>
    <w:rsid w:val="00230244"/>
    <w:rsid w:val="002309F1"/>
    <w:rsid w:val="00230F7A"/>
    <w:rsid w:val="0023164C"/>
    <w:rsid w:val="002321A9"/>
    <w:rsid w:val="002326F9"/>
    <w:rsid w:val="00232CE0"/>
    <w:rsid w:val="00232CF1"/>
    <w:rsid w:val="00233B8C"/>
    <w:rsid w:val="00233F3D"/>
    <w:rsid w:val="00233F73"/>
    <w:rsid w:val="0023429E"/>
    <w:rsid w:val="00234AB2"/>
    <w:rsid w:val="002352AE"/>
    <w:rsid w:val="00235365"/>
    <w:rsid w:val="002357BB"/>
    <w:rsid w:val="002359F9"/>
    <w:rsid w:val="00235CE6"/>
    <w:rsid w:val="002362F7"/>
    <w:rsid w:val="00236399"/>
    <w:rsid w:val="0023679E"/>
    <w:rsid w:val="00236CB9"/>
    <w:rsid w:val="00236FBC"/>
    <w:rsid w:val="0023703F"/>
    <w:rsid w:val="002371FC"/>
    <w:rsid w:val="002408CD"/>
    <w:rsid w:val="00240E8C"/>
    <w:rsid w:val="00241440"/>
    <w:rsid w:val="0024187F"/>
    <w:rsid w:val="00242AAB"/>
    <w:rsid w:val="002433C5"/>
    <w:rsid w:val="00243524"/>
    <w:rsid w:val="0024395F"/>
    <w:rsid w:val="00243FBA"/>
    <w:rsid w:val="0024498E"/>
    <w:rsid w:val="00244B55"/>
    <w:rsid w:val="00244DD9"/>
    <w:rsid w:val="002452E4"/>
    <w:rsid w:val="002457A7"/>
    <w:rsid w:val="00245C0B"/>
    <w:rsid w:val="00245E32"/>
    <w:rsid w:val="00245EE4"/>
    <w:rsid w:val="0024600F"/>
    <w:rsid w:val="0024601B"/>
    <w:rsid w:val="00246285"/>
    <w:rsid w:val="00246C97"/>
    <w:rsid w:val="00246FA4"/>
    <w:rsid w:val="0025054F"/>
    <w:rsid w:val="00251653"/>
    <w:rsid w:val="00252422"/>
    <w:rsid w:val="002526DD"/>
    <w:rsid w:val="00252BA6"/>
    <w:rsid w:val="002530DA"/>
    <w:rsid w:val="0025331C"/>
    <w:rsid w:val="00253666"/>
    <w:rsid w:val="00253FF4"/>
    <w:rsid w:val="002540F1"/>
    <w:rsid w:val="002542DB"/>
    <w:rsid w:val="0025486A"/>
    <w:rsid w:val="002549A5"/>
    <w:rsid w:val="00255159"/>
    <w:rsid w:val="002551B7"/>
    <w:rsid w:val="00255AB7"/>
    <w:rsid w:val="002565D3"/>
    <w:rsid w:val="002575F4"/>
    <w:rsid w:val="002578FC"/>
    <w:rsid w:val="00257B89"/>
    <w:rsid w:val="002602B9"/>
    <w:rsid w:val="002605B2"/>
    <w:rsid w:val="0026063F"/>
    <w:rsid w:val="0026098D"/>
    <w:rsid w:val="00260C41"/>
    <w:rsid w:val="00260EB3"/>
    <w:rsid w:val="002610D9"/>
    <w:rsid w:val="002611F7"/>
    <w:rsid w:val="00261292"/>
    <w:rsid w:val="00261CF2"/>
    <w:rsid w:val="00262093"/>
    <w:rsid w:val="0026236C"/>
    <w:rsid w:val="00262C89"/>
    <w:rsid w:val="00263121"/>
    <w:rsid w:val="00263657"/>
    <w:rsid w:val="00263741"/>
    <w:rsid w:val="002639D1"/>
    <w:rsid w:val="00263F39"/>
    <w:rsid w:val="0026465F"/>
    <w:rsid w:val="00264698"/>
    <w:rsid w:val="00264D03"/>
    <w:rsid w:val="00264FFB"/>
    <w:rsid w:val="00265737"/>
    <w:rsid w:val="00266120"/>
    <w:rsid w:val="002662ED"/>
    <w:rsid w:val="0026630E"/>
    <w:rsid w:val="00266C0F"/>
    <w:rsid w:val="0026710C"/>
    <w:rsid w:val="002672F1"/>
    <w:rsid w:val="00267539"/>
    <w:rsid w:val="002677C1"/>
    <w:rsid w:val="00267C89"/>
    <w:rsid w:val="0027076D"/>
    <w:rsid w:val="002709B4"/>
    <w:rsid w:val="00270B08"/>
    <w:rsid w:val="002710FA"/>
    <w:rsid w:val="002711DE"/>
    <w:rsid w:val="002713B9"/>
    <w:rsid w:val="002714B3"/>
    <w:rsid w:val="00271A7E"/>
    <w:rsid w:val="00272A5C"/>
    <w:rsid w:val="00272F2F"/>
    <w:rsid w:val="00273252"/>
    <w:rsid w:val="00273362"/>
    <w:rsid w:val="00274028"/>
    <w:rsid w:val="002741A9"/>
    <w:rsid w:val="00274A77"/>
    <w:rsid w:val="00274AB9"/>
    <w:rsid w:val="00275405"/>
    <w:rsid w:val="0027569B"/>
    <w:rsid w:val="00276793"/>
    <w:rsid w:val="00277040"/>
    <w:rsid w:val="002771A4"/>
    <w:rsid w:val="0027758A"/>
    <w:rsid w:val="002775EA"/>
    <w:rsid w:val="00277791"/>
    <w:rsid w:val="00277D47"/>
    <w:rsid w:val="00280EB4"/>
    <w:rsid w:val="00281005"/>
    <w:rsid w:val="00281929"/>
    <w:rsid w:val="00281ABD"/>
    <w:rsid w:val="00281AE2"/>
    <w:rsid w:val="00281CC2"/>
    <w:rsid w:val="00281CCF"/>
    <w:rsid w:val="00281E47"/>
    <w:rsid w:val="00282C9C"/>
    <w:rsid w:val="00283970"/>
    <w:rsid w:val="002845BD"/>
    <w:rsid w:val="00284926"/>
    <w:rsid w:val="00284CB0"/>
    <w:rsid w:val="00285475"/>
    <w:rsid w:val="00285A73"/>
    <w:rsid w:val="00286C81"/>
    <w:rsid w:val="002871FA"/>
    <w:rsid w:val="0028729C"/>
    <w:rsid w:val="0028735B"/>
    <w:rsid w:val="00287B78"/>
    <w:rsid w:val="00287DFB"/>
    <w:rsid w:val="00290A61"/>
    <w:rsid w:val="00291549"/>
    <w:rsid w:val="00291D6F"/>
    <w:rsid w:val="00291EF0"/>
    <w:rsid w:val="00291FE5"/>
    <w:rsid w:val="002924F3"/>
    <w:rsid w:val="00292883"/>
    <w:rsid w:val="00293B18"/>
    <w:rsid w:val="00293BCE"/>
    <w:rsid w:val="002942AC"/>
    <w:rsid w:val="00294E1C"/>
    <w:rsid w:val="0029540E"/>
    <w:rsid w:val="002957A2"/>
    <w:rsid w:val="00295AE1"/>
    <w:rsid w:val="00295CE7"/>
    <w:rsid w:val="0029600B"/>
    <w:rsid w:val="002971E2"/>
    <w:rsid w:val="0029792D"/>
    <w:rsid w:val="002A033E"/>
    <w:rsid w:val="002A0760"/>
    <w:rsid w:val="002A0B32"/>
    <w:rsid w:val="002A133F"/>
    <w:rsid w:val="002A1A14"/>
    <w:rsid w:val="002A1D5B"/>
    <w:rsid w:val="002A22F1"/>
    <w:rsid w:val="002A2597"/>
    <w:rsid w:val="002A2836"/>
    <w:rsid w:val="002A2AE0"/>
    <w:rsid w:val="002A2C20"/>
    <w:rsid w:val="002A3B65"/>
    <w:rsid w:val="002A42FB"/>
    <w:rsid w:val="002A4B87"/>
    <w:rsid w:val="002A5595"/>
    <w:rsid w:val="002A67DC"/>
    <w:rsid w:val="002A6809"/>
    <w:rsid w:val="002A6831"/>
    <w:rsid w:val="002A6AF3"/>
    <w:rsid w:val="002A6B68"/>
    <w:rsid w:val="002A717E"/>
    <w:rsid w:val="002A7232"/>
    <w:rsid w:val="002A7BE7"/>
    <w:rsid w:val="002B13A6"/>
    <w:rsid w:val="002B169F"/>
    <w:rsid w:val="002B1D8E"/>
    <w:rsid w:val="002B235B"/>
    <w:rsid w:val="002B3158"/>
    <w:rsid w:val="002B3670"/>
    <w:rsid w:val="002B3D22"/>
    <w:rsid w:val="002B42C3"/>
    <w:rsid w:val="002B4A13"/>
    <w:rsid w:val="002B59AB"/>
    <w:rsid w:val="002B5B77"/>
    <w:rsid w:val="002B6014"/>
    <w:rsid w:val="002B637B"/>
    <w:rsid w:val="002B67C4"/>
    <w:rsid w:val="002B6D5B"/>
    <w:rsid w:val="002B712A"/>
    <w:rsid w:val="002B79ED"/>
    <w:rsid w:val="002B7C8A"/>
    <w:rsid w:val="002C0295"/>
    <w:rsid w:val="002C06EC"/>
    <w:rsid w:val="002C0A82"/>
    <w:rsid w:val="002C0AF2"/>
    <w:rsid w:val="002C1011"/>
    <w:rsid w:val="002C142F"/>
    <w:rsid w:val="002C14D6"/>
    <w:rsid w:val="002C1637"/>
    <w:rsid w:val="002C17A1"/>
    <w:rsid w:val="002C1A5D"/>
    <w:rsid w:val="002C3C12"/>
    <w:rsid w:val="002C47E6"/>
    <w:rsid w:val="002C4B10"/>
    <w:rsid w:val="002C4EEC"/>
    <w:rsid w:val="002C5504"/>
    <w:rsid w:val="002C5DD5"/>
    <w:rsid w:val="002C62D8"/>
    <w:rsid w:val="002C6454"/>
    <w:rsid w:val="002C668E"/>
    <w:rsid w:val="002C6A28"/>
    <w:rsid w:val="002C7C33"/>
    <w:rsid w:val="002D0DC6"/>
    <w:rsid w:val="002D1546"/>
    <w:rsid w:val="002D16EB"/>
    <w:rsid w:val="002D19D8"/>
    <w:rsid w:val="002D292B"/>
    <w:rsid w:val="002D3109"/>
    <w:rsid w:val="002D32EF"/>
    <w:rsid w:val="002D3A67"/>
    <w:rsid w:val="002D3B24"/>
    <w:rsid w:val="002D4D3E"/>
    <w:rsid w:val="002D4D6C"/>
    <w:rsid w:val="002D599F"/>
    <w:rsid w:val="002D5D27"/>
    <w:rsid w:val="002D618E"/>
    <w:rsid w:val="002D75D1"/>
    <w:rsid w:val="002D7A36"/>
    <w:rsid w:val="002E012B"/>
    <w:rsid w:val="002E038A"/>
    <w:rsid w:val="002E094A"/>
    <w:rsid w:val="002E09C0"/>
    <w:rsid w:val="002E0A3E"/>
    <w:rsid w:val="002E13ED"/>
    <w:rsid w:val="002E14A8"/>
    <w:rsid w:val="002E19EF"/>
    <w:rsid w:val="002E246C"/>
    <w:rsid w:val="002E26B5"/>
    <w:rsid w:val="002E2ABA"/>
    <w:rsid w:val="002E2AFA"/>
    <w:rsid w:val="002E2BFE"/>
    <w:rsid w:val="002E2EEB"/>
    <w:rsid w:val="002E3E59"/>
    <w:rsid w:val="002E4B73"/>
    <w:rsid w:val="002E4EE8"/>
    <w:rsid w:val="002E5181"/>
    <w:rsid w:val="002E562E"/>
    <w:rsid w:val="002E66E5"/>
    <w:rsid w:val="002E6AB4"/>
    <w:rsid w:val="002E6DC8"/>
    <w:rsid w:val="002E6FB7"/>
    <w:rsid w:val="002E75A7"/>
    <w:rsid w:val="002E78DB"/>
    <w:rsid w:val="002E7E54"/>
    <w:rsid w:val="002F0F4F"/>
    <w:rsid w:val="002F10E7"/>
    <w:rsid w:val="002F1494"/>
    <w:rsid w:val="002F18B8"/>
    <w:rsid w:val="002F273A"/>
    <w:rsid w:val="002F2DC2"/>
    <w:rsid w:val="002F3829"/>
    <w:rsid w:val="002F3CE9"/>
    <w:rsid w:val="002F3DF7"/>
    <w:rsid w:val="002F401C"/>
    <w:rsid w:val="002F4272"/>
    <w:rsid w:val="002F479C"/>
    <w:rsid w:val="002F55BD"/>
    <w:rsid w:val="002F5830"/>
    <w:rsid w:val="002F650E"/>
    <w:rsid w:val="002F6C54"/>
    <w:rsid w:val="002F78B1"/>
    <w:rsid w:val="002F7BFB"/>
    <w:rsid w:val="003005EF"/>
    <w:rsid w:val="00300728"/>
    <w:rsid w:val="00300DCE"/>
    <w:rsid w:val="003018BE"/>
    <w:rsid w:val="00301BB9"/>
    <w:rsid w:val="00302717"/>
    <w:rsid w:val="00302B45"/>
    <w:rsid w:val="003035CF"/>
    <w:rsid w:val="003039FA"/>
    <w:rsid w:val="003047B6"/>
    <w:rsid w:val="003053AD"/>
    <w:rsid w:val="00305972"/>
    <w:rsid w:val="00305D3C"/>
    <w:rsid w:val="00305F66"/>
    <w:rsid w:val="0030631B"/>
    <w:rsid w:val="00306477"/>
    <w:rsid w:val="00306D5C"/>
    <w:rsid w:val="00306EE1"/>
    <w:rsid w:val="003074D3"/>
    <w:rsid w:val="003078B1"/>
    <w:rsid w:val="00307BAD"/>
    <w:rsid w:val="003102AF"/>
    <w:rsid w:val="00310723"/>
    <w:rsid w:val="003108A4"/>
    <w:rsid w:val="00310D36"/>
    <w:rsid w:val="00311671"/>
    <w:rsid w:val="00311A27"/>
    <w:rsid w:val="00311D5E"/>
    <w:rsid w:val="003120F6"/>
    <w:rsid w:val="00312A50"/>
    <w:rsid w:val="00312FB4"/>
    <w:rsid w:val="00313B11"/>
    <w:rsid w:val="00313C86"/>
    <w:rsid w:val="00313D42"/>
    <w:rsid w:val="00313EF2"/>
    <w:rsid w:val="003140B0"/>
    <w:rsid w:val="00314C8E"/>
    <w:rsid w:val="003153B8"/>
    <w:rsid w:val="0031563B"/>
    <w:rsid w:val="003157D9"/>
    <w:rsid w:val="0031584F"/>
    <w:rsid w:val="003160F1"/>
    <w:rsid w:val="003169F8"/>
    <w:rsid w:val="00316A75"/>
    <w:rsid w:val="00316B5A"/>
    <w:rsid w:val="00316B6E"/>
    <w:rsid w:val="00316C6A"/>
    <w:rsid w:val="003174C5"/>
    <w:rsid w:val="00320ACF"/>
    <w:rsid w:val="0032213F"/>
    <w:rsid w:val="00322211"/>
    <w:rsid w:val="00322752"/>
    <w:rsid w:val="00322CB1"/>
    <w:rsid w:val="0032323D"/>
    <w:rsid w:val="0032337E"/>
    <w:rsid w:val="00323941"/>
    <w:rsid w:val="00323C6A"/>
    <w:rsid w:val="003242A8"/>
    <w:rsid w:val="003244E8"/>
    <w:rsid w:val="00325865"/>
    <w:rsid w:val="0032591F"/>
    <w:rsid w:val="00325A95"/>
    <w:rsid w:val="00325ADB"/>
    <w:rsid w:val="003264FB"/>
    <w:rsid w:val="00326876"/>
    <w:rsid w:val="00326F67"/>
    <w:rsid w:val="0032711D"/>
    <w:rsid w:val="0032723F"/>
    <w:rsid w:val="00327391"/>
    <w:rsid w:val="0032746C"/>
    <w:rsid w:val="00327CCC"/>
    <w:rsid w:val="00327D32"/>
    <w:rsid w:val="003302CA"/>
    <w:rsid w:val="003304E5"/>
    <w:rsid w:val="00330A70"/>
    <w:rsid w:val="00330B82"/>
    <w:rsid w:val="00330BE0"/>
    <w:rsid w:val="00332B43"/>
    <w:rsid w:val="00332B51"/>
    <w:rsid w:val="00332D75"/>
    <w:rsid w:val="003333B0"/>
    <w:rsid w:val="003333DB"/>
    <w:rsid w:val="0033355F"/>
    <w:rsid w:val="003335B7"/>
    <w:rsid w:val="003336A5"/>
    <w:rsid w:val="00333A43"/>
    <w:rsid w:val="00333C50"/>
    <w:rsid w:val="00333E74"/>
    <w:rsid w:val="00333EDC"/>
    <w:rsid w:val="003340C6"/>
    <w:rsid w:val="0033444D"/>
    <w:rsid w:val="00334A22"/>
    <w:rsid w:val="00334EA6"/>
    <w:rsid w:val="003361F9"/>
    <w:rsid w:val="003368C4"/>
    <w:rsid w:val="003368F1"/>
    <w:rsid w:val="00336B2A"/>
    <w:rsid w:val="00337120"/>
    <w:rsid w:val="00337A67"/>
    <w:rsid w:val="00340071"/>
    <w:rsid w:val="00340306"/>
    <w:rsid w:val="00341091"/>
    <w:rsid w:val="003413F8"/>
    <w:rsid w:val="003418C5"/>
    <w:rsid w:val="00341CED"/>
    <w:rsid w:val="003423BF"/>
    <w:rsid w:val="003425C9"/>
    <w:rsid w:val="00342814"/>
    <w:rsid w:val="00342947"/>
    <w:rsid w:val="003429E7"/>
    <w:rsid w:val="00342A96"/>
    <w:rsid w:val="00342EE2"/>
    <w:rsid w:val="003434E4"/>
    <w:rsid w:val="0034385E"/>
    <w:rsid w:val="0034386C"/>
    <w:rsid w:val="003438ED"/>
    <w:rsid w:val="00343ACB"/>
    <w:rsid w:val="00343DA0"/>
    <w:rsid w:val="00344097"/>
    <w:rsid w:val="003441F8"/>
    <w:rsid w:val="00344917"/>
    <w:rsid w:val="00345054"/>
    <w:rsid w:val="003451B7"/>
    <w:rsid w:val="003452CA"/>
    <w:rsid w:val="00345C3C"/>
    <w:rsid w:val="003460ED"/>
    <w:rsid w:val="00346202"/>
    <w:rsid w:val="003466BE"/>
    <w:rsid w:val="003468AC"/>
    <w:rsid w:val="003469EC"/>
    <w:rsid w:val="00346CA4"/>
    <w:rsid w:val="00347C27"/>
    <w:rsid w:val="003501F6"/>
    <w:rsid w:val="00350AC0"/>
    <w:rsid w:val="00352231"/>
    <w:rsid w:val="00352269"/>
    <w:rsid w:val="00352962"/>
    <w:rsid w:val="003531A8"/>
    <w:rsid w:val="00353885"/>
    <w:rsid w:val="00353CD7"/>
    <w:rsid w:val="00353D03"/>
    <w:rsid w:val="0035410F"/>
    <w:rsid w:val="003545B5"/>
    <w:rsid w:val="00354697"/>
    <w:rsid w:val="00354FE2"/>
    <w:rsid w:val="00355B5F"/>
    <w:rsid w:val="00355ED9"/>
    <w:rsid w:val="003566BE"/>
    <w:rsid w:val="00356716"/>
    <w:rsid w:val="00356DA8"/>
    <w:rsid w:val="00357428"/>
    <w:rsid w:val="00357B32"/>
    <w:rsid w:val="00360275"/>
    <w:rsid w:val="00360A29"/>
    <w:rsid w:val="0036130B"/>
    <w:rsid w:val="0036134E"/>
    <w:rsid w:val="003617C7"/>
    <w:rsid w:val="00361F63"/>
    <w:rsid w:val="003620FB"/>
    <w:rsid w:val="00363563"/>
    <w:rsid w:val="003635B6"/>
    <w:rsid w:val="00363D08"/>
    <w:rsid w:val="00364190"/>
    <w:rsid w:val="00364637"/>
    <w:rsid w:val="00364B5A"/>
    <w:rsid w:val="00365034"/>
    <w:rsid w:val="00365104"/>
    <w:rsid w:val="00365142"/>
    <w:rsid w:val="00365747"/>
    <w:rsid w:val="00365842"/>
    <w:rsid w:val="00365C15"/>
    <w:rsid w:val="003661CA"/>
    <w:rsid w:val="00366254"/>
    <w:rsid w:val="00366539"/>
    <w:rsid w:val="0036663E"/>
    <w:rsid w:val="00366F3B"/>
    <w:rsid w:val="003672FD"/>
    <w:rsid w:val="0036738A"/>
    <w:rsid w:val="0036765F"/>
    <w:rsid w:val="00367C3E"/>
    <w:rsid w:val="003707C6"/>
    <w:rsid w:val="00371B10"/>
    <w:rsid w:val="00371E05"/>
    <w:rsid w:val="003721C8"/>
    <w:rsid w:val="003721E3"/>
    <w:rsid w:val="0037391C"/>
    <w:rsid w:val="00373BA2"/>
    <w:rsid w:val="00373D98"/>
    <w:rsid w:val="00373F16"/>
    <w:rsid w:val="0037428E"/>
    <w:rsid w:val="00374622"/>
    <w:rsid w:val="003746CF"/>
    <w:rsid w:val="00374FEB"/>
    <w:rsid w:val="00375171"/>
    <w:rsid w:val="003753E6"/>
    <w:rsid w:val="003756F5"/>
    <w:rsid w:val="00375A90"/>
    <w:rsid w:val="00375F32"/>
    <w:rsid w:val="003762BC"/>
    <w:rsid w:val="003769B8"/>
    <w:rsid w:val="003777A0"/>
    <w:rsid w:val="00377875"/>
    <w:rsid w:val="003800D0"/>
    <w:rsid w:val="00380A7C"/>
    <w:rsid w:val="00380F22"/>
    <w:rsid w:val="00381450"/>
    <w:rsid w:val="00381BC3"/>
    <w:rsid w:val="00381CFC"/>
    <w:rsid w:val="00383043"/>
    <w:rsid w:val="00383193"/>
    <w:rsid w:val="003838AB"/>
    <w:rsid w:val="003845D5"/>
    <w:rsid w:val="00384FF1"/>
    <w:rsid w:val="00385023"/>
    <w:rsid w:val="0038516B"/>
    <w:rsid w:val="00385208"/>
    <w:rsid w:val="00385D9C"/>
    <w:rsid w:val="00385DA6"/>
    <w:rsid w:val="00386A38"/>
    <w:rsid w:val="00390006"/>
    <w:rsid w:val="003900EF"/>
    <w:rsid w:val="00390508"/>
    <w:rsid w:val="00390C09"/>
    <w:rsid w:val="00390DD6"/>
    <w:rsid w:val="0039128E"/>
    <w:rsid w:val="00391490"/>
    <w:rsid w:val="003920E6"/>
    <w:rsid w:val="00392187"/>
    <w:rsid w:val="003923E5"/>
    <w:rsid w:val="003924FF"/>
    <w:rsid w:val="0039298D"/>
    <w:rsid w:val="0039387E"/>
    <w:rsid w:val="00394067"/>
    <w:rsid w:val="00394126"/>
    <w:rsid w:val="00394CFB"/>
    <w:rsid w:val="00394E52"/>
    <w:rsid w:val="00395F41"/>
    <w:rsid w:val="0039638C"/>
    <w:rsid w:val="00396413"/>
    <w:rsid w:val="00396504"/>
    <w:rsid w:val="00397478"/>
    <w:rsid w:val="003A03D2"/>
    <w:rsid w:val="003A0F0D"/>
    <w:rsid w:val="003A0F26"/>
    <w:rsid w:val="003A11AF"/>
    <w:rsid w:val="003A168C"/>
    <w:rsid w:val="003A2CD0"/>
    <w:rsid w:val="003A2FCC"/>
    <w:rsid w:val="003A319D"/>
    <w:rsid w:val="003A3793"/>
    <w:rsid w:val="003A3C4F"/>
    <w:rsid w:val="003A3CF2"/>
    <w:rsid w:val="003A42C1"/>
    <w:rsid w:val="003A4A71"/>
    <w:rsid w:val="003A51A3"/>
    <w:rsid w:val="003A545D"/>
    <w:rsid w:val="003A6291"/>
    <w:rsid w:val="003A62A6"/>
    <w:rsid w:val="003A62EB"/>
    <w:rsid w:val="003A6C53"/>
    <w:rsid w:val="003A7185"/>
    <w:rsid w:val="003A72CC"/>
    <w:rsid w:val="003B0B5C"/>
    <w:rsid w:val="003B0C52"/>
    <w:rsid w:val="003B1435"/>
    <w:rsid w:val="003B1644"/>
    <w:rsid w:val="003B195A"/>
    <w:rsid w:val="003B213F"/>
    <w:rsid w:val="003B24CA"/>
    <w:rsid w:val="003B2747"/>
    <w:rsid w:val="003B2928"/>
    <w:rsid w:val="003B2D69"/>
    <w:rsid w:val="003B2DBE"/>
    <w:rsid w:val="003B30A9"/>
    <w:rsid w:val="003B461D"/>
    <w:rsid w:val="003B4799"/>
    <w:rsid w:val="003B4A53"/>
    <w:rsid w:val="003B51EF"/>
    <w:rsid w:val="003B5692"/>
    <w:rsid w:val="003B57B0"/>
    <w:rsid w:val="003B5A24"/>
    <w:rsid w:val="003B5DB8"/>
    <w:rsid w:val="003B6386"/>
    <w:rsid w:val="003B6DAB"/>
    <w:rsid w:val="003B725A"/>
    <w:rsid w:val="003C04B6"/>
    <w:rsid w:val="003C065D"/>
    <w:rsid w:val="003C0C07"/>
    <w:rsid w:val="003C0E3D"/>
    <w:rsid w:val="003C122C"/>
    <w:rsid w:val="003C161D"/>
    <w:rsid w:val="003C19F7"/>
    <w:rsid w:val="003C2214"/>
    <w:rsid w:val="003C233D"/>
    <w:rsid w:val="003C2980"/>
    <w:rsid w:val="003C3113"/>
    <w:rsid w:val="003C32C8"/>
    <w:rsid w:val="003C3488"/>
    <w:rsid w:val="003C3856"/>
    <w:rsid w:val="003C3935"/>
    <w:rsid w:val="003C399A"/>
    <w:rsid w:val="003C3BC1"/>
    <w:rsid w:val="003C408D"/>
    <w:rsid w:val="003C4371"/>
    <w:rsid w:val="003C438F"/>
    <w:rsid w:val="003C4718"/>
    <w:rsid w:val="003C4812"/>
    <w:rsid w:val="003C5153"/>
    <w:rsid w:val="003C58A2"/>
    <w:rsid w:val="003C5EB1"/>
    <w:rsid w:val="003C62C1"/>
    <w:rsid w:val="003C63AA"/>
    <w:rsid w:val="003C6753"/>
    <w:rsid w:val="003C6AA1"/>
    <w:rsid w:val="003C6BDB"/>
    <w:rsid w:val="003C76AB"/>
    <w:rsid w:val="003C7793"/>
    <w:rsid w:val="003C7A91"/>
    <w:rsid w:val="003D0083"/>
    <w:rsid w:val="003D010C"/>
    <w:rsid w:val="003D045B"/>
    <w:rsid w:val="003D143D"/>
    <w:rsid w:val="003D1908"/>
    <w:rsid w:val="003D2AFD"/>
    <w:rsid w:val="003D3400"/>
    <w:rsid w:val="003D34CA"/>
    <w:rsid w:val="003D41EE"/>
    <w:rsid w:val="003D42C4"/>
    <w:rsid w:val="003D430D"/>
    <w:rsid w:val="003D4A88"/>
    <w:rsid w:val="003D4C42"/>
    <w:rsid w:val="003D4C56"/>
    <w:rsid w:val="003D4CE2"/>
    <w:rsid w:val="003D50D8"/>
    <w:rsid w:val="003D52BF"/>
    <w:rsid w:val="003D5861"/>
    <w:rsid w:val="003D6F98"/>
    <w:rsid w:val="003E0123"/>
    <w:rsid w:val="003E017F"/>
    <w:rsid w:val="003E0FB1"/>
    <w:rsid w:val="003E17E3"/>
    <w:rsid w:val="003E1A23"/>
    <w:rsid w:val="003E2A19"/>
    <w:rsid w:val="003E2ED9"/>
    <w:rsid w:val="003E310D"/>
    <w:rsid w:val="003E4F74"/>
    <w:rsid w:val="003E58CF"/>
    <w:rsid w:val="003E6234"/>
    <w:rsid w:val="003E6AAA"/>
    <w:rsid w:val="003E6BF3"/>
    <w:rsid w:val="003E7E82"/>
    <w:rsid w:val="003E7FB3"/>
    <w:rsid w:val="003F02BB"/>
    <w:rsid w:val="003F05AF"/>
    <w:rsid w:val="003F0CAD"/>
    <w:rsid w:val="003F1634"/>
    <w:rsid w:val="003F1F39"/>
    <w:rsid w:val="003F1F40"/>
    <w:rsid w:val="003F205F"/>
    <w:rsid w:val="003F323E"/>
    <w:rsid w:val="003F3A53"/>
    <w:rsid w:val="003F4295"/>
    <w:rsid w:val="003F4B51"/>
    <w:rsid w:val="003F52B0"/>
    <w:rsid w:val="003F5442"/>
    <w:rsid w:val="003F5A91"/>
    <w:rsid w:val="003F6362"/>
    <w:rsid w:val="003F6E76"/>
    <w:rsid w:val="003F705B"/>
    <w:rsid w:val="003F7306"/>
    <w:rsid w:val="003F7BFF"/>
    <w:rsid w:val="003F7D96"/>
    <w:rsid w:val="00400A24"/>
    <w:rsid w:val="00400CF6"/>
    <w:rsid w:val="0040176C"/>
    <w:rsid w:val="00401E66"/>
    <w:rsid w:val="00401FA9"/>
    <w:rsid w:val="0040201B"/>
    <w:rsid w:val="004029AF"/>
    <w:rsid w:val="00402C1D"/>
    <w:rsid w:val="00402CE5"/>
    <w:rsid w:val="00402DC1"/>
    <w:rsid w:val="0040333A"/>
    <w:rsid w:val="0040356D"/>
    <w:rsid w:val="004038A8"/>
    <w:rsid w:val="00403A4C"/>
    <w:rsid w:val="00403C40"/>
    <w:rsid w:val="00403E17"/>
    <w:rsid w:val="00403E1F"/>
    <w:rsid w:val="004042EB"/>
    <w:rsid w:val="00404A58"/>
    <w:rsid w:val="00404E07"/>
    <w:rsid w:val="004060FD"/>
    <w:rsid w:val="00406CC2"/>
    <w:rsid w:val="00407060"/>
    <w:rsid w:val="004075A7"/>
    <w:rsid w:val="00407756"/>
    <w:rsid w:val="00407925"/>
    <w:rsid w:val="0041000C"/>
    <w:rsid w:val="00410065"/>
    <w:rsid w:val="004106FC"/>
    <w:rsid w:val="004107FA"/>
    <w:rsid w:val="00410A6D"/>
    <w:rsid w:val="004114FA"/>
    <w:rsid w:val="0041182E"/>
    <w:rsid w:val="0041201D"/>
    <w:rsid w:val="00412211"/>
    <w:rsid w:val="00412287"/>
    <w:rsid w:val="00412660"/>
    <w:rsid w:val="00412DBA"/>
    <w:rsid w:val="00412E9A"/>
    <w:rsid w:val="004136F2"/>
    <w:rsid w:val="00413D0F"/>
    <w:rsid w:val="00413D90"/>
    <w:rsid w:val="00413DE8"/>
    <w:rsid w:val="00413EE8"/>
    <w:rsid w:val="00413FAF"/>
    <w:rsid w:val="004152D5"/>
    <w:rsid w:val="004153C0"/>
    <w:rsid w:val="00415516"/>
    <w:rsid w:val="0041598C"/>
    <w:rsid w:val="00415CAA"/>
    <w:rsid w:val="0041692E"/>
    <w:rsid w:val="0041724F"/>
    <w:rsid w:val="004175F2"/>
    <w:rsid w:val="00417714"/>
    <w:rsid w:val="0042005F"/>
    <w:rsid w:val="0042047A"/>
    <w:rsid w:val="00420892"/>
    <w:rsid w:val="00420AF1"/>
    <w:rsid w:val="004210D4"/>
    <w:rsid w:val="00421A24"/>
    <w:rsid w:val="00421A45"/>
    <w:rsid w:val="00422A84"/>
    <w:rsid w:val="00423278"/>
    <w:rsid w:val="00423439"/>
    <w:rsid w:val="004238A8"/>
    <w:rsid w:val="004243B2"/>
    <w:rsid w:val="00424A98"/>
    <w:rsid w:val="00424CB9"/>
    <w:rsid w:val="00425468"/>
    <w:rsid w:val="00425993"/>
    <w:rsid w:val="00425A53"/>
    <w:rsid w:val="00425AE7"/>
    <w:rsid w:val="004260A4"/>
    <w:rsid w:val="0042644B"/>
    <w:rsid w:val="0042655E"/>
    <w:rsid w:val="00426B40"/>
    <w:rsid w:val="00427857"/>
    <w:rsid w:val="0042792D"/>
    <w:rsid w:val="00427B86"/>
    <w:rsid w:val="004301FB"/>
    <w:rsid w:val="004306D9"/>
    <w:rsid w:val="00430C37"/>
    <w:rsid w:val="00430C4D"/>
    <w:rsid w:val="004313AA"/>
    <w:rsid w:val="004319F9"/>
    <w:rsid w:val="00431F15"/>
    <w:rsid w:val="004327E5"/>
    <w:rsid w:val="0043386C"/>
    <w:rsid w:val="00433C2B"/>
    <w:rsid w:val="004349C9"/>
    <w:rsid w:val="00434C49"/>
    <w:rsid w:val="00435D32"/>
    <w:rsid w:val="00437827"/>
    <w:rsid w:val="004378D5"/>
    <w:rsid w:val="004378F6"/>
    <w:rsid w:val="00437F42"/>
    <w:rsid w:val="0044006F"/>
    <w:rsid w:val="00440382"/>
    <w:rsid w:val="00440A34"/>
    <w:rsid w:val="00440CF5"/>
    <w:rsid w:val="00441347"/>
    <w:rsid w:val="004421FC"/>
    <w:rsid w:val="0044256C"/>
    <w:rsid w:val="00442575"/>
    <w:rsid w:val="0044266D"/>
    <w:rsid w:val="00442CBC"/>
    <w:rsid w:val="00443473"/>
    <w:rsid w:val="00443506"/>
    <w:rsid w:val="00443572"/>
    <w:rsid w:val="004439CD"/>
    <w:rsid w:val="0044454C"/>
    <w:rsid w:val="00444721"/>
    <w:rsid w:val="004455E6"/>
    <w:rsid w:val="00445B6F"/>
    <w:rsid w:val="00446936"/>
    <w:rsid w:val="00447F44"/>
    <w:rsid w:val="004500FF"/>
    <w:rsid w:val="004504B9"/>
    <w:rsid w:val="004509FD"/>
    <w:rsid w:val="00450A94"/>
    <w:rsid w:val="00450B35"/>
    <w:rsid w:val="00450DD0"/>
    <w:rsid w:val="004511B0"/>
    <w:rsid w:val="00451430"/>
    <w:rsid w:val="004514E1"/>
    <w:rsid w:val="00451B33"/>
    <w:rsid w:val="00452C80"/>
    <w:rsid w:val="00452F9F"/>
    <w:rsid w:val="0045307B"/>
    <w:rsid w:val="0045317F"/>
    <w:rsid w:val="0045405D"/>
    <w:rsid w:val="004544E0"/>
    <w:rsid w:val="00454702"/>
    <w:rsid w:val="00454994"/>
    <w:rsid w:val="00454C8B"/>
    <w:rsid w:val="00454E80"/>
    <w:rsid w:val="00455F25"/>
    <w:rsid w:val="0045608E"/>
    <w:rsid w:val="00456CD2"/>
    <w:rsid w:val="00456EE9"/>
    <w:rsid w:val="00457D1E"/>
    <w:rsid w:val="004616D5"/>
    <w:rsid w:val="004619D5"/>
    <w:rsid w:val="00461F53"/>
    <w:rsid w:val="004623F3"/>
    <w:rsid w:val="0046264B"/>
    <w:rsid w:val="00462F14"/>
    <w:rsid w:val="00463053"/>
    <w:rsid w:val="004633B7"/>
    <w:rsid w:val="00463A59"/>
    <w:rsid w:val="00463D5A"/>
    <w:rsid w:val="00463E64"/>
    <w:rsid w:val="004641F4"/>
    <w:rsid w:val="004649B7"/>
    <w:rsid w:val="00464CEF"/>
    <w:rsid w:val="00464F7F"/>
    <w:rsid w:val="00465126"/>
    <w:rsid w:val="00465300"/>
    <w:rsid w:val="00465642"/>
    <w:rsid w:val="004658BD"/>
    <w:rsid w:val="00466106"/>
    <w:rsid w:val="00466240"/>
    <w:rsid w:val="004663F8"/>
    <w:rsid w:val="004668BE"/>
    <w:rsid w:val="004705FF"/>
    <w:rsid w:val="00470B9B"/>
    <w:rsid w:val="00471C9D"/>
    <w:rsid w:val="0047224F"/>
    <w:rsid w:val="00472667"/>
    <w:rsid w:val="00472AF4"/>
    <w:rsid w:val="00473331"/>
    <w:rsid w:val="00473B06"/>
    <w:rsid w:val="00473B27"/>
    <w:rsid w:val="00473DD1"/>
    <w:rsid w:val="004744FA"/>
    <w:rsid w:val="00474870"/>
    <w:rsid w:val="00474A75"/>
    <w:rsid w:val="00474E97"/>
    <w:rsid w:val="0047552D"/>
    <w:rsid w:val="0047558F"/>
    <w:rsid w:val="0047601E"/>
    <w:rsid w:val="004764D6"/>
    <w:rsid w:val="00476576"/>
    <w:rsid w:val="004769A0"/>
    <w:rsid w:val="00476D19"/>
    <w:rsid w:val="00477869"/>
    <w:rsid w:val="00480F27"/>
    <w:rsid w:val="00480FB5"/>
    <w:rsid w:val="00481FCF"/>
    <w:rsid w:val="004828D0"/>
    <w:rsid w:val="00482F2F"/>
    <w:rsid w:val="00483120"/>
    <w:rsid w:val="00483240"/>
    <w:rsid w:val="004836D6"/>
    <w:rsid w:val="0048388B"/>
    <w:rsid w:val="00483A2C"/>
    <w:rsid w:val="00485527"/>
    <w:rsid w:val="004857F6"/>
    <w:rsid w:val="00485A37"/>
    <w:rsid w:val="00486104"/>
    <w:rsid w:val="004864AD"/>
    <w:rsid w:val="00486524"/>
    <w:rsid w:val="0048656B"/>
    <w:rsid w:val="004866CB"/>
    <w:rsid w:val="00486E0C"/>
    <w:rsid w:val="00487583"/>
    <w:rsid w:val="004877A0"/>
    <w:rsid w:val="00487E87"/>
    <w:rsid w:val="00487F81"/>
    <w:rsid w:val="004900DD"/>
    <w:rsid w:val="00490F23"/>
    <w:rsid w:val="0049137B"/>
    <w:rsid w:val="0049142D"/>
    <w:rsid w:val="00491AE7"/>
    <w:rsid w:val="00491D22"/>
    <w:rsid w:val="004921A0"/>
    <w:rsid w:val="00492331"/>
    <w:rsid w:val="00492652"/>
    <w:rsid w:val="00493092"/>
    <w:rsid w:val="00493BD5"/>
    <w:rsid w:val="00494098"/>
    <w:rsid w:val="004946DF"/>
    <w:rsid w:val="004948BA"/>
    <w:rsid w:val="00494EBB"/>
    <w:rsid w:val="00495001"/>
    <w:rsid w:val="004958E5"/>
    <w:rsid w:val="00495B49"/>
    <w:rsid w:val="00496282"/>
    <w:rsid w:val="00496D6F"/>
    <w:rsid w:val="00496F95"/>
    <w:rsid w:val="00497251"/>
    <w:rsid w:val="00497328"/>
    <w:rsid w:val="004A0045"/>
    <w:rsid w:val="004A045E"/>
    <w:rsid w:val="004A0634"/>
    <w:rsid w:val="004A079F"/>
    <w:rsid w:val="004A177C"/>
    <w:rsid w:val="004A2E7E"/>
    <w:rsid w:val="004A325F"/>
    <w:rsid w:val="004A3262"/>
    <w:rsid w:val="004A33A2"/>
    <w:rsid w:val="004A36EB"/>
    <w:rsid w:val="004A4269"/>
    <w:rsid w:val="004A430A"/>
    <w:rsid w:val="004A4BCC"/>
    <w:rsid w:val="004A60D6"/>
    <w:rsid w:val="004A68A3"/>
    <w:rsid w:val="004A70F9"/>
    <w:rsid w:val="004A77B7"/>
    <w:rsid w:val="004A77FD"/>
    <w:rsid w:val="004A7E89"/>
    <w:rsid w:val="004A7EB6"/>
    <w:rsid w:val="004B02AF"/>
    <w:rsid w:val="004B1306"/>
    <w:rsid w:val="004B14E2"/>
    <w:rsid w:val="004B1D6A"/>
    <w:rsid w:val="004B22A7"/>
    <w:rsid w:val="004B239E"/>
    <w:rsid w:val="004B2616"/>
    <w:rsid w:val="004B2734"/>
    <w:rsid w:val="004B36A0"/>
    <w:rsid w:val="004B423A"/>
    <w:rsid w:val="004B48A3"/>
    <w:rsid w:val="004B4BAA"/>
    <w:rsid w:val="004B4C23"/>
    <w:rsid w:val="004B51AD"/>
    <w:rsid w:val="004B51C4"/>
    <w:rsid w:val="004B557F"/>
    <w:rsid w:val="004B56C8"/>
    <w:rsid w:val="004B58D6"/>
    <w:rsid w:val="004B5A89"/>
    <w:rsid w:val="004B6072"/>
    <w:rsid w:val="004B675F"/>
    <w:rsid w:val="004B69A1"/>
    <w:rsid w:val="004B6C07"/>
    <w:rsid w:val="004B6FF2"/>
    <w:rsid w:val="004B7282"/>
    <w:rsid w:val="004B752A"/>
    <w:rsid w:val="004B75EE"/>
    <w:rsid w:val="004B7898"/>
    <w:rsid w:val="004C001A"/>
    <w:rsid w:val="004C02FD"/>
    <w:rsid w:val="004C038B"/>
    <w:rsid w:val="004C05E5"/>
    <w:rsid w:val="004C077E"/>
    <w:rsid w:val="004C0D8C"/>
    <w:rsid w:val="004C134C"/>
    <w:rsid w:val="004C1ACC"/>
    <w:rsid w:val="004C1C6D"/>
    <w:rsid w:val="004C1C7D"/>
    <w:rsid w:val="004C31E8"/>
    <w:rsid w:val="004C3517"/>
    <w:rsid w:val="004C3DF7"/>
    <w:rsid w:val="004C429C"/>
    <w:rsid w:val="004C42BD"/>
    <w:rsid w:val="004C4875"/>
    <w:rsid w:val="004C4BE0"/>
    <w:rsid w:val="004C4EFE"/>
    <w:rsid w:val="004C5131"/>
    <w:rsid w:val="004C5F89"/>
    <w:rsid w:val="004C6B7C"/>
    <w:rsid w:val="004C6E59"/>
    <w:rsid w:val="004C6E71"/>
    <w:rsid w:val="004C742A"/>
    <w:rsid w:val="004C7494"/>
    <w:rsid w:val="004C76FF"/>
    <w:rsid w:val="004D0226"/>
    <w:rsid w:val="004D07D4"/>
    <w:rsid w:val="004D0A26"/>
    <w:rsid w:val="004D0BC0"/>
    <w:rsid w:val="004D1021"/>
    <w:rsid w:val="004D186E"/>
    <w:rsid w:val="004D1B19"/>
    <w:rsid w:val="004D2475"/>
    <w:rsid w:val="004D3C19"/>
    <w:rsid w:val="004D4681"/>
    <w:rsid w:val="004D483E"/>
    <w:rsid w:val="004D499A"/>
    <w:rsid w:val="004D4A4B"/>
    <w:rsid w:val="004D4A57"/>
    <w:rsid w:val="004D4C95"/>
    <w:rsid w:val="004D4E66"/>
    <w:rsid w:val="004D52FE"/>
    <w:rsid w:val="004D5387"/>
    <w:rsid w:val="004D57DB"/>
    <w:rsid w:val="004D60B3"/>
    <w:rsid w:val="004D783A"/>
    <w:rsid w:val="004D7958"/>
    <w:rsid w:val="004D798F"/>
    <w:rsid w:val="004D79E0"/>
    <w:rsid w:val="004D7C09"/>
    <w:rsid w:val="004E007A"/>
    <w:rsid w:val="004E24F6"/>
    <w:rsid w:val="004E2722"/>
    <w:rsid w:val="004E2795"/>
    <w:rsid w:val="004E2CD5"/>
    <w:rsid w:val="004E305C"/>
    <w:rsid w:val="004E308D"/>
    <w:rsid w:val="004E40AD"/>
    <w:rsid w:val="004E40AF"/>
    <w:rsid w:val="004E4111"/>
    <w:rsid w:val="004E45AA"/>
    <w:rsid w:val="004E46E6"/>
    <w:rsid w:val="004E4AD4"/>
    <w:rsid w:val="004E51BB"/>
    <w:rsid w:val="004E53A2"/>
    <w:rsid w:val="004E618A"/>
    <w:rsid w:val="004E63D2"/>
    <w:rsid w:val="004E6BCE"/>
    <w:rsid w:val="004F00E0"/>
    <w:rsid w:val="004F08C3"/>
    <w:rsid w:val="004F0C51"/>
    <w:rsid w:val="004F1593"/>
    <w:rsid w:val="004F1D14"/>
    <w:rsid w:val="004F2053"/>
    <w:rsid w:val="004F230F"/>
    <w:rsid w:val="004F2761"/>
    <w:rsid w:val="004F288E"/>
    <w:rsid w:val="004F2E38"/>
    <w:rsid w:val="004F30E4"/>
    <w:rsid w:val="004F386D"/>
    <w:rsid w:val="004F4090"/>
    <w:rsid w:val="004F4928"/>
    <w:rsid w:val="004F49F3"/>
    <w:rsid w:val="004F4B8A"/>
    <w:rsid w:val="004F4EF1"/>
    <w:rsid w:val="004F5308"/>
    <w:rsid w:val="004F53D3"/>
    <w:rsid w:val="004F554E"/>
    <w:rsid w:val="004F7103"/>
    <w:rsid w:val="004F758E"/>
    <w:rsid w:val="004F7752"/>
    <w:rsid w:val="004F7E1B"/>
    <w:rsid w:val="005000AA"/>
    <w:rsid w:val="005001A9"/>
    <w:rsid w:val="0050055F"/>
    <w:rsid w:val="0050124C"/>
    <w:rsid w:val="005014F1"/>
    <w:rsid w:val="00501903"/>
    <w:rsid w:val="00501F31"/>
    <w:rsid w:val="00501FB1"/>
    <w:rsid w:val="0050298A"/>
    <w:rsid w:val="00502FAA"/>
    <w:rsid w:val="0050341B"/>
    <w:rsid w:val="00503A69"/>
    <w:rsid w:val="00503C49"/>
    <w:rsid w:val="00503C5E"/>
    <w:rsid w:val="00503E80"/>
    <w:rsid w:val="0050422F"/>
    <w:rsid w:val="00504771"/>
    <w:rsid w:val="00504995"/>
    <w:rsid w:val="00504C4B"/>
    <w:rsid w:val="00505179"/>
    <w:rsid w:val="005054D4"/>
    <w:rsid w:val="0050649A"/>
    <w:rsid w:val="0050659A"/>
    <w:rsid w:val="0050674B"/>
    <w:rsid w:val="005071EE"/>
    <w:rsid w:val="0050778C"/>
    <w:rsid w:val="00507A83"/>
    <w:rsid w:val="00507D8A"/>
    <w:rsid w:val="00510093"/>
    <w:rsid w:val="005115A7"/>
    <w:rsid w:val="00512F9D"/>
    <w:rsid w:val="00512FD3"/>
    <w:rsid w:val="00513080"/>
    <w:rsid w:val="0051327A"/>
    <w:rsid w:val="0051335D"/>
    <w:rsid w:val="005134D5"/>
    <w:rsid w:val="005135B6"/>
    <w:rsid w:val="00513840"/>
    <w:rsid w:val="00513FAE"/>
    <w:rsid w:val="00514029"/>
    <w:rsid w:val="0051416C"/>
    <w:rsid w:val="005144AF"/>
    <w:rsid w:val="00514933"/>
    <w:rsid w:val="00514A06"/>
    <w:rsid w:val="00514C74"/>
    <w:rsid w:val="00514CCD"/>
    <w:rsid w:val="00515438"/>
    <w:rsid w:val="005154AB"/>
    <w:rsid w:val="005156DC"/>
    <w:rsid w:val="00515D04"/>
    <w:rsid w:val="00515D49"/>
    <w:rsid w:val="00516161"/>
    <w:rsid w:val="00516B35"/>
    <w:rsid w:val="0051706D"/>
    <w:rsid w:val="00517705"/>
    <w:rsid w:val="005179B0"/>
    <w:rsid w:val="00517E1D"/>
    <w:rsid w:val="00520151"/>
    <w:rsid w:val="00520489"/>
    <w:rsid w:val="00520AEF"/>
    <w:rsid w:val="005210F1"/>
    <w:rsid w:val="005212BE"/>
    <w:rsid w:val="005221AE"/>
    <w:rsid w:val="0052242E"/>
    <w:rsid w:val="005225B9"/>
    <w:rsid w:val="00522F51"/>
    <w:rsid w:val="0052319D"/>
    <w:rsid w:val="00523245"/>
    <w:rsid w:val="00523BF3"/>
    <w:rsid w:val="0052401B"/>
    <w:rsid w:val="0052491C"/>
    <w:rsid w:val="00525544"/>
    <w:rsid w:val="00525B58"/>
    <w:rsid w:val="005264FF"/>
    <w:rsid w:val="00526867"/>
    <w:rsid w:val="00526A1B"/>
    <w:rsid w:val="00526B74"/>
    <w:rsid w:val="00527018"/>
    <w:rsid w:val="005271EF"/>
    <w:rsid w:val="005274FB"/>
    <w:rsid w:val="005275E7"/>
    <w:rsid w:val="005279CD"/>
    <w:rsid w:val="00527A74"/>
    <w:rsid w:val="00530084"/>
    <w:rsid w:val="00530180"/>
    <w:rsid w:val="0053061F"/>
    <w:rsid w:val="00530710"/>
    <w:rsid w:val="00530C84"/>
    <w:rsid w:val="00531715"/>
    <w:rsid w:val="00531C1C"/>
    <w:rsid w:val="00531C54"/>
    <w:rsid w:val="00531E90"/>
    <w:rsid w:val="00532552"/>
    <w:rsid w:val="005327EC"/>
    <w:rsid w:val="00532D0E"/>
    <w:rsid w:val="005332FC"/>
    <w:rsid w:val="005336FA"/>
    <w:rsid w:val="00533787"/>
    <w:rsid w:val="00533BE7"/>
    <w:rsid w:val="0053410F"/>
    <w:rsid w:val="00534304"/>
    <w:rsid w:val="00534D33"/>
    <w:rsid w:val="00534DEE"/>
    <w:rsid w:val="00536057"/>
    <w:rsid w:val="005361EC"/>
    <w:rsid w:val="005362D5"/>
    <w:rsid w:val="005367F8"/>
    <w:rsid w:val="00537256"/>
    <w:rsid w:val="00540638"/>
    <w:rsid w:val="00540A1B"/>
    <w:rsid w:val="00541029"/>
    <w:rsid w:val="0054154D"/>
    <w:rsid w:val="00541DDF"/>
    <w:rsid w:val="00542840"/>
    <w:rsid w:val="00542F81"/>
    <w:rsid w:val="00543A6D"/>
    <w:rsid w:val="00544725"/>
    <w:rsid w:val="00544D1D"/>
    <w:rsid w:val="0054634D"/>
    <w:rsid w:val="005472BC"/>
    <w:rsid w:val="00547D3A"/>
    <w:rsid w:val="00547DBD"/>
    <w:rsid w:val="0055158B"/>
    <w:rsid w:val="00551850"/>
    <w:rsid w:val="00551F8F"/>
    <w:rsid w:val="00552248"/>
    <w:rsid w:val="005523BC"/>
    <w:rsid w:val="005527C4"/>
    <w:rsid w:val="005529D5"/>
    <w:rsid w:val="00553972"/>
    <w:rsid w:val="00553B5B"/>
    <w:rsid w:val="0055401A"/>
    <w:rsid w:val="0055456B"/>
    <w:rsid w:val="005545F4"/>
    <w:rsid w:val="0055520A"/>
    <w:rsid w:val="0055579C"/>
    <w:rsid w:val="00555821"/>
    <w:rsid w:val="00556184"/>
    <w:rsid w:val="0055666B"/>
    <w:rsid w:val="00557905"/>
    <w:rsid w:val="005579C5"/>
    <w:rsid w:val="00557A96"/>
    <w:rsid w:val="00557ADC"/>
    <w:rsid w:val="00557F58"/>
    <w:rsid w:val="0056020C"/>
    <w:rsid w:val="005602A8"/>
    <w:rsid w:val="00560AD6"/>
    <w:rsid w:val="00561584"/>
    <w:rsid w:val="00562D06"/>
    <w:rsid w:val="0056322C"/>
    <w:rsid w:val="005638CB"/>
    <w:rsid w:val="005643F9"/>
    <w:rsid w:val="00564897"/>
    <w:rsid w:val="00564B2D"/>
    <w:rsid w:val="00565292"/>
    <w:rsid w:val="0056529C"/>
    <w:rsid w:val="00565992"/>
    <w:rsid w:val="005666E0"/>
    <w:rsid w:val="0056699B"/>
    <w:rsid w:val="005670D6"/>
    <w:rsid w:val="00567156"/>
    <w:rsid w:val="00567222"/>
    <w:rsid w:val="00567732"/>
    <w:rsid w:val="00567933"/>
    <w:rsid w:val="00567D6F"/>
    <w:rsid w:val="005702E9"/>
    <w:rsid w:val="00570906"/>
    <w:rsid w:val="00570EEB"/>
    <w:rsid w:val="00571248"/>
    <w:rsid w:val="005715D5"/>
    <w:rsid w:val="00571F8D"/>
    <w:rsid w:val="00572E2B"/>
    <w:rsid w:val="00573703"/>
    <w:rsid w:val="00573775"/>
    <w:rsid w:val="00574003"/>
    <w:rsid w:val="005743A1"/>
    <w:rsid w:val="005749B9"/>
    <w:rsid w:val="005749BE"/>
    <w:rsid w:val="005750ED"/>
    <w:rsid w:val="0057535B"/>
    <w:rsid w:val="0057547C"/>
    <w:rsid w:val="00575E00"/>
    <w:rsid w:val="00576073"/>
    <w:rsid w:val="005763D0"/>
    <w:rsid w:val="00576BF4"/>
    <w:rsid w:val="00576C98"/>
    <w:rsid w:val="005772E3"/>
    <w:rsid w:val="00580E32"/>
    <w:rsid w:val="00580E66"/>
    <w:rsid w:val="00581BA1"/>
    <w:rsid w:val="005832A5"/>
    <w:rsid w:val="005834F7"/>
    <w:rsid w:val="00583637"/>
    <w:rsid w:val="00583657"/>
    <w:rsid w:val="0058377E"/>
    <w:rsid w:val="00583907"/>
    <w:rsid w:val="0058398D"/>
    <w:rsid w:val="00583CCE"/>
    <w:rsid w:val="00583D32"/>
    <w:rsid w:val="005857DA"/>
    <w:rsid w:val="005860C5"/>
    <w:rsid w:val="005868AA"/>
    <w:rsid w:val="00586C8E"/>
    <w:rsid w:val="00586ED7"/>
    <w:rsid w:val="00587537"/>
    <w:rsid w:val="005904C5"/>
    <w:rsid w:val="005907B3"/>
    <w:rsid w:val="0059145A"/>
    <w:rsid w:val="00591907"/>
    <w:rsid w:val="00591D3C"/>
    <w:rsid w:val="00591D49"/>
    <w:rsid w:val="0059265C"/>
    <w:rsid w:val="005927F1"/>
    <w:rsid w:val="005928E2"/>
    <w:rsid w:val="00592AEA"/>
    <w:rsid w:val="00592D66"/>
    <w:rsid w:val="005934B3"/>
    <w:rsid w:val="00593600"/>
    <w:rsid w:val="00594DD9"/>
    <w:rsid w:val="0059632A"/>
    <w:rsid w:val="00596A39"/>
    <w:rsid w:val="0059711D"/>
    <w:rsid w:val="005973A1"/>
    <w:rsid w:val="0059779C"/>
    <w:rsid w:val="00597AD6"/>
    <w:rsid w:val="005A0028"/>
    <w:rsid w:val="005A0141"/>
    <w:rsid w:val="005A0C6D"/>
    <w:rsid w:val="005A1151"/>
    <w:rsid w:val="005A1455"/>
    <w:rsid w:val="005A1562"/>
    <w:rsid w:val="005A1D97"/>
    <w:rsid w:val="005A1F66"/>
    <w:rsid w:val="005A23BE"/>
    <w:rsid w:val="005A2AD8"/>
    <w:rsid w:val="005A393D"/>
    <w:rsid w:val="005A3980"/>
    <w:rsid w:val="005A4C92"/>
    <w:rsid w:val="005A55C0"/>
    <w:rsid w:val="005A60B4"/>
    <w:rsid w:val="005A6409"/>
    <w:rsid w:val="005A7089"/>
    <w:rsid w:val="005A75FB"/>
    <w:rsid w:val="005A7E3A"/>
    <w:rsid w:val="005B01A0"/>
    <w:rsid w:val="005B080F"/>
    <w:rsid w:val="005B0ABE"/>
    <w:rsid w:val="005B0C0D"/>
    <w:rsid w:val="005B0F60"/>
    <w:rsid w:val="005B1115"/>
    <w:rsid w:val="005B16FC"/>
    <w:rsid w:val="005B17EF"/>
    <w:rsid w:val="005B18ED"/>
    <w:rsid w:val="005B1FF9"/>
    <w:rsid w:val="005B24FA"/>
    <w:rsid w:val="005B32BF"/>
    <w:rsid w:val="005B3B46"/>
    <w:rsid w:val="005B40AF"/>
    <w:rsid w:val="005B460A"/>
    <w:rsid w:val="005B4A6F"/>
    <w:rsid w:val="005B4DB2"/>
    <w:rsid w:val="005B5196"/>
    <w:rsid w:val="005B56BD"/>
    <w:rsid w:val="005B5BCB"/>
    <w:rsid w:val="005B5D8B"/>
    <w:rsid w:val="005B6179"/>
    <w:rsid w:val="005B6350"/>
    <w:rsid w:val="005B677E"/>
    <w:rsid w:val="005B69FF"/>
    <w:rsid w:val="005B6BBD"/>
    <w:rsid w:val="005B7777"/>
    <w:rsid w:val="005B77BB"/>
    <w:rsid w:val="005B7CAD"/>
    <w:rsid w:val="005B7DA6"/>
    <w:rsid w:val="005C001B"/>
    <w:rsid w:val="005C09B4"/>
    <w:rsid w:val="005C1210"/>
    <w:rsid w:val="005C13F2"/>
    <w:rsid w:val="005C1AA6"/>
    <w:rsid w:val="005C1FE4"/>
    <w:rsid w:val="005C20D4"/>
    <w:rsid w:val="005C2237"/>
    <w:rsid w:val="005C2264"/>
    <w:rsid w:val="005C24F2"/>
    <w:rsid w:val="005C2ADB"/>
    <w:rsid w:val="005C3077"/>
    <w:rsid w:val="005C45E8"/>
    <w:rsid w:val="005C53CA"/>
    <w:rsid w:val="005C5BF2"/>
    <w:rsid w:val="005C60B0"/>
    <w:rsid w:val="005C72A3"/>
    <w:rsid w:val="005C792C"/>
    <w:rsid w:val="005C7D38"/>
    <w:rsid w:val="005D0252"/>
    <w:rsid w:val="005D2010"/>
    <w:rsid w:val="005D27CD"/>
    <w:rsid w:val="005D2D48"/>
    <w:rsid w:val="005D33C5"/>
    <w:rsid w:val="005D35DA"/>
    <w:rsid w:val="005D3657"/>
    <w:rsid w:val="005D4826"/>
    <w:rsid w:val="005D4BB5"/>
    <w:rsid w:val="005D5FB2"/>
    <w:rsid w:val="005D6AE8"/>
    <w:rsid w:val="005D71FD"/>
    <w:rsid w:val="005D7D71"/>
    <w:rsid w:val="005D7EE1"/>
    <w:rsid w:val="005E01AA"/>
    <w:rsid w:val="005E0349"/>
    <w:rsid w:val="005E07B5"/>
    <w:rsid w:val="005E0B7A"/>
    <w:rsid w:val="005E1646"/>
    <w:rsid w:val="005E20EE"/>
    <w:rsid w:val="005E25EF"/>
    <w:rsid w:val="005E301F"/>
    <w:rsid w:val="005E369F"/>
    <w:rsid w:val="005E3A29"/>
    <w:rsid w:val="005E3AA2"/>
    <w:rsid w:val="005E4C7B"/>
    <w:rsid w:val="005E4F7B"/>
    <w:rsid w:val="005E550B"/>
    <w:rsid w:val="005E66B6"/>
    <w:rsid w:val="005E6F5B"/>
    <w:rsid w:val="005E7499"/>
    <w:rsid w:val="005F0572"/>
    <w:rsid w:val="005F08C6"/>
    <w:rsid w:val="005F1BC8"/>
    <w:rsid w:val="005F216C"/>
    <w:rsid w:val="005F225E"/>
    <w:rsid w:val="005F32B1"/>
    <w:rsid w:val="005F4181"/>
    <w:rsid w:val="005F4860"/>
    <w:rsid w:val="005F4F21"/>
    <w:rsid w:val="005F58A5"/>
    <w:rsid w:val="005F5ADB"/>
    <w:rsid w:val="005F5DE0"/>
    <w:rsid w:val="005F5FBF"/>
    <w:rsid w:val="005F6233"/>
    <w:rsid w:val="005F64A9"/>
    <w:rsid w:val="00600279"/>
    <w:rsid w:val="006009A2"/>
    <w:rsid w:val="00600A19"/>
    <w:rsid w:val="00600B68"/>
    <w:rsid w:val="00601A6D"/>
    <w:rsid w:val="006021C0"/>
    <w:rsid w:val="006021C7"/>
    <w:rsid w:val="00602CDA"/>
    <w:rsid w:val="00602F50"/>
    <w:rsid w:val="00602F93"/>
    <w:rsid w:val="006034D8"/>
    <w:rsid w:val="006040E3"/>
    <w:rsid w:val="006041A8"/>
    <w:rsid w:val="00604A60"/>
    <w:rsid w:val="00604B04"/>
    <w:rsid w:val="0060500D"/>
    <w:rsid w:val="006050E4"/>
    <w:rsid w:val="00605380"/>
    <w:rsid w:val="0060607A"/>
    <w:rsid w:val="00606533"/>
    <w:rsid w:val="00606574"/>
    <w:rsid w:val="00606765"/>
    <w:rsid w:val="00606842"/>
    <w:rsid w:val="00606B3D"/>
    <w:rsid w:val="00606BE3"/>
    <w:rsid w:val="00610011"/>
    <w:rsid w:val="00610623"/>
    <w:rsid w:val="00610F9D"/>
    <w:rsid w:val="006115E6"/>
    <w:rsid w:val="0061188C"/>
    <w:rsid w:val="0061198A"/>
    <w:rsid w:val="006119B7"/>
    <w:rsid w:val="00611C95"/>
    <w:rsid w:val="00613E1A"/>
    <w:rsid w:val="00613EE7"/>
    <w:rsid w:val="006141B4"/>
    <w:rsid w:val="0061475E"/>
    <w:rsid w:val="006149F2"/>
    <w:rsid w:val="00614A69"/>
    <w:rsid w:val="00615284"/>
    <w:rsid w:val="0061582C"/>
    <w:rsid w:val="00616397"/>
    <w:rsid w:val="00616939"/>
    <w:rsid w:val="00616B55"/>
    <w:rsid w:val="00616D1D"/>
    <w:rsid w:val="00616E35"/>
    <w:rsid w:val="006171B1"/>
    <w:rsid w:val="006173FC"/>
    <w:rsid w:val="006175E1"/>
    <w:rsid w:val="006202C2"/>
    <w:rsid w:val="006215D1"/>
    <w:rsid w:val="006222BE"/>
    <w:rsid w:val="00622FDE"/>
    <w:rsid w:val="006231E5"/>
    <w:rsid w:val="006236C0"/>
    <w:rsid w:val="006237B1"/>
    <w:rsid w:val="00623A59"/>
    <w:rsid w:val="00623B7A"/>
    <w:rsid w:val="00624333"/>
    <w:rsid w:val="0062460A"/>
    <w:rsid w:val="00624A8E"/>
    <w:rsid w:val="00624D5C"/>
    <w:rsid w:val="00624EFD"/>
    <w:rsid w:val="00626089"/>
    <w:rsid w:val="0062623A"/>
    <w:rsid w:val="0062694F"/>
    <w:rsid w:val="0062731D"/>
    <w:rsid w:val="00627994"/>
    <w:rsid w:val="00627C0D"/>
    <w:rsid w:val="00627D85"/>
    <w:rsid w:val="006302A3"/>
    <w:rsid w:val="00630938"/>
    <w:rsid w:val="00630F57"/>
    <w:rsid w:val="006310A7"/>
    <w:rsid w:val="006314C4"/>
    <w:rsid w:val="00631C21"/>
    <w:rsid w:val="00632D0F"/>
    <w:rsid w:val="0063300F"/>
    <w:rsid w:val="00633555"/>
    <w:rsid w:val="00633791"/>
    <w:rsid w:val="006342E3"/>
    <w:rsid w:val="00634366"/>
    <w:rsid w:val="00634D68"/>
    <w:rsid w:val="00634EDB"/>
    <w:rsid w:val="006351D5"/>
    <w:rsid w:val="00635BA9"/>
    <w:rsid w:val="00635C11"/>
    <w:rsid w:val="00635F11"/>
    <w:rsid w:val="006366CF"/>
    <w:rsid w:val="00636BA7"/>
    <w:rsid w:val="00636E93"/>
    <w:rsid w:val="00637643"/>
    <w:rsid w:val="00641F2D"/>
    <w:rsid w:val="006421F4"/>
    <w:rsid w:val="0064268C"/>
    <w:rsid w:val="00642BA6"/>
    <w:rsid w:val="00642E15"/>
    <w:rsid w:val="00642EE4"/>
    <w:rsid w:val="00642FC7"/>
    <w:rsid w:val="0064357A"/>
    <w:rsid w:val="006435BD"/>
    <w:rsid w:val="00643B30"/>
    <w:rsid w:val="00644339"/>
    <w:rsid w:val="006449D3"/>
    <w:rsid w:val="00644BA0"/>
    <w:rsid w:val="0064527F"/>
    <w:rsid w:val="00645841"/>
    <w:rsid w:val="006459AE"/>
    <w:rsid w:val="00645D30"/>
    <w:rsid w:val="00645D52"/>
    <w:rsid w:val="00645EAC"/>
    <w:rsid w:val="00646367"/>
    <w:rsid w:val="006465D7"/>
    <w:rsid w:val="0064683A"/>
    <w:rsid w:val="00646FDC"/>
    <w:rsid w:val="00647CAF"/>
    <w:rsid w:val="00650184"/>
    <w:rsid w:val="00650BE3"/>
    <w:rsid w:val="006511BA"/>
    <w:rsid w:val="00651E76"/>
    <w:rsid w:val="00651F4E"/>
    <w:rsid w:val="00652445"/>
    <w:rsid w:val="00652714"/>
    <w:rsid w:val="00653E4D"/>
    <w:rsid w:val="00654278"/>
    <w:rsid w:val="00654511"/>
    <w:rsid w:val="00654A92"/>
    <w:rsid w:val="00654AF9"/>
    <w:rsid w:val="006553F2"/>
    <w:rsid w:val="006554B7"/>
    <w:rsid w:val="006558F4"/>
    <w:rsid w:val="00656150"/>
    <w:rsid w:val="00656604"/>
    <w:rsid w:val="00656895"/>
    <w:rsid w:val="00656A0E"/>
    <w:rsid w:val="00656A97"/>
    <w:rsid w:val="006577C0"/>
    <w:rsid w:val="006604F7"/>
    <w:rsid w:val="0066055B"/>
    <w:rsid w:val="00660CE0"/>
    <w:rsid w:val="006610AF"/>
    <w:rsid w:val="006617FF"/>
    <w:rsid w:val="00661F71"/>
    <w:rsid w:val="00662176"/>
    <w:rsid w:val="006623CA"/>
    <w:rsid w:val="006624DA"/>
    <w:rsid w:val="00662A5F"/>
    <w:rsid w:val="00662B8B"/>
    <w:rsid w:val="00662F4E"/>
    <w:rsid w:val="00663984"/>
    <w:rsid w:val="0066519F"/>
    <w:rsid w:val="0066526C"/>
    <w:rsid w:val="006652EF"/>
    <w:rsid w:val="00665A8A"/>
    <w:rsid w:val="00665E0B"/>
    <w:rsid w:val="00666067"/>
    <w:rsid w:val="00666228"/>
    <w:rsid w:val="0066666C"/>
    <w:rsid w:val="00666671"/>
    <w:rsid w:val="00666EEC"/>
    <w:rsid w:val="006670B9"/>
    <w:rsid w:val="00667707"/>
    <w:rsid w:val="00667B07"/>
    <w:rsid w:val="00667F85"/>
    <w:rsid w:val="006702AF"/>
    <w:rsid w:val="0067086F"/>
    <w:rsid w:val="006708E6"/>
    <w:rsid w:val="00670AF4"/>
    <w:rsid w:val="00670DDE"/>
    <w:rsid w:val="0067170A"/>
    <w:rsid w:val="00671A7C"/>
    <w:rsid w:val="006722FF"/>
    <w:rsid w:val="00672947"/>
    <w:rsid w:val="00672ACD"/>
    <w:rsid w:val="00673732"/>
    <w:rsid w:val="00673876"/>
    <w:rsid w:val="00674721"/>
    <w:rsid w:val="00674E00"/>
    <w:rsid w:val="00675559"/>
    <w:rsid w:val="00675A25"/>
    <w:rsid w:val="0067659C"/>
    <w:rsid w:val="00676AE6"/>
    <w:rsid w:val="00676C17"/>
    <w:rsid w:val="00676EBA"/>
    <w:rsid w:val="006770A4"/>
    <w:rsid w:val="00677213"/>
    <w:rsid w:val="00677571"/>
    <w:rsid w:val="006803B4"/>
    <w:rsid w:val="00680A52"/>
    <w:rsid w:val="00680EEC"/>
    <w:rsid w:val="006810A3"/>
    <w:rsid w:val="0068178E"/>
    <w:rsid w:val="006817D8"/>
    <w:rsid w:val="006818ED"/>
    <w:rsid w:val="00681FE5"/>
    <w:rsid w:val="00682023"/>
    <w:rsid w:val="00682145"/>
    <w:rsid w:val="00682FD5"/>
    <w:rsid w:val="00683C83"/>
    <w:rsid w:val="00683D23"/>
    <w:rsid w:val="00684910"/>
    <w:rsid w:val="00684C5C"/>
    <w:rsid w:val="00684D38"/>
    <w:rsid w:val="00685C19"/>
    <w:rsid w:val="00685F5C"/>
    <w:rsid w:val="006865D2"/>
    <w:rsid w:val="00686E23"/>
    <w:rsid w:val="00687DF7"/>
    <w:rsid w:val="00687E4B"/>
    <w:rsid w:val="00690489"/>
    <w:rsid w:val="00690945"/>
    <w:rsid w:val="00690BA9"/>
    <w:rsid w:val="00690D73"/>
    <w:rsid w:val="00691196"/>
    <w:rsid w:val="0069134F"/>
    <w:rsid w:val="00692616"/>
    <w:rsid w:val="006926B1"/>
    <w:rsid w:val="00692D9F"/>
    <w:rsid w:val="00693496"/>
    <w:rsid w:val="00693916"/>
    <w:rsid w:val="00693FFA"/>
    <w:rsid w:val="00694365"/>
    <w:rsid w:val="00694996"/>
    <w:rsid w:val="00694C90"/>
    <w:rsid w:val="00694D32"/>
    <w:rsid w:val="00694DFC"/>
    <w:rsid w:val="00695F93"/>
    <w:rsid w:val="006964C5"/>
    <w:rsid w:val="006964F9"/>
    <w:rsid w:val="00696548"/>
    <w:rsid w:val="00696B8B"/>
    <w:rsid w:val="0069715B"/>
    <w:rsid w:val="006A081C"/>
    <w:rsid w:val="006A1A2C"/>
    <w:rsid w:val="006A1F85"/>
    <w:rsid w:val="006A21F4"/>
    <w:rsid w:val="006A2736"/>
    <w:rsid w:val="006A2AF4"/>
    <w:rsid w:val="006A2D06"/>
    <w:rsid w:val="006A2E21"/>
    <w:rsid w:val="006A2F2F"/>
    <w:rsid w:val="006A4F54"/>
    <w:rsid w:val="006A50EF"/>
    <w:rsid w:val="006A5578"/>
    <w:rsid w:val="006A5CF7"/>
    <w:rsid w:val="006A5EF0"/>
    <w:rsid w:val="006A62F6"/>
    <w:rsid w:val="006A6322"/>
    <w:rsid w:val="006A641C"/>
    <w:rsid w:val="006A6E20"/>
    <w:rsid w:val="006A716F"/>
    <w:rsid w:val="006A7A0B"/>
    <w:rsid w:val="006B007C"/>
    <w:rsid w:val="006B00B8"/>
    <w:rsid w:val="006B03BE"/>
    <w:rsid w:val="006B0890"/>
    <w:rsid w:val="006B0DBA"/>
    <w:rsid w:val="006B1574"/>
    <w:rsid w:val="006B1CB7"/>
    <w:rsid w:val="006B1F8A"/>
    <w:rsid w:val="006B2080"/>
    <w:rsid w:val="006B2EBC"/>
    <w:rsid w:val="006B2EF2"/>
    <w:rsid w:val="006B3185"/>
    <w:rsid w:val="006B3211"/>
    <w:rsid w:val="006B33ED"/>
    <w:rsid w:val="006B36D9"/>
    <w:rsid w:val="006B3784"/>
    <w:rsid w:val="006B3C8C"/>
    <w:rsid w:val="006B3FD3"/>
    <w:rsid w:val="006B478F"/>
    <w:rsid w:val="006B47AE"/>
    <w:rsid w:val="006B5DFD"/>
    <w:rsid w:val="006B619F"/>
    <w:rsid w:val="006B7037"/>
    <w:rsid w:val="006B74BD"/>
    <w:rsid w:val="006B779A"/>
    <w:rsid w:val="006B7AA3"/>
    <w:rsid w:val="006C0100"/>
    <w:rsid w:val="006C01A2"/>
    <w:rsid w:val="006C01B2"/>
    <w:rsid w:val="006C04F6"/>
    <w:rsid w:val="006C09EE"/>
    <w:rsid w:val="006C0B53"/>
    <w:rsid w:val="006C0BFC"/>
    <w:rsid w:val="006C0E83"/>
    <w:rsid w:val="006C1112"/>
    <w:rsid w:val="006C19DD"/>
    <w:rsid w:val="006C1D56"/>
    <w:rsid w:val="006C208A"/>
    <w:rsid w:val="006C2144"/>
    <w:rsid w:val="006C291A"/>
    <w:rsid w:val="006C2EB5"/>
    <w:rsid w:val="006C2FE5"/>
    <w:rsid w:val="006C308E"/>
    <w:rsid w:val="006C33D4"/>
    <w:rsid w:val="006C3659"/>
    <w:rsid w:val="006C3A89"/>
    <w:rsid w:val="006C3EB9"/>
    <w:rsid w:val="006C3F1E"/>
    <w:rsid w:val="006C4841"/>
    <w:rsid w:val="006C4D0C"/>
    <w:rsid w:val="006C53BF"/>
    <w:rsid w:val="006C586F"/>
    <w:rsid w:val="006C590E"/>
    <w:rsid w:val="006C5D4A"/>
    <w:rsid w:val="006C5F74"/>
    <w:rsid w:val="006C6208"/>
    <w:rsid w:val="006C6D36"/>
    <w:rsid w:val="006C6E76"/>
    <w:rsid w:val="006C6FCD"/>
    <w:rsid w:val="006C74EF"/>
    <w:rsid w:val="006C7658"/>
    <w:rsid w:val="006C7DCD"/>
    <w:rsid w:val="006D0C76"/>
    <w:rsid w:val="006D0F42"/>
    <w:rsid w:val="006D0FC7"/>
    <w:rsid w:val="006D18B5"/>
    <w:rsid w:val="006D1DB9"/>
    <w:rsid w:val="006D246B"/>
    <w:rsid w:val="006D2525"/>
    <w:rsid w:val="006D286B"/>
    <w:rsid w:val="006D2BEB"/>
    <w:rsid w:val="006D2E83"/>
    <w:rsid w:val="006D30A9"/>
    <w:rsid w:val="006D3108"/>
    <w:rsid w:val="006D384F"/>
    <w:rsid w:val="006D3A37"/>
    <w:rsid w:val="006D3D58"/>
    <w:rsid w:val="006D3E62"/>
    <w:rsid w:val="006D3EB8"/>
    <w:rsid w:val="006D4230"/>
    <w:rsid w:val="006D4753"/>
    <w:rsid w:val="006D5786"/>
    <w:rsid w:val="006D6011"/>
    <w:rsid w:val="006D60D5"/>
    <w:rsid w:val="006D77C2"/>
    <w:rsid w:val="006E0F9A"/>
    <w:rsid w:val="006E0FB3"/>
    <w:rsid w:val="006E1601"/>
    <w:rsid w:val="006E17E7"/>
    <w:rsid w:val="006E2139"/>
    <w:rsid w:val="006E2351"/>
    <w:rsid w:val="006E2A50"/>
    <w:rsid w:val="006E2DD1"/>
    <w:rsid w:val="006E2DFC"/>
    <w:rsid w:val="006E3370"/>
    <w:rsid w:val="006E345D"/>
    <w:rsid w:val="006E3B48"/>
    <w:rsid w:val="006E44C0"/>
    <w:rsid w:val="006E5233"/>
    <w:rsid w:val="006E5284"/>
    <w:rsid w:val="006E53DB"/>
    <w:rsid w:val="006E5C2B"/>
    <w:rsid w:val="006E6198"/>
    <w:rsid w:val="006E63CA"/>
    <w:rsid w:val="006E6666"/>
    <w:rsid w:val="006E691D"/>
    <w:rsid w:val="006E6964"/>
    <w:rsid w:val="006E6C9D"/>
    <w:rsid w:val="006E6D78"/>
    <w:rsid w:val="006E6EB3"/>
    <w:rsid w:val="006E7026"/>
    <w:rsid w:val="006E70E2"/>
    <w:rsid w:val="006E71E0"/>
    <w:rsid w:val="006E723A"/>
    <w:rsid w:val="006F0118"/>
    <w:rsid w:val="006F071D"/>
    <w:rsid w:val="006F0995"/>
    <w:rsid w:val="006F12D8"/>
    <w:rsid w:val="006F16B5"/>
    <w:rsid w:val="006F2148"/>
    <w:rsid w:val="006F23D6"/>
    <w:rsid w:val="006F2DB1"/>
    <w:rsid w:val="006F3105"/>
    <w:rsid w:val="006F3202"/>
    <w:rsid w:val="006F394C"/>
    <w:rsid w:val="006F3FD7"/>
    <w:rsid w:val="006F3FEB"/>
    <w:rsid w:val="006F4380"/>
    <w:rsid w:val="006F4582"/>
    <w:rsid w:val="006F4784"/>
    <w:rsid w:val="006F4FA4"/>
    <w:rsid w:val="006F524B"/>
    <w:rsid w:val="006F5406"/>
    <w:rsid w:val="006F6025"/>
    <w:rsid w:val="006F630E"/>
    <w:rsid w:val="006F6734"/>
    <w:rsid w:val="006F6F14"/>
    <w:rsid w:val="006F6F8D"/>
    <w:rsid w:val="006F79EA"/>
    <w:rsid w:val="006F7D72"/>
    <w:rsid w:val="00700727"/>
    <w:rsid w:val="00700731"/>
    <w:rsid w:val="00700AA3"/>
    <w:rsid w:val="00700AD4"/>
    <w:rsid w:val="00701930"/>
    <w:rsid w:val="00701A12"/>
    <w:rsid w:val="00701E8A"/>
    <w:rsid w:val="00702431"/>
    <w:rsid w:val="0070254A"/>
    <w:rsid w:val="007027F9"/>
    <w:rsid w:val="00702DBD"/>
    <w:rsid w:val="00703741"/>
    <w:rsid w:val="00703B30"/>
    <w:rsid w:val="00703C2E"/>
    <w:rsid w:val="007044C9"/>
    <w:rsid w:val="00704640"/>
    <w:rsid w:val="00704FC4"/>
    <w:rsid w:val="007051B9"/>
    <w:rsid w:val="0070583E"/>
    <w:rsid w:val="00705984"/>
    <w:rsid w:val="00706212"/>
    <w:rsid w:val="00706403"/>
    <w:rsid w:val="00706A11"/>
    <w:rsid w:val="00706D51"/>
    <w:rsid w:val="00707238"/>
    <w:rsid w:val="007078D5"/>
    <w:rsid w:val="00707F1B"/>
    <w:rsid w:val="007100A8"/>
    <w:rsid w:val="0071112C"/>
    <w:rsid w:val="0071285D"/>
    <w:rsid w:val="00712EC8"/>
    <w:rsid w:val="00713239"/>
    <w:rsid w:val="00713C5C"/>
    <w:rsid w:val="0071418F"/>
    <w:rsid w:val="00714979"/>
    <w:rsid w:val="007153FF"/>
    <w:rsid w:val="007154B1"/>
    <w:rsid w:val="007155A0"/>
    <w:rsid w:val="00715F30"/>
    <w:rsid w:val="00716359"/>
    <w:rsid w:val="0071658F"/>
    <w:rsid w:val="00716BCE"/>
    <w:rsid w:val="00716FB6"/>
    <w:rsid w:val="00717043"/>
    <w:rsid w:val="007179F3"/>
    <w:rsid w:val="00717B4C"/>
    <w:rsid w:val="007204E7"/>
    <w:rsid w:val="007205F5"/>
    <w:rsid w:val="0072082F"/>
    <w:rsid w:val="00720AE7"/>
    <w:rsid w:val="00720BCB"/>
    <w:rsid w:val="00721EB5"/>
    <w:rsid w:val="00721F3C"/>
    <w:rsid w:val="0072207F"/>
    <w:rsid w:val="00722490"/>
    <w:rsid w:val="00722E5F"/>
    <w:rsid w:val="00722E7C"/>
    <w:rsid w:val="00722E96"/>
    <w:rsid w:val="007230CE"/>
    <w:rsid w:val="0072328B"/>
    <w:rsid w:val="0072393F"/>
    <w:rsid w:val="00723AA2"/>
    <w:rsid w:val="00723D0C"/>
    <w:rsid w:val="00724333"/>
    <w:rsid w:val="00724CC1"/>
    <w:rsid w:val="0072531E"/>
    <w:rsid w:val="00725A87"/>
    <w:rsid w:val="00725A9D"/>
    <w:rsid w:val="00725C21"/>
    <w:rsid w:val="00725CE4"/>
    <w:rsid w:val="007261DE"/>
    <w:rsid w:val="007264A8"/>
    <w:rsid w:val="00726726"/>
    <w:rsid w:val="007271D7"/>
    <w:rsid w:val="0072748A"/>
    <w:rsid w:val="007278CC"/>
    <w:rsid w:val="007313B3"/>
    <w:rsid w:val="0073220A"/>
    <w:rsid w:val="00732874"/>
    <w:rsid w:val="00732E94"/>
    <w:rsid w:val="00732FAE"/>
    <w:rsid w:val="00733117"/>
    <w:rsid w:val="007342C3"/>
    <w:rsid w:val="0073491E"/>
    <w:rsid w:val="00734B24"/>
    <w:rsid w:val="00734E18"/>
    <w:rsid w:val="007358B5"/>
    <w:rsid w:val="00735C3D"/>
    <w:rsid w:val="00735F2B"/>
    <w:rsid w:val="007368DE"/>
    <w:rsid w:val="00736D9E"/>
    <w:rsid w:val="00736E82"/>
    <w:rsid w:val="00737377"/>
    <w:rsid w:val="00737505"/>
    <w:rsid w:val="00737AC3"/>
    <w:rsid w:val="0074036D"/>
    <w:rsid w:val="0074077C"/>
    <w:rsid w:val="00740D44"/>
    <w:rsid w:val="00741771"/>
    <w:rsid w:val="00741871"/>
    <w:rsid w:val="007418D1"/>
    <w:rsid w:val="00741B9A"/>
    <w:rsid w:val="00741BFA"/>
    <w:rsid w:val="007427F9"/>
    <w:rsid w:val="007434C9"/>
    <w:rsid w:val="00743962"/>
    <w:rsid w:val="00743D55"/>
    <w:rsid w:val="00744084"/>
    <w:rsid w:val="007446E3"/>
    <w:rsid w:val="007449F5"/>
    <w:rsid w:val="00744F59"/>
    <w:rsid w:val="007470FF"/>
    <w:rsid w:val="0074764F"/>
    <w:rsid w:val="007476E2"/>
    <w:rsid w:val="007501EA"/>
    <w:rsid w:val="00750453"/>
    <w:rsid w:val="0075073B"/>
    <w:rsid w:val="00750A3D"/>
    <w:rsid w:val="00750A6C"/>
    <w:rsid w:val="00750E31"/>
    <w:rsid w:val="00750F57"/>
    <w:rsid w:val="00751224"/>
    <w:rsid w:val="007518A2"/>
    <w:rsid w:val="00751C15"/>
    <w:rsid w:val="00751FC4"/>
    <w:rsid w:val="0075278C"/>
    <w:rsid w:val="00752E36"/>
    <w:rsid w:val="00753327"/>
    <w:rsid w:val="00753702"/>
    <w:rsid w:val="00753971"/>
    <w:rsid w:val="00754F59"/>
    <w:rsid w:val="007554BB"/>
    <w:rsid w:val="007560A9"/>
    <w:rsid w:val="00756306"/>
    <w:rsid w:val="00756754"/>
    <w:rsid w:val="007567EA"/>
    <w:rsid w:val="00756FF7"/>
    <w:rsid w:val="0075702C"/>
    <w:rsid w:val="0075719E"/>
    <w:rsid w:val="0076016B"/>
    <w:rsid w:val="00760330"/>
    <w:rsid w:val="007614B3"/>
    <w:rsid w:val="007625F0"/>
    <w:rsid w:val="00762DBA"/>
    <w:rsid w:val="007632F4"/>
    <w:rsid w:val="007639B2"/>
    <w:rsid w:val="0076517D"/>
    <w:rsid w:val="007653B0"/>
    <w:rsid w:val="00765A35"/>
    <w:rsid w:val="00765BEC"/>
    <w:rsid w:val="00766879"/>
    <w:rsid w:val="0076698C"/>
    <w:rsid w:val="007671A9"/>
    <w:rsid w:val="0077098C"/>
    <w:rsid w:val="00771129"/>
    <w:rsid w:val="00771591"/>
    <w:rsid w:val="007716D3"/>
    <w:rsid w:val="007719CE"/>
    <w:rsid w:val="00771D67"/>
    <w:rsid w:val="00772226"/>
    <w:rsid w:val="00772777"/>
    <w:rsid w:val="00772B0B"/>
    <w:rsid w:val="00772D30"/>
    <w:rsid w:val="0077316F"/>
    <w:rsid w:val="0077332B"/>
    <w:rsid w:val="007733EB"/>
    <w:rsid w:val="00773411"/>
    <w:rsid w:val="00773643"/>
    <w:rsid w:val="00773B67"/>
    <w:rsid w:val="0077449B"/>
    <w:rsid w:val="00774A66"/>
    <w:rsid w:val="00774C26"/>
    <w:rsid w:val="00774EE0"/>
    <w:rsid w:val="00775604"/>
    <w:rsid w:val="007767C8"/>
    <w:rsid w:val="0078069D"/>
    <w:rsid w:val="00780B7E"/>
    <w:rsid w:val="00780BA1"/>
    <w:rsid w:val="00781350"/>
    <w:rsid w:val="0078197E"/>
    <w:rsid w:val="00781A36"/>
    <w:rsid w:val="00782286"/>
    <w:rsid w:val="00782A48"/>
    <w:rsid w:val="0078314F"/>
    <w:rsid w:val="00783430"/>
    <w:rsid w:val="0078453D"/>
    <w:rsid w:val="007845FC"/>
    <w:rsid w:val="00784687"/>
    <w:rsid w:val="00785552"/>
    <w:rsid w:val="0078588D"/>
    <w:rsid w:val="0078595E"/>
    <w:rsid w:val="0078702B"/>
    <w:rsid w:val="00787219"/>
    <w:rsid w:val="0078755D"/>
    <w:rsid w:val="007878BD"/>
    <w:rsid w:val="00787A44"/>
    <w:rsid w:val="0079004C"/>
    <w:rsid w:val="00790532"/>
    <w:rsid w:val="00791A80"/>
    <w:rsid w:val="00791A81"/>
    <w:rsid w:val="00792141"/>
    <w:rsid w:val="00792166"/>
    <w:rsid w:val="007927AA"/>
    <w:rsid w:val="00792AAD"/>
    <w:rsid w:val="00792EF8"/>
    <w:rsid w:val="0079311F"/>
    <w:rsid w:val="00793631"/>
    <w:rsid w:val="00793F6E"/>
    <w:rsid w:val="00794090"/>
    <w:rsid w:val="007943AB"/>
    <w:rsid w:val="00794613"/>
    <w:rsid w:val="00794D9C"/>
    <w:rsid w:val="00795E09"/>
    <w:rsid w:val="00795E8B"/>
    <w:rsid w:val="00796074"/>
    <w:rsid w:val="0079627A"/>
    <w:rsid w:val="00796587"/>
    <w:rsid w:val="00796979"/>
    <w:rsid w:val="007969B2"/>
    <w:rsid w:val="00796A00"/>
    <w:rsid w:val="00796B74"/>
    <w:rsid w:val="00797148"/>
    <w:rsid w:val="0079795D"/>
    <w:rsid w:val="007A10C6"/>
    <w:rsid w:val="007A1400"/>
    <w:rsid w:val="007A1E44"/>
    <w:rsid w:val="007A2976"/>
    <w:rsid w:val="007A2D1F"/>
    <w:rsid w:val="007A4CE0"/>
    <w:rsid w:val="007A5663"/>
    <w:rsid w:val="007A5CFD"/>
    <w:rsid w:val="007A5E19"/>
    <w:rsid w:val="007A66E2"/>
    <w:rsid w:val="007A731F"/>
    <w:rsid w:val="007A790B"/>
    <w:rsid w:val="007A7E2A"/>
    <w:rsid w:val="007B0260"/>
    <w:rsid w:val="007B0A39"/>
    <w:rsid w:val="007B0BE7"/>
    <w:rsid w:val="007B0D1A"/>
    <w:rsid w:val="007B0D7C"/>
    <w:rsid w:val="007B183C"/>
    <w:rsid w:val="007B1CA9"/>
    <w:rsid w:val="007B1E0C"/>
    <w:rsid w:val="007B22D1"/>
    <w:rsid w:val="007B285A"/>
    <w:rsid w:val="007B28DB"/>
    <w:rsid w:val="007B2BF8"/>
    <w:rsid w:val="007B3178"/>
    <w:rsid w:val="007B3463"/>
    <w:rsid w:val="007B36F7"/>
    <w:rsid w:val="007B39FB"/>
    <w:rsid w:val="007B3A53"/>
    <w:rsid w:val="007B548A"/>
    <w:rsid w:val="007B5D9F"/>
    <w:rsid w:val="007B61B6"/>
    <w:rsid w:val="007B6430"/>
    <w:rsid w:val="007B66EC"/>
    <w:rsid w:val="007B6B2D"/>
    <w:rsid w:val="007B6F66"/>
    <w:rsid w:val="007B72D1"/>
    <w:rsid w:val="007B7574"/>
    <w:rsid w:val="007B76E9"/>
    <w:rsid w:val="007C03DE"/>
    <w:rsid w:val="007C0BE3"/>
    <w:rsid w:val="007C127D"/>
    <w:rsid w:val="007C1721"/>
    <w:rsid w:val="007C1BC6"/>
    <w:rsid w:val="007C1ECB"/>
    <w:rsid w:val="007C26C5"/>
    <w:rsid w:val="007C31A3"/>
    <w:rsid w:val="007C3C0F"/>
    <w:rsid w:val="007C3D09"/>
    <w:rsid w:val="007C40B7"/>
    <w:rsid w:val="007C437F"/>
    <w:rsid w:val="007C5082"/>
    <w:rsid w:val="007C51FD"/>
    <w:rsid w:val="007C54D4"/>
    <w:rsid w:val="007C573E"/>
    <w:rsid w:val="007C5AEA"/>
    <w:rsid w:val="007C60E7"/>
    <w:rsid w:val="007C6381"/>
    <w:rsid w:val="007C645D"/>
    <w:rsid w:val="007C6915"/>
    <w:rsid w:val="007C6E77"/>
    <w:rsid w:val="007C79BB"/>
    <w:rsid w:val="007C79EA"/>
    <w:rsid w:val="007D0445"/>
    <w:rsid w:val="007D16D4"/>
    <w:rsid w:val="007D199E"/>
    <w:rsid w:val="007D1B92"/>
    <w:rsid w:val="007D23DC"/>
    <w:rsid w:val="007D244C"/>
    <w:rsid w:val="007D27C8"/>
    <w:rsid w:val="007D2EB3"/>
    <w:rsid w:val="007D318F"/>
    <w:rsid w:val="007D33B9"/>
    <w:rsid w:val="007D4DA5"/>
    <w:rsid w:val="007D4E34"/>
    <w:rsid w:val="007D4EA4"/>
    <w:rsid w:val="007D5D37"/>
    <w:rsid w:val="007D60AE"/>
    <w:rsid w:val="007D7E28"/>
    <w:rsid w:val="007D7E37"/>
    <w:rsid w:val="007E0296"/>
    <w:rsid w:val="007E029F"/>
    <w:rsid w:val="007E0399"/>
    <w:rsid w:val="007E06BA"/>
    <w:rsid w:val="007E134B"/>
    <w:rsid w:val="007E13C4"/>
    <w:rsid w:val="007E14BA"/>
    <w:rsid w:val="007E1BAD"/>
    <w:rsid w:val="007E2166"/>
    <w:rsid w:val="007E2868"/>
    <w:rsid w:val="007E29B8"/>
    <w:rsid w:val="007E29D0"/>
    <w:rsid w:val="007E2DEB"/>
    <w:rsid w:val="007E3770"/>
    <w:rsid w:val="007E433A"/>
    <w:rsid w:val="007E4372"/>
    <w:rsid w:val="007E496F"/>
    <w:rsid w:val="007E4FF4"/>
    <w:rsid w:val="007E50B9"/>
    <w:rsid w:val="007E61A7"/>
    <w:rsid w:val="007E657E"/>
    <w:rsid w:val="007E7066"/>
    <w:rsid w:val="007F0558"/>
    <w:rsid w:val="007F1488"/>
    <w:rsid w:val="007F16F1"/>
    <w:rsid w:val="007F1B73"/>
    <w:rsid w:val="007F2587"/>
    <w:rsid w:val="007F303B"/>
    <w:rsid w:val="007F3691"/>
    <w:rsid w:val="007F3881"/>
    <w:rsid w:val="007F391C"/>
    <w:rsid w:val="007F3A45"/>
    <w:rsid w:val="007F3D84"/>
    <w:rsid w:val="007F40DE"/>
    <w:rsid w:val="007F4585"/>
    <w:rsid w:val="007F4947"/>
    <w:rsid w:val="007F4CF1"/>
    <w:rsid w:val="007F4E3A"/>
    <w:rsid w:val="007F4F5F"/>
    <w:rsid w:val="007F53E1"/>
    <w:rsid w:val="007F5492"/>
    <w:rsid w:val="007F54FB"/>
    <w:rsid w:val="007F7473"/>
    <w:rsid w:val="00800538"/>
    <w:rsid w:val="00800970"/>
    <w:rsid w:val="0080108D"/>
    <w:rsid w:val="008013B0"/>
    <w:rsid w:val="00801AED"/>
    <w:rsid w:val="00801E31"/>
    <w:rsid w:val="00801EEF"/>
    <w:rsid w:val="0080260E"/>
    <w:rsid w:val="00802845"/>
    <w:rsid w:val="008029F4"/>
    <w:rsid w:val="00802B09"/>
    <w:rsid w:val="0080344C"/>
    <w:rsid w:val="00803CAF"/>
    <w:rsid w:val="008040A4"/>
    <w:rsid w:val="00804188"/>
    <w:rsid w:val="008042C3"/>
    <w:rsid w:val="008042D2"/>
    <w:rsid w:val="00804A12"/>
    <w:rsid w:val="00804D14"/>
    <w:rsid w:val="00804DA2"/>
    <w:rsid w:val="00804DA5"/>
    <w:rsid w:val="00805037"/>
    <w:rsid w:val="008054AF"/>
    <w:rsid w:val="008054CA"/>
    <w:rsid w:val="008059F3"/>
    <w:rsid w:val="00805E74"/>
    <w:rsid w:val="0080632E"/>
    <w:rsid w:val="00806A4F"/>
    <w:rsid w:val="00806F1B"/>
    <w:rsid w:val="00807B76"/>
    <w:rsid w:val="00807D1C"/>
    <w:rsid w:val="00810063"/>
    <w:rsid w:val="00811856"/>
    <w:rsid w:val="008121A1"/>
    <w:rsid w:val="00812679"/>
    <w:rsid w:val="0081272D"/>
    <w:rsid w:val="00812E05"/>
    <w:rsid w:val="00812EA4"/>
    <w:rsid w:val="008131BF"/>
    <w:rsid w:val="008132CE"/>
    <w:rsid w:val="00813659"/>
    <w:rsid w:val="00813853"/>
    <w:rsid w:val="008138A9"/>
    <w:rsid w:val="0081390C"/>
    <w:rsid w:val="00813A60"/>
    <w:rsid w:val="00814C8B"/>
    <w:rsid w:val="00815A3F"/>
    <w:rsid w:val="0081609B"/>
    <w:rsid w:val="008160FC"/>
    <w:rsid w:val="0081643D"/>
    <w:rsid w:val="0081691C"/>
    <w:rsid w:val="00817B46"/>
    <w:rsid w:val="00817C13"/>
    <w:rsid w:val="00817D60"/>
    <w:rsid w:val="008202A7"/>
    <w:rsid w:val="00820821"/>
    <w:rsid w:val="00820B62"/>
    <w:rsid w:val="00821094"/>
    <w:rsid w:val="0082126F"/>
    <w:rsid w:val="00821641"/>
    <w:rsid w:val="00821849"/>
    <w:rsid w:val="00822744"/>
    <w:rsid w:val="00822ABD"/>
    <w:rsid w:val="00823E01"/>
    <w:rsid w:val="00824397"/>
    <w:rsid w:val="008244F7"/>
    <w:rsid w:val="00824A2C"/>
    <w:rsid w:val="00824BA4"/>
    <w:rsid w:val="00824DF3"/>
    <w:rsid w:val="0082508C"/>
    <w:rsid w:val="008258BC"/>
    <w:rsid w:val="00825EAF"/>
    <w:rsid w:val="0082665B"/>
    <w:rsid w:val="008268BE"/>
    <w:rsid w:val="00826A50"/>
    <w:rsid w:val="00826BF8"/>
    <w:rsid w:val="008270BE"/>
    <w:rsid w:val="00830740"/>
    <w:rsid w:val="00830B7E"/>
    <w:rsid w:val="00831242"/>
    <w:rsid w:val="00831682"/>
    <w:rsid w:val="00831CC6"/>
    <w:rsid w:val="00831D1C"/>
    <w:rsid w:val="00831FEE"/>
    <w:rsid w:val="008320C5"/>
    <w:rsid w:val="008324CA"/>
    <w:rsid w:val="00832F2B"/>
    <w:rsid w:val="00833D1E"/>
    <w:rsid w:val="00833F02"/>
    <w:rsid w:val="0083458E"/>
    <w:rsid w:val="00835532"/>
    <w:rsid w:val="008358DD"/>
    <w:rsid w:val="00835C38"/>
    <w:rsid w:val="008364D7"/>
    <w:rsid w:val="0083664E"/>
    <w:rsid w:val="0083775F"/>
    <w:rsid w:val="00837823"/>
    <w:rsid w:val="00837853"/>
    <w:rsid w:val="00837DE7"/>
    <w:rsid w:val="0084059C"/>
    <w:rsid w:val="0084146F"/>
    <w:rsid w:val="00841622"/>
    <w:rsid w:val="00841AC8"/>
    <w:rsid w:val="00841B11"/>
    <w:rsid w:val="00841C10"/>
    <w:rsid w:val="00841E17"/>
    <w:rsid w:val="00842227"/>
    <w:rsid w:val="0084265A"/>
    <w:rsid w:val="00843095"/>
    <w:rsid w:val="00843252"/>
    <w:rsid w:val="00843B4C"/>
    <w:rsid w:val="00843F99"/>
    <w:rsid w:val="00844BCE"/>
    <w:rsid w:val="00844CE8"/>
    <w:rsid w:val="00844E08"/>
    <w:rsid w:val="00844EAC"/>
    <w:rsid w:val="0084640D"/>
    <w:rsid w:val="00846623"/>
    <w:rsid w:val="00846F87"/>
    <w:rsid w:val="0084765A"/>
    <w:rsid w:val="00847D2C"/>
    <w:rsid w:val="00850C60"/>
    <w:rsid w:val="0085171D"/>
    <w:rsid w:val="0085174E"/>
    <w:rsid w:val="00851D0A"/>
    <w:rsid w:val="00851D73"/>
    <w:rsid w:val="00852155"/>
    <w:rsid w:val="0085233D"/>
    <w:rsid w:val="008527F1"/>
    <w:rsid w:val="00852E3B"/>
    <w:rsid w:val="0085324A"/>
    <w:rsid w:val="008532CC"/>
    <w:rsid w:val="0085397E"/>
    <w:rsid w:val="00854143"/>
    <w:rsid w:val="00854603"/>
    <w:rsid w:val="00854668"/>
    <w:rsid w:val="008547E8"/>
    <w:rsid w:val="00854E88"/>
    <w:rsid w:val="00855056"/>
    <w:rsid w:val="0085516C"/>
    <w:rsid w:val="00855428"/>
    <w:rsid w:val="00855ABA"/>
    <w:rsid w:val="00855B7E"/>
    <w:rsid w:val="00856A06"/>
    <w:rsid w:val="008577FE"/>
    <w:rsid w:val="008579D4"/>
    <w:rsid w:val="00857B09"/>
    <w:rsid w:val="00857D35"/>
    <w:rsid w:val="0086004B"/>
    <w:rsid w:val="00860316"/>
    <w:rsid w:val="00861265"/>
    <w:rsid w:val="008618D9"/>
    <w:rsid w:val="00861A39"/>
    <w:rsid w:val="00861C8D"/>
    <w:rsid w:val="00861DE2"/>
    <w:rsid w:val="00863175"/>
    <w:rsid w:val="008632FF"/>
    <w:rsid w:val="008633C1"/>
    <w:rsid w:val="00863E1B"/>
    <w:rsid w:val="00863E4D"/>
    <w:rsid w:val="00863EFA"/>
    <w:rsid w:val="00863F05"/>
    <w:rsid w:val="00864454"/>
    <w:rsid w:val="00864BD7"/>
    <w:rsid w:val="00864DE2"/>
    <w:rsid w:val="00864E63"/>
    <w:rsid w:val="00864EBB"/>
    <w:rsid w:val="00864FA2"/>
    <w:rsid w:val="008658EC"/>
    <w:rsid w:val="0086598F"/>
    <w:rsid w:val="008659DB"/>
    <w:rsid w:val="00865F2A"/>
    <w:rsid w:val="00867778"/>
    <w:rsid w:val="00867BF1"/>
    <w:rsid w:val="00867E36"/>
    <w:rsid w:val="0087085A"/>
    <w:rsid w:val="008711FE"/>
    <w:rsid w:val="00871A89"/>
    <w:rsid w:val="00872AD2"/>
    <w:rsid w:val="00872D9B"/>
    <w:rsid w:val="00873750"/>
    <w:rsid w:val="00874074"/>
    <w:rsid w:val="00874322"/>
    <w:rsid w:val="008744E4"/>
    <w:rsid w:val="00874757"/>
    <w:rsid w:val="00874E17"/>
    <w:rsid w:val="00875036"/>
    <w:rsid w:val="00875761"/>
    <w:rsid w:val="00875D8A"/>
    <w:rsid w:val="008761B5"/>
    <w:rsid w:val="008763C4"/>
    <w:rsid w:val="0087644E"/>
    <w:rsid w:val="00876546"/>
    <w:rsid w:val="008767C0"/>
    <w:rsid w:val="00876AF2"/>
    <w:rsid w:val="00876B47"/>
    <w:rsid w:val="00876F13"/>
    <w:rsid w:val="008778E2"/>
    <w:rsid w:val="00877A81"/>
    <w:rsid w:val="00877E6D"/>
    <w:rsid w:val="008810C5"/>
    <w:rsid w:val="00881698"/>
    <w:rsid w:val="00881703"/>
    <w:rsid w:val="00881C0A"/>
    <w:rsid w:val="00881CDC"/>
    <w:rsid w:val="0088217A"/>
    <w:rsid w:val="008828E1"/>
    <w:rsid w:val="00883AFD"/>
    <w:rsid w:val="008845CF"/>
    <w:rsid w:val="00884A00"/>
    <w:rsid w:val="00884A57"/>
    <w:rsid w:val="00885848"/>
    <w:rsid w:val="00885B09"/>
    <w:rsid w:val="0088625D"/>
    <w:rsid w:val="00886448"/>
    <w:rsid w:val="00886C57"/>
    <w:rsid w:val="00887239"/>
    <w:rsid w:val="008904A4"/>
    <w:rsid w:val="00890836"/>
    <w:rsid w:val="00890DA2"/>
    <w:rsid w:val="00891158"/>
    <w:rsid w:val="008911DD"/>
    <w:rsid w:val="008916E2"/>
    <w:rsid w:val="0089183E"/>
    <w:rsid w:val="00891E20"/>
    <w:rsid w:val="00891EE5"/>
    <w:rsid w:val="008930CC"/>
    <w:rsid w:val="008937BD"/>
    <w:rsid w:val="00893EE0"/>
    <w:rsid w:val="00894253"/>
    <w:rsid w:val="008944B4"/>
    <w:rsid w:val="00894FC1"/>
    <w:rsid w:val="00895323"/>
    <w:rsid w:val="00895BE6"/>
    <w:rsid w:val="00895FA3"/>
    <w:rsid w:val="00896181"/>
    <w:rsid w:val="00896B97"/>
    <w:rsid w:val="00896C45"/>
    <w:rsid w:val="00896D56"/>
    <w:rsid w:val="0089703D"/>
    <w:rsid w:val="008977A7"/>
    <w:rsid w:val="00897CA2"/>
    <w:rsid w:val="00897EEE"/>
    <w:rsid w:val="008A0C80"/>
    <w:rsid w:val="008A0E57"/>
    <w:rsid w:val="008A180A"/>
    <w:rsid w:val="008A2438"/>
    <w:rsid w:val="008A2537"/>
    <w:rsid w:val="008A366D"/>
    <w:rsid w:val="008A39C0"/>
    <w:rsid w:val="008A3B5C"/>
    <w:rsid w:val="008A40C2"/>
    <w:rsid w:val="008A414A"/>
    <w:rsid w:val="008A4A4A"/>
    <w:rsid w:val="008A4C75"/>
    <w:rsid w:val="008A5125"/>
    <w:rsid w:val="008A5159"/>
    <w:rsid w:val="008A599C"/>
    <w:rsid w:val="008A5F4B"/>
    <w:rsid w:val="008A644A"/>
    <w:rsid w:val="008A6CF3"/>
    <w:rsid w:val="008A70AA"/>
    <w:rsid w:val="008A7FF5"/>
    <w:rsid w:val="008B01B9"/>
    <w:rsid w:val="008B06A8"/>
    <w:rsid w:val="008B08AB"/>
    <w:rsid w:val="008B08F2"/>
    <w:rsid w:val="008B0E8B"/>
    <w:rsid w:val="008B0EB7"/>
    <w:rsid w:val="008B1767"/>
    <w:rsid w:val="008B1809"/>
    <w:rsid w:val="008B190F"/>
    <w:rsid w:val="008B299F"/>
    <w:rsid w:val="008B29C2"/>
    <w:rsid w:val="008B3141"/>
    <w:rsid w:val="008B32B6"/>
    <w:rsid w:val="008B36FB"/>
    <w:rsid w:val="008B39E5"/>
    <w:rsid w:val="008B3AF6"/>
    <w:rsid w:val="008B4756"/>
    <w:rsid w:val="008B4F23"/>
    <w:rsid w:val="008B51ED"/>
    <w:rsid w:val="008B5430"/>
    <w:rsid w:val="008B547C"/>
    <w:rsid w:val="008B57F1"/>
    <w:rsid w:val="008B58F5"/>
    <w:rsid w:val="008B5AE8"/>
    <w:rsid w:val="008B6206"/>
    <w:rsid w:val="008B6480"/>
    <w:rsid w:val="008B6CB4"/>
    <w:rsid w:val="008B6E07"/>
    <w:rsid w:val="008B7360"/>
    <w:rsid w:val="008B7EB6"/>
    <w:rsid w:val="008C08E2"/>
    <w:rsid w:val="008C09D0"/>
    <w:rsid w:val="008C0B88"/>
    <w:rsid w:val="008C1321"/>
    <w:rsid w:val="008C139E"/>
    <w:rsid w:val="008C1F60"/>
    <w:rsid w:val="008C22E2"/>
    <w:rsid w:val="008C281C"/>
    <w:rsid w:val="008C3234"/>
    <w:rsid w:val="008C379E"/>
    <w:rsid w:val="008C4255"/>
    <w:rsid w:val="008C46A0"/>
    <w:rsid w:val="008C5B1B"/>
    <w:rsid w:val="008C5BE0"/>
    <w:rsid w:val="008C6781"/>
    <w:rsid w:val="008C6F70"/>
    <w:rsid w:val="008C7014"/>
    <w:rsid w:val="008C7256"/>
    <w:rsid w:val="008C7516"/>
    <w:rsid w:val="008C75C6"/>
    <w:rsid w:val="008D02DC"/>
    <w:rsid w:val="008D0429"/>
    <w:rsid w:val="008D0D8A"/>
    <w:rsid w:val="008D1096"/>
    <w:rsid w:val="008D1254"/>
    <w:rsid w:val="008D1B4A"/>
    <w:rsid w:val="008D22C9"/>
    <w:rsid w:val="008D2D56"/>
    <w:rsid w:val="008D3D88"/>
    <w:rsid w:val="008D44BA"/>
    <w:rsid w:val="008D4A7E"/>
    <w:rsid w:val="008D4B4C"/>
    <w:rsid w:val="008D4ED6"/>
    <w:rsid w:val="008D55A6"/>
    <w:rsid w:val="008D5820"/>
    <w:rsid w:val="008D6DA4"/>
    <w:rsid w:val="008D73D2"/>
    <w:rsid w:val="008D73E5"/>
    <w:rsid w:val="008D76CF"/>
    <w:rsid w:val="008E0655"/>
    <w:rsid w:val="008E0743"/>
    <w:rsid w:val="008E0D18"/>
    <w:rsid w:val="008E0FAF"/>
    <w:rsid w:val="008E126E"/>
    <w:rsid w:val="008E130D"/>
    <w:rsid w:val="008E1F61"/>
    <w:rsid w:val="008E2B04"/>
    <w:rsid w:val="008E2B4F"/>
    <w:rsid w:val="008E2D5E"/>
    <w:rsid w:val="008E2E51"/>
    <w:rsid w:val="008E35CA"/>
    <w:rsid w:val="008E38A2"/>
    <w:rsid w:val="008E3D2C"/>
    <w:rsid w:val="008E413B"/>
    <w:rsid w:val="008E4D63"/>
    <w:rsid w:val="008E4FFF"/>
    <w:rsid w:val="008E5712"/>
    <w:rsid w:val="008E5B01"/>
    <w:rsid w:val="008E608C"/>
    <w:rsid w:val="008E62D9"/>
    <w:rsid w:val="008E64F3"/>
    <w:rsid w:val="008E695C"/>
    <w:rsid w:val="008E6AC1"/>
    <w:rsid w:val="008E71AF"/>
    <w:rsid w:val="008E76B0"/>
    <w:rsid w:val="008E7FDD"/>
    <w:rsid w:val="008F01D9"/>
    <w:rsid w:val="008F0211"/>
    <w:rsid w:val="008F02D6"/>
    <w:rsid w:val="008F02DB"/>
    <w:rsid w:val="008F0D9B"/>
    <w:rsid w:val="008F0DC4"/>
    <w:rsid w:val="008F1F85"/>
    <w:rsid w:val="008F2862"/>
    <w:rsid w:val="008F35C9"/>
    <w:rsid w:val="008F40B0"/>
    <w:rsid w:val="008F43A6"/>
    <w:rsid w:val="008F4467"/>
    <w:rsid w:val="008F477C"/>
    <w:rsid w:val="008F494C"/>
    <w:rsid w:val="008F5143"/>
    <w:rsid w:val="008F5943"/>
    <w:rsid w:val="008F622F"/>
    <w:rsid w:val="008F66FD"/>
    <w:rsid w:val="008F6A90"/>
    <w:rsid w:val="008F6E67"/>
    <w:rsid w:val="008F74F0"/>
    <w:rsid w:val="008F7FA1"/>
    <w:rsid w:val="009009F1"/>
    <w:rsid w:val="009012C6"/>
    <w:rsid w:val="00901366"/>
    <w:rsid w:val="009016C0"/>
    <w:rsid w:val="009022CF"/>
    <w:rsid w:val="00903C3A"/>
    <w:rsid w:val="00903CD5"/>
    <w:rsid w:val="009044C2"/>
    <w:rsid w:val="0090450F"/>
    <w:rsid w:val="00904DC8"/>
    <w:rsid w:val="00904EE1"/>
    <w:rsid w:val="00905610"/>
    <w:rsid w:val="0090588B"/>
    <w:rsid w:val="009058B9"/>
    <w:rsid w:val="009066EE"/>
    <w:rsid w:val="00906710"/>
    <w:rsid w:val="0090737F"/>
    <w:rsid w:val="0090784F"/>
    <w:rsid w:val="00910CAA"/>
    <w:rsid w:val="009114F4"/>
    <w:rsid w:val="009114FF"/>
    <w:rsid w:val="00911601"/>
    <w:rsid w:val="00911A29"/>
    <w:rsid w:val="00911CF3"/>
    <w:rsid w:val="00912221"/>
    <w:rsid w:val="00913372"/>
    <w:rsid w:val="009136CD"/>
    <w:rsid w:val="0091442C"/>
    <w:rsid w:val="00915642"/>
    <w:rsid w:val="00915A63"/>
    <w:rsid w:val="0091628B"/>
    <w:rsid w:val="009163B8"/>
    <w:rsid w:val="0091730D"/>
    <w:rsid w:val="009176E3"/>
    <w:rsid w:val="0091771F"/>
    <w:rsid w:val="00917C1A"/>
    <w:rsid w:val="00920AAB"/>
    <w:rsid w:val="00921596"/>
    <w:rsid w:val="00921CCF"/>
    <w:rsid w:val="009220C9"/>
    <w:rsid w:val="00922189"/>
    <w:rsid w:val="0092228E"/>
    <w:rsid w:val="0092231E"/>
    <w:rsid w:val="00922887"/>
    <w:rsid w:val="00922B24"/>
    <w:rsid w:val="00922DEE"/>
    <w:rsid w:val="00923100"/>
    <w:rsid w:val="00923470"/>
    <w:rsid w:val="009234AD"/>
    <w:rsid w:val="009235C1"/>
    <w:rsid w:val="009243C2"/>
    <w:rsid w:val="00924515"/>
    <w:rsid w:val="009247E1"/>
    <w:rsid w:val="00924878"/>
    <w:rsid w:val="0092552B"/>
    <w:rsid w:val="0092562C"/>
    <w:rsid w:val="00925E87"/>
    <w:rsid w:val="00925FB7"/>
    <w:rsid w:val="00925FC3"/>
    <w:rsid w:val="009265A1"/>
    <w:rsid w:val="009265A2"/>
    <w:rsid w:val="00926D38"/>
    <w:rsid w:val="00926EE7"/>
    <w:rsid w:val="0092709B"/>
    <w:rsid w:val="00927576"/>
    <w:rsid w:val="00927C22"/>
    <w:rsid w:val="009305B9"/>
    <w:rsid w:val="00930DF1"/>
    <w:rsid w:val="00930FFE"/>
    <w:rsid w:val="009317F1"/>
    <w:rsid w:val="00931828"/>
    <w:rsid w:val="00931AB0"/>
    <w:rsid w:val="00931CE0"/>
    <w:rsid w:val="00932226"/>
    <w:rsid w:val="0093235A"/>
    <w:rsid w:val="00932388"/>
    <w:rsid w:val="00932759"/>
    <w:rsid w:val="00933036"/>
    <w:rsid w:val="009330DA"/>
    <w:rsid w:val="009332D3"/>
    <w:rsid w:val="0093441D"/>
    <w:rsid w:val="00934745"/>
    <w:rsid w:val="00934CFC"/>
    <w:rsid w:val="00934D48"/>
    <w:rsid w:val="00934FC1"/>
    <w:rsid w:val="009360FB"/>
    <w:rsid w:val="00937348"/>
    <w:rsid w:val="009378D5"/>
    <w:rsid w:val="00940062"/>
    <w:rsid w:val="009405C8"/>
    <w:rsid w:val="00940AD3"/>
    <w:rsid w:val="00940E0F"/>
    <w:rsid w:val="009410EA"/>
    <w:rsid w:val="0094160B"/>
    <w:rsid w:val="009423D6"/>
    <w:rsid w:val="00942634"/>
    <w:rsid w:val="00942EF7"/>
    <w:rsid w:val="00943058"/>
    <w:rsid w:val="00943335"/>
    <w:rsid w:val="00943486"/>
    <w:rsid w:val="009434C9"/>
    <w:rsid w:val="00943D1B"/>
    <w:rsid w:val="009446BF"/>
    <w:rsid w:val="00945233"/>
    <w:rsid w:val="00945AD5"/>
    <w:rsid w:val="00945C89"/>
    <w:rsid w:val="00945CB0"/>
    <w:rsid w:val="00946083"/>
    <w:rsid w:val="0094644E"/>
    <w:rsid w:val="0094680D"/>
    <w:rsid w:val="00946B01"/>
    <w:rsid w:val="009479A7"/>
    <w:rsid w:val="00947E79"/>
    <w:rsid w:val="00947F9E"/>
    <w:rsid w:val="0095004D"/>
    <w:rsid w:val="0095020D"/>
    <w:rsid w:val="009506CC"/>
    <w:rsid w:val="009506D1"/>
    <w:rsid w:val="00950995"/>
    <w:rsid w:val="00950AC9"/>
    <w:rsid w:val="00950E5C"/>
    <w:rsid w:val="00952514"/>
    <w:rsid w:val="009525E3"/>
    <w:rsid w:val="00952712"/>
    <w:rsid w:val="009527B0"/>
    <w:rsid w:val="009529CC"/>
    <w:rsid w:val="00952A0B"/>
    <w:rsid w:val="00952A4F"/>
    <w:rsid w:val="009530C7"/>
    <w:rsid w:val="00953108"/>
    <w:rsid w:val="00953AAE"/>
    <w:rsid w:val="00953E56"/>
    <w:rsid w:val="00954638"/>
    <w:rsid w:val="009548F1"/>
    <w:rsid w:val="00955468"/>
    <w:rsid w:val="009562FC"/>
    <w:rsid w:val="009566B6"/>
    <w:rsid w:val="009568E2"/>
    <w:rsid w:val="009569AD"/>
    <w:rsid w:val="00957429"/>
    <w:rsid w:val="00957B9A"/>
    <w:rsid w:val="00960305"/>
    <w:rsid w:val="00960637"/>
    <w:rsid w:val="00961292"/>
    <w:rsid w:val="00961324"/>
    <w:rsid w:val="00961A36"/>
    <w:rsid w:val="009633FA"/>
    <w:rsid w:val="00964807"/>
    <w:rsid w:val="00964EC2"/>
    <w:rsid w:val="0096503E"/>
    <w:rsid w:val="009650C4"/>
    <w:rsid w:val="00965E26"/>
    <w:rsid w:val="009671BA"/>
    <w:rsid w:val="0096799D"/>
    <w:rsid w:val="00967C83"/>
    <w:rsid w:val="009705B1"/>
    <w:rsid w:val="0097080A"/>
    <w:rsid w:val="00970935"/>
    <w:rsid w:val="00971580"/>
    <w:rsid w:val="009718F8"/>
    <w:rsid w:val="00971939"/>
    <w:rsid w:val="00972216"/>
    <w:rsid w:val="00972514"/>
    <w:rsid w:val="00973FE9"/>
    <w:rsid w:val="00974103"/>
    <w:rsid w:val="0097411A"/>
    <w:rsid w:val="009741DF"/>
    <w:rsid w:val="00976006"/>
    <w:rsid w:val="00976190"/>
    <w:rsid w:val="00976377"/>
    <w:rsid w:val="009770E3"/>
    <w:rsid w:val="009778BE"/>
    <w:rsid w:val="0098095E"/>
    <w:rsid w:val="00980A7A"/>
    <w:rsid w:val="00980B30"/>
    <w:rsid w:val="009816D3"/>
    <w:rsid w:val="00981C29"/>
    <w:rsid w:val="00981C6D"/>
    <w:rsid w:val="00981D0A"/>
    <w:rsid w:val="0098211A"/>
    <w:rsid w:val="009822D0"/>
    <w:rsid w:val="0098309A"/>
    <w:rsid w:val="0098353E"/>
    <w:rsid w:val="009846C7"/>
    <w:rsid w:val="00984A61"/>
    <w:rsid w:val="00984C13"/>
    <w:rsid w:val="00985042"/>
    <w:rsid w:val="00985999"/>
    <w:rsid w:val="00985B6A"/>
    <w:rsid w:val="00985FB4"/>
    <w:rsid w:val="009865A1"/>
    <w:rsid w:val="009865C8"/>
    <w:rsid w:val="00986787"/>
    <w:rsid w:val="00986E78"/>
    <w:rsid w:val="00986EB7"/>
    <w:rsid w:val="0098768C"/>
    <w:rsid w:val="009878A6"/>
    <w:rsid w:val="009879E3"/>
    <w:rsid w:val="00987C28"/>
    <w:rsid w:val="009903AF"/>
    <w:rsid w:val="009903FB"/>
    <w:rsid w:val="009904C3"/>
    <w:rsid w:val="00990D11"/>
    <w:rsid w:val="00990E45"/>
    <w:rsid w:val="00991338"/>
    <w:rsid w:val="00991345"/>
    <w:rsid w:val="00991942"/>
    <w:rsid w:val="009919C0"/>
    <w:rsid w:val="00991AF5"/>
    <w:rsid w:val="00991D8D"/>
    <w:rsid w:val="00991DE0"/>
    <w:rsid w:val="00991FAC"/>
    <w:rsid w:val="00992768"/>
    <w:rsid w:val="00994572"/>
    <w:rsid w:val="00994955"/>
    <w:rsid w:val="0099573E"/>
    <w:rsid w:val="00995FD6"/>
    <w:rsid w:val="009962CA"/>
    <w:rsid w:val="0099661E"/>
    <w:rsid w:val="0099676E"/>
    <w:rsid w:val="00996C11"/>
    <w:rsid w:val="00996F52"/>
    <w:rsid w:val="009A0157"/>
    <w:rsid w:val="009A0167"/>
    <w:rsid w:val="009A05C8"/>
    <w:rsid w:val="009A0C63"/>
    <w:rsid w:val="009A0DDE"/>
    <w:rsid w:val="009A1236"/>
    <w:rsid w:val="009A1876"/>
    <w:rsid w:val="009A1DD3"/>
    <w:rsid w:val="009A23F1"/>
    <w:rsid w:val="009A2FA0"/>
    <w:rsid w:val="009A3375"/>
    <w:rsid w:val="009A3398"/>
    <w:rsid w:val="009A369B"/>
    <w:rsid w:val="009A3763"/>
    <w:rsid w:val="009A386F"/>
    <w:rsid w:val="009A3BC0"/>
    <w:rsid w:val="009A3BDE"/>
    <w:rsid w:val="009A465F"/>
    <w:rsid w:val="009A4984"/>
    <w:rsid w:val="009A6003"/>
    <w:rsid w:val="009A60DC"/>
    <w:rsid w:val="009A696C"/>
    <w:rsid w:val="009A73F5"/>
    <w:rsid w:val="009A7897"/>
    <w:rsid w:val="009A7A53"/>
    <w:rsid w:val="009B02CC"/>
    <w:rsid w:val="009B05AF"/>
    <w:rsid w:val="009B0B3E"/>
    <w:rsid w:val="009B13F7"/>
    <w:rsid w:val="009B1B09"/>
    <w:rsid w:val="009B1CC7"/>
    <w:rsid w:val="009B20AD"/>
    <w:rsid w:val="009B2548"/>
    <w:rsid w:val="009B2B17"/>
    <w:rsid w:val="009B320D"/>
    <w:rsid w:val="009B3341"/>
    <w:rsid w:val="009B37C5"/>
    <w:rsid w:val="009B39E4"/>
    <w:rsid w:val="009B41A6"/>
    <w:rsid w:val="009B4B89"/>
    <w:rsid w:val="009B4F3C"/>
    <w:rsid w:val="009B5175"/>
    <w:rsid w:val="009B59F7"/>
    <w:rsid w:val="009B5ACF"/>
    <w:rsid w:val="009B5D43"/>
    <w:rsid w:val="009B5F91"/>
    <w:rsid w:val="009B683C"/>
    <w:rsid w:val="009B691E"/>
    <w:rsid w:val="009B6D69"/>
    <w:rsid w:val="009B7292"/>
    <w:rsid w:val="009B72B1"/>
    <w:rsid w:val="009C0492"/>
    <w:rsid w:val="009C077D"/>
    <w:rsid w:val="009C0D74"/>
    <w:rsid w:val="009C14B1"/>
    <w:rsid w:val="009C1D49"/>
    <w:rsid w:val="009C229E"/>
    <w:rsid w:val="009C2723"/>
    <w:rsid w:val="009C3946"/>
    <w:rsid w:val="009C3D46"/>
    <w:rsid w:val="009C44D8"/>
    <w:rsid w:val="009C4EF8"/>
    <w:rsid w:val="009C56A6"/>
    <w:rsid w:val="009C57E9"/>
    <w:rsid w:val="009C5CFC"/>
    <w:rsid w:val="009C5D96"/>
    <w:rsid w:val="009C5E7C"/>
    <w:rsid w:val="009C5F13"/>
    <w:rsid w:val="009C5F31"/>
    <w:rsid w:val="009C7168"/>
    <w:rsid w:val="009C760B"/>
    <w:rsid w:val="009C7AC5"/>
    <w:rsid w:val="009C7C5B"/>
    <w:rsid w:val="009D08F8"/>
    <w:rsid w:val="009D0AFF"/>
    <w:rsid w:val="009D0FD6"/>
    <w:rsid w:val="009D21E4"/>
    <w:rsid w:val="009D267C"/>
    <w:rsid w:val="009D27B2"/>
    <w:rsid w:val="009D408D"/>
    <w:rsid w:val="009D4A59"/>
    <w:rsid w:val="009D4AA2"/>
    <w:rsid w:val="009D4C5B"/>
    <w:rsid w:val="009D547F"/>
    <w:rsid w:val="009D6CCB"/>
    <w:rsid w:val="009D6EF1"/>
    <w:rsid w:val="009D7084"/>
    <w:rsid w:val="009D73DA"/>
    <w:rsid w:val="009D76D2"/>
    <w:rsid w:val="009E008C"/>
    <w:rsid w:val="009E031D"/>
    <w:rsid w:val="009E04F8"/>
    <w:rsid w:val="009E07B1"/>
    <w:rsid w:val="009E07F4"/>
    <w:rsid w:val="009E1FA2"/>
    <w:rsid w:val="009E29E7"/>
    <w:rsid w:val="009E2EA4"/>
    <w:rsid w:val="009E34D7"/>
    <w:rsid w:val="009E3876"/>
    <w:rsid w:val="009E3BB9"/>
    <w:rsid w:val="009E40F9"/>
    <w:rsid w:val="009E41FE"/>
    <w:rsid w:val="009E46F1"/>
    <w:rsid w:val="009E4910"/>
    <w:rsid w:val="009E4B31"/>
    <w:rsid w:val="009E7105"/>
    <w:rsid w:val="009E7307"/>
    <w:rsid w:val="009E755E"/>
    <w:rsid w:val="009E7831"/>
    <w:rsid w:val="009E79C7"/>
    <w:rsid w:val="009F0D1F"/>
    <w:rsid w:val="009F17FC"/>
    <w:rsid w:val="009F387C"/>
    <w:rsid w:val="009F4106"/>
    <w:rsid w:val="009F4418"/>
    <w:rsid w:val="009F4B5F"/>
    <w:rsid w:val="009F4D50"/>
    <w:rsid w:val="009F511E"/>
    <w:rsid w:val="009F5306"/>
    <w:rsid w:val="009F594A"/>
    <w:rsid w:val="009F60A5"/>
    <w:rsid w:val="009F60C7"/>
    <w:rsid w:val="009F6198"/>
    <w:rsid w:val="009F61D0"/>
    <w:rsid w:val="009F6549"/>
    <w:rsid w:val="009F697B"/>
    <w:rsid w:val="009F6D0E"/>
    <w:rsid w:val="009F7092"/>
    <w:rsid w:val="009F7254"/>
    <w:rsid w:val="009F7324"/>
    <w:rsid w:val="009F7489"/>
    <w:rsid w:val="009F762A"/>
    <w:rsid w:val="00A00173"/>
    <w:rsid w:val="00A00268"/>
    <w:rsid w:val="00A00A95"/>
    <w:rsid w:val="00A00E1E"/>
    <w:rsid w:val="00A01116"/>
    <w:rsid w:val="00A018F8"/>
    <w:rsid w:val="00A03A50"/>
    <w:rsid w:val="00A03CCC"/>
    <w:rsid w:val="00A04C91"/>
    <w:rsid w:val="00A04E7E"/>
    <w:rsid w:val="00A05320"/>
    <w:rsid w:val="00A05ECA"/>
    <w:rsid w:val="00A078EC"/>
    <w:rsid w:val="00A07A92"/>
    <w:rsid w:val="00A1019B"/>
    <w:rsid w:val="00A105B0"/>
    <w:rsid w:val="00A106C4"/>
    <w:rsid w:val="00A10C38"/>
    <w:rsid w:val="00A10C39"/>
    <w:rsid w:val="00A10D6D"/>
    <w:rsid w:val="00A11665"/>
    <w:rsid w:val="00A11A7E"/>
    <w:rsid w:val="00A11DC2"/>
    <w:rsid w:val="00A12214"/>
    <w:rsid w:val="00A12C17"/>
    <w:rsid w:val="00A12D45"/>
    <w:rsid w:val="00A1325F"/>
    <w:rsid w:val="00A13630"/>
    <w:rsid w:val="00A13AE8"/>
    <w:rsid w:val="00A13E8B"/>
    <w:rsid w:val="00A158D2"/>
    <w:rsid w:val="00A15E92"/>
    <w:rsid w:val="00A16B61"/>
    <w:rsid w:val="00A17069"/>
    <w:rsid w:val="00A17226"/>
    <w:rsid w:val="00A17426"/>
    <w:rsid w:val="00A17B3A"/>
    <w:rsid w:val="00A17DFD"/>
    <w:rsid w:val="00A20092"/>
    <w:rsid w:val="00A201CE"/>
    <w:rsid w:val="00A20458"/>
    <w:rsid w:val="00A20BAC"/>
    <w:rsid w:val="00A21174"/>
    <w:rsid w:val="00A21222"/>
    <w:rsid w:val="00A2152C"/>
    <w:rsid w:val="00A2180E"/>
    <w:rsid w:val="00A2187D"/>
    <w:rsid w:val="00A21DAC"/>
    <w:rsid w:val="00A22D6E"/>
    <w:rsid w:val="00A22F56"/>
    <w:rsid w:val="00A23CE0"/>
    <w:rsid w:val="00A243EA"/>
    <w:rsid w:val="00A24DC3"/>
    <w:rsid w:val="00A2517F"/>
    <w:rsid w:val="00A25231"/>
    <w:rsid w:val="00A255F8"/>
    <w:rsid w:val="00A2569E"/>
    <w:rsid w:val="00A25746"/>
    <w:rsid w:val="00A25834"/>
    <w:rsid w:val="00A258E9"/>
    <w:rsid w:val="00A25A5F"/>
    <w:rsid w:val="00A2610D"/>
    <w:rsid w:val="00A26387"/>
    <w:rsid w:val="00A265EB"/>
    <w:rsid w:val="00A26E9A"/>
    <w:rsid w:val="00A26F5B"/>
    <w:rsid w:val="00A278F2"/>
    <w:rsid w:val="00A27AD3"/>
    <w:rsid w:val="00A3000B"/>
    <w:rsid w:val="00A3050E"/>
    <w:rsid w:val="00A309AD"/>
    <w:rsid w:val="00A30E5F"/>
    <w:rsid w:val="00A3103D"/>
    <w:rsid w:val="00A318E7"/>
    <w:rsid w:val="00A32119"/>
    <w:rsid w:val="00A3257D"/>
    <w:rsid w:val="00A328B2"/>
    <w:rsid w:val="00A32909"/>
    <w:rsid w:val="00A32C5C"/>
    <w:rsid w:val="00A332DF"/>
    <w:rsid w:val="00A3350E"/>
    <w:rsid w:val="00A339F0"/>
    <w:rsid w:val="00A34052"/>
    <w:rsid w:val="00A34B32"/>
    <w:rsid w:val="00A34BEE"/>
    <w:rsid w:val="00A35263"/>
    <w:rsid w:val="00A35813"/>
    <w:rsid w:val="00A36389"/>
    <w:rsid w:val="00A363B4"/>
    <w:rsid w:val="00A36824"/>
    <w:rsid w:val="00A36C35"/>
    <w:rsid w:val="00A37921"/>
    <w:rsid w:val="00A37E8A"/>
    <w:rsid w:val="00A37F33"/>
    <w:rsid w:val="00A40741"/>
    <w:rsid w:val="00A41179"/>
    <w:rsid w:val="00A4120E"/>
    <w:rsid w:val="00A42386"/>
    <w:rsid w:val="00A4259E"/>
    <w:rsid w:val="00A42C5F"/>
    <w:rsid w:val="00A439D8"/>
    <w:rsid w:val="00A4438F"/>
    <w:rsid w:val="00A4449F"/>
    <w:rsid w:val="00A44E8B"/>
    <w:rsid w:val="00A45D2C"/>
    <w:rsid w:val="00A477BB"/>
    <w:rsid w:val="00A50766"/>
    <w:rsid w:val="00A50827"/>
    <w:rsid w:val="00A50C54"/>
    <w:rsid w:val="00A511D9"/>
    <w:rsid w:val="00A51A8A"/>
    <w:rsid w:val="00A52161"/>
    <w:rsid w:val="00A5238C"/>
    <w:rsid w:val="00A5261B"/>
    <w:rsid w:val="00A52C51"/>
    <w:rsid w:val="00A53425"/>
    <w:rsid w:val="00A536C0"/>
    <w:rsid w:val="00A53768"/>
    <w:rsid w:val="00A53B4A"/>
    <w:rsid w:val="00A549DB"/>
    <w:rsid w:val="00A55740"/>
    <w:rsid w:val="00A55BBB"/>
    <w:rsid w:val="00A55EFA"/>
    <w:rsid w:val="00A56109"/>
    <w:rsid w:val="00A56760"/>
    <w:rsid w:val="00A56D24"/>
    <w:rsid w:val="00A56D86"/>
    <w:rsid w:val="00A56DBC"/>
    <w:rsid w:val="00A5707A"/>
    <w:rsid w:val="00A60343"/>
    <w:rsid w:val="00A60345"/>
    <w:rsid w:val="00A60935"/>
    <w:rsid w:val="00A60983"/>
    <w:rsid w:val="00A61300"/>
    <w:rsid w:val="00A6143C"/>
    <w:rsid w:val="00A62073"/>
    <w:rsid w:val="00A6296B"/>
    <w:rsid w:val="00A63E2E"/>
    <w:rsid w:val="00A63EFE"/>
    <w:rsid w:val="00A64B5A"/>
    <w:rsid w:val="00A65097"/>
    <w:rsid w:val="00A65240"/>
    <w:rsid w:val="00A65552"/>
    <w:rsid w:val="00A66096"/>
    <w:rsid w:val="00A6638E"/>
    <w:rsid w:val="00A66626"/>
    <w:rsid w:val="00A669DF"/>
    <w:rsid w:val="00A66DC2"/>
    <w:rsid w:val="00A67477"/>
    <w:rsid w:val="00A675F5"/>
    <w:rsid w:val="00A67675"/>
    <w:rsid w:val="00A70257"/>
    <w:rsid w:val="00A709A9"/>
    <w:rsid w:val="00A70A12"/>
    <w:rsid w:val="00A70EF8"/>
    <w:rsid w:val="00A73257"/>
    <w:rsid w:val="00A739F9"/>
    <w:rsid w:val="00A73AB0"/>
    <w:rsid w:val="00A73D0B"/>
    <w:rsid w:val="00A73D54"/>
    <w:rsid w:val="00A73D82"/>
    <w:rsid w:val="00A741FD"/>
    <w:rsid w:val="00A749B6"/>
    <w:rsid w:val="00A749B8"/>
    <w:rsid w:val="00A7513E"/>
    <w:rsid w:val="00A7529A"/>
    <w:rsid w:val="00A75F78"/>
    <w:rsid w:val="00A76782"/>
    <w:rsid w:val="00A767ED"/>
    <w:rsid w:val="00A76D12"/>
    <w:rsid w:val="00A77EBC"/>
    <w:rsid w:val="00A80298"/>
    <w:rsid w:val="00A803E7"/>
    <w:rsid w:val="00A80851"/>
    <w:rsid w:val="00A80D35"/>
    <w:rsid w:val="00A8113F"/>
    <w:rsid w:val="00A819A6"/>
    <w:rsid w:val="00A819F5"/>
    <w:rsid w:val="00A81DE0"/>
    <w:rsid w:val="00A825A6"/>
    <w:rsid w:val="00A82C6B"/>
    <w:rsid w:val="00A82EF7"/>
    <w:rsid w:val="00A83556"/>
    <w:rsid w:val="00A83893"/>
    <w:rsid w:val="00A83C1D"/>
    <w:rsid w:val="00A83E15"/>
    <w:rsid w:val="00A83E7E"/>
    <w:rsid w:val="00A84255"/>
    <w:rsid w:val="00A84783"/>
    <w:rsid w:val="00A84800"/>
    <w:rsid w:val="00A84E53"/>
    <w:rsid w:val="00A855CE"/>
    <w:rsid w:val="00A856B6"/>
    <w:rsid w:val="00A85A35"/>
    <w:rsid w:val="00A85F9F"/>
    <w:rsid w:val="00A863B3"/>
    <w:rsid w:val="00A86A3B"/>
    <w:rsid w:val="00A870DA"/>
    <w:rsid w:val="00A8724D"/>
    <w:rsid w:val="00A873EB"/>
    <w:rsid w:val="00A9049F"/>
    <w:rsid w:val="00A90586"/>
    <w:rsid w:val="00A909CF"/>
    <w:rsid w:val="00A90D99"/>
    <w:rsid w:val="00A93277"/>
    <w:rsid w:val="00A93BC2"/>
    <w:rsid w:val="00A94E17"/>
    <w:rsid w:val="00A94E85"/>
    <w:rsid w:val="00A9583C"/>
    <w:rsid w:val="00A95B1C"/>
    <w:rsid w:val="00A95F09"/>
    <w:rsid w:val="00A95F45"/>
    <w:rsid w:val="00A9650B"/>
    <w:rsid w:val="00A96731"/>
    <w:rsid w:val="00A9693B"/>
    <w:rsid w:val="00A96D6F"/>
    <w:rsid w:val="00A970EF"/>
    <w:rsid w:val="00A97827"/>
    <w:rsid w:val="00A97EB8"/>
    <w:rsid w:val="00AA0030"/>
    <w:rsid w:val="00AA071B"/>
    <w:rsid w:val="00AA0BD3"/>
    <w:rsid w:val="00AA10CC"/>
    <w:rsid w:val="00AA1162"/>
    <w:rsid w:val="00AA1468"/>
    <w:rsid w:val="00AA1E63"/>
    <w:rsid w:val="00AA1F37"/>
    <w:rsid w:val="00AA219D"/>
    <w:rsid w:val="00AA287E"/>
    <w:rsid w:val="00AA2CE7"/>
    <w:rsid w:val="00AA2EAE"/>
    <w:rsid w:val="00AA376F"/>
    <w:rsid w:val="00AA3819"/>
    <w:rsid w:val="00AA3A36"/>
    <w:rsid w:val="00AA3E87"/>
    <w:rsid w:val="00AA435C"/>
    <w:rsid w:val="00AA49F8"/>
    <w:rsid w:val="00AA4B9F"/>
    <w:rsid w:val="00AA4E44"/>
    <w:rsid w:val="00AA4F6B"/>
    <w:rsid w:val="00AA5120"/>
    <w:rsid w:val="00AA7292"/>
    <w:rsid w:val="00AA7B70"/>
    <w:rsid w:val="00AB0441"/>
    <w:rsid w:val="00AB0675"/>
    <w:rsid w:val="00AB0A6E"/>
    <w:rsid w:val="00AB0D9D"/>
    <w:rsid w:val="00AB0EC3"/>
    <w:rsid w:val="00AB0F9B"/>
    <w:rsid w:val="00AB1CE5"/>
    <w:rsid w:val="00AB1EDD"/>
    <w:rsid w:val="00AB2149"/>
    <w:rsid w:val="00AB23EB"/>
    <w:rsid w:val="00AB2D2D"/>
    <w:rsid w:val="00AB34B4"/>
    <w:rsid w:val="00AB3EF2"/>
    <w:rsid w:val="00AB414D"/>
    <w:rsid w:val="00AB432D"/>
    <w:rsid w:val="00AB45FC"/>
    <w:rsid w:val="00AB4D0F"/>
    <w:rsid w:val="00AB50EE"/>
    <w:rsid w:val="00AB5167"/>
    <w:rsid w:val="00AB535B"/>
    <w:rsid w:val="00AB54F2"/>
    <w:rsid w:val="00AB5B97"/>
    <w:rsid w:val="00AB61A2"/>
    <w:rsid w:val="00AB62B6"/>
    <w:rsid w:val="00AB65C0"/>
    <w:rsid w:val="00AB66A8"/>
    <w:rsid w:val="00AB6875"/>
    <w:rsid w:val="00AB68A1"/>
    <w:rsid w:val="00AB6B56"/>
    <w:rsid w:val="00AB6B73"/>
    <w:rsid w:val="00AB6E04"/>
    <w:rsid w:val="00AB719E"/>
    <w:rsid w:val="00AB7755"/>
    <w:rsid w:val="00AC0014"/>
    <w:rsid w:val="00AC12CC"/>
    <w:rsid w:val="00AC1B92"/>
    <w:rsid w:val="00AC1D16"/>
    <w:rsid w:val="00AC1FAD"/>
    <w:rsid w:val="00AC223A"/>
    <w:rsid w:val="00AC2726"/>
    <w:rsid w:val="00AC2850"/>
    <w:rsid w:val="00AC2D00"/>
    <w:rsid w:val="00AC2DBF"/>
    <w:rsid w:val="00AC2DD6"/>
    <w:rsid w:val="00AC361B"/>
    <w:rsid w:val="00AC47F7"/>
    <w:rsid w:val="00AC4949"/>
    <w:rsid w:val="00AC4FE1"/>
    <w:rsid w:val="00AC5039"/>
    <w:rsid w:val="00AC50D0"/>
    <w:rsid w:val="00AC5E7E"/>
    <w:rsid w:val="00AC605F"/>
    <w:rsid w:val="00AC6202"/>
    <w:rsid w:val="00AC6544"/>
    <w:rsid w:val="00AC7A58"/>
    <w:rsid w:val="00AC7DBE"/>
    <w:rsid w:val="00AC7F8A"/>
    <w:rsid w:val="00AD0197"/>
    <w:rsid w:val="00AD0DD0"/>
    <w:rsid w:val="00AD1608"/>
    <w:rsid w:val="00AD1C8A"/>
    <w:rsid w:val="00AD1EE8"/>
    <w:rsid w:val="00AD2184"/>
    <w:rsid w:val="00AD230F"/>
    <w:rsid w:val="00AD28ED"/>
    <w:rsid w:val="00AD2B13"/>
    <w:rsid w:val="00AD32CE"/>
    <w:rsid w:val="00AD369F"/>
    <w:rsid w:val="00AD3999"/>
    <w:rsid w:val="00AD4C61"/>
    <w:rsid w:val="00AD5105"/>
    <w:rsid w:val="00AD5348"/>
    <w:rsid w:val="00AD64DC"/>
    <w:rsid w:val="00AD6628"/>
    <w:rsid w:val="00AD6F71"/>
    <w:rsid w:val="00AD7410"/>
    <w:rsid w:val="00AD748F"/>
    <w:rsid w:val="00AD7E80"/>
    <w:rsid w:val="00AD7EC7"/>
    <w:rsid w:val="00AE007F"/>
    <w:rsid w:val="00AE093A"/>
    <w:rsid w:val="00AE0E99"/>
    <w:rsid w:val="00AE11EA"/>
    <w:rsid w:val="00AE12CE"/>
    <w:rsid w:val="00AE153C"/>
    <w:rsid w:val="00AE1869"/>
    <w:rsid w:val="00AE1C2D"/>
    <w:rsid w:val="00AE1CC4"/>
    <w:rsid w:val="00AE20A9"/>
    <w:rsid w:val="00AE2162"/>
    <w:rsid w:val="00AE26EA"/>
    <w:rsid w:val="00AE2793"/>
    <w:rsid w:val="00AE2A7F"/>
    <w:rsid w:val="00AE2FD3"/>
    <w:rsid w:val="00AE301B"/>
    <w:rsid w:val="00AE3580"/>
    <w:rsid w:val="00AE396B"/>
    <w:rsid w:val="00AE3ADD"/>
    <w:rsid w:val="00AE3EC7"/>
    <w:rsid w:val="00AE4057"/>
    <w:rsid w:val="00AE500B"/>
    <w:rsid w:val="00AE5D04"/>
    <w:rsid w:val="00AE615C"/>
    <w:rsid w:val="00AE6226"/>
    <w:rsid w:val="00AE645B"/>
    <w:rsid w:val="00AE69B9"/>
    <w:rsid w:val="00AE6D0C"/>
    <w:rsid w:val="00AE7323"/>
    <w:rsid w:val="00AE73F7"/>
    <w:rsid w:val="00AE761C"/>
    <w:rsid w:val="00AF03AD"/>
    <w:rsid w:val="00AF03D8"/>
    <w:rsid w:val="00AF0597"/>
    <w:rsid w:val="00AF0AE6"/>
    <w:rsid w:val="00AF0B02"/>
    <w:rsid w:val="00AF11BA"/>
    <w:rsid w:val="00AF199A"/>
    <w:rsid w:val="00AF1A89"/>
    <w:rsid w:val="00AF20CC"/>
    <w:rsid w:val="00AF224F"/>
    <w:rsid w:val="00AF2D37"/>
    <w:rsid w:val="00AF2E6E"/>
    <w:rsid w:val="00AF348F"/>
    <w:rsid w:val="00AF36E3"/>
    <w:rsid w:val="00AF380C"/>
    <w:rsid w:val="00AF420C"/>
    <w:rsid w:val="00AF4A5F"/>
    <w:rsid w:val="00AF4B05"/>
    <w:rsid w:val="00AF542B"/>
    <w:rsid w:val="00AF5AEB"/>
    <w:rsid w:val="00AF6419"/>
    <w:rsid w:val="00AF6D71"/>
    <w:rsid w:val="00AF79B4"/>
    <w:rsid w:val="00AF7CBC"/>
    <w:rsid w:val="00AF7F0B"/>
    <w:rsid w:val="00B00027"/>
    <w:rsid w:val="00B00367"/>
    <w:rsid w:val="00B003AC"/>
    <w:rsid w:val="00B0041C"/>
    <w:rsid w:val="00B00732"/>
    <w:rsid w:val="00B00B1D"/>
    <w:rsid w:val="00B01317"/>
    <w:rsid w:val="00B014B1"/>
    <w:rsid w:val="00B014D8"/>
    <w:rsid w:val="00B01B30"/>
    <w:rsid w:val="00B01E7B"/>
    <w:rsid w:val="00B01F2A"/>
    <w:rsid w:val="00B0265D"/>
    <w:rsid w:val="00B02843"/>
    <w:rsid w:val="00B02AB2"/>
    <w:rsid w:val="00B02B62"/>
    <w:rsid w:val="00B02DCC"/>
    <w:rsid w:val="00B02E3E"/>
    <w:rsid w:val="00B039DC"/>
    <w:rsid w:val="00B04040"/>
    <w:rsid w:val="00B0405B"/>
    <w:rsid w:val="00B0407A"/>
    <w:rsid w:val="00B042C9"/>
    <w:rsid w:val="00B043C9"/>
    <w:rsid w:val="00B04437"/>
    <w:rsid w:val="00B04857"/>
    <w:rsid w:val="00B049A1"/>
    <w:rsid w:val="00B04AB3"/>
    <w:rsid w:val="00B04C9C"/>
    <w:rsid w:val="00B04CA7"/>
    <w:rsid w:val="00B04E12"/>
    <w:rsid w:val="00B051CE"/>
    <w:rsid w:val="00B055A2"/>
    <w:rsid w:val="00B05858"/>
    <w:rsid w:val="00B05919"/>
    <w:rsid w:val="00B0670B"/>
    <w:rsid w:val="00B068D1"/>
    <w:rsid w:val="00B06B7A"/>
    <w:rsid w:val="00B07CC8"/>
    <w:rsid w:val="00B10943"/>
    <w:rsid w:val="00B10FF5"/>
    <w:rsid w:val="00B12E84"/>
    <w:rsid w:val="00B12F7D"/>
    <w:rsid w:val="00B1301A"/>
    <w:rsid w:val="00B13205"/>
    <w:rsid w:val="00B13344"/>
    <w:rsid w:val="00B134E3"/>
    <w:rsid w:val="00B13764"/>
    <w:rsid w:val="00B13C3F"/>
    <w:rsid w:val="00B13C86"/>
    <w:rsid w:val="00B142C3"/>
    <w:rsid w:val="00B1495F"/>
    <w:rsid w:val="00B14F2B"/>
    <w:rsid w:val="00B151EA"/>
    <w:rsid w:val="00B159BF"/>
    <w:rsid w:val="00B16053"/>
    <w:rsid w:val="00B16BC2"/>
    <w:rsid w:val="00B16EFD"/>
    <w:rsid w:val="00B16F66"/>
    <w:rsid w:val="00B1750B"/>
    <w:rsid w:val="00B175CD"/>
    <w:rsid w:val="00B17ACD"/>
    <w:rsid w:val="00B200E2"/>
    <w:rsid w:val="00B2054E"/>
    <w:rsid w:val="00B20C17"/>
    <w:rsid w:val="00B20F9E"/>
    <w:rsid w:val="00B21533"/>
    <w:rsid w:val="00B219F5"/>
    <w:rsid w:val="00B21DA2"/>
    <w:rsid w:val="00B22422"/>
    <w:rsid w:val="00B22D8F"/>
    <w:rsid w:val="00B23450"/>
    <w:rsid w:val="00B23BCD"/>
    <w:rsid w:val="00B23C3B"/>
    <w:rsid w:val="00B23CDE"/>
    <w:rsid w:val="00B25041"/>
    <w:rsid w:val="00B2560B"/>
    <w:rsid w:val="00B25C55"/>
    <w:rsid w:val="00B26447"/>
    <w:rsid w:val="00B27385"/>
    <w:rsid w:val="00B274A2"/>
    <w:rsid w:val="00B2767C"/>
    <w:rsid w:val="00B276C0"/>
    <w:rsid w:val="00B27C33"/>
    <w:rsid w:val="00B30000"/>
    <w:rsid w:val="00B30292"/>
    <w:rsid w:val="00B3048B"/>
    <w:rsid w:val="00B30977"/>
    <w:rsid w:val="00B30B73"/>
    <w:rsid w:val="00B30E70"/>
    <w:rsid w:val="00B3137F"/>
    <w:rsid w:val="00B317CB"/>
    <w:rsid w:val="00B32F3A"/>
    <w:rsid w:val="00B32FCB"/>
    <w:rsid w:val="00B332C3"/>
    <w:rsid w:val="00B3404B"/>
    <w:rsid w:val="00B3417A"/>
    <w:rsid w:val="00B34219"/>
    <w:rsid w:val="00B34503"/>
    <w:rsid w:val="00B34FEE"/>
    <w:rsid w:val="00B35EAF"/>
    <w:rsid w:val="00B36B21"/>
    <w:rsid w:val="00B36E74"/>
    <w:rsid w:val="00B36F44"/>
    <w:rsid w:val="00B37F77"/>
    <w:rsid w:val="00B408E8"/>
    <w:rsid w:val="00B41249"/>
    <w:rsid w:val="00B414B7"/>
    <w:rsid w:val="00B41505"/>
    <w:rsid w:val="00B41520"/>
    <w:rsid w:val="00B4175D"/>
    <w:rsid w:val="00B41AFC"/>
    <w:rsid w:val="00B41B02"/>
    <w:rsid w:val="00B41C5C"/>
    <w:rsid w:val="00B42069"/>
    <w:rsid w:val="00B4206F"/>
    <w:rsid w:val="00B427BA"/>
    <w:rsid w:val="00B428E8"/>
    <w:rsid w:val="00B42B09"/>
    <w:rsid w:val="00B42D6E"/>
    <w:rsid w:val="00B42E78"/>
    <w:rsid w:val="00B43618"/>
    <w:rsid w:val="00B43B0A"/>
    <w:rsid w:val="00B45798"/>
    <w:rsid w:val="00B459B4"/>
    <w:rsid w:val="00B4688B"/>
    <w:rsid w:val="00B46A49"/>
    <w:rsid w:val="00B47A7D"/>
    <w:rsid w:val="00B47E82"/>
    <w:rsid w:val="00B50883"/>
    <w:rsid w:val="00B512F6"/>
    <w:rsid w:val="00B518E5"/>
    <w:rsid w:val="00B5220D"/>
    <w:rsid w:val="00B523E2"/>
    <w:rsid w:val="00B52995"/>
    <w:rsid w:val="00B52F31"/>
    <w:rsid w:val="00B547C9"/>
    <w:rsid w:val="00B54CA7"/>
    <w:rsid w:val="00B56475"/>
    <w:rsid w:val="00B5693D"/>
    <w:rsid w:val="00B57135"/>
    <w:rsid w:val="00B57D41"/>
    <w:rsid w:val="00B6029C"/>
    <w:rsid w:val="00B60555"/>
    <w:rsid w:val="00B60595"/>
    <w:rsid w:val="00B60705"/>
    <w:rsid w:val="00B60D1E"/>
    <w:rsid w:val="00B620A5"/>
    <w:rsid w:val="00B62189"/>
    <w:rsid w:val="00B622F0"/>
    <w:rsid w:val="00B62407"/>
    <w:rsid w:val="00B632DA"/>
    <w:rsid w:val="00B63BBD"/>
    <w:rsid w:val="00B63C33"/>
    <w:rsid w:val="00B646D1"/>
    <w:rsid w:val="00B647CF"/>
    <w:rsid w:val="00B64D2D"/>
    <w:rsid w:val="00B64E7B"/>
    <w:rsid w:val="00B65474"/>
    <w:rsid w:val="00B657FE"/>
    <w:rsid w:val="00B6589A"/>
    <w:rsid w:val="00B65AE1"/>
    <w:rsid w:val="00B660AD"/>
    <w:rsid w:val="00B666EF"/>
    <w:rsid w:val="00B669D1"/>
    <w:rsid w:val="00B67085"/>
    <w:rsid w:val="00B67CBB"/>
    <w:rsid w:val="00B67EF4"/>
    <w:rsid w:val="00B709A3"/>
    <w:rsid w:val="00B70EAE"/>
    <w:rsid w:val="00B72BCB"/>
    <w:rsid w:val="00B72D18"/>
    <w:rsid w:val="00B73761"/>
    <w:rsid w:val="00B738CA"/>
    <w:rsid w:val="00B73AED"/>
    <w:rsid w:val="00B74EE2"/>
    <w:rsid w:val="00B74F62"/>
    <w:rsid w:val="00B75065"/>
    <w:rsid w:val="00B7564B"/>
    <w:rsid w:val="00B759EE"/>
    <w:rsid w:val="00B75D6C"/>
    <w:rsid w:val="00B775E3"/>
    <w:rsid w:val="00B777D8"/>
    <w:rsid w:val="00B77988"/>
    <w:rsid w:val="00B800CF"/>
    <w:rsid w:val="00B8068B"/>
    <w:rsid w:val="00B80CCF"/>
    <w:rsid w:val="00B81AFE"/>
    <w:rsid w:val="00B81C3B"/>
    <w:rsid w:val="00B81F03"/>
    <w:rsid w:val="00B82427"/>
    <w:rsid w:val="00B825CE"/>
    <w:rsid w:val="00B82C3C"/>
    <w:rsid w:val="00B83A0E"/>
    <w:rsid w:val="00B83DC6"/>
    <w:rsid w:val="00B843F5"/>
    <w:rsid w:val="00B847A0"/>
    <w:rsid w:val="00B84B21"/>
    <w:rsid w:val="00B84F2C"/>
    <w:rsid w:val="00B85ADA"/>
    <w:rsid w:val="00B85D50"/>
    <w:rsid w:val="00B86699"/>
    <w:rsid w:val="00B86A99"/>
    <w:rsid w:val="00B87014"/>
    <w:rsid w:val="00B8794F"/>
    <w:rsid w:val="00B87B01"/>
    <w:rsid w:val="00B87D93"/>
    <w:rsid w:val="00B87F38"/>
    <w:rsid w:val="00B90005"/>
    <w:rsid w:val="00B90F00"/>
    <w:rsid w:val="00B9146C"/>
    <w:rsid w:val="00B91AB3"/>
    <w:rsid w:val="00B91F96"/>
    <w:rsid w:val="00B9213A"/>
    <w:rsid w:val="00B9270A"/>
    <w:rsid w:val="00B93523"/>
    <w:rsid w:val="00B935EA"/>
    <w:rsid w:val="00B946C0"/>
    <w:rsid w:val="00B94701"/>
    <w:rsid w:val="00B94722"/>
    <w:rsid w:val="00B94DE1"/>
    <w:rsid w:val="00B95391"/>
    <w:rsid w:val="00B95E0A"/>
    <w:rsid w:val="00B96272"/>
    <w:rsid w:val="00B96D41"/>
    <w:rsid w:val="00B96E38"/>
    <w:rsid w:val="00B96EFC"/>
    <w:rsid w:val="00B97F6A"/>
    <w:rsid w:val="00BA107F"/>
    <w:rsid w:val="00BA1CE6"/>
    <w:rsid w:val="00BA32DE"/>
    <w:rsid w:val="00BA3668"/>
    <w:rsid w:val="00BA3908"/>
    <w:rsid w:val="00BA3A00"/>
    <w:rsid w:val="00BA3FA3"/>
    <w:rsid w:val="00BA42C7"/>
    <w:rsid w:val="00BA432E"/>
    <w:rsid w:val="00BA4781"/>
    <w:rsid w:val="00BA49A9"/>
    <w:rsid w:val="00BA55FA"/>
    <w:rsid w:val="00BA5C13"/>
    <w:rsid w:val="00BA5D34"/>
    <w:rsid w:val="00BA5E06"/>
    <w:rsid w:val="00BA64FA"/>
    <w:rsid w:val="00BA66C3"/>
    <w:rsid w:val="00BA6794"/>
    <w:rsid w:val="00BA6978"/>
    <w:rsid w:val="00BA7166"/>
    <w:rsid w:val="00BA78F6"/>
    <w:rsid w:val="00BA7D5C"/>
    <w:rsid w:val="00BB03F2"/>
    <w:rsid w:val="00BB0458"/>
    <w:rsid w:val="00BB07C8"/>
    <w:rsid w:val="00BB094A"/>
    <w:rsid w:val="00BB0A7C"/>
    <w:rsid w:val="00BB0F29"/>
    <w:rsid w:val="00BB0F88"/>
    <w:rsid w:val="00BB1953"/>
    <w:rsid w:val="00BB2129"/>
    <w:rsid w:val="00BB22C2"/>
    <w:rsid w:val="00BB270C"/>
    <w:rsid w:val="00BB29E3"/>
    <w:rsid w:val="00BB2DB7"/>
    <w:rsid w:val="00BB2F31"/>
    <w:rsid w:val="00BB3485"/>
    <w:rsid w:val="00BB35AE"/>
    <w:rsid w:val="00BB35BD"/>
    <w:rsid w:val="00BB3C40"/>
    <w:rsid w:val="00BB3F8B"/>
    <w:rsid w:val="00BB4809"/>
    <w:rsid w:val="00BB580F"/>
    <w:rsid w:val="00BB6F9A"/>
    <w:rsid w:val="00BB70A6"/>
    <w:rsid w:val="00BB71AD"/>
    <w:rsid w:val="00BB7863"/>
    <w:rsid w:val="00BC01B2"/>
    <w:rsid w:val="00BC0F5E"/>
    <w:rsid w:val="00BC1288"/>
    <w:rsid w:val="00BC1B79"/>
    <w:rsid w:val="00BC1C40"/>
    <w:rsid w:val="00BC2270"/>
    <w:rsid w:val="00BC2542"/>
    <w:rsid w:val="00BC25DE"/>
    <w:rsid w:val="00BC2601"/>
    <w:rsid w:val="00BC283A"/>
    <w:rsid w:val="00BC283C"/>
    <w:rsid w:val="00BC34DC"/>
    <w:rsid w:val="00BC3791"/>
    <w:rsid w:val="00BC3BAE"/>
    <w:rsid w:val="00BC3D04"/>
    <w:rsid w:val="00BC3D4A"/>
    <w:rsid w:val="00BC4F80"/>
    <w:rsid w:val="00BC4FCF"/>
    <w:rsid w:val="00BC6054"/>
    <w:rsid w:val="00BC647E"/>
    <w:rsid w:val="00BC65A7"/>
    <w:rsid w:val="00BC65AD"/>
    <w:rsid w:val="00BC66D3"/>
    <w:rsid w:val="00BC6C70"/>
    <w:rsid w:val="00BC7113"/>
    <w:rsid w:val="00BC7411"/>
    <w:rsid w:val="00BC75D5"/>
    <w:rsid w:val="00BC7789"/>
    <w:rsid w:val="00BC7E7B"/>
    <w:rsid w:val="00BD07B4"/>
    <w:rsid w:val="00BD0A1C"/>
    <w:rsid w:val="00BD0C8C"/>
    <w:rsid w:val="00BD2377"/>
    <w:rsid w:val="00BD28FC"/>
    <w:rsid w:val="00BD2B9B"/>
    <w:rsid w:val="00BD2D34"/>
    <w:rsid w:val="00BD30CA"/>
    <w:rsid w:val="00BD36AE"/>
    <w:rsid w:val="00BD3DB2"/>
    <w:rsid w:val="00BD4C2B"/>
    <w:rsid w:val="00BD51CB"/>
    <w:rsid w:val="00BD53D3"/>
    <w:rsid w:val="00BD57EF"/>
    <w:rsid w:val="00BD6260"/>
    <w:rsid w:val="00BD6277"/>
    <w:rsid w:val="00BD66A8"/>
    <w:rsid w:val="00BD6AFA"/>
    <w:rsid w:val="00BD6E0E"/>
    <w:rsid w:val="00BD78D3"/>
    <w:rsid w:val="00BD7C4C"/>
    <w:rsid w:val="00BD7F2F"/>
    <w:rsid w:val="00BE0AB1"/>
    <w:rsid w:val="00BE123C"/>
    <w:rsid w:val="00BE205A"/>
    <w:rsid w:val="00BE2444"/>
    <w:rsid w:val="00BE2853"/>
    <w:rsid w:val="00BE2B39"/>
    <w:rsid w:val="00BE2F2C"/>
    <w:rsid w:val="00BE35BC"/>
    <w:rsid w:val="00BE3785"/>
    <w:rsid w:val="00BE3C82"/>
    <w:rsid w:val="00BE40DE"/>
    <w:rsid w:val="00BE437F"/>
    <w:rsid w:val="00BE4E35"/>
    <w:rsid w:val="00BE56F7"/>
    <w:rsid w:val="00BE5753"/>
    <w:rsid w:val="00BE58C2"/>
    <w:rsid w:val="00BE5A21"/>
    <w:rsid w:val="00BE6274"/>
    <w:rsid w:val="00BE62E1"/>
    <w:rsid w:val="00BE75BC"/>
    <w:rsid w:val="00BE79E4"/>
    <w:rsid w:val="00BE7DA3"/>
    <w:rsid w:val="00BF01E0"/>
    <w:rsid w:val="00BF024F"/>
    <w:rsid w:val="00BF0448"/>
    <w:rsid w:val="00BF061D"/>
    <w:rsid w:val="00BF101D"/>
    <w:rsid w:val="00BF1A8D"/>
    <w:rsid w:val="00BF1C3E"/>
    <w:rsid w:val="00BF1E5F"/>
    <w:rsid w:val="00BF24AC"/>
    <w:rsid w:val="00BF2535"/>
    <w:rsid w:val="00BF26F6"/>
    <w:rsid w:val="00BF2AD8"/>
    <w:rsid w:val="00BF3240"/>
    <w:rsid w:val="00BF36FA"/>
    <w:rsid w:val="00BF455F"/>
    <w:rsid w:val="00BF4C2C"/>
    <w:rsid w:val="00BF4E8B"/>
    <w:rsid w:val="00BF4F2C"/>
    <w:rsid w:val="00BF4F3E"/>
    <w:rsid w:val="00BF55BA"/>
    <w:rsid w:val="00BF5E9C"/>
    <w:rsid w:val="00BF6036"/>
    <w:rsid w:val="00BF62CD"/>
    <w:rsid w:val="00BF633E"/>
    <w:rsid w:val="00BF660D"/>
    <w:rsid w:val="00BF6C28"/>
    <w:rsid w:val="00BF70F2"/>
    <w:rsid w:val="00BF72B1"/>
    <w:rsid w:val="00BF77B3"/>
    <w:rsid w:val="00BF7BA1"/>
    <w:rsid w:val="00C00247"/>
    <w:rsid w:val="00C01637"/>
    <w:rsid w:val="00C01B2F"/>
    <w:rsid w:val="00C03075"/>
    <w:rsid w:val="00C03825"/>
    <w:rsid w:val="00C039D4"/>
    <w:rsid w:val="00C03A46"/>
    <w:rsid w:val="00C03A7D"/>
    <w:rsid w:val="00C03B29"/>
    <w:rsid w:val="00C0406E"/>
    <w:rsid w:val="00C042B6"/>
    <w:rsid w:val="00C04952"/>
    <w:rsid w:val="00C04FEC"/>
    <w:rsid w:val="00C05227"/>
    <w:rsid w:val="00C05306"/>
    <w:rsid w:val="00C06A4F"/>
    <w:rsid w:val="00C06E1B"/>
    <w:rsid w:val="00C07060"/>
    <w:rsid w:val="00C07BF7"/>
    <w:rsid w:val="00C100A6"/>
    <w:rsid w:val="00C10271"/>
    <w:rsid w:val="00C10324"/>
    <w:rsid w:val="00C10AA0"/>
    <w:rsid w:val="00C10D10"/>
    <w:rsid w:val="00C10F9B"/>
    <w:rsid w:val="00C11190"/>
    <w:rsid w:val="00C11344"/>
    <w:rsid w:val="00C11B81"/>
    <w:rsid w:val="00C11F2C"/>
    <w:rsid w:val="00C11F3D"/>
    <w:rsid w:val="00C12335"/>
    <w:rsid w:val="00C130BF"/>
    <w:rsid w:val="00C138F1"/>
    <w:rsid w:val="00C139FB"/>
    <w:rsid w:val="00C13F8F"/>
    <w:rsid w:val="00C1476E"/>
    <w:rsid w:val="00C14AB3"/>
    <w:rsid w:val="00C152DB"/>
    <w:rsid w:val="00C158C2"/>
    <w:rsid w:val="00C16011"/>
    <w:rsid w:val="00C160CC"/>
    <w:rsid w:val="00C1616D"/>
    <w:rsid w:val="00C16208"/>
    <w:rsid w:val="00C168A8"/>
    <w:rsid w:val="00C16DC5"/>
    <w:rsid w:val="00C16FFD"/>
    <w:rsid w:val="00C1798B"/>
    <w:rsid w:val="00C20FB2"/>
    <w:rsid w:val="00C21028"/>
    <w:rsid w:val="00C211DE"/>
    <w:rsid w:val="00C2198A"/>
    <w:rsid w:val="00C21AF5"/>
    <w:rsid w:val="00C21D96"/>
    <w:rsid w:val="00C221CA"/>
    <w:rsid w:val="00C2224F"/>
    <w:rsid w:val="00C222CC"/>
    <w:rsid w:val="00C22315"/>
    <w:rsid w:val="00C22F42"/>
    <w:rsid w:val="00C23349"/>
    <w:rsid w:val="00C234CA"/>
    <w:rsid w:val="00C2355C"/>
    <w:rsid w:val="00C2382A"/>
    <w:rsid w:val="00C24676"/>
    <w:rsid w:val="00C24903"/>
    <w:rsid w:val="00C24DBD"/>
    <w:rsid w:val="00C24E0F"/>
    <w:rsid w:val="00C24EAF"/>
    <w:rsid w:val="00C2526E"/>
    <w:rsid w:val="00C2542F"/>
    <w:rsid w:val="00C26058"/>
    <w:rsid w:val="00C26542"/>
    <w:rsid w:val="00C26B5C"/>
    <w:rsid w:val="00C276F1"/>
    <w:rsid w:val="00C27BC3"/>
    <w:rsid w:val="00C300F0"/>
    <w:rsid w:val="00C3025B"/>
    <w:rsid w:val="00C308E1"/>
    <w:rsid w:val="00C30D68"/>
    <w:rsid w:val="00C31017"/>
    <w:rsid w:val="00C3319D"/>
    <w:rsid w:val="00C334FE"/>
    <w:rsid w:val="00C33E04"/>
    <w:rsid w:val="00C34C2E"/>
    <w:rsid w:val="00C357E3"/>
    <w:rsid w:val="00C35808"/>
    <w:rsid w:val="00C35A1C"/>
    <w:rsid w:val="00C35EEA"/>
    <w:rsid w:val="00C36289"/>
    <w:rsid w:val="00C36876"/>
    <w:rsid w:val="00C36A9B"/>
    <w:rsid w:val="00C37E2C"/>
    <w:rsid w:val="00C400EF"/>
    <w:rsid w:val="00C40F18"/>
    <w:rsid w:val="00C40FAF"/>
    <w:rsid w:val="00C416D0"/>
    <w:rsid w:val="00C41B94"/>
    <w:rsid w:val="00C41D58"/>
    <w:rsid w:val="00C4212A"/>
    <w:rsid w:val="00C421C2"/>
    <w:rsid w:val="00C42260"/>
    <w:rsid w:val="00C42337"/>
    <w:rsid w:val="00C43507"/>
    <w:rsid w:val="00C44090"/>
    <w:rsid w:val="00C4455D"/>
    <w:rsid w:val="00C446C8"/>
    <w:rsid w:val="00C44ED2"/>
    <w:rsid w:val="00C45575"/>
    <w:rsid w:val="00C45692"/>
    <w:rsid w:val="00C45B98"/>
    <w:rsid w:val="00C45BDD"/>
    <w:rsid w:val="00C45C9B"/>
    <w:rsid w:val="00C45FFC"/>
    <w:rsid w:val="00C46319"/>
    <w:rsid w:val="00C470F1"/>
    <w:rsid w:val="00C47228"/>
    <w:rsid w:val="00C475C9"/>
    <w:rsid w:val="00C47683"/>
    <w:rsid w:val="00C47905"/>
    <w:rsid w:val="00C47CF6"/>
    <w:rsid w:val="00C50696"/>
    <w:rsid w:val="00C509BC"/>
    <w:rsid w:val="00C51516"/>
    <w:rsid w:val="00C51526"/>
    <w:rsid w:val="00C51BB4"/>
    <w:rsid w:val="00C51F38"/>
    <w:rsid w:val="00C51F5D"/>
    <w:rsid w:val="00C52915"/>
    <w:rsid w:val="00C5365C"/>
    <w:rsid w:val="00C539CB"/>
    <w:rsid w:val="00C53BB4"/>
    <w:rsid w:val="00C53CF1"/>
    <w:rsid w:val="00C5421D"/>
    <w:rsid w:val="00C545DA"/>
    <w:rsid w:val="00C546A2"/>
    <w:rsid w:val="00C54829"/>
    <w:rsid w:val="00C54DE6"/>
    <w:rsid w:val="00C55329"/>
    <w:rsid w:val="00C55AA7"/>
    <w:rsid w:val="00C5623A"/>
    <w:rsid w:val="00C57EBA"/>
    <w:rsid w:val="00C6048F"/>
    <w:rsid w:val="00C60499"/>
    <w:rsid w:val="00C60DEE"/>
    <w:rsid w:val="00C611D1"/>
    <w:rsid w:val="00C615D0"/>
    <w:rsid w:val="00C618FE"/>
    <w:rsid w:val="00C61C4C"/>
    <w:rsid w:val="00C61F10"/>
    <w:rsid w:val="00C62717"/>
    <w:rsid w:val="00C62B4D"/>
    <w:rsid w:val="00C633E1"/>
    <w:rsid w:val="00C63CD8"/>
    <w:rsid w:val="00C63EDA"/>
    <w:rsid w:val="00C63F7F"/>
    <w:rsid w:val="00C64303"/>
    <w:rsid w:val="00C64570"/>
    <w:rsid w:val="00C647E5"/>
    <w:rsid w:val="00C64A59"/>
    <w:rsid w:val="00C66063"/>
    <w:rsid w:val="00C6606E"/>
    <w:rsid w:val="00C66451"/>
    <w:rsid w:val="00C6656D"/>
    <w:rsid w:val="00C67E71"/>
    <w:rsid w:val="00C67F2E"/>
    <w:rsid w:val="00C67FC4"/>
    <w:rsid w:val="00C7067B"/>
    <w:rsid w:val="00C70C4B"/>
    <w:rsid w:val="00C70F5B"/>
    <w:rsid w:val="00C7181F"/>
    <w:rsid w:val="00C71EAC"/>
    <w:rsid w:val="00C7203E"/>
    <w:rsid w:val="00C729FF"/>
    <w:rsid w:val="00C72E23"/>
    <w:rsid w:val="00C72F6D"/>
    <w:rsid w:val="00C73845"/>
    <w:rsid w:val="00C74732"/>
    <w:rsid w:val="00C75225"/>
    <w:rsid w:val="00C7543D"/>
    <w:rsid w:val="00C75F29"/>
    <w:rsid w:val="00C76090"/>
    <w:rsid w:val="00C76AF2"/>
    <w:rsid w:val="00C76C1F"/>
    <w:rsid w:val="00C7780D"/>
    <w:rsid w:val="00C77917"/>
    <w:rsid w:val="00C80C48"/>
    <w:rsid w:val="00C8115F"/>
    <w:rsid w:val="00C81214"/>
    <w:rsid w:val="00C8166B"/>
    <w:rsid w:val="00C82090"/>
    <w:rsid w:val="00C822E9"/>
    <w:rsid w:val="00C828DF"/>
    <w:rsid w:val="00C82C8E"/>
    <w:rsid w:val="00C82E72"/>
    <w:rsid w:val="00C837FB"/>
    <w:rsid w:val="00C8397F"/>
    <w:rsid w:val="00C83ADD"/>
    <w:rsid w:val="00C83E3E"/>
    <w:rsid w:val="00C84100"/>
    <w:rsid w:val="00C84793"/>
    <w:rsid w:val="00C855A3"/>
    <w:rsid w:val="00C85A8F"/>
    <w:rsid w:val="00C85B4C"/>
    <w:rsid w:val="00C86460"/>
    <w:rsid w:val="00C869FF"/>
    <w:rsid w:val="00C87635"/>
    <w:rsid w:val="00C87BC1"/>
    <w:rsid w:val="00C9007E"/>
    <w:rsid w:val="00C90FB0"/>
    <w:rsid w:val="00C9227C"/>
    <w:rsid w:val="00C9337C"/>
    <w:rsid w:val="00C93BB0"/>
    <w:rsid w:val="00C93CE6"/>
    <w:rsid w:val="00C93D57"/>
    <w:rsid w:val="00C94CEC"/>
    <w:rsid w:val="00C94FA1"/>
    <w:rsid w:val="00C95FCE"/>
    <w:rsid w:val="00C967B8"/>
    <w:rsid w:val="00C97242"/>
    <w:rsid w:val="00C9755F"/>
    <w:rsid w:val="00C975D2"/>
    <w:rsid w:val="00C97B42"/>
    <w:rsid w:val="00C97D56"/>
    <w:rsid w:val="00C97D9C"/>
    <w:rsid w:val="00CA0C18"/>
    <w:rsid w:val="00CA0DA7"/>
    <w:rsid w:val="00CA10C3"/>
    <w:rsid w:val="00CA17A1"/>
    <w:rsid w:val="00CA1901"/>
    <w:rsid w:val="00CA194D"/>
    <w:rsid w:val="00CA2B26"/>
    <w:rsid w:val="00CA2BDB"/>
    <w:rsid w:val="00CA2C9C"/>
    <w:rsid w:val="00CA2F58"/>
    <w:rsid w:val="00CA3221"/>
    <w:rsid w:val="00CA3A3E"/>
    <w:rsid w:val="00CA3B75"/>
    <w:rsid w:val="00CA4172"/>
    <w:rsid w:val="00CA446D"/>
    <w:rsid w:val="00CA4959"/>
    <w:rsid w:val="00CA4B9A"/>
    <w:rsid w:val="00CA4E6B"/>
    <w:rsid w:val="00CA606E"/>
    <w:rsid w:val="00CA6B04"/>
    <w:rsid w:val="00CA6E16"/>
    <w:rsid w:val="00CA6EC1"/>
    <w:rsid w:val="00CA74AE"/>
    <w:rsid w:val="00CA74C6"/>
    <w:rsid w:val="00CA7640"/>
    <w:rsid w:val="00CA78AB"/>
    <w:rsid w:val="00CA7CC2"/>
    <w:rsid w:val="00CB2572"/>
    <w:rsid w:val="00CB2663"/>
    <w:rsid w:val="00CB2916"/>
    <w:rsid w:val="00CB2993"/>
    <w:rsid w:val="00CB29A8"/>
    <w:rsid w:val="00CB2AC2"/>
    <w:rsid w:val="00CB2ED1"/>
    <w:rsid w:val="00CB313A"/>
    <w:rsid w:val="00CB3632"/>
    <w:rsid w:val="00CB42DB"/>
    <w:rsid w:val="00CB4363"/>
    <w:rsid w:val="00CB4838"/>
    <w:rsid w:val="00CB49D3"/>
    <w:rsid w:val="00CB56EE"/>
    <w:rsid w:val="00CB5769"/>
    <w:rsid w:val="00CB5A52"/>
    <w:rsid w:val="00CB687B"/>
    <w:rsid w:val="00CB69A1"/>
    <w:rsid w:val="00CB76A5"/>
    <w:rsid w:val="00CB795C"/>
    <w:rsid w:val="00CB7A76"/>
    <w:rsid w:val="00CB7B12"/>
    <w:rsid w:val="00CB7BBD"/>
    <w:rsid w:val="00CC01C3"/>
    <w:rsid w:val="00CC058B"/>
    <w:rsid w:val="00CC0B4E"/>
    <w:rsid w:val="00CC0BE2"/>
    <w:rsid w:val="00CC0EB9"/>
    <w:rsid w:val="00CC1072"/>
    <w:rsid w:val="00CC1AF6"/>
    <w:rsid w:val="00CC1DA3"/>
    <w:rsid w:val="00CC1F51"/>
    <w:rsid w:val="00CC215D"/>
    <w:rsid w:val="00CC3151"/>
    <w:rsid w:val="00CC3D87"/>
    <w:rsid w:val="00CC462E"/>
    <w:rsid w:val="00CC493B"/>
    <w:rsid w:val="00CC5F62"/>
    <w:rsid w:val="00CC62D0"/>
    <w:rsid w:val="00CC6709"/>
    <w:rsid w:val="00CC6833"/>
    <w:rsid w:val="00CC697F"/>
    <w:rsid w:val="00CC72D7"/>
    <w:rsid w:val="00CC748C"/>
    <w:rsid w:val="00CC7A9E"/>
    <w:rsid w:val="00CD01C1"/>
    <w:rsid w:val="00CD08C5"/>
    <w:rsid w:val="00CD1F95"/>
    <w:rsid w:val="00CD215A"/>
    <w:rsid w:val="00CD291D"/>
    <w:rsid w:val="00CD2B64"/>
    <w:rsid w:val="00CD30ED"/>
    <w:rsid w:val="00CD31A0"/>
    <w:rsid w:val="00CD3235"/>
    <w:rsid w:val="00CD33D5"/>
    <w:rsid w:val="00CD365C"/>
    <w:rsid w:val="00CD39D0"/>
    <w:rsid w:val="00CD44D6"/>
    <w:rsid w:val="00CD4A44"/>
    <w:rsid w:val="00CD4D1E"/>
    <w:rsid w:val="00CD5614"/>
    <w:rsid w:val="00CD664D"/>
    <w:rsid w:val="00CD6DAE"/>
    <w:rsid w:val="00CD72B6"/>
    <w:rsid w:val="00CD73FD"/>
    <w:rsid w:val="00CD793D"/>
    <w:rsid w:val="00CD795D"/>
    <w:rsid w:val="00CE05CB"/>
    <w:rsid w:val="00CE0616"/>
    <w:rsid w:val="00CE0A86"/>
    <w:rsid w:val="00CE0B32"/>
    <w:rsid w:val="00CE0B46"/>
    <w:rsid w:val="00CE0FD0"/>
    <w:rsid w:val="00CE1128"/>
    <w:rsid w:val="00CE1398"/>
    <w:rsid w:val="00CE16AA"/>
    <w:rsid w:val="00CE1B7A"/>
    <w:rsid w:val="00CE1D8B"/>
    <w:rsid w:val="00CE27AD"/>
    <w:rsid w:val="00CE2DEA"/>
    <w:rsid w:val="00CE3409"/>
    <w:rsid w:val="00CE34E9"/>
    <w:rsid w:val="00CE3E4F"/>
    <w:rsid w:val="00CE3F75"/>
    <w:rsid w:val="00CE40AD"/>
    <w:rsid w:val="00CE4536"/>
    <w:rsid w:val="00CE4540"/>
    <w:rsid w:val="00CE475B"/>
    <w:rsid w:val="00CE477A"/>
    <w:rsid w:val="00CE507C"/>
    <w:rsid w:val="00CE5245"/>
    <w:rsid w:val="00CE6930"/>
    <w:rsid w:val="00CE6E9E"/>
    <w:rsid w:val="00CE6ED4"/>
    <w:rsid w:val="00CE6F2A"/>
    <w:rsid w:val="00CE77AC"/>
    <w:rsid w:val="00CE7BB1"/>
    <w:rsid w:val="00CF0262"/>
    <w:rsid w:val="00CF0B30"/>
    <w:rsid w:val="00CF0D44"/>
    <w:rsid w:val="00CF0F08"/>
    <w:rsid w:val="00CF12F8"/>
    <w:rsid w:val="00CF143A"/>
    <w:rsid w:val="00CF17D9"/>
    <w:rsid w:val="00CF1B6F"/>
    <w:rsid w:val="00CF22C1"/>
    <w:rsid w:val="00CF2726"/>
    <w:rsid w:val="00CF2B66"/>
    <w:rsid w:val="00CF2F0B"/>
    <w:rsid w:val="00CF30B3"/>
    <w:rsid w:val="00CF475A"/>
    <w:rsid w:val="00CF4B5A"/>
    <w:rsid w:val="00CF612A"/>
    <w:rsid w:val="00CF660C"/>
    <w:rsid w:val="00CF6792"/>
    <w:rsid w:val="00CF686C"/>
    <w:rsid w:val="00CF6BBC"/>
    <w:rsid w:val="00CF7C57"/>
    <w:rsid w:val="00D00044"/>
    <w:rsid w:val="00D002F8"/>
    <w:rsid w:val="00D00538"/>
    <w:rsid w:val="00D02968"/>
    <w:rsid w:val="00D02C7C"/>
    <w:rsid w:val="00D02CC8"/>
    <w:rsid w:val="00D03056"/>
    <w:rsid w:val="00D03323"/>
    <w:rsid w:val="00D03372"/>
    <w:rsid w:val="00D038DD"/>
    <w:rsid w:val="00D03B5A"/>
    <w:rsid w:val="00D04061"/>
    <w:rsid w:val="00D041DC"/>
    <w:rsid w:val="00D04C32"/>
    <w:rsid w:val="00D05C8C"/>
    <w:rsid w:val="00D06013"/>
    <w:rsid w:val="00D065D3"/>
    <w:rsid w:val="00D079AD"/>
    <w:rsid w:val="00D07A06"/>
    <w:rsid w:val="00D07DED"/>
    <w:rsid w:val="00D10299"/>
    <w:rsid w:val="00D10A84"/>
    <w:rsid w:val="00D10AA9"/>
    <w:rsid w:val="00D10C2D"/>
    <w:rsid w:val="00D111D3"/>
    <w:rsid w:val="00D11752"/>
    <w:rsid w:val="00D11B23"/>
    <w:rsid w:val="00D123C9"/>
    <w:rsid w:val="00D125CB"/>
    <w:rsid w:val="00D128BB"/>
    <w:rsid w:val="00D1324A"/>
    <w:rsid w:val="00D13291"/>
    <w:rsid w:val="00D1367A"/>
    <w:rsid w:val="00D13949"/>
    <w:rsid w:val="00D141D4"/>
    <w:rsid w:val="00D142D4"/>
    <w:rsid w:val="00D1433D"/>
    <w:rsid w:val="00D143E9"/>
    <w:rsid w:val="00D1494E"/>
    <w:rsid w:val="00D15305"/>
    <w:rsid w:val="00D15675"/>
    <w:rsid w:val="00D15815"/>
    <w:rsid w:val="00D15B2F"/>
    <w:rsid w:val="00D16512"/>
    <w:rsid w:val="00D16977"/>
    <w:rsid w:val="00D16D12"/>
    <w:rsid w:val="00D173D7"/>
    <w:rsid w:val="00D17674"/>
    <w:rsid w:val="00D179A9"/>
    <w:rsid w:val="00D17AAF"/>
    <w:rsid w:val="00D17BFD"/>
    <w:rsid w:val="00D201AF"/>
    <w:rsid w:val="00D20A93"/>
    <w:rsid w:val="00D20C2F"/>
    <w:rsid w:val="00D20C4A"/>
    <w:rsid w:val="00D21B8A"/>
    <w:rsid w:val="00D21E4C"/>
    <w:rsid w:val="00D2306E"/>
    <w:rsid w:val="00D235CC"/>
    <w:rsid w:val="00D23635"/>
    <w:rsid w:val="00D237C4"/>
    <w:rsid w:val="00D23D14"/>
    <w:rsid w:val="00D2441D"/>
    <w:rsid w:val="00D2453C"/>
    <w:rsid w:val="00D25170"/>
    <w:rsid w:val="00D254DD"/>
    <w:rsid w:val="00D255D9"/>
    <w:rsid w:val="00D25E1C"/>
    <w:rsid w:val="00D26796"/>
    <w:rsid w:val="00D26AA9"/>
    <w:rsid w:val="00D274E5"/>
    <w:rsid w:val="00D27894"/>
    <w:rsid w:val="00D30783"/>
    <w:rsid w:val="00D30D18"/>
    <w:rsid w:val="00D311E1"/>
    <w:rsid w:val="00D31456"/>
    <w:rsid w:val="00D3182F"/>
    <w:rsid w:val="00D31A1D"/>
    <w:rsid w:val="00D326AC"/>
    <w:rsid w:val="00D328C6"/>
    <w:rsid w:val="00D335D7"/>
    <w:rsid w:val="00D339E4"/>
    <w:rsid w:val="00D33F4E"/>
    <w:rsid w:val="00D345C7"/>
    <w:rsid w:val="00D35936"/>
    <w:rsid w:val="00D35C65"/>
    <w:rsid w:val="00D35D6F"/>
    <w:rsid w:val="00D361CD"/>
    <w:rsid w:val="00D362E5"/>
    <w:rsid w:val="00D3645E"/>
    <w:rsid w:val="00D36974"/>
    <w:rsid w:val="00D36B1D"/>
    <w:rsid w:val="00D36FA9"/>
    <w:rsid w:val="00D3719B"/>
    <w:rsid w:val="00D376DD"/>
    <w:rsid w:val="00D376E4"/>
    <w:rsid w:val="00D402B4"/>
    <w:rsid w:val="00D40995"/>
    <w:rsid w:val="00D40CE0"/>
    <w:rsid w:val="00D41649"/>
    <w:rsid w:val="00D41791"/>
    <w:rsid w:val="00D4185B"/>
    <w:rsid w:val="00D41D45"/>
    <w:rsid w:val="00D42442"/>
    <w:rsid w:val="00D424AC"/>
    <w:rsid w:val="00D425D2"/>
    <w:rsid w:val="00D426C3"/>
    <w:rsid w:val="00D43967"/>
    <w:rsid w:val="00D43BC3"/>
    <w:rsid w:val="00D450DC"/>
    <w:rsid w:val="00D45678"/>
    <w:rsid w:val="00D45D31"/>
    <w:rsid w:val="00D45DA7"/>
    <w:rsid w:val="00D4674B"/>
    <w:rsid w:val="00D46B5D"/>
    <w:rsid w:val="00D47347"/>
    <w:rsid w:val="00D47E7E"/>
    <w:rsid w:val="00D5075C"/>
    <w:rsid w:val="00D51CAB"/>
    <w:rsid w:val="00D5239E"/>
    <w:rsid w:val="00D52805"/>
    <w:rsid w:val="00D52BB3"/>
    <w:rsid w:val="00D53815"/>
    <w:rsid w:val="00D53BB3"/>
    <w:rsid w:val="00D53EEB"/>
    <w:rsid w:val="00D53F2D"/>
    <w:rsid w:val="00D548E8"/>
    <w:rsid w:val="00D54EE2"/>
    <w:rsid w:val="00D551CC"/>
    <w:rsid w:val="00D5535C"/>
    <w:rsid w:val="00D554A6"/>
    <w:rsid w:val="00D55543"/>
    <w:rsid w:val="00D556B5"/>
    <w:rsid w:val="00D56070"/>
    <w:rsid w:val="00D5647D"/>
    <w:rsid w:val="00D56715"/>
    <w:rsid w:val="00D56CD9"/>
    <w:rsid w:val="00D57CF4"/>
    <w:rsid w:val="00D57DAC"/>
    <w:rsid w:val="00D57E68"/>
    <w:rsid w:val="00D57EA7"/>
    <w:rsid w:val="00D60274"/>
    <w:rsid w:val="00D60493"/>
    <w:rsid w:val="00D62E82"/>
    <w:rsid w:val="00D63640"/>
    <w:rsid w:val="00D63997"/>
    <w:rsid w:val="00D63E18"/>
    <w:rsid w:val="00D63FBF"/>
    <w:rsid w:val="00D64298"/>
    <w:rsid w:val="00D644B6"/>
    <w:rsid w:val="00D6482D"/>
    <w:rsid w:val="00D660F7"/>
    <w:rsid w:val="00D6649E"/>
    <w:rsid w:val="00D6688F"/>
    <w:rsid w:val="00D66952"/>
    <w:rsid w:val="00D66B52"/>
    <w:rsid w:val="00D66B71"/>
    <w:rsid w:val="00D67C3A"/>
    <w:rsid w:val="00D70014"/>
    <w:rsid w:val="00D70118"/>
    <w:rsid w:val="00D703EA"/>
    <w:rsid w:val="00D7155D"/>
    <w:rsid w:val="00D7174A"/>
    <w:rsid w:val="00D71D66"/>
    <w:rsid w:val="00D71EEE"/>
    <w:rsid w:val="00D72018"/>
    <w:rsid w:val="00D72995"/>
    <w:rsid w:val="00D72B3F"/>
    <w:rsid w:val="00D730D2"/>
    <w:rsid w:val="00D73869"/>
    <w:rsid w:val="00D738C4"/>
    <w:rsid w:val="00D7407B"/>
    <w:rsid w:val="00D741C0"/>
    <w:rsid w:val="00D74558"/>
    <w:rsid w:val="00D74AC3"/>
    <w:rsid w:val="00D74EAE"/>
    <w:rsid w:val="00D75563"/>
    <w:rsid w:val="00D7571C"/>
    <w:rsid w:val="00D7655C"/>
    <w:rsid w:val="00D76688"/>
    <w:rsid w:val="00D7769A"/>
    <w:rsid w:val="00D777AF"/>
    <w:rsid w:val="00D77CA4"/>
    <w:rsid w:val="00D77EE0"/>
    <w:rsid w:val="00D810BC"/>
    <w:rsid w:val="00D81374"/>
    <w:rsid w:val="00D8149F"/>
    <w:rsid w:val="00D81C60"/>
    <w:rsid w:val="00D81F3A"/>
    <w:rsid w:val="00D82327"/>
    <w:rsid w:val="00D826BB"/>
    <w:rsid w:val="00D832B8"/>
    <w:rsid w:val="00D83556"/>
    <w:rsid w:val="00D83626"/>
    <w:rsid w:val="00D83749"/>
    <w:rsid w:val="00D84467"/>
    <w:rsid w:val="00D84649"/>
    <w:rsid w:val="00D850D4"/>
    <w:rsid w:val="00D8523C"/>
    <w:rsid w:val="00D8542B"/>
    <w:rsid w:val="00D85438"/>
    <w:rsid w:val="00D865FF"/>
    <w:rsid w:val="00D86BFB"/>
    <w:rsid w:val="00D872D8"/>
    <w:rsid w:val="00D8738F"/>
    <w:rsid w:val="00D87AC7"/>
    <w:rsid w:val="00D87F8E"/>
    <w:rsid w:val="00D90099"/>
    <w:rsid w:val="00D9036A"/>
    <w:rsid w:val="00D90C5D"/>
    <w:rsid w:val="00D92057"/>
    <w:rsid w:val="00D9261E"/>
    <w:rsid w:val="00D92C10"/>
    <w:rsid w:val="00D92CE7"/>
    <w:rsid w:val="00D92E33"/>
    <w:rsid w:val="00D93245"/>
    <w:rsid w:val="00D938FF"/>
    <w:rsid w:val="00D93C08"/>
    <w:rsid w:val="00D93DCA"/>
    <w:rsid w:val="00D941ED"/>
    <w:rsid w:val="00D9440E"/>
    <w:rsid w:val="00D94427"/>
    <w:rsid w:val="00D94DD4"/>
    <w:rsid w:val="00D95287"/>
    <w:rsid w:val="00D958BA"/>
    <w:rsid w:val="00D959D3"/>
    <w:rsid w:val="00D95CC1"/>
    <w:rsid w:val="00D96098"/>
    <w:rsid w:val="00D962A7"/>
    <w:rsid w:val="00D967C1"/>
    <w:rsid w:val="00D96ECC"/>
    <w:rsid w:val="00D9780F"/>
    <w:rsid w:val="00D97BB6"/>
    <w:rsid w:val="00DA004F"/>
    <w:rsid w:val="00DA069E"/>
    <w:rsid w:val="00DA0787"/>
    <w:rsid w:val="00DA088A"/>
    <w:rsid w:val="00DA12D4"/>
    <w:rsid w:val="00DA1483"/>
    <w:rsid w:val="00DA19C3"/>
    <w:rsid w:val="00DA263C"/>
    <w:rsid w:val="00DA2D7D"/>
    <w:rsid w:val="00DA3263"/>
    <w:rsid w:val="00DA33D7"/>
    <w:rsid w:val="00DA3B80"/>
    <w:rsid w:val="00DA3F2E"/>
    <w:rsid w:val="00DA50D6"/>
    <w:rsid w:val="00DA615B"/>
    <w:rsid w:val="00DA6537"/>
    <w:rsid w:val="00DA68C1"/>
    <w:rsid w:val="00DA69FD"/>
    <w:rsid w:val="00DA6A14"/>
    <w:rsid w:val="00DA7661"/>
    <w:rsid w:val="00DA76EC"/>
    <w:rsid w:val="00DA7D2F"/>
    <w:rsid w:val="00DB0002"/>
    <w:rsid w:val="00DB10BC"/>
    <w:rsid w:val="00DB225C"/>
    <w:rsid w:val="00DB27B9"/>
    <w:rsid w:val="00DB29EB"/>
    <w:rsid w:val="00DB32E0"/>
    <w:rsid w:val="00DB341B"/>
    <w:rsid w:val="00DB3977"/>
    <w:rsid w:val="00DB4261"/>
    <w:rsid w:val="00DB49B1"/>
    <w:rsid w:val="00DB540A"/>
    <w:rsid w:val="00DB54A6"/>
    <w:rsid w:val="00DB59CC"/>
    <w:rsid w:val="00DB5A28"/>
    <w:rsid w:val="00DB5FA7"/>
    <w:rsid w:val="00DB65A3"/>
    <w:rsid w:val="00DC0565"/>
    <w:rsid w:val="00DC0873"/>
    <w:rsid w:val="00DC0D03"/>
    <w:rsid w:val="00DC20F7"/>
    <w:rsid w:val="00DC2895"/>
    <w:rsid w:val="00DC2A9B"/>
    <w:rsid w:val="00DC3189"/>
    <w:rsid w:val="00DC323F"/>
    <w:rsid w:val="00DC4111"/>
    <w:rsid w:val="00DC49B1"/>
    <w:rsid w:val="00DC4A21"/>
    <w:rsid w:val="00DC5665"/>
    <w:rsid w:val="00DC60D0"/>
    <w:rsid w:val="00DC7777"/>
    <w:rsid w:val="00DD0199"/>
    <w:rsid w:val="00DD04B4"/>
    <w:rsid w:val="00DD06A1"/>
    <w:rsid w:val="00DD0E0A"/>
    <w:rsid w:val="00DD1012"/>
    <w:rsid w:val="00DD1F51"/>
    <w:rsid w:val="00DD207D"/>
    <w:rsid w:val="00DD22F6"/>
    <w:rsid w:val="00DD2CE8"/>
    <w:rsid w:val="00DD3F6B"/>
    <w:rsid w:val="00DD401B"/>
    <w:rsid w:val="00DD4535"/>
    <w:rsid w:val="00DD457E"/>
    <w:rsid w:val="00DD4888"/>
    <w:rsid w:val="00DD4960"/>
    <w:rsid w:val="00DD53E2"/>
    <w:rsid w:val="00DD5567"/>
    <w:rsid w:val="00DD5878"/>
    <w:rsid w:val="00DD5C39"/>
    <w:rsid w:val="00DD5E05"/>
    <w:rsid w:val="00DD67A3"/>
    <w:rsid w:val="00DD6FE7"/>
    <w:rsid w:val="00DD7E82"/>
    <w:rsid w:val="00DD7FBD"/>
    <w:rsid w:val="00DE0076"/>
    <w:rsid w:val="00DE04F0"/>
    <w:rsid w:val="00DE06E9"/>
    <w:rsid w:val="00DE087E"/>
    <w:rsid w:val="00DE0AF7"/>
    <w:rsid w:val="00DE18E1"/>
    <w:rsid w:val="00DE1929"/>
    <w:rsid w:val="00DE1955"/>
    <w:rsid w:val="00DE20DD"/>
    <w:rsid w:val="00DE220B"/>
    <w:rsid w:val="00DE294D"/>
    <w:rsid w:val="00DE2BE7"/>
    <w:rsid w:val="00DE2CEC"/>
    <w:rsid w:val="00DE3C03"/>
    <w:rsid w:val="00DE4016"/>
    <w:rsid w:val="00DE4686"/>
    <w:rsid w:val="00DE5588"/>
    <w:rsid w:val="00DE56C1"/>
    <w:rsid w:val="00DE662F"/>
    <w:rsid w:val="00DE6ACB"/>
    <w:rsid w:val="00DE7B17"/>
    <w:rsid w:val="00DE7FF1"/>
    <w:rsid w:val="00DF05DB"/>
    <w:rsid w:val="00DF069F"/>
    <w:rsid w:val="00DF0B03"/>
    <w:rsid w:val="00DF0CD1"/>
    <w:rsid w:val="00DF0D94"/>
    <w:rsid w:val="00DF0E30"/>
    <w:rsid w:val="00DF1A0B"/>
    <w:rsid w:val="00DF1DCA"/>
    <w:rsid w:val="00DF26E1"/>
    <w:rsid w:val="00DF2E69"/>
    <w:rsid w:val="00DF43E5"/>
    <w:rsid w:val="00DF45FB"/>
    <w:rsid w:val="00DF4825"/>
    <w:rsid w:val="00DF4B4E"/>
    <w:rsid w:val="00DF550A"/>
    <w:rsid w:val="00DF55BE"/>
    <w:rsid w:val="00DF573D"/>
    <w:rsid w:val="00DF58A4"/>
    <w:rsid w:val="00DF59E7"/>
    <w:rsid w:val="00DF5E82"/>
    <w:rsid w:val="00DF67A0"/>
    <w:rsid w:val="00DF6DEB"/>
    <w:rsid w:val="00DF7164"/>
    <w:rsid w:val="00DF78AE"/>
    <w:rsid w:val="00E000B9"/>
    <w:rsid w:val="00E006FC"/>
    <w:rsid w:val="00E0094C"/>
    <w:rsid w:val="00E009C4"/>
    <w:rsid w:val="00E00DA5"/>
    <w:rsid w:val="00E00E36"/>
    <w:rsid w:val="00E015C9"/>
    <w:rsid w:val="00E0186B"/>
    <w:rsid w:val="00E01D06"/>
    <w:rsid w:val="00E0249A"/>
    <w:rsid w:val="00E0258D"/>
    <w:rsid w:val="00E028DA"/>
    <w:rsid w:val="00E0315C"/>
    <w:rsid w:val="00E031E3"/>
    <w:rsid w:val="00E03DD0"/>
    <w:rsid w:val="00E03E4E"/>
    <w:rsid w:val="00E05234"/>
    <w:rsid w:val="00E05633"/>
    <w:rsid w:val="00E0575B"/>
    <w:rsid w:val="00E05B87"/>
    <w:rsid w:val="00E06643"/>
    <w:rsid w:val="00E06A7D"/>
    <w:rsid w:val="00E06B81"/>
    <w:rsid w:val="00E06C06"/>
    <w:rsid w:val="00E07A84"/>
    <w:rsid w:val="00E07D26"/>
    <w:rsid w:val="00E106AE"/>
    <w:rsid w:val="00E10E89"/>
    <w:rsid w:val="00E110D0"/>
    <w:rsid w:val="00E11568"/>
    <w:rsid w:val="00E11FC4"/>
    <w:rsid w:val="00E120E8"/>
    <w:rsid w:val="00E126A1"/>
    <w:rsid w:val="00E126E4"/>
    <w:rsid w:val="00E12FBB"/>
    <w:rsid w:val="00E13374"/>
    <w:rsid w:val="00E133A4"/>
    <w:rsid w:val="00E13564"/>
    <w:rsid w:val="00E13E9E"/>
    <w:rsid w:val="00E1401D"/>
    <w:rsid w:val="00E146A7"/>
    <w:rsid w:val="00E14AFF"/>
    <w:rsid w:val="00E157CC"/>
    <w:rsid w:val="00E15C3E"/>
    <w:rsid w:val="00E16153"/>
    <w:rsid w:val="00E163C7"/>
    <w:rsid w:val="00E16547"/>
    <w:rsid w:val="00E17169"/>
    <w:rsid w:val="00E17618"/>
    <w:rsid w:val="00E1761B"/>
    <w:rsid w:val="00E177B4"/>
    <w:rsid w:val="00E20224"/>
    <w:rsid w:val="00E2025B"/>
    <w:rsid w:val="00E208FF"/>
    <w:rsid w:val="00E22364"/>
    <w:rsid w:val="00E2254F"/>
    <w:rsid w:val="00E232C1"/>
    <w:rsid w:val="00E23B11"/>
    <w:rsid w:val="00E23C3C"/>
    <w:rsid w:val="00E252CC"/>
    <w:rsid w:val="00E25479"/>
    <w:rsid w:val="00E264D7"/>
    <w:rsid w:val="00E26713"/>
    <w:rsid w:val="00E2700E"/>
    <w:rsid w:val="00E276D5"/>
    <w:rsid w:val="00E27B94"/>
    <w:rsid w:val="00E27CED"/>
    <w:rsid w:val="00E27D6A"/>
    <w:rsid w:val="00E27FB7"/>
    <w:rsid w:val="00E303DF"/>
    <w:rsid w:val="00E30705"/>
    <w:rsid w:val="00E30B03"/>
    <w:rsid w:val="00E316FC"/>
    <w:rsid w:val="00E31EE5"/>
    <w:rsid w:val="00E31F52"/>
    <w:rsid w:val="00E32750"/>
    <w:rsid w:val="00E32913"/>
    <w:rsid w:val="00E32A81"/>
    <w:rsid w:val="00E33600"/>
    <w:rsid w:val="00E33766"/>
    <w:rsid w:val="00E33A32"/>
    <w:rsid w:val="00E33A88"/>
    <w:rsid w:val="00E344AA"/>
    <w:rsid w:val="00E34677"/>
    <w:rsid w:val="00E34872"/>
    <w:rsid w:val="00E349B2"/>
    <w:rsid w:val="00E349E6"/>
    <w:rsid w:val="00E34A83"/>
    <w:rsid w:val="00E34B6B"/>
    <w:rsid w:val="00E34C62"/>
    <w:rsid w:val="00E3534D"/>
    <w:rsid w:val="00E3557D"/>
    <w:rsid w:val="00E356B8"/>
    <w:rsid w:val="00E35BBD"/>
    <w:rsid w:val="00E35FDD"/>
    <w:rsid w:val="00E360E1"/>
    <w:rsid w:val="00E363E8"/>
    <w:rsid w:val="00E370E6"/>
    <w:rsid w:val="00E378B6"/>
    <w:rsid w:val="00E40122"/>
    <w:rsid w:val="00E405FA"/>
    <w:rsid w:val="00E40A79"/>
    <w:rsid w:val="00E40E62"/>
    <w:rsid w:val="00E40FE9"/>
    <w:rsid w:val="00E41249"/>
    <w:rsid w:val="00E4172C"/>
    <w:rsid w:val="00E4178C"/>
    <w:rsid w:val="00E418B7"/>
    <w:rsid w:val="00E41C73"/>
    <w:rsid w:val="00E421DD"/>
    <w:rsid w:val="00E43474"/>
    <w:rsid w:val="00E435E2"/>
    <w:rsid w:val="00E44059"/>
    <w:rsid w:val="00E4439E"/>
    <w:rsid w:val="00E44416"/>
    <w:rsid w:val="00E4451E"/>
    <w:rsid w:val="00E45315"/>
    <w:rsid w:val="00E45745"/>
    <w:rsid w:val="00E45C11"/>
    <w:rsid w:val="00E46563"/>
    <w:rsid w:val="00E46FD0"/>
    <w:rsid w:val="00E475A1"/>
    <w:rsid w:val="00E47973"/>
    <w:rsid w:val="00E479CB"/>
    <w:rsid w:val="00E47A88"/>
    <w:rsid w:val="00E47D2A"/>
    <w:rsid w:val="00E47D2D"/>
    <w:rsid w:val="00E503FD"/>
    <w:rsid w:val="00E50C50"/>
    <w:rsid w:val="00E50CF7"/>
    <w:rsid w:val="00E50F39"/>
    <w:rsid w:val="00E51030"/>
    <w:rsid w:val="00E51345"/>
    <w:rsid w:val="00E5163C"/>
    <w:rsid w:val="00E52077"/>
    <w:rsid w:val="00E525A4"/>
    <w:rsid w:val="00E52DD8"/>
    <w:rsid w:val="00E5338A"/>
    <w:rsid w:val="00E5339F"/>
    <w:rsid w:val="00E53571"/>
    <w:rsid w:val="00E53923"/>
    <w:rsid w:val="00E53B00"/>
    <w:rsid w:val="00E53C06"/>
    <w:rsid w:val="00E53F91"/>
    <w:rsid w:val="00E5401F"/>
    <w:rsid w:val="00E542D0"/>
    <w:rsid w:val="00E54A54"/>
    <w:rsid w:val="00E54D67"/>
    <w:rsid w:val="00E54D99"/>
    <w:rsid w:val="00E56388"/>
    <w:rsid w:val="00E566B0"/>
    <w:rsid w:val="00E56BA3"/>
    <w:rsid w:val="00E57283"/>
    <w:rsid w:val="00E6052F"/>
    <w:rsid w:val="00E60D53"/>
    <w:rsid w:val="00E60D54"/>
    <w:rsid w:val="00E60D9A"/>
    <w:rsid w:val="00E612B7"/>
    <w:rsid w:val="00E615CE"/>
    <w:rsid w:val="00E615F0"/>
    <w:rsid w:val="00E61635"/>
    <w:rsid w:val="00E6187D"/>
    <w:rsid w:val="00E61F45"/>
    <w:rsid w:val="00E62B20"/>
    <w:rsid w:val="00E62C81"/>
    <w:rsid w:val="00E63055"/>
    <w:rsid w:val="00E63CC4"/>
    <w:rsid w:val="00E643F3"/>
    <w:rsid w:val="00E645C7"/>
    <w:rsid w:val="00E64DD8"/>
    <w:rsid w:val="00E65454"/>
    <w:rsid w:val="00E65573"/>
    <w:rsid w:val="00E65595"/>
    <w:rsid w:val="00E65851"/>
    <w:rsid w:val="00E66498"/>
    <w:rsid w:val="00E66ABD"/>
    <w:rsid w:val="00E66FE2"/>
    <w:rsid w:val="00E671B7"/>
    <w:rsid w:val="00E67C74"/>
    <w:rsid w:val="00E67EDF"/>
    <w:rsid w:val="00E70326"/>
    <w:rsid w:val="00E707E3"/>
    <w:rsid w:val="00E70954"/>
    <w:rsid w:val="00E71323"/>
    <w:rsid w:val="00E7169A"/>
    <w:rsid w:val="00E71F0E"/>
    <w:rsid w:val="00E723BD"/>
    <w:rsid w:val="00E7249C"/>
    <w:rsid w:val="00E72F7B"/>
    <w:rsid w:val="00E73DE4"/>
    <w:rsid w:val="00E73F40"/>
    <w:rsid w:val="00E7409E"/>
    <w:rsid w:val="00E74629"/>
    <w:rsid w:val="00E752EE"/>
    <w:rsid w:val="00E7560E"/>
    <w:rsid w:val="00E75621"/>
    <w:rsid w:val="00E75E22"/>
    <w:rsid w:val="00E7612C"/>
    <w:rsid w:val="00E76BB5"/>
    <w:rsid w:val="00E77C95"/>
    <w:rsid w:val="00E77E8E"/>
    <w:rsid w:val="00E77F36"/>
    <w:rsid w:val="00E805C7"/>
    <w:rsid w:val="00E8083C"/>
    <w:rsid w:val="00E80E5C"/>
    <w:rsid w:val="00E81C26"/>
    <w:rsid w:val="00E83237"/>
    <w:rsid w:val="00E83397"/>
    <w:rsid w:val="00E8379A"/>
    <w:rsid w:val="00E837FB"/>
    <w:rsid w:val="00E8389C"/>
    <w:rsid w:val="00E8419C"/>
    <w:rsid w:val="00E842A8"/>
    <w:rsid w:val="00E8498F"/>
    <w:rsid w:val="00E852FA"/>
    <w:rsid w:val="00E8562F"/>
    <w:rsid w:val="00E86B25"/>
    <w:rsid w:val="00E87D64"/>
    <w:rsid w:val="00E90483"/>
    <w:rsid w:val="00E90995"/>
    <w:rsid w:val="00E90D7A"/>
    <w:rsid w:val="00E90DF0"/>
    <w:rsid w:val="00E910DB"/>
    <w:rsid w:val="00E92CC8"/>
    <w:rsid w:val="00E93C7D"/>
    <w:rsid w:val="00E93D1E"/>
    <w:rsid w:val="00E93E3C"/>
    <w:rsid w:val="00E94B0C"/>
    <w:rsid w:val="00E94DE9"/>
    <w:rsid w:val="00E9533F"/>
    <w:rsid w:val="00E95A8D"/>
    <w:rsid w:val="00E95E52"/>
    <w:rsid w:val="00E96AF2"/>
    <w:rsid w:val="00E97072"/>
    <w:rsid w:val="00E97218"/>
    <w:rsid w:val="00E974AE"/>
    <w:rsid w:val="00E97D06"/>
    <w:rsid w:val="00EA006B"/>
    <w:rsid w:val="00EA0092"/>
    <w:rsid w:val="00EA01C9"/>
    <w:rsid w:val="00EA090A"/>
    <w:rsid w:val="00EA0AAE"/>
    <w:rsid w:val="00EA0C1F"/>
    <w:rsid w:val="00EA10EE"/>
    <w:rsid w:val="00EA1290"/>
    <w:rsid w:val="00EA1583"/>
    <w:rsid w:val="00EA15EE"/>
    <w:rsid w:val="00EA1610"/>
    <w:rsid w:val="00EA18C0"/>
    <w:rsid w:val="00EA197A"/>
    <w:rsid w:val="00EA20A0"/>
    <w:rsid w:val="00EA275E"/>
    <w:rsid w:val="00EA2A52"/>
    <w:rsid w:val="00EA2B76"/>
    <w:rsid w:val="00EA3297"/>
    <w:rsid w:val="00EA3705"/>
    <w:rsid w:val="00EA37DD"/>
    <w:rsid w:val="00EA3845"/>
    <w:rsid w:val="00EA390D"/>
    <w:rsid w:val="00EA3E81"/>
    <w:rsid w:val="00EA4054"/>
    <w:rsid w:val="00EA4365"/>
    <w:rsid w:val="00EA4F2C"/>
    <w:rsid w:val="00EA5463"/>
    <w:rsid w:val="00EA558A"/>
    <w:rsid w:val="00EA5ABA"/>
    <w:rsid w:val="00EA5BEC"/>
    <w:rsid w:val="00EA65E3"/>
    <w:rsid w:val="00EA69F2"/>
    <w:rsid w:val="00EA6B09"/>
    <w:rsid w:val="00EA7252"/>
    <w:rsid w:val="00EA74C6"/>
    <w:rsid w:val="00EB00F1"/>
    <w:rsid w:val="00EB0226"/>
    <w:rsid w:val="00EB023C"/>
    <w:rsid w:val="00EB0EAF"/>
    <w:rsid w:val="00EB1721"/>
    <w:rsid w:val="00EB263E"/>
    <w:rsid w:val="00EB2A35"/>
    <w:rsid w:val="00EB2DAE"/>
    <w:rsid w:val="00EB2F39"/>
    <w:rsid w:val="00EB37EC"/>
    <w:rsid w:val="00EB3A60"/>
    <w:rsid w:val="00EB3A71"/>
    <w:rsid w:val="00EB42DE"/>
    <w:rsid w:val="00EB466E"/>
    <w:rsid w:val="00EB4815"/>
    <w:rsid w:val="00EB4AC8"/>
    <w:rsid w:val="00EB4EA7"/>
    <w:rsid w:val="00EB580B"/>
    <w:rsid w:val="00EB5F7F"/>
    <w:rsid w:val="00EB6B44"/>
    <w:rsid w:val="00EB6EFC"/>
    <w:rsid w:val="00EB70B6"/>
    <w:rsid w:val="00EB7B40"/>
    <w:rsid w:val="00EB7B42"/>
    <w:rsid w:val="00EB7EC3"/>
    <w:rsid w:val="00EB7FC0"/>
    <w:rsid w:val="00EC0381"/>
    <w:rsid w:val="00EC0620"/>
    <w:rsid w:val="00EC07A2"/>
    <w:rsid w:val="00EC0E00"/>
    <w:rsid w:val="00EC1C82"/>
    <w:rsid w:val="00EC2365"/>
    <w:rsid w:val="00EC24BD"/>
    <w:rsid w:val="00EC27B0"/>
    <w:rsid w:val="00EC29B2"/>
    <w:rsid w:val="00EC2B0E"/>
    <w:rsid w:val="00EC2CFD"/>
    <w:rsid w:val="00EC302B"/>
    <w:rsid w:val="00EC350A"/>
    <w:rsid w:val="00EC3A69"/>
    <w:rsid w:val="00EC3B6C"/>
    <w:rsid w:val="00EC40D3"/>
    <w:rsid w:val="00EC463E"/>
    <w:rsid w:val="00EC4901"/>
    <w:rsid w:val="00EC4EBC"/>
    <w:rsid w:val="00EC6070"/>
    <w:rsid w:val="00EC6E3C"/>
    <w:rsid w:val="00EC7529"/>
    <w:rsid w:val="00EC7599"/>
    <w:rsid w:val="00EC790E"/>
    <w:rsid w:val="00EC7A75"/>
    <w:rsid w:val="00ED0258"/>
    <w:rsid w:val="00ED0AF0"/>
    <w:rsid w:val="00ED0C84"/>
    <w:rsid w:val="00ED18CB"/>
    <w:rsid w:val="00ED19D2"/>
    <w:rsid w:val="00ED3256"/>
    <w:rsid w:val="00ED39E4"/>
    <w:rsid w:val="00ED3EC0"/>
    <w:rsid w:val="00ED4143"/>
    <w:rsid w:val="00ED41ED"/>
    <w:rsid w:val="00ED4410"/>
    <w:rsid w:val="00ED49BE"/>
    <w:rsid w:val="00ED513E"/>
    <w:rsid w:val="00ED5228"/>
    <w:rsid w:val="00ED575C"/>
    <w:rsid w:val="00ED5889"/>
    <w:rsid w:val="00ED5D6D"/>
    <w:rsid w:val="00ED607D"/>
    <w:rsid w:val="00ED6C41"/>
    <w:rsid w:val="00ED77F0"/>
    <w:rsid w:val="00EE0016"/>
    <w:rsid w:val="00EE10EA"/>
    <w:rsid w:val="00EE118A"/>
    <w:rsid w:val="00EE16A8"/>
    <w:rsid w:val="00EE1C95"/>
    <w:rsid w:val="00EE3354"/>
    <w:rsid w:val="00EE370E"/>
    <w:rsid w:val="00EE3A0D"/>
    <w:rsid w:val="00EE430B"/>
    <w:rsid w:val="00EE43F0"/>
    <w:rsid w:val="00EE4CD5"/>
    <w:rsid w:val="00EE4DB4"/>
    <w:rsid w:val="00EE572D"/>
    <w:rsid w:val="00EE5A96"/>
    <w:rsid w:val="00EE5C8B"/>
    <w:rsid w:val="00EE7BE5"/>
    <w:rsid w:val="00EE7C0B"/>
    <w:rsid w:val="00EE7CB2"/>
    <w:rsid w:val="00EF04A7"/>
    <w:rsid w:val="00EF0529"/>
    <w:rsid w:val="00EF0555"/>
    <w:rsid w:val="00EF0794"/>
    <w:rsid w:val="00EF2344"/>
    <w:rsid w:val="00EF24D7"/>
    <w:rsid w:val="00EF270C"/>
    <w:rsid w:val="00EF276D"/>
    <w:rsid w:val="00EF3DE5"/>
    <w:rsid w:val="00EF47E1"/>
    <w:rsid w:val="00EF4FEA"/>
    <w:rsid w:val="00EF5835"/>
    <w:rsid w:val="00EF5AD4"/>
    <w:rsid w:val="00EF5FE8"/>
    <w:rsid w:val="00EF6954"/>
    <w:rsid w:val="00EF6E00"/>
    <w:rsid w:val="00EF6F3B"/>
    <w:rsid w:val="00EF79A8"/>
    <w:rsid w:val="00EF7CEA"/>
    <w:rsid w:val="00F000E2"/>
    <w:rsid w:val="00F00721"/>
    <w:rsid w:val="00F016BA"/>
    <w:rsid w:val="00F01C8F"/>
    <w:rsid w:val="00F02202"/>
    <w:rsid w:val="00F0232E"/>
    <w:rsid w:val="00F023AA"/>
    <w:rsid w:val="00F02DC6"/>
    <w:rsid w:val="00F041CC"/>
    <w:rsid w:val="00F04F24"/>
    <w:rsid w:val="00F0513C"/>
    <w:rsid w:val="00F06698"/>
    <w:rsid w:val="00F079A1"/>
    <w:rsid w:val="00F07B69"/>
    <w:rsid w:val="00F07F80"/>
    <w:rsid w:val="00F10116"/>
    <w:rsid w:val="00F1040E"/>
    <w:rsid w:val="00F104EA"/>
    <w:rsid w:val="00F10ABF"/>
    <w:rsid w:val="00F10D54"/>
    <w:rsid w:val="00F10E24"/>
    <w:rsid w:val="00F11145"/>
    <w:rsid w:val="00F1205A"/>
    <w:rsid w:val="00F12390"/>
    <w:rsid w:val="00F13334"/>
    <w:rsid w:val="00F135EE"/>
    <w:rsid w:val="00F135F1"/>
    <w:rsid w:val="00F13D7A"/>
    <w:rsid w:val="00F14026"/>
    <w:rsid w:val="00F149CD"/>
    <w:rsid w:val="00F15498"/>
    <w:rsid w:val="00F15BAF"/>
    <w:rsid w:val="00F15DEE"/>
    <w:rsid w:val="00F1643A"/>
    <w:rsid w:val="00F16545"/>
    <w:rsid w:val="00F168E7"/>
    <w:rsid w:val="00F17421"/>
    <w:rsid w:val="00F17FE5"/>
    <w:rsid w:val="00F2015C"/>
    <w:rsid w:val="00F206C2"/>
    <w:rsid w:val="00F2071E"/>
    <w:rsid w:val="00F20CB3"/>
    <w:rsid w:val="00F211E8"/>
    <w:rsid w:val="00F212CE"/>
    <w:rsid w:val="00F215E4"/>
    <w:rsid w:val="00F21867"/>
    <w:rsid w:val="00F21A32"/>
    <w:rsid w:val="00F21AFB"/>
    <w:rsid w:val="00F22513"/>
    <w:rsid w:val="00F22BF8"/>
    <w:rsid w:val="00F23649"/>
    <w:rsid w:val="00F23AB2"/>
    <w:rsid w:val="00F23BC4"/>
    <w:rsid w:val="00F242B8"/>
    <w:rsid w:val="00F246BC"/>
    <w:rsid w:val="00F2472B"/>
    <w:rsid w:val="00F24784"/>
    <w:rsid w:val="00F2535C"/>
    <w:rsid w:val="00F253DA"/>
    <w:rsid w:val="00F25845"/>
    <w:rsid w:val="00F25BB1"/>
    <w:rsid w:val="00F26336"/>
    <w:rsid w:val="00F30860"/>
    <w:rsid w:val="00F312C2"/>
    <w:rsid w:val="00F31796"/>
    <w:rsid w:val="00F318C4"/>
    <w:rsid w:val="00F324A7"/>
    <w:rsid w:val="00F32511"/>
    <w:rsid w:val="00F32EA5"/>
    <w:rsid w:val="00F33509"/>
    <w:rsid w:val="00F33706"/>
    <w:rsid w:val="00F337FB"/>
    <w:rsid w:val="00F33828"/>
    <w:rsid w:val="00F34665"/>
    <w:rsid w:val="00F35825"/>
    <w:rsid w:val="00F35A24"/>
    <w:rsid w:val="00F35DC6"/>
    <w:rsid w:val="00F35DFB"/>
    <w:rsid w:val="00F35EA4"/>
    <w:rsid w:val="00F3665C"/>
    <w:rsid w:val="00F366A6"/>
    <w:rsid w:val="00F36CC4"/>
    <w:rsid w:val="00F40001"/>
    <w:rsid w:val="00F414E4"/>
    <w:rsid w:val="00F419D3"/>
    <w:rsid w:val="00F4270C"/>
    <w:rsid w:val="00F4345D"/>
    <w:rsid w:val="00F43776"/>
    <w:rsid w:val="00F4377E"/>
    <w:rsid w:val="00F43CA9"/>
    <w:rsid w:val="00F444B7"/>
    <w:rsid w:val="00F44A83"/>
    <w:rsid w:val="00F44B02"/>
    <w:rsid w:val="00F44D7A"/>
    <w:rsid w:val="00F44E24"/>
    <w:rsid w:val="00F46298"/>
    <w:rsid w:val="00F46555"/>
    <w:rsid w:val="00F473BF"/>
    <w:rsid w:val="00F47622"/>
    <w:rsid w:val="00F47709"/>
    <w:rsid w:val="00F478C4"/>
    <w:rsid w:val="00F47C71"/>
    <w:rsid w:val="00F51A2D"/>
    <w:rsid w:val="00F524DA"/>
    <w:rsid w:val="00F537F6"/>
    <w:rsid w:val="00F54B12"/>
    <w:rsid w:val="00F5531E"/>
    <w:rsid w:val="00F55425"/>
    <w:rsid w:val="00F561AE"/>
    <w:rsid w:val="00F56285"/>
    <w:rsid w:val="00F56381"/>
    <w:rsid w:val="00F564A4"/>
    <w:rsid w:val="00F5655A"/>
    <w:rsid w:val="00F567FF"/>
    <w:rsid w:val="00F56980"/>
    <w:rsid w:val="00F56C03"/>
    <w:rsid w:val="00F56E4D"/>
    <w:rsid w:val="00F56FDF"/>
    <w:rsid w:val="00F60569"/>
    <w:rsid w:val="00F60C40"/>
    <w:rsid w:val="00F614B2"/>
    <w:rsid w:val="00F622BF"/>
    <w:rsid w:val="00F62AB9"/>
    <w:rsid w:val="00F63200"/>
    <w:rsid w:val="00F6338E"/>
    <w:rsid w:val="00F63B73"/>
    <w:rsid w:val="00F63E59"/>
    <w:rsid w:val="00F656F0"/>
    <w:rsid w:val="00F657F8"/>
    <w:rsid w:val="00F65CE1"/>
    <w:rsid w:val="00F6672B"/>
    <w:rsid w:val="00F677E9"/>
    <w:rsid w:val="00F67A22"/>
    <w:rsid w:val="00F700E8"/>
    <w:rsid w:val="00F70A70"/>
    <w:rsid w:val="00F71743"/>
    <w:rsid w:val="00F71964"/>
    <w:rsid w:val="00F71A66"/>
    <w:rsid w:val="00F71E0C"/>
    <w:rsid w:val="00F72930"/>
    <w:rsid w:val="00F7294D"/>
    <w:rsid w:val="00F73118"/>
    <w:rsid w:val="00F733F2"/>
    <w:rsid w:val="00F73589"/>
    <w:rsid w:val="00F73C12"/>
    <w:rsid w:val="00F73C64"/>
    <w:rsid w:val="00F73F2A"/>
    <w:rsid w:val="00F74541"/>
    <w:rsid w:val="00F74F23"/>
    <w:rsid w:val="00F750BB"/>
    <w:rsid w:val="00F755C5"/>
    <w:rsid w:val="00F756DE"/>
    <w:rsid w:val="00F75FDA"/>
    <w:rsid w:val="00F76075"/>
    <w:rsid w:val="00F761C8"/>
    <w:rsid w:val="00F7733C"/>
    <w:rsid w:val="00F77428"/>
    <w:rsid w:val="00F8000E"/>
    <w:rsid w:val="00F80A5E"/>
    <w:rsid w:val="00F81BD5"/>
    <w:rsid w:val="00F81F46"/>
    <w:rsid w:val="00F8218E"/>
    <w:rsid w:val="00F8238F"/>
    <w:rsid w:val="00F830F2"/>
    <w:rsid w:val="00F83C0C"/>
    <w:rsid w:val="00F83FD6"/>
    <w:rsid w:val="00F84ECA"/>
    <w:rsid w:val="00F85AD2"/>
    <w:rsid w:val="00F8675D"/>
    <w:rsid w:val="00F86799"/>
    <w:rsid w:val="00F870B8"/>
    <w:rsid w:val="00F875B1"/>
    <w:rsid w:val="00F87F10"/>
    <w:rsid w:val="00F9025C"/>
    <w:rsid w:val="00F90358"/>
    <w:rsid w:val="00F9082E"/>
    <w:rsid w:val="00F90832"/>
    <w:rsid w:val="00F90A9E"/>
    <w:rsid w:val="00F90FAB"/>
    <w:rsid w:val="00F91336"/>
    <w:rsid w:val="00F91355"/>
    <w:rsid w:val="00F914B9"/>
    <w:rsid w:val="00F9170F"/>
    <w:rsid w:val="00F9177F"/>
    <w:rsid w:val="00F9178B"/>
    <w:rsid w:val="00F917D0"/>
    <w:rsid w:val="00F91ADD"/>
    <w:rsid w:val="00F91B83"/>
    <w:rsid w:val="00F91DC2"/>
    <w:rsid w:val="00F91F39"/>
    <w:rsid w:val="00F92296"/>
    <w:rsid w:val="00F92F71"/>
    <w:rsid w:val="00F933FF"/>
    <w:rsid w:val="00F93997"/>
    <w:rsid w:val="00F93C70"/>
    <w:rsid w:val="00F93CFC"/>
    <w:rsid w:val="00F93D1C"/>
    <w:rsid w:val="00F94060"/>
    <w:rsid w:val="00F947A6"/>
    <w:rsid w:val="00F94968"/>
    <w:rsid w:val="00F94DE3"/>
    <w:rsid w:val="00F956A3"/>
    <w:rsid w:val="00F95774"/>
    <w:rsid w:val="00F96388"/>
    <w:rsid w:val="00F96C91"/>
    <w:rsid w:val="00F97528"/>
    <w:rsid w:val="00F9767B"/>
    <w:rsid w:val="00F97B3E"/>
    <w:rsid w:val="00F97E2B"/>
    <w:rsid w:val="00FA0409"/>
    <w:rsid w:val="00FA134F"/>
    <w:rsid w:val="00FA1AC6"/>
    <w:rsid w:val="00FA1E05"/>
    <w:rsid w:val="00FA2BB7"/>
    <w:rsid w:val="00FA3E91"/>
    <w:rsid w:val="00FA4844"/>
    <w:rsid w:val="00FA4B74"/>
    <w:rsid w:val="00FA573B"/>
    <w:rsid w:val="00FA587D"/>
    <w:rsid w:val="00FA5983"/>
    <w:rsid w:val="00FA6019"/>
    <w:rsid w:val="00FA6056"/>
    <w:rsid w:val="00FA6296"/>
    <w:rsid w:val="00FA63D4"/>
    <w:rsid w:val="00FA669E"/>
    <w:rsid w:val="00FA6A5B"/>
    <w:rsid w:val="00FA6F0A"/>
    <w:rsid w:val="00FA74E2"/>
    <w:rsid w:val="00FA79EB"/>
    <w:rsid w:val="00FA7B8E"/>
    <w:rsid w:val="00FB04DA"/>
    <w:rsid w:val="00FB0B07"/>
    <w:rsid w:val="00FB1AA5"/>
    <w:rsid w:val="00FB31B0"/>
    <w:rsid w:val="00FB3783"/>
    <w:rsid w:val="00FB44F4"/>
    <w:rsid w:val="00FB49A1"/>
    <w:rsid w:val="00FB51A8"/>
    <w:rsid w:val="00FB51E9"/>
    <w:rsid w:val="00FB6094"/>
    <w:rsid w:val="00FB690F"/>
    <w:rsid w:val="00FB6C02"/>
    <w:rsid w:val="00FB7889"/>
    <w:rsid w:val="00FC00F0"/>
    <w:rsid w:val="00FC029E"/>
    <w:rsid w:val="00FC096E"/>
    <w:rsid w:val="00FC0B32"/>
    <w:rsid w:val="00FC14E1"/>
    <w:rsid w:val="00FC1995"/>
    <w:rsid w:val="00FC1D36"/>
    <w:rsid w:val="00FC20A0"/>
    <w:rsid w:val="00FC2E97"/>
    <w:rsid w:val="00FC2FB9"/>
    <w:rsid w:val="00FC3356"/>
    <w:rsid w:val="00FC364E"/>
    <w:rsid w:val="00FC3AE6"/>
    <w:rsid w:val="00FC3CDB"/>
    <w:rsid w:val="00FC4901"/>
    <w:rsid w:val="00FC4ABD"/>
    <w:rsid w:val="00FC4D45"/>
    <w:rsid w:val="00FC4E23"/>
    <w:rsid w:val="00FC55B7"/>
    <w:rsid w:val="00FC5621"/>
    <w:rsid w:val="00FC5684"/>
    <w:rsid w:val="00FC599F"/>
    <w:rsid w:val="00FC5AB2"/>
    <w:rsid w:val="00FC64DC"/>
    <w:rsid w:val="00FC68F6"/>
    <w:rsid w:val="00FC6BB7"/>
    <w:rsid w:val="00FC723F"/>
    <w:rsid w:val="00FD03CB"/>
    <w:rsid w:val="00FD0667"/>
    <w:rsid w:val="00FD0D08"/>
    <w:rsid w:val="00FD1B88"/>
    <w:rsid w:val="00FD20D3"/>
    <w:rsid w:val="00FD20D5"/>
    <w:rsid w:val="00FD25CC"/>
    <w:rsid w:val="00FD284E"/>
    <w:rsid w:val="00FD2936"/>
    <w:rsid w:val="00FD2EEC"/>
    <w:rsid w:val="00FD3606"/>
    <w:rsid w:val="00FD3A2B"/>
    <w:rsid w:val="00FD3B6D"/>
    <w:rsid w:val="00FD44C3"/>
    <w:rsid w:val="00FD53D5"/>
    <w:rsid w:val="00FD61CC"/>
    <w:rsid w:val="00FD6554"/>
    <w:rsid w:val="00FD6D0B"/>
    <w:rsid w:val="00FD6D24"/>
    <w:rsid w:val="00FD702A"/>
    <w:rsid w:val="00FD71DF"/>
    <w:rsid w:val="00FD7FBD"/>
    <w:rsid w:val="00FD7FC9"/>
    <w:rsid w:val="00FE081F"/>
    <w:rsid w:val="00FE0CBB"/>
    <w:rsid w:val="00FE17EE"/>
    <w:rsid w:val="00FE1969"/>
    <w:rsid w:val="00FE1B43"/>
    <w:rsid w:val="00FE2461"/>
    <w:rsid w:val="00FE2917"/>
    <w:rsid w:val="00FE2F05"/>
    <w:rsid w:val="00FE2FB0"/>
    <w:rsid w:val="00FE35EB"/>
    <w:rsid w:val="00FE3C87"/>
    <w:rsid w:val="00FE3E00"/>
    <w:rsid w:val="00FE43B7"/>
    <w:rsid w:val="00FE44B2"/>
    <w:rsid w:val="00FE4913"/>
    <w:rsid w:val="00FE603F"/>
    <w:rsid w:val="00FE6699"/>
    <w:rsid w:val="00FE6AB1"/>
    <w:rsid w:val="00FE6BA1"/>
    <w:rsid w:val="00FE761B"/>
    <w:rsid w:val="00FE7739"/>
    <w:rsid w:val="00FE786B"/>
    <w:rsid w:val="00FF0B65"/>
    <w:rsid w:val="00FF1254"/>
    <w:rsid w:val="00FF1709"/>
    <w:rsid w:val="00FF1A2F"/>
    <w:rsid w:val="00FF2461"/>
    <w:rsid w:val="00FF25A9"/>
    <w:rsid w:val="00FF3364"/>
    <w:rsid w:val="00FF3453"/>
    <w:rsid w:val="00FF39E9"/>
    <w:rsid w:val="00FF3EB6"/>
    <w:rsid w:val="00FF44AB"/>
    <w:rsid w:val="00FF5571"/>
    <w:rsid w:val="00FF5FB0"/>
    <w:rsid w:val="00FF69A3"/>
    <w:rsid w:val="00FF7051"/>
    <w:rsid w:val="00FF7055"/>
    <w:rsid w:val="032C8567"/>
    <w:rsid w:val="06EBF9AC"/>
    <w:rsid w:val="1353DADD"/>
    <w:rsid w:val="135C2047"/>
    <w:rsid w:val="15C1A19F"/>
    <w:rsid w:val="1FF6F977"/>
    <w:rsid w:val="21351DAF"/>
    <w:rsid w:val="21C06C81"/>
    <w:rsid w:val="25B7C911"/>
    <w:rsid w:val="29D2A758"/>
    <w:rsid w:val="2F79A1DD"/>
    <w:rsid w:val="2FEC9C1D"/>
    <w:rsid w:val="3182AB6A"/>
    <w:rsid w:val="32E86BCA"/>
    <w:rsid w:val="3C8EE65F"/>
    <w:rsid w:val="3E23AAE8"/>
    <w:rsid w:val="44F87099"/>
    <w:rsid w:val="5053A143"/>
    <w:rsid w:val="543ED311"/>
    <w:rsid w:val="545EFF79"/>
    <w:rsid w:val="5907D159"/>
    <w:rsid w:val="5DB2DE92"/>
    <w:rsid w:val="5F533F60"/>
    <w:rsid w:val="6A98B9F1"/>
    <w:rsid w:val="6BD3FD82"/>
    <w:rsid w:val="6D4A0B83"/>
    <w:rsid w:val="7AA3D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2C8567"/>
  <w15:chartTrackingRefBased/>
  <w15:docId w15:val="{EB8E0C00-E929-4D96-A26B-FBD3421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AB66A8"/>
    <w:pPr>
      <w:spacing w:after="0" w:line="240" w:lineRule="auto"/>
    </w:pPr>
    <w:rPr>
      <w:rFonts w:ascii="Times New Roman" w:eastAsia="Times New Roman" w:hAnsi="Times New Roman" w:cs="Times New Roman"/>
      <w:sz w:val="20"/>
      <w:szCs w:val="20"/>
      <w:lang w:eastAsia="en-GB"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50A"/>
    <w:pPr>
      <w:spacing w:after="240" w:line="240" w:lineRule="auto"/>
      <w:ind w:left="720"/>
      <w:contextualSpacing/>
      <w:jc w:val="both"/>
    </w:pPr>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rsid w:val="00831FEE"/>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31FEE"/>
    <w:rPr>
      <w:rFonts w:ascii="Times New Roman" w:eastAsia="Times New Roman" w:hAnsi="Times New Roman" w:cs="Times New Roman"/>
      <w:sz w:val="20"/>
      <w:szCs w:val="20"/>
      <w:lang w:val="de-DE"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831FEE"/>
    <w:rPr>
      <w:vertAlign w:val="superscript"/>
    </w:rPr>
  </w:style>
  <w:style w:type="paragraph" w:styleId="Header">
    <w:name w:val="header"/>
    <w:basedOn w:val="Normal"/>
    <w:link w:val="HeaderChar"/>
    <w:uiPriority w:val="99"/>
    <w:unhideWhenUsed/>
    <w:rsid w:val="00831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EE"/>
  </w:style>
  <w:style w:type="paragraph" w:styleId="Footer">
    <w:name w:val="footer"/>
    <w:basedOn w:val="Normal"/>
    <w:link w:val="FooterChar"/>
    <w:uiPriority w:val="99"/>
    <w:unhideWhenUsed/>
    <w:rsid w:val="0083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EE"/>
  </w:style>
  <w:style w:type="paragraph" w:customStyle="1" w:styleId="CharCharChar1">
    <w:name w:val="Char Char Char1"/>
    <w:basedOn w:val="Normal"/>
    <w:link w:val="FootnoteReference"/>
    <w:uiPriority w:val="99"/>
    <w:rsid w:val="00305F66"/>
    <w:pPr>
      <w:spacing w:line="240" w:lineRule="exact"/>
      <w:jc w:val="both"/>
    </w:pPr>
    <w:rPr>
      <w:vertAlign w:val="superscript"/>
    </w:rPr>
  </w:style>
  <w:style w:type="character" w:styleId="CommentReference">
    <w:name w:val="annotation reference"/>
    <w:basedOn w:val="DefaultParagraphFont"/>
    <w:uiPriority w:val="99"/>
    <w:semiHidden/>
    <w:unhideWhenUsed/>
    <w:rsid w:val="006C6FCD"/>
    <w:rPr>
      <w:sz w:val="16"/>
      <w:szCs w:val="16"/>
    </w:rPr>
  </w:style>
  <w:style w:type="paragraph" w:styleId="CommentText">
    <w:name w:val="annotation text"/>
    <w:basedOn w:val="Normal"/>
    <w:link w:val="CommentTextChar"/>
    <w:uiPriority w:val="99"/>
    <w:unhideWhenUsed/>
    <w:rsid w:val="006C6FCD"/>
    <w:pPr>
      <w:spacing w:line="240" w:lineRule="auto"/>
    </w:pPr>
    <w:rPr>
      <w:sz w:val="20"/>
      <w:szCs w:val="20"/>
    </w:rPr>
  </w:style>
  <w:style w:type="character" w:customStyle="1" w:styleId="CommentTextChar">
    <w:name w:val="Comment Text Char"/>
    <w:basedOn w:val="DefaultParagraphFont"/>
    <w:link w:val="CommentText"/>
    <w:uiPriority w:val="99"/>
    <w:rsid w:val="006C6FCD"/>
    <w:rPr>
      <w:sz w:val="20"/>
      <w:szCs w:val="20"/>
    </w:rPr>
  </w:style>
  <w:style w:type="paragraph" w:styleId="CommentSubject">
    <w:name w:val="annotation subject"/>
    <w:basedOn w:val="CommentText"/>
    <w:next w:val="CommentText"/>
    <w:link w:val="CommentSubjectChar"/>
    <w:uiPriority w:val="99"/>
    <w:semiHidden/>
    <w:unhideWhenUsed/>
    <w:rsid w:val="006C6FCD"/>
    <w:rPr>
      <w:b/>
      <w:bCs/>
    </w:rPr>
  </w:style>
  <w:style w:type="character" w:customStyle="1" w:styleId="CommentSubjectChar">
    <w:name w:val="Comment Subject Char"/>
    <w:basedOn w:val="CommentTextChar"/>
    <w:link w:val="CommentSubject"/>
    <w:uiPriority w:val="99"/>
    <w:semiHidden/>
    <w:rsid w:val="006C6FCD"/>
    <w:rPr>
      <w:b/>
      <w:bCs/>
      <w:sz w:val="20"/>
      <w:szCs w:val="20"/>
    </w:rPr>
  </w:style>
  <w:style w:type="character" w:customStyle="1" w:styleId="normaltextrun">
    <w:name w:val="normaltextrun"/>
    <w:basedOn w:val="DefaultParagraphFont"/>
    <w:rsid w:val="00DB10BC"/>
  </w:style>
  <w:style w:type="paragraph" w:customStyle="1" w:styleId="paragraph">
    <w:name w:val="paragraph"/>
    <w:basedOn w:val="Normal"/>
    <w:rsid w:val="00DB10BC"/>
    <w:pPr>
      <w:spacing w:before="100" w:beforeAutospacing="1" w:after="100" w:afterAutospacing="1" w:line="240" w:lineRule="auto"/>
    </w:pPr>
    <w:rPr>
      <w:rFonts w:ascii="Times New Roman" w:eastAsia="Times New Roman" w:hAnsi="Times New Roman" w:cs="Times New Roman"/>
      <w:lang w:eastAsia="fr-BE"/>
    </w:rPr>
  </w:style>
  <w:style w:type="character" w:customStyle="1" w:styleId="Marker">
    <w:name w:val="Marker"/>
    <w:basedOn w:val="DefaultParagraphFont"/>
    <w:rsid w:val="00053B16"/>
    <w:rPr>
      <w:color w:val="0000FF"/>
      <w:shd w:val="clear" w:color="auto" w:fill="auto"/>
    </w:rPr>
  </w:style>
  <w:style w:type="paragraph" w:customStyle="1" w:styleId="Pagedecouverture">
    <w:name w:val="Page de couverture"/>
    <w:basedOn w:val="Normal"/>
    <w:next w:val="Normal"/>
    <w:rsid w:val="00053B16"/>
    <w:pPr>
      <w:spacing w:after="0" w:line="240" w:lineRule="auto"/>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053B16"/>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053B16"/>
    <w:rPr>
      <w:rFonts w:ascii="Times New Roman" w:hAnsi="Times New Roman" w:cs="Times New Roman"/>
    </w:rPr>
  </w:style>
  <w:style w:type="paragraph" w:customStyle="1" w:styleId="FooterSensitivity">
    <w:name w:val="Footer Sensitivity"/>
    <w:basedOn w:val="Normal"/>
    <w:link w:val="FooterSensitivityChar"/>
    <w:rsid w:val="00053B1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53B16"/>
    <w:rPr>
      <w:rFonts w:ascii="Times New Roman" w:hAnsi="Times New Roman" w:cs="Times New Roman"/>
      <w:b/>
      <w:sz w:val="32"/>
    </w:rPr>
  </w:style>
  <w:style w:type="paragraph" w:customStyle="1" w:styleId="HeaderCoverPage">
    <w:name w:val="Header Cover Page"/>
    <w:basedOn w:val="Normal"/>
    <w:link w:val="HeaderCoverPageChar"/>
    <w:rsid w:val="00053B16"/>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053B16"/>
    <w:rPr>
      <w:rFonts w:ascii="Times New Roman" w:hAnsi="Times New Roman" w:cs="Times New Roman"/>
    </w:rPr>
  </w:style>
  <w:style w:type="paragraph" w:customStyle="1" w:styleId="HeaderSensitivity">
    <w:name w:val="Header Sensitivity"/>
    <w:basedOn w:val="Normal"/>
    <w:link w:val="HeaderSensitivityChar"/>
    <w:rsid w:val="00053B1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53B16"/>
    <w:rPr>
      <w:rFonts w:ascii="Times New Roman" w:hAnsi="Times New Roman" w:cs="Times New Roman"/>
      <w:b/>
      <w:sz w:val="32"/>
    </w:rPr>
  </w:style>
  <w:style w:type="paragraph" w:customStyle="1" w:styleId="HeaderSensitivityRight">
    <w:name w:val="Header Sensitivity Right"/>
    <w:basedOn w:val="Normal"/>
    <w:link w:val="HeaderSensitivityRightChar"/>
    <w:rsid w:val="00053B1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53B16"/>
    <w:rPr>
      <w:rFonts w:ascii="Times New Roman" w:hAnsi="Times New Roman" w:cs="Times New Roman"/>
      <w:sz w:val="28"/>
    </w:rPr>
  </w:style>
  <w:style w:type="paragraph" w:styleId="Revision">
    <w:name w:val="Revision"/>
    <w:hidden/>
    <w:uiPriority w:val="99"/>
    <w:semiHidden/>
    <w:rsid w:val="00EB6B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7" ma:contentTypeDescription="Create a new document." ma:contentTypeScope="" ma:versionID="5ec48f089d6a0ce6ae4fc284b134a222">
  <xsd:schema xmlns:xsd="http://www.w3.org/2001/XMLSchema" xmlns:xs="http://www.w3.org/2001/XMLSchema" xmlns:p="http://schemas.microsoft.com/office/2006/metadata/properties" xmlns:ns2="1bece07b-d03c-423c-b8a0-beed4db0bbc2" xmlns:ns3="e1debc6b-b43f-4dc7-a7b0-dc87a290d3c1" targetNamespace="http://schemas.microsoft.com/office/2006/metadata/properties" ma:root="true" ma:fieldsID="887e2c0cc0b57d825404764e370f6530" ns2:_="" ns3:_="">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fd3a2f-a1bc-42a2-bb17-2111beeefa7c}"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3B23-CDB4-4033-A119-56D3365FB811}">
  <ds:schemaRefs>
    <ds:schemaRef ds:uri="http://schemas.microsoft.com/office/2006/metadata/properties"/>
    <ds:schemaRef ds:uri="http://schemas.microsoft.com/office/infopath/2007/PartnerControls"/>
    <ds:schemaRef ds:uri="e1debc6b-b43f-4dc7-a7b0-dc87a290d3c1"/>
    <ds:schemaRef ds:uri="1bece07b-d03c-423c-b8a0-beed4db0bbc2"/>
  </ds:schemaRefs>
</ds:datastoreItem>
</file>

<file path=customXml/itemProps2.xml><?xml version="1.0" encoding="utf-8"?>
<ds:datastoreItem xmlns:ds="http://schemas.openxmlformats.org/officeDocument/2006/customXml" ds:itemID="{13D0B437-75B7-477D-B498-AED4C213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99017-07C3-4CCE-BC48-5A156F7D80AF}">
  <ds:schemaRefs>
    <ds:schemaRef ds:uri="http://schemas.microsoft.com/sharepoint/v3/contenttype/forms"/>
  </ds:schemaRefs>
</ds:datastoreItem>
</file>

<file path=customXml/itemProps4.xml><?xml version="1.0" encoding="utf-8"?>
<ds:datastoreItem xmlns:ds="http://schemas.openxmlformats.org/officeDocument/2006/customXml" ds:itemID="{CEABB875-FD33-453B-B32B-703E7E39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10063</Words>
  <Characters>57361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 Zarina (SG)</dc:creator>
  <cp:keywords/>
  <dc:description/>
  <cp:lastModifiedBy>EC CoDe</cp:lastModifiedBy>
  <cp:revision>14</cp:revision>
  <dcterms:created xsi:type="dcterms:W3CDTF">2025-02-11T16:20:00Z</dcterms:created>
  <dcterms:modified xsi:type="dcterms:W3CDTF">2025-02-25T23:16:00Z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2025-01-31T10:34:32Z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993190f7-0163-4d63-96d0-fc9a3380ba40</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y fmtid="{D5CDD505-2E9C-101B-9397-08002B2CF9AE}" pid="11" name="MediaServiceImageTags">
    <vt:lpwstr/>
  </property>
  <property fmtid="{D5CDD505-2E9C-101B-9397-08002B2CF9AE}" pid="12" name="Level of sensitivity">
    <vt:lpwstr>Standard treatment</vt:lpwstr>
  </property>
  <property fmtid="{D5CDD505-2E9C-101B-9397-08002B2CF9AE}" pid="13" name="First annex">
    <vt:lpwstr>1</vt:lpwstr>
  </property>
  <property fmtid="{D5CDD505-2E9C-101B-9397-08002B2CF9AE}" pid="14" name="Last annex">
    <vt:lpwstr>5</vt:lpwstr>
  </property>
  <property fmtid="{D5CDD505-2E9C-101B-9397-08002B2CF9AE}" pid="15" name="Unique annex">
    <vt:lpwstr>0</vt:lpwstr>
  </property>
  <property fmtid="{D5CDD505-2E9C-101B-9397-08002B2CF9AE}" pid="16" name="Part">
    <vt:lpwstr>&lt;UNUSED&gt;</vt:lpwstr>
  </property>
  <property fmtid="{D5CDD505-2E9C-101B-9397-08002B2CF9AE}" pid="17" name="Total parts">
    <vt:lpwstr>&lt;UNUSED&gt;</vt:lpwstr>
  </property>
  <property fmtid="{D5CDD505-2E9C-101B-9397-08002B2CF9AE}" pid="18" name="DocStatus">
    <vt:lpwstr>Green</vt:lpwstr>
  </property>
  <property fmtid="{D5CDD505-2E9C-101B-9397-08002B2CF9AE}" pid="19" name="CPTemplateID">
    <vt:lpwstr>CP-039</vt:lpwstr>
  </property>
  <property fmtid="{D5CDD505-2E9C-101B-9397-08002B2CF9AE}" pid="20" name="Last edited using">
    <vt:lpwstr>LW 9.1, Build 20240808</vt:lpwstr>
  </property>
  <property fmtid="{D5CDD505-2E9C-101B-9397-08002B2CF9AE}" pid="21" name="Created using">
    <vt:lpwstr>LW 9.1, Build 20240808</vt:lpwstr>
  </property>
</Properties>
</file>