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BA4D" w14:textId="1555189C" w:rsidR="002F3598" w:rsidRPr="00676C4C" w:rsidRDefault="001D63A3" w:rsidP="001D63A3">
      <w:pPr>
        <w:pStyle w:val="Pagedecouverture"/>
        <w:rPr>
          <w:noProof/>
        </w:rPr>
      </w:pPr>
      <w:bookmarkStart w:id="0" w:name="LW_BM_COVERPAGE"/>
      <w:r>
        <w:rPr>
          <w:noProof/>
        </w:rPr>
        <w:pict w14:anchorId="78895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6B8DF12-9689-483B-A68E-86C2E4CAE749" style="width:455.25pt;height:336.75pt">
            <v:imagedata r:id="rId11" o:title=""/>
          </v:shape>
        </w:pict>
      </w:r>
    </w:p>
    <w:bookmarkEnd w:id="0"/>
    <w:p w14:paraId="72C8E0E7" w14:textId="77777777" w:rsidR="002F3598" w:rsidRPr="00676C4C" w:rsidRDefault="002F3598" w:rsidP="00DC62E6">
      <w:pPr>
        <w:rPr>
          <w:noProof/>
          <w:lang w:val="en-IE"/>
        </w:rPr>
        <w:sectPr w:rsidR="002F3598" w:rsidRPr="00676C4C" w:rsidSect="001D63A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F690252" w14:textId="41CF0EAF" w:rsidR="00EF09DD" w:rsidRPr="00676C4C" w:rsidRDefault="23082988" w:rsidP="00DC62E6">
      <w:pPr>
        <w:jc w:val="center"/>
        <w:rPr>
          <w:b/>
          <w:bCs/>
          <w:noProof/>
        </w:rPr>
      </w:pPr>
      <w:bookmarkStart w:id="1" w:name="_GoBack"/>
      <w:bookmarkEnd w:id="1"/>
      <w:r>
        <w:rPr>
          <w:b/>
          <w:noProof/>
        </w:rPr>
        <w:lastRenderedPageBreak/>
        <w:t>GODIŠNJE IZVJEŠĆE ZA 2023.</w:t>
      </w:r>
      <w:r>
        <w:rPr>
          <w:noProof/>
        </w:rPr>
        <w:t xml:space="preserve">                                       </w:t>
      </w:r>
      <w:r w:rsidR="00871768">
        <w:rPr>
          <w:noProof/>
        </w:rPr>
        <w:t xml:space="preserve">                                                         </w:t>
      </w:r>
      <w:r>
        <w:rPr>
          <w:b/>
          <w:noProof/>
        </w:rPr>
        <w:t>O PRIMJENI NAČELA SUPSIDIJARNOSTI I PROPORCIONALNOSTI TE O ODNOSIMA S NACIONALNIM PARLAMENTIMA</w:t>
      </w:r>
    </w:p>
    <w:p w14:paraId="1A8AB5C5" w14:textId="37DB4F3E" w:rsidR="00C65132" w:rsidRPr="00676C4C" w:rsidRDefault="0074612C" w:rsidP="0074612C">
      <w:pPr>
        <w:pStyle w:val="1Titre1"/>
        <w:rPr>
          <w:noProof/>
        </w:rPr>
      </w:pPr>
      <w:r>
        <w:rPr>
          <w:noProof/>
        </w:rPr>
        <w:t>Uvod</w:t>
      </w:r>
    </w:p>
    <w:p w14:paraId="566BFFF6" w14:textId="1EBD52BC" w:rsidR="00827E68" w:rsidRPr="00676C4C" w:rsidRDefault="2EDDF783" w:rsidP="00DC62E6">
      <w:pPr>
        <w:rPr>
          <w:noProof/>
        </w:rPr>
      </w:pPr>
      <w:r>
        <w:rPr>
          <w:noProof/>
        </w:rPr>
        <w:t>Ovo je 31. izvješće o primjeni načela supsidijarnosti i proporcionalnosti, podneseno u skladu s člankom 9. Protokola o primjeni načela supsidijarnosti i proporcionalnosti („Protokol br. 2”) uz Ugovor o Europskoj uniji i Ugovor o funkcioniranju Europske unije. Od 2018. izvješće o primjeni načela supsidijarnosti i proporcionalnosti obuhvaća i odnose Komisije s nacionalnim parlamentima, koji imaju važnu ulogu u primjeni tih načela.</w:t>
      </w:r>
    </w:p>
    <w:p w14:paraId="489D38CE" w14:textId="508A6775" w:rsidR="78EF72EC" w:rsidRPr="00EA4181" w:rsidRDefault="0EC4ADBC" w:rsidP="714972F1">
      <w:pPr>
        <w:rPr>
          <w:noProof/>
        </w:rPr>
      </w:pPr>
      <w:r>
        <w:rPr>
          <w:noProof/>
        </w:rPr>
        <w:t>U 2023. došlo je do povećanja sudjelovanja nacionalnih parlamenata u političkom dijalogu s Komisijom, s ukupno 402 mišljenja (povećanje za više od 10 % u odnosu na 2022.). Uvedeno je i nekoliko važnih novosti u načinu na koji su nacionalni parlamenti izražavali čitav niz svojih stajališta na razini EU-a. To je pokazalo koliku fleksibilnost omogućuje politički dijalog s Komisijom. Neki domovi proveli su i unutarnje reforme kako bi poboljšali svoju sposobnost da izraze stajališta na razini EU-a.</w:t>
      </w:r>
    </w:p>
    <w:p w14:paraId="338DF175" w14:textId="108438CA" w:rsidR="00A55585" w:rsidRPr="00676C4C" w:rsidRDefault="002636B4" w:rsidP="0040161B">
      <w:pPr>
        <w:rPr>
          <w:noProof/>
        </w:rPr>
      </w:pPr>
      <w:r>
        <w:rPr>
          <w:noProof/>
        </w:rPr>
        <w:t xml:space="preserve">Godina 2023. bila je posljednja puna godina mandata Komisije i godina u kojoj se Komisija usredotočila na provedbu svojih obveza iz političkih smjernica iz 2019. uoči europskih izbora 2024. Stoga su nacionalni parlamenti i dalje tematski bili usmjereni na glavne prioritete Komisije, pri čemu su posebnu pozornost posvetili europskom zelenom planu, novom poticaju europskoj demokraciji i promicanju europskog načina života. </w:t>
      </w:r>
    </w:p>
    <w:p w14:paraId="6291958F" w14:textId="3F259A91" w:rsidR="00254781" w:rsidRPr="00676C4C" w:rsidRDefault="70A623CE" w:rsidP="00254781">
      <w:pPr>
        <w:rPr>
          <w:noProof/>
        </w:rPr>
      </w:pPr>
      <w:r>
        <w:rPr>
          <w:noProof/>
        </w:rPr>
        <w:t>Zahtjevan geopolitički i gospodarski kontekst, posebno dugotrajni agresivni rat Rusije protiv Ukrajine i aktualna kriza na Bliskom istoku te njihove posljedice, također su bili važna tema razmjena mišljenja, među ostalim na međuparlamentarnim sastancima, kao što je COSAC</w:t>
      </w:r>
      <w:r>
        <w:rPr>
          <w:noProof/>
          <w:vertAlign w:val="superscript"/>
          <w:lang w:val="en-IE"/>
        </w:rPr>
        <w:footnoteReference w:id="2"/>
      </w:r>
      <w:r>
        <w:rPr>
          <w:noProof/>
        </w:rPr>
        <w:t>. Osim što je u okviru agende za bolju regulativu posvetila punu pozornost načinu na koji se u njezinim prijedlozima uzimaju u obzir načela supsidijarnosti i proporcionalnosti, Komisija se 2023. više usredotočila na pojednostavnjenje pravila i smanjenje birokracije za građane i poduzeća.</w:t>
      </w:r>
    </w:p>
    <w:p w14:paraId="3708FE30" w14:textId="441E8999" w:rsidR="00D73B43" w:rsidRPr="00676C4C" w:rsidRDefault="0074612C" w:rsidP="00DC62E6">
      <w:pPr>
        <w:pStyle w:val="1Titre1"/>
        <w:rPr>
          <w:noProof/>
        </w:rPr>
      </w:pPr>
      <w:r>
        <w:rPr>
          <w:noProof/>
        </w:rPr>
        <w:t>Kako institucije primjenjuju načela supsidijarnosti i proporcionalnosti</w:t>
      </w:r>
    </w:p>
    <w:p w14:paraId="6F0C5492" w14:textId="12D3212E" w:rsidR="00D52A64" w:rsidRPr="00676C4C" w:rsidRDefault="00AC3B53" w:rsidP="00AC3B53">
      <w:pPr>
        <w:pStyle w:val="2Titre2"/>
        <w:numPr>
          <w:ilvl w:val="0"/>
          <w:numId w:val="0"/>
        </w:numPr>
        <w:rPr>
          <w:noProof/>
        </w:rPr>
      </w:pPr>
      <w:r>
        <w:rPr>
          <w:smallCaps w:val="0"/>
          <w:noProof/>
        </w:rPr>
        <w:t>2.</w:t>
      </w:r>
      <w:r>
        <w:rPr>
          <w:noProof/>
        </w:rPr>
        <w:t>1. Komisija</w:t>
      </w:r>
    </w:p>
    <w:p w14:paraId="1FC5DBF2" w14:textId="6613413B" w:rsidR="003B25E8" w:rsidRPr="00676C4C" w:rsidRDefault="33B8D777" w:rsidP="003B25E8">
      <w:pPr>
        <w:rPr>
          <w:b/>
          <w:bCs/>
          <w:noProof/>
        </w:rPr>
      </w:pPr>
      <w:r>
        <w:rPr>
          <w:b/>
          <w:noProof/>
        </w:rPr>
        <w:t xml:space="preserve">Provedba obveza za bolju regulativu i usavršavanje alata </w:t>
      </w:r>
    </w:p>
    <w:p w14:paraId="31D07319" w14:textId="356C2223" w:rsidR="00BC7AF7" w:rsidRPr="000F77E2" w:rsidRDefault="315C37BA" w:rsidP="43EF3AFF">
      <w:pPr>
        <w:rPr>
          <w:rFonts w:eastAsia="Times New Roman"/>
          <w:noProof/>
        </w:rPr>
      </w:pPr>
      <w:r>
        <w:rPr>
          <w:noProof/>
        </w:rPr>
        <w:t>Komisijin sveobuhvatni sustav bolje regulative, koji Organizacija za gospodarsku suradnju i razvoj rangira na najvišoj razini</w:t>
      </w:r>
      <w:r>
        <w:rPr>
          <w:rStyle w:val="FootnoteReference"/>
          <w:noProof/>
          <w:lang w:val="en-IE"/>
        </w:rPr>
        <w:footnoteReference w:id="3"/>
      </w:r>
      <w:r>
        <w:rPr>
          <w:noProof/>
        </w:rPr>
        <w:t>, temelji se na smjernicama i alatima donesenima 2021.</w:t>
      </w:r>
      <w:r>
        <w:rPr>
          <w:rStyle w:val="FootnoteReference"/>
          <w:noProof/>
          <w:lang w:val="en-IE"/>
        </w:rPr>
        <w:footnoteReference w:id="4"/>
      </w:r>
      <w:r>
        <w:rPr>
          <w:noProof/>
        </w:rPr>
        <w:t xml:space="preserve"> nakon Komunikacije o boljoj regulativi iz 2021.</w:t>
      </w:r>
      <w:r>
        <w:rPr>
          <w:rStyle w:val="FootnoteReference"/>
          <w:noProof/>
          <w:lang w:val="en-IE"/>
        </w:rPr>
        <w:footnoteReference w:id="5"/>
      </w:r>
      <w:r>
        <w:rPr>
          <w:noProof/>
        </w:rPr>
        <w:t xml:space="preserve"> Komisija otad svim politički osjetljivim i važnim prijedlozima praćenima procjenom učinka prilaže tablicu za procjenu supsidijarnosti. Komisija je u srpnju 2023. dodatno ažurirala nekoliko elemenata svojih alata</w:t>
      </w:r>
      <w:r>
        <w:rPr>
          <w:rStyle w:val="FootnoteReference"/>
          <w:noProof/>
          <w:lang w:val="en-IE"/>
        </w:rPr>
        <w:footnoteReference w:id="6"/>
      </w:r>
      <w:r>
        <w:rPr>
          <w:noProof/>
        </w:rPr>
        <w:t>. To je uključivalo uvođenje nove provjere konkurentnosti kao obveznog priloga procjenama učinka, kako je najavljeno u komunikacijama Komisije o dugoročnoj konkurentnosti EU-a i o olakšicama za mala i srednja poduzeća (paket olakšica za MSP-ove)</w:t>
      </w:r>
      <w:r>
        <w:rPr>
          <w:rStyle w:val="FootnoteReference"/>
          <w:noProof/>
          <w:lang w:val="en-IE"/>
        </w:rPr>
        <w:footnoteReference w:id="7"/>
      </w:r>
      <w:r>
        <w:rPr>
          <w:noProof/>
        </w:rPr>
        <w:t>. Kao i 2022., Komisija je postigla pozitivan ishod provedbe svojeg pristupa „jedan za jedan”, kojim se ograničavaju troškovi novih prijedloga, te je poduzela mjere za smanjenje opterećenja koje proizlazi iz zahtjeva u pogledu izvješćivanja za 25 %</w:t>
      </w:r>
      <w:r>
        <w:rPr>
          <w:rStyle w:val="FootnoteReference"/>
          <w:noProof/>
          <w:lang w:val="en-IE"/>
        </w:rPr>
        <w:footnoteReference w:id="8"/>
      </w:r>
      <w:r>
        <w:rPr>
          <w:noProof/>
        </w:rPr>
        <w:t xml:space="preserve"> bez ugrožavanja odgovarajućih ciljeva politike.</w:t>
      </w:r>
    </w:p>
    <w:p w14:paraId="0493A2DE" w14:textId="495D98E3" w:rsidR="003B25E8" w:rsidRPr="00676C4C" w:rsidRDefault="605D31D9" w:rsidP="003B25E8">
      <w:pPr>
        <w:rPr>
          <w:noProof/>
        </w:rPr>
      </w:pPr>
      <w:r>
        <w:rPr>
          <w:noProof/>
        </w:rPr>
        <w:t>Komisija je nastavila sustavno primjenjivati načela supsidijarnosti i proporcionalnosti na svoje zakonodavne prijedloge te je stavila veći naglasak na procjene teritorijalnog učinka, koje je ojačala 2022., i na procjenu učinka na ruralna područja</w:t>
      </w:r>
      <w:r>
        <w:rPr>
          <w:rStyle w:val="FootnoteReference"/>
          <w:noProof/>
          <w:lang w:val="en-IE"/>
        </w:rPr>
        <w:footnoteReference w:id="9"/>
      </w:r>
      <w:r>
        <w:rPr>
          <w:noProof/>
        </w:rPr>
        <w:t>, uvedenu 2022. U skladu s tim sve procjene učinka izdane 2023. uključivale su sveobuhvatan postupak pregleda kako bi se utvrdili znatni asimetrični učinci zakonodavnih prijedloga Komisije na određena područja EU-a (npr. prekogranična, ruralna, otočna, planinska, najudaljenija i rijetko naseljena područja). Tom metodologijom pregleda utvrđuje se, u postupku u tri koraka</w:t>
      </w:r>
      <w:r>
        <w:rPr>
          <w:rStyle w:val="FootnoteReference"/>
          <w:noProof/>
          <w:lang w:val="en-IE"/>
        </w:rPr>
        <w:footnoteReference w:id="10"/>
      </w:r>
      <w:r>
        <w:rPr>
          <w:noProof/>
        </w:rPr>
        <w:t>, postoje li neproporcionalni teritorijalni učinci za koje bi možda trebalo provesti procjenu teritorijalnog učinka.</w:t>
      </w:r>
    </w:p>
    <w:p w14:paraId="2EDBCADC" w14:textId="48B66CF4" w:rsidR="003B25E8" w:rsidRPr="00676C4C" w:rsidRDefault="0091467E" w:rsidP="003B25E8">
      <w:pPr>
        <w:rPr>
          <w:b/>
          <w:bCs/>
          <w:noProof/>
        </w:rPr>
      </w:pPr>
      <w:r>
        <w:rPr>
          <w:b/>
          <w:noProof/>
        </w:rPr>
        <w:t>Doprinos pojednostavnjenju i smanjenju opterećenja putem platforme „Fit for Future”</w:t>
      </w:r>
    </w:p>
    <w:p w14:paraId="0C260DC0" w14:textId="137E974E" w:rsidR="00D71ED9" w:rsidRPr="00676C4C" w:rsidRDefault="315C37BA" w:rsidP="003915CD">
      <w:pPr>
        <w:rPr>
          <w:noProof/>
        </w:rPr>
      </w:pPr>
      <w:bookmarkStart w:id="2" w:name="_Hlk166619493"/>
      <w:r>
        <w:rPr>
          <w:noProof/>
        </w:rPr>
        <w:t>Platforma „Fit for Future”</w:t>
      </w:r>
      <w:r>
        <w:rPr>
          <w:rStyle w:val="FootnoteReference"/>
          <w:noProof/>
          <w:lang w:val="en-IE"/>
        </w:rPr>
        <w:footnoteReference w:id="11"/>
      </w:r>
      <w:r>
        <w:rPr>
          <w:noProof/>
        </w:rPr>
        <w:t>, stručna skupina na visokoj razini koja pomaže Komisiji da pojednostavni propise EU-a i smanji nepotrebna regulatorna opterećenja, donijela je 2023. osam mišljenja</w:t>
      </w:r>
      <w:r>
        <w:rPr>
          <w:rStyle w:val="FootnoteReference"/>
          <w:noProof/>
          <w:lang w:val="en-IE"/>
        </w:rPr>
        <w:footnoteReference w:id="12"/>
      </w:r>
      <w:r>
        <w:rPr>
          <w:noProof/>
        </w:rPr>
        <w:t>. Njima je obuhvaćen širok raspon tema: javna nabava, profesionalna mobilnost, program Digitalna Europa, funkcioniranje Uredbe o europskoj normizaciji, Opća uredba o zaštiti podataka i tri međusektorske teme koje su bile usmjerene na regulatorni okvir otporan na buduće promjene, primjenu „testa za MSP-ove” (kojim se procjenjuju učinci prijedloga na mala i srednja poduzeća) i subjekte socijalne ekonomije. U mnogim mišljenjima iznesene su ideje za pojednostavnjenje i smanjenje opterećenja koje bi moglo dovesti do poboljšanja na lokalnoj i regionalnoj razini i olakšati usklađivanje s određenim pravilima</w:t>
      </w:r>
      <w:r>
        <w:rPr>
          <w:rStyle w:val="FootnoteReference"/>
          <w:noProof/>
          <w:lang w:val="en-IE"/>
        </w:rPr>
        <w:footnoteReference w:id="13"/>
      </w:r>
      <w:r>
        <w:rPr>
          <w:noProof/>
        </w:rPr>
        <w:t>.</w:t>
      </w:r>
      <w:bookmarkEnd w:id="2"/>
      <w:r>
        <w:rPr>
          <w:noProof/>
        </w:rPr>
        <w:t xml:space="preserve"> </w:t>
      </w:r>
    </w:p>
    <w:p w14:paraId="6D16F28E" w14:textId="1136A429" w:rsidR="003B25E8" w:rsidRPr="00676C4C" w:rsidRDefault="696BC73F" w:rsidP="00D71ED9">
      <w:pPr>
        <w:rPr>
          <w:noProof/>
        </w:rPr>
      </w:pPr>
      <w:r>
        <w:rPr>
          <w:noProof/>
        </w:rPr>
        <w:t>Mreža RegHub Europskog odbora regija</w:t>
      </w:r>
      <w:r>
        <w:rPr>
          <w:rStyle w:val="FootnoteReference"/>
          <w:noProof/>
          <w:lang w:val="en-IE"/>
        </w:rPr>
        <w:footnoteReference w:id="14"/>
      </w:r>
      <w:r>
        <w:rPr>
          <w:noProof/>
        </w:rPr>
        <w:t xml:space="preserve"> doprinijela je radu platforme „Fit for Future” na nekoliko njezinih mišljenja. Na primjer, provela je savjetovanja o programu Digitalna Europa i javnoj nabavi. Prikupljene povratne informacije i iskustvo poboljšali su razumijevanje problema s kojima se lokalne i regionalne zajednice suočavaju pri provedbi politika i propisa EU-a na terenu. Mreža RegHub pružila je doprinos i za izradu godišnjeg programa rada platforme za 2024. predlaganjem tema od posebnog interesa za lokalna i regionalna tijela, kao što su Europski socijalni fond+ i Europski fond za regionalni razvoj.</w:t>
      </w:r>
    </w:p>
    <w:p w14:paraId="24642008" w14:textId="77777777" w:rsidR="003B25E8" w:rsidRPr="00676C4C" w:rsidRDefault="003B25E8" w:rsidP="003B25E8">
      <w:pPr>
        <w:rPr>
          <w:b/>
          <w:bCs/>
          <w:noProof/>
        </w:rPr>
      </w:pPr>
      <w:r>
        <w:rPr>
          <w:b/>
          <w:noProof/>
        </w:rPr>
        <w:t>Procjene učinka</w:t>
      </w:r>
    </w:p>
    <w:p w14:paraId="26A4719C" w14:textId="77777777" w:rsidR="00EC63CF" w:rsidRDefault="315C37BA" w:rsidP="003B25E8">
      <w:pPr>
        <w:rPr>
          <w:noProof/>
        </w:rPr>
      </w:pPr>
      <w:r>
        <w:rPr>
          <w:noProof/>
        </w:rPr>
        <w:t>Komisija analizira usklađenost s načelima supsidijarnosti i proporcionalnosti u svim procjenama učinka koje se izrađuju za prijedloge politika i zakonodavne prijedloge. Te procjene podliježu neovisnoj kontroli kvalitete koju provodi Odbor za nadzor regulative</w:t>
      </w:r>
      <w:r>
        <w:rPr>
          <w:rStyle w:val="FootnoteReference"/>
          <w:noProof/>
          <w:lang w:val="en-IE"/>
        </w:rPr>
        <w:footnoteReference w:id="15"/>
      </w:r>
      <w:r>
        <w:rPr>
          <w:noProof/>
        </w:rPr>
        <w:t>, koji je 2023. pregledao 50 procjena učinka. U svojem godišnjem izvješću za 2023.</w:t>
      </w:r>
      <w:r>
        <w:rPr>
          <w:rStyle w:val="FootnoteReference"/>
          <w:noProof/>
          <w:lang w:val="en-IE"/>
        </w:rPr>
        <w:footnoteReference w:id="16"/>
      </w:r>
      <w:r>
        <w:rPr>
          <w:noProof/>
        </w:rPr>
        <w:t xml:space="preserve"> Odbor je pozitivno ocijenio poboljšanu usklađenost nacrta procjena učinka s novim obvezama za bolju regulativu i zaključio da su „supsidijarnost i dodana vrijednost EU-a” među najkvalitetnijim sastavnicama u nacrtima procjena učinka. To pokazuje da Komisija pridaje veliku pozornost poštovanju načela supsidijarnosti u svojim prijedlozima. </w:t>
      </w:r>
    </w:p>
    <w:p w14:paraId="181A7891" w14:textId="19106FF9" w:rsidR="003B25E8" w:rsidRPr="00676C4C" w:rsidRDefault="315C37BA" w:rsidP="003B25E8">
      <w:pPr>
        <w:rPr>
          <w:noProof/>
        </w:rPr>
      </w:pPr>
      <w:r>
        <w:rPr>
          <w:noProof/>
        </w:rPr>
        <w:t>Pri procjeni usklađenosti s načelima supsidijarnosti i proporcionalnosti posebno su važni svi prekogranični aspekti, kao što je istaknuto, na primjer, u procjeni učinka Prijedloga o obračunavanju emisija stakleničkih plinova iz usluga prijevoza</w:t>
      </w:r>
      <w:r>
        <w:rPr>
          <w:rStyle w:val="FootnoteReference"/>
          <w:noProof/>
          <w:lang w:val="en-IE"/>
        </w:rPr>
        <w:footnoteReference w:id="17"/>
      </w:r>
      <w:r>
        <w:rPr>
          <w:noProof/>
        </w:rPr>
        <w:t>. Cilj je tog prijedloga uspostaviti zajednički okvir EU-a za obračunavanje takvih emisija te on ima stvarnu i izraženu europsku dodanu vrijednost jer trenutačno ne postoji metodološki okvir na razini EU-a. To znači da dionici u prometnom sektoru trenutačno mogu birati između različitih normi, metodologija, alata za izračun i zadanih vrijednosti emisija kako bi kvantificirali svoje emisije. Istaknuta prekogranična dimenzija prometnog sektora EU-a znači da je načelo supsidijarnosti bitan element. Daljnja primjena postojećih različitih nacionalnih pristupa bila bi kontraproduktivna i ugrozila bi usporedivost emisija stakleničkih plinova, stvorila rizik od manipulativnog zelenog marketinga i dala pogrešne poticaje za održivost korisnicima.</w:t>
      </w:r>
    </w:p>
    <w:p w14:paraId="4A9022EC" w14:textId="3F4BFB12" w:rsidR="003B25E8" w:rsidRPr="00676C4C" w:rsidRDefault="33B8D777" w:rsidP="003B25E8">
      <w:pPr>
        <w:rPr>
          <w:noProof/>
        </w:rPr>
      </w:pPr>
      <w:r>
        <w:rPr>
          <w:noProof/>
        </w:rPr>
        <w:t>Još su jedan primjer statistički podaci o tržištu rada</w:t>
      </w:r>
      <w:r>
        <w:rPr>
          <w:rStyle w:val="FootnoteReference"/>
          <w:noProof/>
          <w:lang w:val="en-IE"/>
        </w:rPr>
        <w:footnoteReference w:id="18"/>
      </w:r>
      <w:r>
        <w:rPr>
          <w:noProof/>
        </w:rPr>
        <w:t>, čiji je cilj pružiti potpun i usporediv statistički pregled tržišta rada na razini EU-a kako bi se zadovoljile potrebe više korisnika, a u svrhu olakšavanja donošenja odluka na svim razinama u EU-u, istraživanja i informiranja šire javnosti. Bez okvira EU-a države članice ne bi ostvarile iste rezultate u smislu podataka, usklađene metodologije te usporedivosti rezultata i dosljednosti.</w:t>
      </w:r>
    </w:p>
    <w:p w14:paraId="1698A62E" w14:textId="77777777" w:rsidR="003B25E8" w:rsidRPr="00676C4C" w:rsidRDefault="003B25E8" w:rsidP="003B25E8">
      <w:pPr>
        <w:rPr>
          <w:b/>
          <w:bCs/>
          <w:noProof/>
        </w:rPr>
      </w:pPr>
      <w:r>
        <w:rPr>
          <w:b/>
          <w:noProof/>
        </w:rPr>
        <w:t>Evaluacije i provjere primjerenosti</w:t>
      </w:r>
    </w:p>
    <w:p w14:paraId="792C0282" w14:textId="0EF8A689" w:rsidR="003B25E8" w:rsidRPr="00676C4C" w:rsidRDefault="315C37BA" w:rsidP="003B25E8">
      <w:pPr>
        <w:rPr>
          <w:noProof/>
        </w:rPr>
      </w:pPr>
      <w:r>
        <w:rPr>
          <w:noProof/>
        </w:rPr>
        <w:t>Načela supsidijarnosti i proporcionalnosti ključni su aspekti evaluacija i provjera primjerenosti, kojima se ocjenjuje ostvaruju li se djelovanjem na razini EU-a očekivani rezultati u pogledu učinkovitosti, djelotvornosti, relevantnosti i europske dodane vrijednosti. Evaluacije pomažu i u ocjenjivanju je li djelovanje na razini EU-a i dalje u skladu s načelima supsidijarnosti i proporcionalnosti.</w:t>
      </w:r>
    </w:p>
    <w:p w14:paraId="4B6265FE" w14:textId="242D530C" w:rsidR="003B25E8" w:rsidRPr="00676C4C" w:rsidRDefault="315C37BA" w:rsidP="003B25E8">
      <w:pPr>
        <w:rPr>
          <w:noProof/>
          <w:highlight w:val="yellow"/>
        </w:rPr>
      </w:pPr>
      <w:r>
        <w:rPr>
          <w:noProof/>
        </w:rPr>
        <w:t>Odbor za nadzor regulative ispitao je 2023. osam važnih evaluacija. Na primjer, u evaluaciji Europske mreže nadgledanja i prikupljanja podataka o moru</w:t>
      </w:r>
      <w:r>
        <w:rPr>
          <w:rStyle w:val="FootnoteReference"/>
          <w:noProof/>
          <w:lang w:val="en-IE"/>
        </w:rPr>
        <w:footnoteReference w:id="19"/>
      </w:r>
      <w:r>
        <w:rPr>
          <w:noProof/>
        </w:rPr>
        <w:t xml:space="preserve"> (inicijativa koju financira EU) argument supsidijarnosti potkrijepljen je transnacionalnom prirodom prikupljanja podataka i znanja u morskim bazenima ili na razini EU-a. Prema evaluaciji nijedan subjekt nije u boljem položaju od EU-a za usmjeravanje i financiranje prikupljanja podataka na razini EU-a, pristupa podacima i podatkovnim proizvodima te usluga od interesa za mora i oceane EU-a. Europska mreža nadgledanja i prikupljanja podataka o moru okuplja prethodno rascjepkan skup pružatelja podataka, čime se stvara jasnija dodana vrijednost nego nacionalnim, regionalnim ili lokalnim rješenjem.</w:t>
      </w:r>
    </w:p>
    <w:p w14:paraId="61CEE10B" w14:textId="30DB0A26" w:rsidR="00181D40" w:rsidRPr="00676C4C" w:rsidRDefault="00AC3B53" w:rsidP="507099E6">
      <w:pPr>
        <w:pStyle w:val="2Titre2"/>
        <w:numPr>
          <w:ilvl w:val="0"/>
          <w:numId w:val="0"/>
        </w:numPr>
        <w:rPr>
          <w:rStyle w:val="FootnoteReference"/>
          <w:b w:val="0"/>
          <w:noProof/>
        </w:rPr>
      </w:pPr>
      <w:r>
        <w:rPr>
          <w:noProof/>
        </w:rPr>
        <w:t>2.2. Europski parlament</w:t>
      </w:r>
      <w:r>
        <w:rPr>
          <w:rStyle w:val="FootnoteReference"/>
          <w:b w:val="0"/>
          <w:noProof/>
          <w:lang w:val="en-IE"/>
        </w:rPr>
        <w:footnoteReference w:id="20"/>
      </w:r>
    </w:p>
    <w:p w14:paraId="1A3F6C06" w14:textId="0FE2A34F" w:rsidR="00FE20A3" w:rsidRPr="00676C4C" w:rsidRDefault="4379CC9F" w:rsidP="00FE20A3">
      <w:pPr>
        <w:pStyle w:val="Default"/>
        <w:spacing w:after="120"/>
        <w:jc w:val="both"/>
        <w:rPr>
          <w:noProof/>
        </w:rPr>
      </w:pPr>
      <w:r>
        <w:rPr>
          <w:noProof/>
        </w:rPr>
        <w:t>Europski parlament zaprimio je 2023. 294 podneska od nacionalnih parlamenata u skladu s Protokolom br. 2. Od tih podnesaka 22 su bila obrazložena mišljenja</w:t>
      </w:r>
      <w:r>
        <w:rPr>
          <w:rStyle w:val="FootnoteReference"/>
          <w:noProof/>
          <w:lang w:val="en-IE"/>
        </w:rPr>
        <w:footnoteReference w:id="21"/>
      </w:r>
      <w:r>
        <w:rPr>
          <w:noProof/>
        </w:rPr>
        <w:t xml:space="preserve">, a 272 drugi doprinosi koji nisu relevantni za pitanje supsidijarnosti. U usporedbi s tim, 2022. Europski parlament zaprimio je 249 podnesaka, od čega su 34 podneska bila obrazložena mišljenja. </w:t>
      </w:r>
    </w:p>
    <w:p w14:paraId="769F0AC6" w14:textId="4CD018ED" w:rsidR="00421F06" w:rsidRPr="00676C4C" w:rsidRDefault="73165529" w:rsidP="00421F06">
      <w:pPr>
        <w:rPr>
          <w:noProof/>
        </w:rPr>
      </w:pPr>
      <w:r>
        <w:rPr>
          <w:noProof/>
        </w:rPr>
        <w:t>Nakon što Europski parlament zaprimi podneske nacionalnih parlamenata, oni se u skladu s Poslovnikom Europskog parlamenta prosljeđuju relevantnim odborima</w:t>
      </w:r>
      <w:r>
        <w:rPr>
          <w:rStyle w:val="FootnoteReference"/>
          <w:noProof/>
          <w:lang w:val="en-IE"/>
        </w:rPr>
        <w:footnoteReference w:id="22"/>
      </w:r>
      <w:r>
        <w:rPr>
          <w:noProof/>
        </w:rPr>
        <w:t xml:space="preserve">. </w:t>
      </w:r>
    </w:p>
    <w:p w14:paraId="1DE6DB72" w14:textId="492894DC" w:rsidR="001D583E" w:rsidRPr="00676C4C" w:rsidRDefault="6FA3D5AC" w:rsidP="00FE20A3">
      <w:pPr>
        <w:pStyle w:val="Default"/>
        <w:spacing w:after="120"/>
        <w:jc w:val="both"/>
        <w:rPr>
          <w:noProof/>
        </w:rPr>
      </w:pPr>
      <w:r>
        <w:rPr>
          <w:noProof/>
        </w:rPr>
        <w:t xml:space="preserve">Gilles Lebreton (ID/FR) i Karen Melchior (Renew/DK) bili su u prvoj odnosno drugoj polovini 2023. stalni izvjestitelji za supsidijarnost Odbora za pravna pitanja (JURI). </w:t>
      </w:r>
    </w:p>
    <w:p w14:paraId="79ACC7B9" w14:textId="318B6B5E" w:rsidR="001D583E" w:rsidRPr="00676C4C" w:rsidRDefault="117559BA" w:rsidP="00FE20A3">
      <w:pPr>
        <w:pStyle w:val="Default"/>
        <w:spacing w:after="120"/>
        <w:jc w:val="both"/>
        <w:rPr>
          <w:noProof/>
        </w:rPr>
      </w:pPr>
      <w:r>
        <w:rPr>
          <w:noProof/>
        </w:rPr>
        <w:t>Osim toga, neki odbori Europskog parlamenta pridonijeli su izradi 39.</w:t>
      </w:r>
      <w:r>
        <w:rPr>
          <w:rStyle w:val="FootnoteReference"/>
          <w:noProof/>
          <w:lang w:val="en-IE"/>
        </w:rPr>
        <w:footnoteReference w:id="23"/>
      </w:r>
      <w:r>
        <w:rPr>
          <w:noProof/>
        </w:rPr>
        <w:t xml:space="preserve"> i 40.</w:t>
      </w:r>
      <w:r>
        <w:rPr>
          <w:rStyle w:val="FootnoteReference"/>
          <w:noProof/>
          <w:lang w:val="en-IE"/>
        </w:rPr>
        <w:footnoteReference w:id="24"/>
      </w:r>
      <w:r>
        <w:rPr>
          <w:noProof/>
        </w:rPr>
        <w:t xml:space="preserve"> polugodišnjeg izvješća COSAC-a</w:t>
      </w:r>
      <w:r>
        <w:rPr>
          <w:rStyle w:val="FootnoteReference"/>
          <w:noProof/>
          <w:lang w:val="en-IE"/>
        </w:rPr>
        <w:footnoteReference w:id="25"/>
      </w:r>
      <w:r>
        <w:rPr>
          <w:noProof/>
        </w:rPr>
        <w:t xml:space="preserve"> o razvoju postupaka i praksi EU-a relevantnih za parlamentarni nadzor predstavljenih 2023. Doprinos 39. polugodišnjem izvješću, koje je usredotočeno na zakonodavstvo o klimi „Spremni za 55 %”, ulogu parlamenata u ubrzanim procesima donošenja odluka kao odgovor na krize i najbolju praksu za razmjenu informacija među parlamentima, uključujući upotrebu platforme IPEX</w:t>
      </w:r>
      <w:r>
        <w:rPr>
          <w:rStyle w:val="FootnoteReference"/>
          <w:noProof/>
          <w:lang w:val="en-IE"/>
        </w:rPr>
        <w:footnoteReference w:id="26"/>
      </w:r>
      <w:r>
        <w:rPr>
          <w:noProof/>
        </w:rPr>
        <w:t xml:space="preserve">, dalo je osam odbora, a doprinos 40. polugodišnjem izvješću, koje obuhvaća ulogu parlamenata u postizanju otvorene strateške autonomije, politike u području energije iz obnovljivih izvora i ruska invazija na Ukrajinu, dalo je devet odbora. </w:t>
      </w:r>
    </w:p>
    <w:p w14:paraId="4F58D199" w14:textId="3D807295" w:rsidR="004D5EB2" w:rsidRDefault="00652F08" w:rsidP="00631570">
      <w:pPr>
        <w:pStyle w:val="Default"/>
        <w:spacing w:after="120"/>
        <w:jc w:val="both"/>
        <w:rPr>
          <w:noProof/>
        </w:rPr>
      </w:pPr>
      <w:r>
        <w:rPr>
          <w:noProof/>
        </w:rPr>
        <w:t>Europski parlament donio je u studenom 2023. dvije rezolucije koje se odnose na nacionalne parlamente i načela supsidijarnosti i proporcionalnosti:</w:t>
      </w:r>
    </w:p>
    <w:p w14:paraId="3218EF88" w14:textId="742FA683" w:rsidR="00652F08" w:rsidRPr="00676C4C" w:rsidRDefault="7AB24FFF" w:rsidP="006452CF">
      <w:pPr>
        <w:pStyle w:val="Default"/>
        <w:numPr>
          <w:ilvl w:val="0"/>
          <w:numId w:val="15"/>
        </w:numPr>
        <w:spacing w:after="120"/>
        <w:jc w:val="both"/>
        <w:rPr>
          <w:noProof/>
        </w:rPr>
      </w:pPr>
      <w:r>
        <w:rPr>
          <w:noProof/>
        </w:rPr>
        <w:t>u svojoj prvoj rezoluciji o prijedlozima za izmjenu Ugovorâ</w:t>
      </w:r>
      <w:r>
        <w:rPr>
          <w:rStyle w:val="FootnoteReference"/>
          <w:noProof/>
          <w:lang w:val="en-IE"/>
        </w:rPr>
        <w:footnoteReference w:id="27"/>
      </w:r>
      <w:r>
        <w:rPr>
          <w:noProof/>
        </w:rPr>
        <w:t>, predložio je da se ojača preispitivanje supsidijarnosti koje provodi Sud Europske unije te je zatražio da se mišljenje regionalnih parlamenata sa zakonodavnim ovlastima uzme u obzir u obrazloženim mišljenjima o zakonodavnim nacrtima nacionalnih parlamenata, da se rok za postupke „žutog kartona” produlji na 12 tjedana i da se uvede „mehanizam zelenog kartona” za zakonodavne prijedloge nacionalnih ili regionalnih parlamenata sa zakonodavnim ovlastima kako bi pravo Unije bolje odgovaralo na lokalne potrebe,</w:t>
      </w:r>
    </w:p>
    <w:p w14:paraId="74B4CFC3" w14:textId="21967C26" w:rsidR="00652F08" w:rsidRPr="00676C4C" w:rsidRDefault="7AB24FFF" w:rsidP="006452CF">
      <w:pPr>
        <w:pStyle w:val="Default"/>
        <w:numPr>
          <w:ilvl w:val="0"/>
          <w:numId w:val="15"/>
        </w:numPr>
        <w:spacing w:after="120"/>
        <w:jc w:val="both"/>
        <w:rPr>
          <w:noProof/>
        </w:rPr>
      </w:pPr>
      <w:r>
        <w:rPr>
          <w:noProof/>
        </w:rPr>
        <w:t>u svojoj drugoj rezoluciji o prikladnosti propisa EU-a, supsidijarnosti i proporcionalnosti</w:t>
      </w:r>
      <w:r>
        <w:rPr>
          <w:rStyle w:val="FootnoteReference"/>
          <w:noProof/>
          <w:lang w:val="en-IE"/>
        </w:rPr>
        <w:footnoteReference w:id="28"/>
      </w:r>
      <w:r>
        <w:rPr>
          <w:noProof/>
        </w:rPr>
        <w:t xml:space="preserve"> ponovno je istaknuo važnu ulogu nacionalnih parlamenata u provjeri poštovanja načela supsidijarnosti kao prirodnih čuvara načela supsidijarnosti koji imaju pravo na nadzor nad njim u okviru mehanizma kontrole poštovanja načela supsidijarnosti.</w:t>
      </w:r>
    </w:p>
    <w:p w14:paraId="4BD3143B" w14:textId="0F7F8B0F" w:rsidR="00652F08" w:rsidRPr="00676C4C" w:rsidRDefault="3787FA89" w:rsidP="00631570">
      <w:pPr>
        <w:pStyle w:val="Default"/>
        <w:spacing w:after="120"/>
        <w:jc w:val="both"/>
        <w:rPr>
          <w:noProof/>
        </w:rPr>
      </w:pPr>
      <w:r>
        <w:rPr>
          <w:noProof/>
        </w:rPr>
        <w:t>Uz to, Europski parlament donio je u siječnju 2024. izvješće o vlastitoj inicijativi o provedbi odredbi Ugovora o nacionalnim parlamentima</w:t>
      </w:r>
      <w:r>
        <w:rPr>
          <w:rStyle w:val="FootnoteReference"/>
          <w:noProof/>
          <w:lang w:val="en-IE"/>
        </w:rPr>
        <w:footnoteReference w:id="29"/>
      </w:r>
      <w:r>
        <w:rPr>
          <w:noProof/>
        </w:rPr>
        <w:t>. To je izvješće 2023. pripremio Odbor za ustavna pitanja (AFCO). U izvješću je istaknuto da su aktivno sudjelovanje nacionalnih parlamenata u poslovima EU-a i pojačani nadzor nacionalnih parlamenata nad nacionalnim vladama ključni za osiguravanje demokratske odgovornosti i legitimnosti institucionalnog sustava EU-a. U izvješću se ujedno podsjeća da se parlamentarni nadzor može olakšati povećanom transparentnošću u Vijeću Europske unije te da pristup dokumentima drugih institucija EU-a omogućuje nacionalnim parlamentima da provode odgovarajući nadzor.</w:t>
      </w:r>
    </w:p>
    <w:p w14:paraId="2F9C0FE8" w14:textId="359784AD" w:rsidR="001D583E" w:rsidRPr="00676C4C" w:rsidRDefault="26D12AC6" w:rsidP="00631570">
      <w:pPr>
        <w:pStyle w:val="Default"/>
        <w:spacing w:after="120"/>
        <w:jc w:val="both"/>
        <w:rPr>
          <w:noProof/>
        </w:rPr>
      </w:pPr>
      <w:r>
        <w:rPr>
          <w:noProof/>
        </w:rPr>
        <w:t>Služba Europskog parlamenta za istraživanja</w:t>
      </w:r>
      <w:r>
        <w:rPr>
          <w:rStyle w:val="FootnoteReference"/>
          <w:noProof/>
          <w:lang w:val="en-IE"/>
        </w:rPr>
        <w:footnoteReference w:id="30"/>
      </w:r>
      <w:r>
        <w:rPr>
          <w:noProof/>
        </w:rPr>
        <w:t xml:space="preserve"> nastavila je pomagati članovima i odborima Europskog parlamenta provedbom analize u svim područjima politika te uključivanjem razmatranja o supsidijarnosti i proporcionalnosti u svoj rad sveobuhvatnim rasponom proizvoda i usluga. Ta je služba 2023. izradila 41 početno vrednovanje i jedno detaljno vrednovanje procjene učinka Komisije te jednu zamjensku procjenu učinka</w:t>
      </w:r>
      <w:r>
        <w:rPr>
          <w:rStyle w:val="FootnoteReference"/>
          <w:noProof/>
          <w:lang w:val="en-IE"/>
        </w:rPr>
        <w:footnoteReference w:id="31"/>
      </w:r>
      <w:r>
        <w:rPr>
          <w:noProof/>
        </w:rPr>
        <w:t xml:space="preserve"> i jednu dopunsku procjenu učinka</w:t>
      </w:r>
      <w:r>
        <w:rPr>
          <w:rStyle w:val="FootnoteReference"/>
          <w:noProof/>
          <w:lang w:val="en-IE"/>
        </w:rPr>
        <w:footnoteReference w:id="32"/>
      </w:r>
      <w:r>
        <w:rPr>
          <w:noProof/>
        </w:rPr>
        <w:t xml:space="preserve">. Objavila je i sedam </w:t>
      </w:r>
      <w:r>
        <w:rPr>
          <w:i/>
          <w:noProof/>
        </w:rPr>
        <w:t>ex post</w:t>
      </w:r>
      <w:r>
        <w:rPr>
          <w:noProof/>
        </w:rPr>
        <w:t xml:space="preserve"> europskih procjena provedbe, 22 vrednovanja provedbe, dva dokumenta o provedbi u praksi (uključujući publikaciju o provjeri godišnjeg programa rada Komisije), dva detaljna popisa za provjeru i još četiri studije. Kad je riječ o europskoj dodanoj vrijednosti, objavljena su i tri izvješća o cijeni nedjelovanja na europskoj razini, tri procjene europske dodane vrijednosti i četiri druge relevantne publikacije. </w:t>
      </w:r>
    </w:p>
    <w:p w14:paraId="01A86DED" w14:textId="0834D2C5" w:rsidR="004D194F" w:rsidRPr="00676C4C" w:rsidRDefault="00AC3B53" w:rsidP="507099E6">
      <w:pPr>
        <w:pStyle w:val="2Titre2"/>
        <w:numPr>
          <w:ilvl w:val="0"/>
          <w:numId w:val="0"/>
        </w:numPr>
        <w:rPr>
          <w:noProof/>
        </w:rPr>
      </w:pPr>
      <w:r>
        <w:rPr>
          <w:noProof/>
        </w:rPr>
        <w:t>2.3. Vijeće Europske unije</w:t>
      </w:r>
    </w:p>
    <w:p w14:paraId="1153C473" w14:textId="112541A1" w:rsidR="0022762F" w:rsidRPr="00676C4C" w:rsidRDefault="22A390F8" w:rsidP="0022762F">
      <w:pPr>
        <w:rPr>
          <w:noProof/>
        </w:rPr>
      </w:pPr>
      <w:r>
        <w:rPr>
          <w:noProof/>
        </w:rPr>
        <w:t>Vijeće Europske unije („Vijeće”) nastavilo je 2023., među ostalim preko svojih relevantnih radnih skupina, pratiti djelotvornu provedbu zaključaka o načelima supsidijarnosti i proporcionalnosti (posebno onih koji su već navedeni u prethodnom izdanju ovog godišnjeg izvješća) koje su prethodnih godina donijeli Vijeće i Europsko vijeće. Riječ je o zaključcima Europskog vijeća o odlučnom nastavku programa jedinstvenog tržišta</w:t>
      </w:r>
      <w:r>
        <w:rPr>
          <w:rStyle w:val="FootnoteReference"/>
          <w:noProof/>
          <w:lang w:val="en-IE"/>
        </w:rPr>
        <w:footnoteReference w:id="33"/>
      </w:r>
      <w:r>
        <w:rPr>
          <w:noProof/>
        </w:rPr>
        <w:t>, zaključcima Vijeća o boljoj regulativi za konkurentnost i održiv, uključiv rast</w:t>
      </w:r>
      <w:r>
        <w:rPr>
          <w:rStyle w:val="FootnoteReference"/>
          <w:noProof/>
          <w:lang w:val="en-IE"/>
        </w:rPr>
        <w:footnoteReference w:id="34"/>
      </w:r>
      <w:r>
        <w:rPr>
          <w:noProof/>
        </w:rPr>
        <w:t>, zaključcima Vijeća o regulatornim sigurnim testnim okruženjima i klauzulama o eksperimentiranju kao alatima za regulatorni okvir koji pogoduje inovacijama i otporan je kako na buduće promjene tako i općenito te kojim se prevladavaju disruptivni izazovi u digitalnom dobu</w:t>
      </w:r>
      <w:r>
        <w:rPr>
          <w:rStyle w:val="FootnoteReference"/>
          <w:noProof/>
          <w:lang w:val="en-IE"/>
        </w:rPr>
        <w:footnoteReference w:id="35"/>
      </w:r>
      <w:r>
        <w:rPr>
          <w:noProof/>
        </w:rPr>
        <w:t xml:space="preserve"> i zaključcima Vijeća o podatkovnim tehnologijama za poboljšanje „bolje regulative”</w:t>
      </w:r>
      <w:r>
        <w:rPr>
          <w:rStyle w:val="FootnoteReference"/>
          <w:noProof/>
          <w:lang w:val="en-IE"/>
        </w:rPr>
        <w:footnoteReference w:id="36"/>
      </w:r>
      <w:r>
        <w:rPr>
          <w:noProof/>
        </w:rPr>
        <w:t xml:space="preserve">. </w:t>
      </w:r>
    </w:p>
    <w:p w14:paraId="173F2B63" w14:textId="5584B584" w:rsidR="0022762F" w:rsidRDefault="39FE7FAD" w:rsidP="0022762F">
      <w:pPr>
        <w:rPr>
          <w:noProof/>
        </w:rPr>
      </w:pPr>
      <w:r>
        <w:rPr>
          <w:noProof/>
        </w:rPr>
        <w:t xml:space="preserve">Europsko vijeće u nekoliko je navrata tijekom 2023. raspravljalo o pitanjima regulatornog pojednostavnjenja i načinima smanjenja regulatornog opterećenja za države članice, posebno u kontekstu konkurentnosti, jedinstvenog tržišta i gospodarstva. U tom je pogledu napomenulo da je „Europsko vijeće pozvalo Komisiju i države članice da dodatno poboljšaju okvirne uvjete za ulaganja koji više pogoduju konkurentnosti. Europsko vijeće ujedno je pozvalo sve relevantne institucije da ostvare napredak u svojem radu na pojednostavnjenju propisa i smanjenju nepotrebnog administrativnog opterećenja (uključujući zahtjeve u pogledu izvješćivanja), posebno za MSP-ove i </w:t>
      </w:r>
      <w:r>
        <w:rPr>
          <w:i/>
          <w:iCs/>
          <w:noProof/>
        </w:rPr>
        <w:t>start-up</w:t>
      </w:r>
      <w:r>
        <w:rPr>
          <w:noProof/>
        </w:rPr>
        <w:t xml:space="preserve"> poduzeća”</w:t>
      </w:r>
      <w:r>
        <w:rPr>
          <w:rStyle w:val="FootnoteReference"/>
          <w:noProof/>
          <w:lang w:val="en-IE"/>
        </w:rPr>
        <w:footnoteReference w:id="37"/>
      </w:r>
      <w:r>
        <w:rPr>
          <w:noProof/>
        </w:rPr>
        <w:t xml:space="preserve">. </w:t>
      </w:r>
    </w:p>
    <w:p w14:paraId="0680DE0D" w14:textId="0BF6DE30" w:rsidR="0022762F" w:rsidRPr="00676C4C" w:rsidRDefault="10812208" w:rsidP="0022762F">
      <w:pPr>
        <w:rPr>
          <w:noProof/>
        </w:rPr>
      </w:pPr>
      <w:r>
        <w:rPr>
          <w:noProof/>
        </w:rPr>
        <w:t>Vijeće je 2023. nacionalnim parlamentima proslijedilo jedan zakonodavni prijedlog koji je sastavio Sud Europske unije</w:t>
      </w:r>
      <w:r>
        <w:rPr>
          <w:rStyle w:val="FootnoteReference"/>
          <w:noProof/>
          <w:lang w:val="en-IE"/>
        </w:rPr>
        <w:footnoteReference w:id="38"/>
      </w:r>
      <w:r>
        <w:rPr>
          <w:noProof/>
        </w:rPr>
        <w:t xml:space="preserve">. Ujedno je državama članicama dostavilo mišljenja dvaju nacionalnih parlamenata o primjeni načela supsidijarnosti i proporcionalnosti na taj zakonodavni prijedlog te ih je proslijedilo Sudu Europske unije. </w:t>
      </w:r>
    </w:p>
    <w:p w14:paraId="6AB1F6B6" w14:textId="0D00BB27" w:rsidR="0022762F" w:rsidRPr="00676C4C" w:rsidRDefault="0022762F" w:rsidP="0022762F">
      <w:pPr>
        <w:rPr>
          <w:noProof/>
        </w:rPr>
      </w:pPr>
      <w:r>
        <w:rPr>
          <w:noProof/>
        </w:rPr>
        <w:t>Osim obveza koje mora ispuniti na temelju Ugovora, Vijeće obavješćuje države članice o mišljenjima nacionalnih parlamenata o zakonodavnim prijedlozima. Glavno tajništvo Vijeća poslalo je 2023. 20 obrazloženih mišljenja zaprimljenih na temelju Protokola br. 2 i 291 mišljenje izdano u okviru političkog dijaloga</w:t>
      </w:r>
      <w:r>
        <w:rPr>
          <w:rStyle w:val="FootnoteReference"/>
          <w:noProof/>
          <w:lang w:val="en-IE"/>
        </w:rPr>
        <w:footnoteReference w:id="39"/>
      </w:r>
      <w:r>
        <w:rPr>
          <w:noProof/>
        </w:rPr>
        <w:t>.</w:t>
      </w:r>
    </w:p>
    <w:p w14:paraId="09C2A412" w14:textId="4BA682C3" w:rsidR="00022846" w:rsidRPr="00676C4C" w:rsidRDefault="00AC3B53" w:rsidP="507099E6">
      <w:pPr>
        <w:pStyle w:val="2Titre2"/>
        <w:numPr>
          <w:ilvl w:val="1"/>
          <w:numId w:val="0"/>
        </w:numPr>
        <w:rPr>
          <w:noProof/>
        </w:rPr>
      </w:pPr>
      <w:r>
        <w:rPr>
          <w:noProof/>
        </w:rPr>
        <w:t>2.4. Europski odbor regija</w:t>
      </w:r>
    </w:p>
    <w:p w14:paraId="35B05BFF" w14:textId="32ACD57C" w:rsidR="00514572" w:rsidRPr="00676C4C" w:rsidRDefault="78FEC4EC" w:rsidP="00DC62E6">
      <w:pPr>
        <w:pStyle w:val="Bodytext10"/>
        <w:widowControl/>
        <w:rPr>
          <w:noProof/>
        </w:rPr>
      </w:pPr>
      <w:r>
        <w:rPr>
          <w:noProof/>
        </w:rPr>
        <w:t>Europski odbor regija (OR) radio je na supsidijarnosti, proporcionalnosti i boljoj regulativi, vodeći se prioritetima svojeg mandata za razdoblje 2020. – 2025.</w:t>
      </w:r>
      <w:r>
        <w:rPr>
          <w:rStyle w:val="FootnoteReference"/>
          <w:noProof/>
          <w:lang w:val="en-IE"/>
        </w:rPr>
        <w:footnoteReference w:id="40"/>
      </w:r>
      <w:r>
        <w:rPr>
          <w:noProof/>
        </w:rPr>
        <w:t>, te je svojim djelovanjem promicao kulturu aktivne supsidijarnosti.</w:t>
      </w:r>
    </w:p>
    <w:p w14:paraId="389B058C" w14:textId="408E17A4" w:rsidR="00514572" w:rsidRPr="00676C4C" w:rsidRDefault="0DCA0DDA" w:rsidP="00DC62E6">
      <w:pPr>
        <w:pStyle w:val="Bodytext10"/>
        <w:widowControl/>
        <w:rPr>
          <w:noProof/>
        </w:rPr>
      </w:pPr>
      <w:r>
        <w:rPr>
          <w:noProof/>
        </w:rPr>
        <w:t>Upravljačka skupina OR-a za bolju regulativu i aktivnu supsidijarnost (BRASS-G)</w:t>
      </w:r>
      <w:r>
        <w:rPr>
          <w:rStyle w:val="FootnoteReference"/>
          <w:noProof/>
          <w:lang w:val="en-IE"/>
        </w:rPr>
        <w:footnoteReference w:id="41"/>
      </w:r>
      <w:r>
        <w:rPr>
          <w:noProof/>
        </w:rPr>
        <w:t xml:space="preserve"> usmjerava različite alate OR-a za bolju regulativu, čime osigurava usklađenost i sinergije među njima te promiče doprinos lokalnih i regionalnih vlasti boljoj regulativi EU-a tijekom njezina cijelog životnog ciklusa, od osmišljavanja do </w:t>
      </w:r>
      <w:r>
        <w:rPr>
          <w:i/>
          <w:noProof/>
        </w:rPr>
        <w:t>ex post</w:t>
      </w:r>
      <w:r>
        <w:rPr>
          <w:noProof/>
        </w:rPr>
        <w:t xml:space="preserve"> evaluacije. To je uključivalo faze ranog utvrđivanja trendova i pitanja (putem strateškog predviđanja), razvoja politika (</w:t>
      </w:r>
      <w:r>
        <w:rPr>
          <w:i/>
          <w:noProof/>
        </w:rPr>
        <w:t>ex ante</w:t>
      </w:r>
      <w:r>
        <w:rPr>
          <w:noProof/>
        </w:rPr>
        <w:t>, praćenjem supsidijarnosti i proporcionalnosti te provedbom procjena teritorijalnog učinka i procjene učinka na ruralna područja), zakonodavnog preispitivanja (</w:t>
      </w:r>
      <w:r>
        <w:rPr>
          <w:i/>
          <w:noProof/>
        </w:rPr>
        <w:t>ex post</w:t>
      </w:r>
      <w:r>
        <w:rPr>
          <w:noProof/>
        </w:rPr>
        <w:t>, usmjereno na provedbu putem mreže RegHub) i moguće revizije politika (putem doprinosa OR-a radu platforme „Fit for Future”).</w:t>
      </w:r>
    </w:p>
    <w:p w14:paraId="51174A47" w14:textId="0EBB9780" w:rsidR="00514572" w:rsidRPr="00676C4C" w:rsidRDefault="76BD25F1" w:rsidP="00DC62E6">
      <w:pPr>
        <w:pStyle w:val="Bodytext10"/>
        <w:widowControl/>
        <w:rPr>
          <w:noProof/>
        </w:rPr>
      </w:pPr>
      <w:r>
        <w:rPr>
          <w:noProof/>
        </w:rPr>
        <w:t>OR je radio na izgradnji svojih kapaciteta predviđanja, uključivanju predviđanja u svoj rad na politikama te utvrđivanju i povezivanju kapaciteta predviđanja u nekim gradovima i regijama s istim kapacitetom u drugim gradovima i regijama te na razini EU-a i OR-a</w:t>
      </w:r>
      <w:r>
        <w:rPr>
          <w:rStyle w:val="FootnoteReference"/>
          <w:noProof/>
          <w:lang w:val="en-IE"/>
        </w:rPr>
        <w:footnoteReference w:id="42"/>
      </w:r>
      <w:r>
        <w:rPr>
          <w:noProof/>
        </w:rPr>
        <w:t>. Postupno gradi mrežu regija i gradova s iskustvom u strateškom predviđanju te podupire razmjenu uspješne prakse i kulturu predviđanja na podnacionalnoj razini. To dokazuju participativni laboratorij za strateško predviđanje za regije i gradove</w:t>
      </w:r>
      <w:r>
        <w:rPr>
          <w:rStyle w:val="FootnoteReference"/>
          <w:noProof/>
          <w:lang w:val="en-IE"/>
        </w:rPr>
        <w:footnoteReference w:id="43"/>
      </w:r>
      <w:r>
        <w:rPr>
          <w:noProof/>
        </w:rPr>
        <w:t xml:space="preserve"> koji je organiziran u suradnji s Komisijom, pilot-vježba predviđanja</w:t>
      </w:r>
      <w:r>
        <w:rPr>
          <w:rStyle w:val="FootnoteReference"/>
          <w:noProof/>
          <w:lang w:val="en-IE"/>
        </w:rPr>
        <w:footnoteReference w:id="44"/>
      </w:r>
      <w:r>
        <w:rPr>
          <w:noProof/>
        </w:rPr>
        <w:t xml:space="preserve"> za članove Radne skupine OR-a za zeleni plan na lokalnoj razini u suradnji sa Zajedničkim istraživačkim centrom Komisije i uključivanje dimenzije predviđanja u sve relevantne studije koje su naručene od vanjskog pružatelja usluga. OR je izdao i mišljenje</w:t>
      </w:r>
      <w:r>
        <w:rPr>
          <w:rStyle w:val="FootnoteReference"/>
          <w:noProof/>
          <w:lang w:val="en-IE"/>
        </w:rPr>
        <w:footnoteReference w:id="45"/>
      </w:r>
      <w:r>
        <w:rPr>
          <w:noProof/>
        </w:rPr>
        <w:t xml:space="preserve"> o strateškom predviđanju u kojem je istaknuo da je strateško predviđanje važno i za lokalne i regionalne čelnike.</w:t>
      </w:r>
    </w:p>
    <w:p w14:paraId="43B90D94" w14:textId="5BC430D5" w:rsidR="00514572" w:rsidRPr="00676C4C" w:rsidRDefault="76BD25F1" w:rsidP="00DC62E6">
      <w:pPr>
        <w:pStyle w:val="Bodytext10"/>
        <w:widowControl/>
        <w:rPr>
          <w:noProof/>
        </w:rPr>
      </w:pPr>
      <w:r>
        <w:rPr>
          <w:noProof/>
        </w:rPr>
        <w:t>OR je objavio 53 mišljenja i 6 rezolucija</w:t>
      </w:r>
      <w:r>
        <w:rPr>
          <w:rStyle w:val="FootnoteReference"/>
          <w:noProof/>
          <w:lang w:val="en-IE"/>
        </w:rPr>
        <w:footnoteReference w:id="46"/>
      </w:r>
      <w:r>
        <w:rPr>
          <w:noProof/>
        </w:rPr>
        <w:t>. Više od polovine njih</w:t>
      </w:r>
      <w:r>
        <w:rPr>
          <w:rStyle w:val="FootnoteReference"/>
          <w:noProof/>
          <w:lang w:val="en-IE"/>
        </w:rPr>
        <w:footnoteReference w:id="47"/>
      </w:r>
      <w:r>
        <w:rPr>
          <w:noProof/>
        </w:rPr>
        <w:t xml:space="preserve"> izričito se odnosilo na usklađenost s načelima supsidijarnosti i proporcionalnosti ili je sadržavalo konkretne preporuke za poboljšanje usklađenosti. Osim toga, s istim je ciljem donio svoj godišnji program rada u području supsidijarnosti za 2023.</w:t>
      </w:r>
      <w:r>
        <w:rPr>
          <w:rStyle w:val="FootnoteReference"/>
          <w:noProof/>
          <w:lang w:val="en-IE"/>
        </w:rPr>
        <w:footnoteReference w:id="48"/>
      </w:r>
      <w:r>
        <w:rPr>
          <w:noProof/>
        </w:rPr>
        <w:t>, u kojem je utvrdio pet inicijativa iz godišnjeg programa rada Komisije za 2023. kao prioritete praćenja zbog njihova jasnog političkog interesa za lokalne i regionalne vlasti i učinka na njihove nadležnosti. To su bile inicijative za zdrava tla, smanjenje otpada, gospodarsko upravljanje, održive prehrambene sustave i paket olakšica za MSP-ove. OR je izdao mišljenja o većini njih</w:t>
      </w:r>
      <w:r>
        <w:rPr>
          <w:rStyle w:val="FootnoteReference"/>
          <w:noProof/>
          <w:lang w:val="en-IE"/>
        </w:rPr>
        <w:footnoteReference w:id="49"/>
      </w:r>
      <w:r>
        <w:rPr>
          <w:noProof/>
        </w:rPr>
        <w:t>. OR-ova Mreža za praćenje primjene načela supsidijarnosti</w:t>
      </w:r>
      <w:r>
        <w:rPr>
          <w:rStyle w:val="FootnoteReference"/>
          <w:noProof/>
          <w:lang w:val="en-IE"/>
        </w:rPr>
        <w:footnoteReference w:id="50"/>
      </w:r>
      <w:r>
        <w:rPr>
          <w:noProof/>
        </w:rPr>
        <w:t xml:space="preserve"> također je olakšala razmjenu zapažanja u vezi s poštovanjem načela supsidijarnosti i proporcionalnosti između lokalnih i regionalnih vlasti, posebno zahvaljujući članovima REGPEX-a</w:t>
      </w:r>
      <w:r>
        <w:rPr>
          <w:rStyle w:val="FootnoteReference"/>
          <w:noProof/>
          <w:lang w:val="en-IE"/>
        </w:rPr>
        <w:footnoteReference w:id="51"/>
      </w:r>
      <w:r>
        <w:rPr>
          <w:noProof/>
        </w:rPr>
        <w:t>.</w:t>
      </w:r>
    </w:p>
    <w:p w14:paraId="7D7658D7" w14:textId="5FE78959" w:rsidR="00514572" w:rsidRPr="00676C4C" w:rsidRDefault="78E6DB3B" w:rsidP="00DC62E6">
      <w:pPr>
        <w:pStyle w:val="Bodytext10"/>
        <w:widowControl/>
        <w:rPr>
          <w:noProof/>
        </w:rPr>
      </w:pPr>
      <w:r>
        <w:rPr>
          <w:noProof/>
        </w:rPr>
        <w:t>Predsjedništvo OR-a u veljači 2023. donijelo je obnovljenu strategiju procjene teritorijalnog učinka. Te je godine vodilo tri radionice o procjeni teritorijalnog učinka</w:t>
      </w:r>
      <w:r>
        <w:rPr>
          <w:rStyle w:val="FootnoteReference"/>
          <w:noProof/>
          <w:lang w:val="en-IE"/>
        </w:rPr>
        <w:footnoteReference w:id="52"/>
      </w:r>
      <w:r>
        <w:rPr>
          <w:noProof/>
        </w:rPr>
        <w:t>. OR je u svibnju izdao i mišljenje</w:t>
      </w:r>
      <w:r>
        <w:rPr>
          <w:rStyle w:val="FootnoteReference"/>
          <w:noProof/>
          <w:lang w:val="en-IE"/>
        </w:rPr>
        <w:footnoteReference w:id="53"/>
      </w:r>
      <w:r>
        <w:rPr>
          <w:noProof/>
        </w:rPr>
        <w:t xml:space="preserve"> u kojem je naglasio potrebu da se u fazi osmišljavanja svih novih politika EU-a koje imaju teritorijalnu dimenziju provede sustavna </w:t>
      </w:r>
      <w:r>
        <w:rPr>
          <w:i/>
          <w:noProof/>
        </w:rPr>
        <w:t>ex ante</w:t>
      </w:r>
      <w:r>
        <w:rPr>
          <w:noProof/>
        </w:rPr>
        <w:t xml:space="preserve"> procjena njihovih mogućih diferenciranih teritorijalnih učinaka. U rujnu je Radnoj skupini Vijeća za konkurentnost i rast predstavio svoj rad na procjenama teritorijalnog učinka u okviru sastava Vijeća za bolju regulativu. </w:t>
      </w:r>
    </w:p>
    <w:p w14:paraId="74CB7105" w14:textId="23EF1952" w:rsidR="00514572" w:rsidRPr="00676C4C" w:rsidRDefault="00672CD8" w:rsidP="00DC62E6">
      <w:pPr>
        <w:pStyle w:val="Bodytext10"/>
        <w:widowControl/>
        <w:rPr>
          <w:noProof/>
        </w:rPr>
      </w:pPr>
      <w:r>
        <w:rPr>
          <w:noProof/>
        </w:rPr>
        <w:t>Nadalje, OR je razvio metodologiju za procjenu učinka na ruralna područja kako bi osigurao da se prije donošenja zakonodavstva EU-a u obzir uzmu posebnosti ruralnih područja. Na primjer, procjena učinka na ruralna područja bila je u središtu prve radionice o procjeni teritorijalnog učinka na temu održivih prehrambenih sustava u lipnju 2023.</w:t>
      </w:r>
    </w:p>
    <w:p w14:paraId="4EFE6F90" w14:textId="19329B91" w:rsidR="00514572" w:rsidRPr="00676C4C" w:rsidRDefault="78FEC4EC" w:rsidP="00DC62E6">
      <w:pPr>
        <w:pStyle w:val="Bodytext10"/>
        <w:widowControl/>
        <w:rPr>
          <w:noProof/>
        </w:rPr>
      </w:pPr>
      <w:r>
        <w:rPr>
          <w:noProof/>
        </w:rPr>
        <w:t xml:space="preserve">OR je nastavio primjenjivati svoje </w:t>
      </w:r>
      <w:r>
        <w:rPr>
          <w:i/>
          <w:noProof/>
        </w:rPr>
        <w:t>ex post</w:t>
      </w:r>
      <w:r>
        <w:rPr>
          <w:noProof/>
        </w:rPr>
        <w:t xml:space="preserve"> alate za bolju regulativu u partnerstvu s Komisijom i Europskim parlamentom, posebno aktivnim sudjelovanjem u platformi „Fit for Future” uz doprinos svoje mreže RegHub</w:t>
      </w:r>
      <w:r>
        <w:rPr>
          <w:rStyle w:val="FootnoteReference"/>
          <w:noProof/>
          <w:lang w:val="en-IE"/>
        </w:rPr>
        <w:footnoteReference w:id="54"/>
      </w:r>
      <w:r>
        <w:rPr>
          <w:noProof/>
        </w:rPr>
        <w:t>. Mreža RegHub savjetovala se s regionalnim središtima o izvješću „Budućnost zelenog plana: analiza rezultata i budući planovi” i prikupila iskustva lokalnih i regionalnih vlasti u provedbi mjera europskog zelenog plana. Ona su objavljena u izvješću o provedbi</w:t>
      </w:r>
      <w:r>
        <w:rPr>
          <w:rStyle w:val="FootnoteReference"/>
          <w:noProof/>
          <w:lang w:val="en-IE"/>
        </w:rPr>
        <w:footnoteReference w:id="55"/>
      </w:r>
      <w:r>
        <w:rPr>
          <w:noProof/>
        </w:rPr>
        <w:t xml:space="preserve"> i istaknuta u OR-ovu „Godišnjem izvješću o stanju regija i gradova u EU-u 2023.”</w:t>
      </w:r>
      <w:r>
        <w:rPr>
          <w:rStyle w:val="FootnoteReference"/>
          <w:noProof/>
          <w:lang w:val="en-IE"/>
        </w:rPr>
        <w:footnoteReference w:id="56"/>
      </w:r>
      <w:r>
        <w:rPr>
          <w:noProof/>
        </w:rPr>
        <w:t>. Provedeno je i savjetovanje s regionalnim središtima o regionalnoj dimenziji strateških planova u okviru zajedničke poljoprivredne politike. Rezultati prve faze tog savjetovanja prikupljeni su u izvješću o provedbi</w:t>
      </w:r>
      <w:r>
        <w:rPr>
          <w:rStyle w:val="FootnoteReference"/>
          <w:noProof/>
          <w:lang w:val="en-IE"/>
        </w:rPr>
        <w:footnoteReference w:id="57"/>
      </w:r>
      <w:r>
        <w:rPr>
          <w:noProof/>
        </w:rPr>
        <w:t>, koje je poslužilo za oblikovanje rasprava OR-a s institucijskim partnerima i pridonijelo radu na preispitivanju zajedničke poljoprivredne politike u sredini programskog razdoblja.</w:t>
      </w:r>
    </w:p>
    <w:p w14:paraId="3B5134F7" w14:textId="182C39D5" w:rsidR="002B640B" w:rsidRPr="00676C4C" w:rsidRDefault="00DF7D03" w:rsidP="0068526A">
      <w:pPr>
        <w:pStyle w:val="Bodytext10"/>
        <w:widowControl/>
        <w:rPr>
          <w:rFonts w:ascii="Arial" w:eastAsia="Times New Roman" w:hAnsi="Arial" w:cs="Arial"/>
          <w:b/>
          <w:bCs/>
          <w:noProof/>
          <w:color w:val="666666"/>
          <w:sz w:val="21"/>
          <w:szCs w:val="21"/>
        </w:rPr>
      </w:pPr>
      <w:r>
        <w:rPr>
          <w:noProof/>
        </w:rPr>
        <w:t>Komisija i OR zajednički su 2023. preispitali svoj Protokol o suradnji radi jačanja svojih institucionalnih partnerstava i promicanja razvoja participativnijeg EU-a. U revidiranom Protokolu</w:t>
      </w:r>
      <w:r>
        <w:rPr>
          <w:rStyle w:val="FootnoteReference"/>
          <w:noProof/>
          <w:lang w:val="en-IE"/>
        </w:rPr>
        <w:footnoteReference w:id="58"/>
      </w:r>
      <w:r>
        <w:rPr>
          <w:noProof/>
        </w:rPr>
        <w:t>, koji je potpisan u ožujku 2024., obje strane obvezale su se da će zajednički nastojati unaprijediti aktivnu supsidijarnost i bolju regulativu te su dogovorile konkretne korake u tu svrhu. Ta se suradnja odnosi i na rad na primjeni načela supsidijarnosti i proporcionalnosti kako bi se osiguralo da se u obzir uzimaju regionalni i lokalni aspekti.</w:t>
      </w:r>
    </w:p>
    <w:p w14:paraId="16660817" w14:textId="3E0AECB9" w:rsidR="00181D40" w:rsidRPr="00676C4C" w:rsidRDefault="00FE1923" w:rsidP="507099E6">
      <w:pPr>
        <w:pStyle w:val="2Titre2"/>
        <w:numPr>
          <w:ilvl w:val="1"/>
          <w:numId w:val="0"/>
        </w:numPr>
        <w:rPr>
          <w:i/>
          <w:noProof/>
        </w:rPr>
      </w:pPr>
      <w:r>
        <w:rPr>
          <w:noProof/>
        </w:rPr>
        <w:t>2.5. Sud Europske unije</w:t>
      </w:r>
    </w:p>
    <w:p w14:paraId="366C3055" w14:textId="1338F867" w:rsidR="00C253E7" w:rsidRPr="00676C4C" w:rsidRDefault="1CB14FE2" w:rsidP="5BA2BB32">
      <w:pPr>
        <w:rPr>
          <w:noProof/>
        </w:rPr>
      </w:pPr>
      <w:r>
        <w:rPr>
          <w:noProof/>
        </w:rPr>
        <w:t>Sud Europske unije se 2023. pozvao na načela supsidijarnosti i proporcionalnosti u svojoj presudi o Uredbi o osnivanju Agencije EU-a za suradnju energetskih regulatora</w:t>
      </w:r>
      <w:r>
        <w:rPr>
          <w:rStyle w:val="FootnoteReference"/>
          <w:noProof/>
          <w:lang w:val="en-IE"/>
        </w:rPr>
        <w:footnoteReference w:id="59"/>
      </w:r>
      <w:r>
        <w:rPr>
          <w:noProof/>
        </w:rPr>
        <w:t>. Nacionalni operatori prijenosnih sustava pozvali su Opći sud da ispita omogućuje li Uredba Agenciji da donese odluku o pitanjima oko kojih su se nacionalna regulatorna tijela prethodno usuglasila. Opći sud je na temelju obrazloženja uz Komisijin prijedlog uredbe o osnivanju Agencije zaključio</w:t>
      </w:r>
      <w:r>
        <w:rPr>
          <w:rStyle w:val="FootnoteReference"/>
          <w:noProof/>
          <w:lang w:val="en-IE"/>
        </w:rPr>
        <w:footnoteReference w:id="60"/>
      </w:r>
      <w:r>
        <w:rPr>
          <w:noProof/>
        </w:rPr>
        <w:t xml:space="preserve"> da je Agenciji dodijeljena autonomna ovlast za donošenje odluka i da stoga nije obvezana stajalištem nacionalnih regulatornih tijela. </w:t>
      </w:r>
    </w:p>
    <w:p w14:paraId="6C3BDF0A" w14:textId="0BA3C4D1" w:rsidR="1CB14FE2" w:rsidRPr="00676C4C" w:rsidRDefault="42C6AA1D" w:rsidP="5BA2BB32">
      <w:pPr>
        <w:rPr>
          <w:noProof/>
        </w:rPr>
      </w:pPr>
      <w:r>
        <w:rPr>
          <w:noProof/>
        </w:rPr>
        <w:t>U obrazloženju se smatralo da bi ovlast Agencije bila u skladu s načelom supsidijarnosti jer bi Agencija intervenirala u onim područjima u kojima bi rascjepkano nacionalno donošenje odluka o pitanjima od prekogranične važnosti dovelo do problema ili nedosljednosti na unutarnjem tržištu. U obrazloženju se smatralo i da bi ovlast Agencije bila u skladu s načelom proporcionalnosti jer bi Agencija dobila dodatne zadaće, posebno u pogledu regionalnog funkcioniranja energetskog sustava, ali bi nacionalni regulatori zadržali središnju ulogu u regulaciji energetike. Sud je na temelju obrazloženja zaključio da je zakonodavac EU-a očito namjeravao povećati učinkovitost i ubrzati donošenje odluka o teškim prekograničnim pitanjima jačanjem pojedinačnih ovlasti Agencije za donošenje odluka tako da nacionalna regulatorna tijela zadrže središnju ulogu u regulaciji energetike. Trenutačno je u tijeku žalba pred Sudom povezana s tim predmetom.</w:t>
      </w:r>
    </w:p>
    <w:p w14:paraId="39416265" w14:textId="6D6132FA" w:rsidR="003204DB" w:rsidRPr="00676C4C" w:rsidRDefault="0074612C" w:rsidP="0074612C">
      <w:pPr>
        <w:pStyle w:val="1Titre1"/>
        <w:rPr>
          <w:noProof/>
        </w:rPr>
      </w:pPr>
      <w:r>
        <w:rPr>
          <w:noProof/>
        </w:rPr>
        <w:t>Kako nacionalni parlamenti primjenjuju mehanizam kontrole poštovanja načela supsidijarnosti</w:t>
      </w:r>
    </w:p>
    <w:p w14:paraId="1DE10013" w14:textId="5B869348" w:rsidR="00FF481F" w:rsidRPr="00676C4C" w:rsidRDefault="00884E17" w:rsidP="507099E6">
      <w:pPr>
        <w:pStyle w:val="2Titre2"/>
        <w:numPr>
          <w:ilvl w:val="0"/>
          <w:numId w:val="0"/>
        </w:numPr>
        <w:rPr>
          <w:noProof/>
        </w:rPr>
      </w:pPr>
      <w:r>
        <w:rPr>
          <w:noProof/>
        </w:rPr>
        <w:t>3.1. Pregled</w:t>
      </w:r>
    </w:p>
    <w:p w14:paraId="00F48739" w14:textId="57139732" w:rsidR="002F5698" w:rsidRPr="00676C4C" w:rsidRDefault="1F22C3BE" w:rsidP="0064417C">
      <w:pPr>
        <w:rPr>
          <w:noProof/>
        </w:rPr>
      </w:pPr>
      <w:r>
        <w:rPr>
          <w:noProof/>
        </w:rPr>
        <w:t>Komisija je 2023. od nacionalnih parlamenata</w:t>
      </w:r>
      <w:r>
        <w:rPr>
          <w:rStyle w:val="FootnoteReference"/>
          <w:rFonts w:eastAsia="Times New Roman"/>
          <w:noProof/>
          <w:lang w:val="en-IE"/>
        </w:rPr>
        <w:footnoteReference w:id="61"/>
      </w:r>
      <w:r>
        <w:rPr>
          <w:noProof/>
        </w:rPr>
        <w:t xml:space="preserve"> zaprimila </w:t>
      </w:r>
      <w:r>
        <w:rPr>
          <w:b/>
          <w:noProof/>
        </w:rPr>
        <w:t>22 obrazložena mišljenja</w:t>
      </w:r>
      <w:r>
        <w:rPr>
          <w:rStyle w:val="FootnoteReference"/>
          <w:noProof/>
          <w:lang w:val="en-IE"/>
        </w:rPr>
        <w:footnoteReference w:id="62"/>
      </w:r>
      <w:r>
        <w:rPr>
          <w:noProof/>
        </w:rPr>
        <w:t>. To je za trećinu manje od 32 obrazložena mišljenja zaprimljena 2022., što je u skladu s dugoročnim trendom smanjenja ukupnog broja mišljenja, a posebno broja obrazloženih mišljenja. Trend smanjenja broja obrazloženih mišljenja postaje još očitiji ako se broj obrazloženih mišljenja izrazi kao postotak ukupnog broja mišljenja</w:t>
      </w:r>
      <w:r>
        <w:rPr>
          <w:rStyle w:val="FootnoteReference"/>
          <w:noProof/>
          <w:lang w:val="en-IE"/>
        </w:rPr>
        <w:footnoteReference w:id="63"/>
      </w:r>
      <w:r>
        <w:rPr>
          <w:noProof/>
        </w:rPr>
        <w:t xml:space="preserve">. </w:t>
      </w:r>
    </w:p>
    <w:p w14:paraId="540FB646" w14:textId="715EB491" w:rsidR="00A03A25" w:rsidRPr="00D04BA5" w:rsidRDefault="00D04BA5" w:rsidP="00D04BA5">
      <w:pPr>
        <w:keepNext/>
        <w:jc w:val="center"/>
        <w:rPr>
          <w:noProof/>
        </w:rPr>
      </w:pPr>
      <w:r w:rsidRPr="00D04BA5">
        <w:rPr>
          <w:noProof/>
        </w:rPr>
        <w:tab/>
      </w:r>
      <w:r w:rsidRPr="00D04BA5">
        <w:rPr>
          <w:noProof/>
        </w:rPr>
        <w:tab/>
      </w:r>
      <w:r w:rsidRPr="00D04BA5">
        <w:rPr>
          <w:noProof/>
          <w:lang w:val="en-GB" w:eastAsia="en-GB"/>
        </w:rPr>
        <w:drawing>
          <wp:inline distT="0" distB="0" distL="0" distR="0" wp14:anchorId="254D5788" wp14:editId="255658D2">
            <wp:extent cx="5939790" cy="2635885"/>
            <wp:effectExtent l="0" t="0" r="3810" b="0"/>
            <wp:docPr id="1446607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9790" cy="2635885"/>
                    </a:xfrm>
                    <a:prstGeom prst="rect">
                      <a:avLst/>
                    </a:prstGeom>
                    <a:noFill/>
                    <a:ln>
                      <a:noFill/>
                    </a:ln>
                  </pic:spPr>
                </pic:pic>
              </a:graphicData>
            </a:graphic>
          </wp:inline>
        </w:drawing>
      </w:r>
      <w:r w:rsidRPr="00D04BA5">
        <w:rPr>
          <w:noProof/>
        </w:rPr>
        <w:tab/>
      </w:r>
    </w:p>
    <w:p w14:paraId="1DD78513" w14:textId="6297FC96" w:rsidR="00A03A25" w:rsidRPr="00676C4C" w:rsidRDefault="00D04BA5" w:rsidP="00455B93">
      <w:pPr>
        <w:keepNext/>
        <w:jc w:val="center"/>
        <w:rPr>
          <w:b/>
          <w:bCs/>
          <w:noProof/>
        </w:rPr>
      </w:pPr>
      <w:r w:rsidRPr="00D04BA5">
        <w:rPr>
          <w:noProof/>
          <w:lang w:val="en-GB" w:eastAsia="en-GB"/>
        </w:rPr>
        <w:drawing>
          <wp:inline distT="0" distB="0" distL="0" distR="0" wp14:anchorId="77724DCB" wp14:editId="255ABEAF">
            <wp:extent cx="5901690" cy="3063240"/>
            <wp:effectExtent l="0" t="0" r="3810" b="3810"/>
            <wp:docPr id="1956015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1690" cy="3063240"/>
                    </a:xfrm>
                    <a:prstGeom prst="rect">
                      <a:avLst/>
                    </a:prstGeom>
                    <a:noFill/>
                    <a:ln>
                      <a:noFill/>
                    </a:ln>
                  </pic:spPr>
                </pic:pic>
              </a:graphicData>
            </a:graphic>
          </wp:inline>
        </w:drawing>
      </w:r>
    </w:p>
    <w:p w14:paraId="45C2D9BA" w14:textId="3C1042A3" w:rsidR="009741F8" w:rsidRPr="00676C4C" w:rsidRDefault="388648BA" w:rsidP="004A0A37">
      <w:pPr>
        <w:pStyle w:val="Caption"/>
        <w:rPr>
          <w:noProof/>
          <w:color w:val="auto"/>
        </w:rPr>
      </w:pPr>
      <w:r>
        <w:rPr>
          <w:noProof/>
          <w:color w:val="auto"/>
        </w:rPr>
        <w:t>Napomena: točkasta crta predstavlja linearnu liniju trenda.</w:t>
      </w:r>
    </w:p>
    <w:p w14:paraId="6FF396DB" w14:textId="16CC47F9" w:rsidR="002F5698" w:rsidRPr="00676C4C" w:rsidRDefault="538D884E" w:rsidP="714972F1">
      <w:pPr>
        <w:rPr>
          <w:noProof/>
        </w:rPr>
      </w:pPr>
      <w:r>
        <w:rPr>
          <w:noProof/>
        </w:rPr>
        <w:t xml:space="preserve">Većinu obrazloženih mišljenja 2023. (kao i 2022.) izdao je jedan nacionalni parlament. Talijanski parlament izdao je 2023. devet obrazloženih mišljenja. Od toga je </w:t>
      </w:r>
      <w:r>
        <w:rPr>
          <w:i/>
          <w:noProof/>
        </w:rPr>
        <w:t>Camera dei Deputati</w:t>
      </w:r>
      <w:r>
        <w:rPr>
          <w:noProof/>
        </w:rPr>
        <w:t xml:space="preserve"> izdala šest, a </w:t>
      </w:r>
      <w:r>
        <w:rPr>
          <w:i/>
          <w:noProof/>
        </w:rPr>
        <w:t>Senato della Repubblica</w:t>
      </w:r>
      <w:r>
        <w:rPr>
          <w:noProof/>
        </w:rPr>
        <w:t xml:space="preserve"> tri obrazložena mišljenja. Švedski </w:t>
      </w:r>
      <w:r>
        <w:rPr>
          <w:i/>
          <w:noProof/>
        </w:rPr>
        <w:t>Riksdag</w:t>
      </w:r>
      <w:r>
        <w:rPr>
          <w:noProof/>
        </w:rPr>
        <w:t xml:space="preserve"> izdao je 2023. pet obrazloženih mišljenja, što je 23 % ukupnog broja (2022. izdao je 14 obrazloženih mišljenja, što je više od 40 % svih obrazloženih mišljenja). Ta </w:t>
      </w:r>
      <w:r>
        <w:rPr>
          <w:b/>
          <w:noProof/>
        </w:rPr>
        <w:t>dva parlamenta zajedno su izdala dvije trećine svih obrazloženih mišljenja</w:t>
      </w:r>
      <w:r>
        <w:rPr>
          <w:noProof/>
        </w:rPr>
        <w:t xml:space="preserve"> zaprimljenih 2023. </w:t>
      </w:r>
    </w:p>
    <w:p w14:paraId="72FC2A76" w14:textId="3278970E" w:rsidR="00DD7AFB" w:rsidRPr="00676C4C" w:rsidRDefault="0DA5DFF5" w:rsidP="714972F1">
      <w:pPr>
        <w:rPr>
          <w:noProof/>
        </w:rPr>
      </w:pPr>
      <w:r>
        <w:rPr>
          <w:noProof/>
        </w:rPr>
        <w:t xml:space="preserve">Druga obrazložena mišljenja 2023. izdali su francuski </w:t>
      </w:r>
      <w:r>
        <w:rPr>
          <w:i/>
          <w:noProof/>
        </w:rPr>
        <w:t>Sénat</w:t>
      </w:r>
      <w:r>
        <w:rPr>
          <w:noProof/>
        </w:rPr>
        <w:t xml:space="preserve"> (tri) i češka </w:t>
      </w:r>
      <w:r>
        <w:rPr>
          <w:i/>
          <w:noProof/>
        </w:rPr>
        <w:t>Poslanecká sněmovna</w:t>
      </w:r>
      <w:r>
        <w:rPr>
          <w:noProof/>
        </w:rPr>
        <w:t xml:space="preserve">, mađarski </w:t>
      </w:r>
      <w:r>
        <w:rPr>
          <w:i/>
          <w:noProof/>
        </w:rPr>
        <w:t>Országgyűlés</w:t>
      </w:r>
      <w:r>
        <w:rPr>
          <w:noProof/>
        </w:rPr>
        <w:t xml:space="preserve">, ciparski </w:t>
      </w:r>
      <w:r>
        <w:rPr>
          <w:i/>
          <w:noProof/>
        </w:rPr>
        <w:t>Vouli ton Antiprosopon</w:t>
      </w:r>
      <w:r>
        <w:rPr>
          <w:noProof/>
        </w:rPr>
        <w:t xml:space="preserve">, nizozemski </w:t>
      </w:r>
      <w:r>
        <w:rPr>
          <w:i/>
          <w:noProof/>
        </w:rPr>
        <w:t>Eerste Kamer</w:t>
      </w:r>
      <w:r>
        <w:rPr>
          <w:noProof/>
        </w:rPr>
        <w:t xml:space="preserve"> i nizozemski </w:t>
      </w:r>
      <w:r>
        <w:rPr>
          <w:i/>
          <w:noProof/>
        </w:rPr>
        <w:t>Tweede Kamer</w:t>
      </w:r>
      <w:r>
        <w:rPr>
          <w:noProof/>
        </w:rPr>
        <w:t xml:space="preserve"> (svaki po jedno). To znači da je 2023. obrazložena mišljenja izdalo devet od 39 nacionalnih parlamenata ili domova iz sedam država članica (13 u 2022., sedam u 2021. i osam u 2020.). </w:t>
      </w:r>
    </w:p>
    <w:p w14:paraId="50C99819" w14:textId="3D623090" w:rsidR="002F7268" w:rsidRPr="00676C4C" w:rsidRDefault="5CC33116" w:rsidP="22F05443">
      <w:pPr>
        <w:rPr>
          <w:noProof/>
        </w:rPr>
      </w:pPr>
      <w:r>
        <w:rPr>
          <w:noProof/>
        </w:rPr>
        <w:t xml:space="preserve">Kad je riječ o temi, 22 obrazložena mišljenja zaprimljena 2023. ticala su se više tema, točnije odnosila su se na </w:t>
      </w:r>
      <w:r>
        <w:rPr>
          <w:b/>
          <w:noProof/>
        </w:rPr>
        <w:t>14 različitih prijedloga Komisije</w:t>
      </w:r>
      <w:r>
        <w:rPr>
          <w:noProof/>
        </w:rPr>
        <w:t>, pri čemu ni za jedan prijedlog nije zaprimljeno više od tri obrazložena mišljenja. Šest prijedloga bilo je povezano s Komisijinim glavnim prioritetom</w:t>
      </w:r>
      <w:r>
        <w:rPr>
          <w:rStyle w:val="FootnoteReference"/>
          <w:noProof/>
          <w:lang w:val="en-IE"/>
        </w:rPr>
        <w:footnoteReference w:id="64"/>
      </w:r>
      <w:r>
        <w:rPr>
          <w:noProof/>
        </w:rPr>
        <w:t xml:space="preserve"> „europski zeleni plan”, po tri su s glavnim prioritetom „Europa spremna za digitalno doba” i „Novi poticaj europskoj demokraciji”, a dva s glavnim prioritetom „Gospodarstvo u interesu građana”. </w:t>
      </w:r>
    </w:p>
    <w:p w14:paraId="1180E2AD" w14:textId="39CA8811" w:rsidR="00C627D1" w:rsidRPr="00676C4C" w:rsidRDefault="1B3ECE0F" w:rsidP="49021F21">
      <w:pPr>
        <w:rPr>
          <w:i/>
          <w:iCs/>
          <w:noProof/>
        </w:rPr>
      </w:pPr>
      <w:r>
        <w:rPr>
          <w:noProof/>
        </w:rPr>
        <w:t>Obrazložena mišljenja zaprimljena 2023. koja odgovaraju najvećem broju glasova nacionalnih parlamenata</w:t>
      </w:r>
      <w:r>
        <w:rPr>
          <w:rStyle w:val="FootnoteReference"/>
          <w:noProof/>
          <w:lang w:val="en-IE"/>
        </w:rPr>
        <w:footnoteReference w:id="65"/>
      </w:r>
      <w:r>
        <w:rPr>
          <w:noProof/>
        </w:rPr>
        <w:t xml:space="preserve"> odnosila su se na prijedlog o biljkama dobivenima određenim novim genomskim tehnikama</w:t>
      </w:r>
      <w:r>
        <w:rPr>
          <w:rStyle w:val="FootnoteReference"/>
          <w:noProof/>
          <w:lang w:val="en-IE"/>
        </w:rPr>
        <w:footnoteReference w:id="66"/>
      </w:r>
      <w:r>
        <w:rPr>
          <w:noProof/>
        </w:rPr>
        <w:t>, za koji su zaprimljena dva obrazložena mišljenja koja su odgovarala četirima glasovima. Međutim, nije dosegnuo prag za objedinjeni odgovor Komisije</w:t>
      </w:r>
      <w:r>
        <w:rPr>
          <w:rStyle w:val="FootnoteReference"/>
          <w:noProof/>
          <w:lang w:val="en-IE"/>
        </w:rPr>
        <w:footnoteReference w:id="67"/>
      </w:r>
      <w:r>
        <w:rPr>
          <w:noProof/>
        </w:rPr>
        <w:t xml:space="preserve">, pa tako ni za „žuti karton”, zbog kojeg bi Komisija morala navesti razloge za zadržavanje, izmjenu ili povlačenje svojeg prijedloga. Za šest drugih prijedloga zaprimljena su dva ili tri obrazložena mišljenja koja su odgovarala dvama ili trima glasovima. Za preostalih sedam prijedloga zaprimljeno je samo po jedno obrazloženo mišljenje (za sve pojedinosti vidjeti Prilog 1.). </w:t>
      </w:r>
    </w:p>
    <w:p w14:paraId="0A59623B" w14:textId="6855A1E2" w:rsidR="00F96EA9" w:rsidRPr="00676C4C" w:rsidRDefault="006B16C8" w:rsidP="00DC62E6">
      <w:pPr>
        <w:rPr>
          <w:noProof/>
        </w:rPr>
      </w:pPr>
      <w:bookmarkStart w:id="3" w:name="_Hlk97273293"/>
      <w:r>
        <w:rPr>
          <w:noProof/>
        </w:rPr>
        <w:t>Sljedeći odjeljak 3.2. sadržava glavne primjere prijedloga za koje je zaprimljeno više obrazloženih mišljenja.</w:t>
      </w:r>
    </w:p>
    <w:p w14:paraId="33E6DBE9" w14:textId="0F59D7D6" w:rsidR="00FF481F" w:rsidRPr="00676C4C" w:rsidRDefault="00884E17" w:rsidP="507099E6">
      <w:pPr>
        <w:pStyle w:val="2Titre2"/>
        <w:numPr>
          <w:ilvl w:val="0"/>
          <w:numId w:val="0"/>
        </w:numPr>
        <w:rPr>
          <w:noProof/>
        </w:rPr>
      </w:pPr>
      <w:bookmarkStart w:id="4" w:name="_Hlk125711697"/>
      <w:bookmarkEnd w:id="3"/>
      <w:r>
        <w:rPr>
          <w:noProof/>
        </w:rPr>
        <w:t>3.2. Glavni primjeri</w:t>
      </w:r>
    </w:p>
    <w:p w14:paraId="442F25A8" w14:textId="57F8DFB4" w:rsidR="000168B9" w:rsidRPr="00676C4C" w:rsidRDefault="5DB51725" w:rsidP="000168B9">
      <w:pPr>
        <w:rPr>
          <w:noProof/>
        </w:rPr>
      </w:pPr>
      <w:bookmarkStart w:id="5" w:name="_Hlk158715130"/>
      <w:bookmarkEnd w:id="4"/>
      <w:r>
        <w:rPr>
          <w:noProof/>
        </w:rPr>
        <w:t xml:space="preserve">Najveći broj mišljenja 2023. zaprimljen je za Prijedlog uredbe </w:t>
      </w:r>
      <w:r>
        <w:rPr>
          <w:b/>
          <w:noProof/>
        </w:rPr>
        <w:t>o ambalaži i ambalažnom otpadu</w:t>
      </w:r>
      <w:r>
        <w:rPr>
          <w:noProof/>
          <w:vertAlign w:val="superscript"/>
          <w:lang w:val="en-IE"/>
        </w:rPr>
        <w:footnoteReference w:id="68"/>
      </w:r>
      <w:r>
        <w:rPr>
          <w:noProof/>
        </w:rPr>
        <w:t xml:space="preserve"> u okviru glavnog prioriteta Komisije </w:t>
      </w:r>
      <w:r>
        <w:rPr>
          <w:noProof/>
          <w:u w:val="single"/>
        </w:rPr>
        <w:t>„europski zeleni plan”</w:t>
      </w:r>
      <w:r>
        <w:rPr>
          <w:noProof/>
        </w:rPr>
        <w:t>. Zaprimljena su tri obrazložena mišljenja</w:t>
      </w:r>
      <w:r>
        <w:rPr>
          <w:rStyle w:val="FootnoteReference"/>
          <w:noProof/>
          <w:lang w:val="en-IE"/>
        </w:rPr>
        <w:footnoteReference w:id="69"/>
      </w:r>
      <w:r>
        <w:rPr>
          <w:noProof/>
        </w:rPr>
        <w:t xml:space="preserve"> i šest mišljenja u okviru političkog dijaloga</w:t>
      </w:r>
      <w:r>
        <w:rPr>
          <w:rStyle w:val="FootnoteReference"/>
          <w:noProof/>
          <w:lang w:val="en-IE"/>
        </w:rPr>
        <w:footnoteReference w:id="70"/>
      </w:r>
      <w:r>
        <w:rPr>
          <w:noProof/>
        </w:rPr>
        <w:t>.</w:t>
      </w:r>
    </w:p>
    <w:p w14:paraId="5FC4715A" w14:textId="005BCD96" w:rsidR="000168B9" w:rsidRPr="00A16EF6" w:rsidRDefault="170001F8" w:rsidP="49021F21">
      <w:pPr>
        <w:rPr>
          <w:rFonts w:eastAsia="Times New Roman"/>
          <w:noProof/>
          <w:highlight w:val="red"/>
        </w:rPr>
      </w:pPr>
      <w:r>
        <w:rPr>
          <w:noProof/>
        </w:rPr>
        <w:t xml:space="preserve">Oba talijanska doma u svojim su obrazloženim mišljenjima navela da ne vide potrebu za zakonodavstvom na razini EU-a, posebno za promicanje modela ponovne uporabe na štetu uspješnih modela recikliranja na nacionalnoj razini. Francuski </w:t>
      </w:r>
      <w:r>
        <w:rPr>
          <w:i/>
          <w:noProof/>
        </w:rPr>
        <w:t>Sénat</w:t>
      </w:r>
      <w:r>
        <w:rPr>
          <w:noProof/>
        </w:rPr>
        <w:t xml:space="preserve"> istaknuo je rizik od ugrožavanja ambicioznijeg nacionalnog zakonodavstva u vezi s primjenom članka 114. Ugovora o funkcioniranju Europske unije kao jedine pravne osnove te je istaknuo potrebu za poštovanjem načela tehnološke neutralnosti u vezi sa zahtjevom za uspostavu sustava povratne naknade za jednokratne plastične boce i limenke. Talijanska </w:t>
      </w:r>
      <w:r>
        <w:rPr>
          <w:i/>
          <w:noProof/>
        </w:rPr>
        <w:t>Camera dei Deputati</w:t>
      </w:r>
      <w:r>
        <w:rPr>
          <w:noProof/>
        </w:rPr>
        <w:t xml:space="preserve"> smatrala je da bi države članice koje recikliraju velike količine ambalažnog otpada trebale biti izuzete od obveze ponovne uporabe i uspostave sustava povratne naknade. Sva tri doma smatrala su da bi direktiva bila prikladniji pravni instrument od uredbe te su navela da predviđeno donošenje delegiranih akata ne bi smjelo omogućiti Komisiji da regulira i druge elemente osim onih koji nisu ključni. Oba talijanska doma smatrala su da su ograničenja za određenu jednokratnu ambalažu neproporcionalna i da uključuju rizike za sigurnost hrane. Talijanski </w:t>
      </w:r>
      <w:r>
        <w:rPr>
          <w:i/>
          <w:noProof/>
        </w:rPr>
        <w:t>Senato della Repubblica</w:t>
      </w:r>
      <w:r>
        <w:rPr>
          <w:noProof/>
        </w:rPr>
        <w:t xml:space="preserve"> usto je uočio rizik od recikliranja ambalaže lijekova i pozvao na to da se ona izuzme od zahtjeva u pogledu mogućnosti recikliranja. Talijanska </w:t>
      </w:r>
      <w:r>
        <w:rPr>
          <w:i/>
          <w:noProof/>
        </w:rPr>
        <w:t>Camera dei Deputati</w:t>
      </w:r>
      <w:r>
        <w:rPr>
          <w:noProof/>
        </w:rPr>
        <w:t xml:space="preserve"> izrazila je zabrinutost zbog zahtjeva obveznog recikliranog udjela za ambalažu lijekova i ambalažu koja dolazi u dodir s hranom te je pozvala na proširenje popisa primjena za ambalažu od materijala koji se mogu kompostirati. </w:t>
      </w:r>
    </w:p>
    <w:p w14:paraId="0E3D62F0" w14:textId="66B0EF1C" w:rsidR="000168B9" w:rsidRPr="000F77E2" w:rsidRDefault="552F4681" w:rsidP="000168B9">
      <w:pPr>
        <w:rPr>
          <w:noProof/>
        </w:rPr>
      </w:pPr>
      <w:r>
        <w:rPr>
          <w:noProof/>
        </w:rPr>
        <w:t xml:space="preserve">I u mišljenjima u okviru političkog dijaloga istaknuta je potreba da taj prijedlog državama članicama omogući veću fleksibilnost. Slično kao i talijanski parlament, poljski </w:t>
      </w:r>
      <w:r>
        <w:rPr>
          <w:i/>
          <w:noProof/>
        </w:rPr>
        <w:t>Senat</w:t>
      </w:r>
      <w:r>
        <w:rPr>
          <w:noProof/>
        </w:rPr>
        <w:t xml:space="preserve"> kritizirao je procjenu učinka i pozvao na detaljnu analizu kako bi se osiguralo da su predloženi novi ciljevi realistični, mjerljivi i tehnički izvedivi. Češka </w:t>
      </w:r>
      <w:r>
        <w:rPr>
          <w:i/>
          <w:noProof/>
        </w:rPr>
        <w:t>Poslanecká sněmovna</w:t>
      </w:r>
      <w:r>
        <w:rPr>
          <w:noProof/>
        </w:rPr>
        <w:t xml:space="preserve"> predložila je da se cilj smanjenja ambalažnog otpada izračuna na temelju količine proizvedenog ambalažnog otpada po stanovniku. Rumunjski </w:t>
      </w:r>
      <w:r>
        <w:rPr>
          <w:i/>
          <w:noProof/>
        </w:rPr>
        <w:t>Senat</w:t>
      </w:r>
      <w:r>
        <w:rPr>
          <w:noProof/>
        </w:rPr>
        <w:t xml:space="preserve"> zatražio je pojašnjenja korištenih definicija i odgovornosti gospodarskih subjekata.</w:t>
      </w:r>
    </w:p>
    <w:p w14:paraId="64095179" w14:textId="3E1FD3BF" w:rsidR="000168B9" w:rsidRPr="00676C4C" w:rsidRDefault="58C5A384" w:rsidP="000168B9">
      <w:pPr>
        <w:rPr>
          <w:noProof/>
        </w:rPr>
      </w:pPr>
      <w:r>
        <w:rPr>
          <w:noProof/>
        </w:rPr>
        <w:t>Komisija je u svojim odgovorima tvrdila da su predložene mjere potrebne kako bi se osigurao prelazak na kružno gospodarstvo i spriječio neodrživ rast ambalažnog otpada. Smatrala je da su sustavi povratne naknade među glavnim poticajnim mjerama za postizanje tih ciljeva. Osim toga, istaknula je da bi države članice koje na drugi način ostvare visoku stopu prikupljanja ciljanih oblika ambalaže mogle odlučiti da neće uspostaviti takve sustave. Kad je riječ o odabiru pravnog instrumenta, Komisija je tvrdila da je neophodno da to bude uredba kako bi se postigli ciljevi prijedloga i da je zahtjev da se državama članicama omogući veća fleksibilnost ispunjen jasnim definiranjem granica pravnih odredaba u tekstu prijedloga. Kad je riječ o ambalaži lijekova, Komisija je istaknula da se u prijedlogu predviđa dulje prijelazno razdoblje za usklađivanje sa zahtjevima u pogledu mogućnosti recikliranja i da se lijekovi izuzimaju od zahtjeva u pogledu recikliranog udjela. Kad je riječ o zabrinutosti zbog učinaka na sigurnost hrane, Komisija je tvrdila da jednokratna ambalaža ne povećava sigurnost hrane, ali se složila da je potrebno izuzeti ambalažu za osjetljivo voće i povrće iz zabrana. Kad je riječ o procjeni učinka i potrebi za pojašnjenjem, Komisija je objasnila da se metodologija temelji na načelima utvrđivanja ekološkog otiska i da surađuje sa suzakonodavcima kako bi osigurala jasnije definicija i dodjelu odgovornosti gospodarskim subjektima.</w:t>
      </w:r>
      <w:bookmarkEnd w:id="5"/>
    </w:p>
    <w:p w14:paraId="778968DD" w14:textId="58A73D62" w:rsidR="00EE6B6B" w:rsidRPr="00676C4C" w:rsidRDefault="1B5C5D4B" w:rsidP="00EE6B6B">
      <w:pPr>
        <w:rPr>
          <w:noProof/>
        </w:rPr>
      </w:pPr>
      <w:r>
        <w:rPr>
          <w:noProof/>
        </w:rPr>
        <w:t xml:space="preserve">Za Prijedlog uredbe o </w:t>
      </w:r>
      <w:r>
        <w:rPr>
          <w:b/>
          <w:noProof/>
        </w:rPr>
        <w:t>određenim novim genomskim tehnikama</w:t>
      </w:r>
      <w:r>
        <w:rPr>
          <w:rStyle w:val="FootnoteReference"/>
          <w:noProof/>
          <w:lang w:val="en-IE"/>
        </w:rPr>
        <w:footnoteReference w:id="71"/>
      </w:r>
      <w:r>
        <w:rPr>
          <w:noProof/>
        </w:rPr>
        <w:t xml:space="preserve"> zaprimljena su dva obrazložena mišljenja</w:t>
      </w:r>
      <w:r>
        <w:rPr>
          <w:rStyle w:val="FootnoteReference"/>
          <w:noProof/>
          <w:lang w:val="en-IE"/>
        </w:rPr>
        <w:footnoteReference w:id="72"/>
      </w:r>
      <w:r>
        <w:rPr>
          <w:noProof/>
        </w:rPr>
        <w:t xml:space="preserve"> i sedam mišljenja u okviru političkog dijaloga</w:t>
      </w:r>
      <w:r>
        <w:rPr>
          <w:rStyle w:val="FootnoteReference"/>
          <w:noProof/>
          <w:lang w:val="en-IE"/>
        </w:rPr>
        <w:footnoteReference w:id="73"/>
      </w:r>
      <w:r>
        <w:rPr>
          <w:noProof/>
        </w:rPr>
        <w:t xml:space="preserve">. Ciparski </w:t>
      </w:r>
      <w:r>
        <w:rPr>
          <w:i/>
          <w:noProof/>
        </w:rPr>
        <w:t>Vouli ton Antiprosopon</w:t>
      </w:r>
      <w:r>
        <w:rPr>
          <w:noProof/>
        </w:rPr>
        <w:t xml:space="preserve"> i mađarski </w:t>
      </w:r>
      <w:r>
        <w:rPr>
          <w:i/>
          <w:noProof/>
        </w:rPr>
        <w:t>Országgyűlés</w:t>
      </w:r>
      <w:r>
        <w:rPr>
          <w:noProof/>
        </w:rPr>
        <w:t xml:space="preserve"> u svojim su obrazloženim mišljenjima iznijeli stajalište da je načelo supsidijarnosti prekršeno odredbom koja onemogućava državama članicama da donesu mjere koje na cijelom njihovu državnom području ili njegovu dijelu ograničavaju ili zabranjuju uzgoj biljaka dobivenih novim genomskim tehnikama 2. kategorije (tj. biljaka koje se, za razliku od biljaka dobivenih novim genomskim tehnikama 1. kategorije, </w:t>
      </w:r>
      <w:r>
        <w:rPr>
          <w:noProof/>
          <w:u w:val="single"/>
        </w:rPr>
        <w:t>ne</w:t>
      </w:r>
      <w:r>
        <w:rPr>
          <w:noProof/>
        </w:rPr>
        <w:t xml:space="preserve"> mogu pojaviti i prirodno ni proizvesti konvencionalnim tehnikama uzgoja). Taj se argument pojavio i u nekim mišljenjima u okviru političkog dijaloga. Prijedlog je kritiziran i zbog nedostatne pravne osnove, zabrinutosti zbog transparentnosti i slobode izbora za potrošače, zaštite potrošača i učinka koji na njih može imati ograničavanje zahtjeva u pogledu označivanja biljaka dobivenih novim genomskim tehnikama 1. kategorije na biljni reprodukcijski materijal, zabrinutosti u pogledu usklađenosti s načelima proporcionalnosti i predostrožnosti te zabrinutosti zbog rizika od narušavanja tržišnog natjecanja ako neki uzgajivači dobiju patente za nove genomske tehnike. Mišljenja su uključivala i različite zahtjeve, na primjer za zabranu patentiranja novih genomskih tehnika 1. kategorije i sprečavanje monopolizacije sektora, za studiju o učinku patenata i s njima povezanih licencija, za istu razinu kontrole za biljke proizvedene u trećim zemljama i za reguliranje primjene novih genomskih tehnika na mikroorganizmima. </w:t>
      </w:r>
    </w:p>
    <w:p w14:paraId="6D88D15B" w14:textId="1B710EFD" w:rsidR="00EE6B6B" w:rsidRPr="00676C4C" w:rsidRDefault="650B14AE" w:rsidP="00EE6B6B">
      <w:pPr>
        <w:rPr>
          <w:noProof/>
        </w:rPr>
      </w:pPr>
      <w:r>
        <w:rPr>
          <w:noProof/>
        </w:rPr>
        <w:t>Komisija je u svojim odgovorima objasnila da se mogućnost izuzeća ne može primijeniti za suzbijanje rizika za zdravlje ljudi ili životinja ili za okoliš koji proizlaze iz genetski modificiranih organizama (GMO). Takvi su rizici već procijenjeni u znanstvenoj procjeni usklađenom na razini EU-a. Osim toga, isključenje mogućnosti izuzeća za biljke dobivene novim genomskim tehnikama 2. kategorije nije povezano sa sigurnosnim aspektima takvih biljaka upravo zato što bi biljke dobivene novim genomskim tehnikama 2. kategorije bile odobrene samo ako su sigurne. Kad je riječ o pravnoj osnovi, Komisija je ukazala na usklađenost prijedloga s postojećim zakonodavstvom o GMO-ima u pogledu namjernog uvođenja i stavljanja GMO-a na tržište. Kad je riječ o označivanju, Komisija je jasno dala do znanja da zahtjev da se proizvodi od takvih biljaka označe kao genetski modificirani ne bi točno odražavao činjenicu da se isti proizvod može dobiti konvencionalnim sredstvima. Kad je riječ o načelima proporcionalnosti i predostrožnosti, Komisija je uputila na stajalište Europske agencije za sigurnost hrane da ne postoje nove opasnosti koje su posebno povezane s ciljanom mutagenezom i cisgenezom (u usporedbi s konvencionalnim uzgojem ili postojećim genomskim tehnikama). Kad je riječ o patentima i tržišnom natjecanju, Komisija je izjavila da je svjesna da je mogućnost patentiranja biljaka dobivenih novim genomskim tehnikama razlog za zabrinutost mnogih te da će zato procijeniti učinak patentiranja biljaka na inovacije u uzgoju biljaka, pristup oplemenjivača genetskom materijalu i tehnikama, dostupnost sjemena poljoprivrednicima i ukupnu konkurentnost biotehnološke industrije EU-a. Navela je i da će do 2026. objaviti izvješće sa svojim nalazima.</w:t>
      </w:r>
    </w:p>
    <w:p w14:paraId="3F2DF964" w14:textId="3E1A3E17" w:rsidR="00896C5D" w:rsidRPr="00676C4C" w:rsidRDefault="038069D3" w:rsidP="43EF3AFF">
      <w:pPr>
        <w:rPr>
          <w:noProof/>
        </w:rPr>
      </w:pPr>
      <w:r>
        <w:rPr>
          <w:noProof/>
        </w:rPr>
        <w:t xml:space="preserve">Za prijedlog </w:t>
      </w:r>
      <w:r>
        <w:rPr>
          <w:b/>
          <w:noProof/>
        </w:rPr>
        <w:t>Akta o praćenju tla</w:t>
      </w:r>
      <w:r>
        <w:rPr>
          <w:noProof/>
          <w:vertAlign w:val="superscript"/>
          <w:lang w:val="en-IE"/>
        </w:rPr>
        <w:footnoteReference w:id="74"/>
      </w:r>
      <w:r>
        <w:rPr>
          <w:noProof/>
        </w:rPr>
        <w:t xml:space="preserve"> zaprimljena su dva obrazložena mišljenja</w:t>
      </w:r>
      <w:r>
        <w:rPr>
          <w:rStyle w:val="FootnoteReference"/>
          <w:noProof/>
          <w:lang w:val="en-IE"/>
        </w:rPr>
        <w:footnoteReference w:id="75"/>
      </w:r>
      <w:r>
        <w:rPr>
          <w:noProof/>
        </w:rPr>
        <w:t xml:space="preserve"> i tri mišljenja u okviru političkog dijaloga</w:t>
      </w:r>
      <w:r>
        <w:rPr>
          <w:rStyle w:val="FootnoteReference"/>
          <w:noProof/>
          <w:lang w:val="en-IE"/>
        </w:rPr>
        <w:footnoteReference w:id="76"/>
      </w:r>
      <w:r>
        <w:rPr>
          <w:noProof/>
        </w:rPr>
        <w:t xml:space="preserve">. U svojim identičnim obrazloženim mišljenjima oba nizozemska doma tvrdila su da su učinci onečišćenja tla putem zraka i vode nacionalno pitanje i da koristi od predloženih mjera nisu dokazane u pojedinačnim državama članicama. Prema njihovu mišljenju prijedlog ne bi omogućio jednake uvjete jer se odnosi na učinke onečišćenja, a ne na njegove izvore. Češki </w:t>
      </w:r>
      <w:r>
        <w:rPr>
          <w:i/>
          <w:noProof/>
        </w:rPr>
        <w:t>Senát</w:t>
      </w:r>
      <w:r>
        <w:rPr>
          <w:noProof/>
        </w:rPr>
        <w:t xml:space="preserve">, talijanski </w:t>
      </w:r>
      <w:r>
        <w:rPr>
          <w:i/>
          <w:noProof/>
        </w:rPr>
        <w:t>Senato della Repubblica</w:t>
      </w:r>
      <w:r>
        <w:rPr>
          <w:noProof/>
        </w:rPr>
        <w:t xml:space="preserve"> i austrijski </w:t>
      </w:r>
      <w:r>
        <w:rPr>
          <w:i/>
          <w:noProof/>
        </w:rPr>
        <w:t>Bundesrat</w:t>
      </w:r>
      <w:r>
        <w:rPr>
          <w:noProof/>
        </w:rPr>
        <w:t xml:space="preserve"> u svojim su mišljenjima istaknuli da bi države članice trebale moći uzeti u obzir lokalne uvjete, postojeće politike i nadležnosti na podnacionalnoj razini. Istaknuli su i da bi prijedlog mogao uzrokovati povećano administrativno opterećenje za države članice.</w:t>
      </w:r>
    </w:p>
    <w:p w14:paraId="61C54865" w14:textId="5608E9CD" w:rsidR="00896C5D" w:rsidRPr="00676C4C" w:rsidRDefault="038069D3" w:rsidP="43EF3AFF">
      <w:pPr>
        <w:rPr>
          <w:noProof/>
        </w:rPr>
      </w:pPr>
      <w:r>
        <w:rPr>
          <w:noProof/>
        </w:rPr>
        <w:t xml:space="preserve">Komisija je u svojim odgovorima naglasila da je za postizanje zdravog tla do 2050. potreban čvrst okvir za praćenje i procjenu s mjerama za održivo upravljanje tlom i zagađene lokacije imajući u vidu razmjere i negativan razvoj problema posljednjih desetljeća, prekogranične učinke povezane sa zdravljem tla i znatne troškove upravljanja učinkom nezdravog tla. Objasnila je da je njezin prijedlog usmjeren na rješavanje prekograničnih učinaka degradacije tla, osiguravanje jednakih tržišnih uvjeta i promicanje usklađenosti politika na razini EU-a i na nacionalnoj razini, pri čemu se državama članicama ostavlja fleksibilnost u provedbi potrebnih mjera na način koji im omogućuje da uzmu u obzir varijabilnost tla, lokalne uvjete, postojeće politike i prakse te nadležnosti na regionalnoj razini u nekim državama članicama. Osim toga, prijedlog sadržava odredbe koje su potrebne i prikladne za postizanje zdravog tla, ali je administrativno opterećenje povezano s tim svedeno na najmanju moguću mjeru. Državama članicama dalo bi se dovoljno vremena da postupno uspostave upravljanje, mehanizme za praćenje i procjenu zdravlja tla i mjere potrebne za provedbu načela održivog upravljanja tlom i sanaciju zagađenih lokacija. </w:t>
      </w:r>
    </w:p>
    <w:p w14:paraId="4924C9FA" w14:textId="4DB5E82B" w:rsidR="006F6B59" w:rsidRPr="00676C4C" w:rsidRDefault="60C701D5" w:rsidP="006F6B59">
      <w:pPr>
        <w:rPr>
          <w:rFonts w:eastAsia="Calibri"/>
          <w:noProof/>
        </w:rPr>
      </w:pPr>
      <w:r>
        <w:rPr>
          <w:rStyle w:val="ui-provider"/>
          <w:noProof/>
        </w:rPr>
        <w:t xml:space="preserve">Za prijedlog o </w:t>
      </w:r>
      <w:r>
        <w:rPr>
          <w:rStyle w:val="ui-provider"/>
          <w:b/>
          <w:noProof/>
        </w:rPr>
        <w:t>emisijskim normama za CO₂ i obvezama izvješćivanja za nova teška vozila</w:t>
      </w:r>
      <w:r>
        <w:rPr>
          <w:rStyle w:val="FootnoteReference"/>
          <w:noProof/>
          <w:lang w:val="en-IE"/>
        </w:rPr>
        <w:footnoteReference w:id="77"/>
      </w:r>
      <w:r>
        <w:rPr>
          <w:rStyle w:val="ui-provider"/>
          <w:noProof/>
        </w:rPr>
        <w:t xml:space="preserve"> zaprimljena su dva obrazložena mišljenja</w:t>
      </w:r>
      <w:r>
        <w:rPr>
          <w:rStyle w:val="FootnoteReference"/>
          <w:noProof/>
          <w:lang w:val="en-IE"/>
        </w:rPr>
        <w:footnoteReference w:id="78"/>
      </w:r>
      <w:r>
        <w:rPr>
          <w:rStyle w:val="ui-provider"/>
          <w:noProof/>
        </w:rPr>
        <w:t xml:space="preserve"> i jedno mišljenje u okviru političkog dijaloga</w:t>
      </w:r>
      <w:r>
        <w:rPr>
          <w:rStyle w:val="FootnoteReference"/>
          <w:noProof/>
          <w:lang w:val="en-IE"/>
        </w:rPr>
        <w:footnoteReference w:id="79"/>
      </w:r>
      <w:r>
        <w:rPr>
          <w:rStyle w:val="ui-provider"/>
          <w:noProof/>
        </w:rPr>
        <w:t>. Oba talijanska doma tvrdila su da se načelo supsidijarnosti ne poštuje jer predloženi</w:t>
      </w:r>
      <w:r>
        <w:rPr>
          <w:noProof/>
        </w:rPr>
        <w:t xml:space="preserve"> ciljevi smanjenja emisija CO</w:t>
      </w:r>
      <w:r>
        <w:rPr>
          <w:noProof/>
          <w:vertAlign w:val="subscript"/>
        </w:rPr>
        <w:t>2</w:t>
      </w:r>
      <w:r>
        <w:rPr>
          <w:noProof/>
        </w:rPr>
        <w:t xml:space="preserve"> nisu izvedivi ni opravdani, ali i zato što taj sektor proizvodi samo skromne emisije. Istaknula su da je cilj postizanja nulte stope emisija za lokalni autobusni prijevoz do 2030. pretjerano ambiciozan i da su potrebni poticaji EU-a za ulaganja. Češki </w:t>
      </w:r>
      <w:r>
        <w:rPr>
          <w:i/>
          <w:noProof/>
        </w:rPr>
        <w:t>Senát</w:t>
      </w:r>
      <w:r>
        <w:rPr>
          <w:noProof/>
        </w:rPr>
        <w:t xml:space="preserve"> tvrdio je da bi ciljeve utvrđene 2019. trebalo preispitati tek 2027.</w:t>
      </w:r>
    </w:p>
    <w:p w14:paraId="4C046B2C" w14:textId="1C336439" w:rsidR="00896C5D" w:rsidRPr="00676C4C" w:rsidRDefault="20A3F57D" w:rsidP="008F65E5">
      <w:pPr>
        <w:rPr>
          <w:noProof/>
        </w:rPr>
      </w:pPr>
      <w:r>
        <w:rPr>
          <w:noProof/>
        </w:rPr>
        <w:t>Komisija je u svojim odgovorima uputila na detaljnu procjenu učinka priloženu prijedlogu</w:t>
      </w:r>
      <w:r>
        <w:rPr>
          <w:rStyle w:val="FootnoteReference"/>
          <w:rFonts w:eastAsia="Calibri"/>
          <w:noProof/>
          <w:lang w:val="en-IE"/>
        </w:rPr>
        <w:footnoteReference w:id="80"/>
      </w:r>
      <w:r>
        <w:rPr>
          <w:noProof/>
        </w:rPr>
        <w:t>, koja pokazuje nužnost, dodanu vrijednost i proporcionalnost inicijative. Kad je riječ o razini ambicije i datumu početka primjene ciljeva, Komisija je podsjetila da je promet jedini veliki sektor u gospodarstvu EU-a u kojem su emisije CO</w:t>
      </w:r>
      <w:r>
        <w:rPr>
          <w:noProof/>
          <w:vertAlign w:val="subscript"/>
        </w:rPr>
        <w:t>2</w:t>
      </w:r>
      <w:r>
        <w:rPr>
          <w:noProof/>
        </w:rPr>
        <w:t xml:space="preserve"> i dalje više nego 1990. te da je cestovni promet odgovoran za više od 20 % ukupnih emisija stakleničkih plinova u EU-u. Stoga je istaknula da teška vozila imaju ključnu ulogu u postizanju klimatskih ciljeva EU-a. Prema procjeni učinka </w:t>
      </w:r>
      <w:r>
        <w:rPr>
          <w:rStyle w:val="ui-provider"/>
          <w:noProof/>
        </w:rPr>
        <w:t>taj sektor ima velik potencijal za uvođenje vozila s nultom stopom emisija</w:t>
      </w:r>
      <w:r>
        <w:rPr>
          <w:noProof/>
        </w:rPr>
        <w:t>.</w:t>
      </w:r>
      <w:r>
        <w:rPr>
          <w:rStyle w:val="ui-provider"/>
          <w:noProof/>
        </w:rPr>
        <w:t xml:space="preserve"> Uvođenje autobusa s nultom stopom emisija u vozni park odvijalo bi se postupno, a države članice koje naiđu na poteškoće mogle bi u određenim okolnostima iz regulatornog područja primjene isključiti ograničen broj autobusa. Kad je riječ o ulaganjima potrebnima za obnovu tehnologije vozila i ubrzanje prilagodbe industrije, Komisija je istaknula niz mogućnosti financiranja sredstvima EU-a.</w:t>
      </w:r>
    </w:p>
    <w:p w14:paraId="647ADD33" w14:textId="03B34CB7" w:rsidR="008F65E5" w:rsidRPr="00676C4C" w:rsidRDefault="39BCD0E7" w:rsidP="008F65E5">
      <w:pPr>
        <w:rPr>
          <w:noProof/>
        </w:rPr>
      </w:pPr>
      <w:r>
        <w:rPr>
          <w:noProof/>
        </w:rPr>
        <w:t xml:space="preserve">U okviru prioriteta </w:t>
      </w:r>
      <w:r>
        <w:rPr>
          <w:noProof/>
          <w:u w:val="single"/>
        </w:rPr>
        <w:t>„Novi poticaj europskoj demokraciji”</w:t>
      </w:r>
      <w:r>
        <w:rPr>
          <w:noProof/>
        </w:rPr>
        <w:t xml:space="preserve"> za Prijedlog direktive o </w:t>
      </w:r>
      <w:r>
        <w:rPr>
          <w:b/>
          <w:noProof/>
        </w:rPr>
        <w:t>borbi protiv korupcije</w:t>
      </w:r>
      <w:r>
        <w:rPr>
          <w:rStyle w:val="FootnoteReference"/>
          <w:noProof/>
          <w:lang w:val="en-IE"/>
        </w:rPr>
        <w:footnoteReference w:id="81"/>
      </w:r>
      <w:r>
        <w:rPr>
          <w:noProof/>
        </w:rPr>
        <w:t xml:space="preserve"> zaprimljena su dva obrazložena mišljenja</w:t>
      </w:r>
      <w:r>
        <w:rPr>
          <w:rStyle w:val="FootnoteReference"/>
          <w:noProof/>
          <w:lang w:val="en-IE"/>
        </w:rPr>
        <w:footnoteReference w:id="82"/>
      </w:r>
      <w:r>
        <w:rPr>
          <w:noProof/>
        </w:rPr>
        <w:t xml:space="preserve"> i šest mišljenja u okviru političkog dijaloga</w:t>
      </w:r>
      <w:r>
        <w:rPr>
          <w:rStyle w:val="FootnoteReference"/>
          <w:noProof/>
          <w:lang w:val="en-IE"/>
        </w:rPr>
        <w:footnoteReference w:id="83"/>
      </w:r>
      <w:r>
        <w:rPr>
          <w:noProof/>
        </w:rPr>
        <w:t xml:space="preserve">. Švedski </w:t>
      </w:r>
      <w:r>
        <w:rPr>
          <w:i/>
          <w:noProof/>
        </w:rPr>
        <w:t>Riksdag</w:t>
      </w:r>
      <w:r>
        <w:rPr>
          <w:noProof/>
        </w:rPr>
        <w:t xml:space="preserve"> smatrao je da će se predloženom direktivom prekršiti načelo supsidijarnosti jer se osobi protiv koje se vodi kazneni progon zbog korupcije zabranjuje da se kandidira na izborima za javnu dužnost. Taj argument navela je i talijanska </w:t>
      </w:r>
      <w:r>
        <w:rPr>
          <w:i/>
          <w:noProof/>
        </w:rPr>
        <w:t>Camera dei Deputati</w:t>
      </w:r>
      <w:r>
        <w:rPr>
          <w:noProof/>
        </w:rPr>
        <w:t xml:space="preserve">, koja se nije složila sa zahtjevom da sve države članice zloupotrebu položaja smatraju kaznenim djelom. Imunitet i pravo na kandidiranje na izborima bili su glavna tema i u mišljenjima u okviru političkog dijaloga. Talijanski </w:t>
      </w:r>
      <w:r>
        <w:rPr>
          <w:i/>
          <w:noProof/>
        </w:rPr>
        <w:t>Senato della Repubblica</w:t>
      </w:r>
      <w:r>
        <w:rPr>
          <w:noProof/>
        </w:rPr>
        <w:t xml:space="preserve"> i oba austrijska doma naglasili su da bi pravila o ukidanju imuniteta trebala biti u nadležnosti nacionalnih parlamenata. I oba češka doma izrazila su sumnje u vezi s tom odredbom, posebno u pogledu supsidijarnosti. Nasuprot tomu, portugalska </w:t>
      </w:r>
      <w:r>
        <w:rPr>
          <w:i/>
          <w:noProof/>
        </w:rPr>
        <w:t>Assembleia da República</w:t>
      </w:r>
      <w:r>
        <w:rPr>
          <w:noProof/>
        </w:rPr>
        <w:t xml:space="preserve"> izjavila je da će predložena direktiva biti u skladu s načelima supsidijarnosti i proporcionalnosti.</w:t>
      </w:r>
    </w:p>
    <w:p w14:paraId="181CF2FD" w14:textId="63FF9460" w:rsidR="008F65E5" w:rsidRPr="00676C4C" w:rsidRDefault="0A7FB36D" w:rsidP="43EF3AFF">
      <w:pPr>
        <w:rPr>
          <w:noProof/>
        </w:rPr>
      </w:pPr>
      <w:r>
        <w:rPr>
          <w:noProof/>
        </w:rPr>
        <w:t>Komisija je u svojim odgovorima naglasila da je njezin prijedlog ograničen na ono što je nužno i razmjerno za učinkovito sprečavanje i borbu protiv korupcije. Kad je riječ o uvođenju kaznenog djela zlouporabe položaja, Komisija je smatrala da je to važno sredstvo u borbi protiv korupcije jer obuhvaća nezakonitu upotrebu javnih ovlasti za osobnu korist i već je kazneno djelo u 25 od 27 država članica. Kad je riječ o zabrani kandidiranja na izborima, Komisija je podsjetila da bi se prekidom ili zabranom obnašanja javnih dužnosti (bilo da su izabrane za te dužnosti ili ne) spriječilo osobe osuđene za korupciju da ostanu na određenim položajima vlasti na kojima su provodile svoje koruptivne radnje. Komisija je naglasila da će se u predloženoj direktivi od nacionalnih zakonodavaca zahtijevati samo da predvide mogućnost nametanja tih dodatnih sankcija, a da će konačnu odluku donijeti nacionalni sudovi.</w:t>
      </w:r>
    </w:p>
    <w:p w14:paraId="288BC390" w14:textId="35F4E8AB" w:rsidR="00B868F1" w:rsidRPr="00676C4C" w:rsidRDefault="7B9EBF05" w:rsidP="00B868F1">
      <w:pPr>
        <w:rPr>
          <w:noProof/>
        </w:rPr>
      </w:pPr>
      <w:bookmarkStart w:id="7" w:name="_Hlk155624780"/>
      <w:r>
        <w:rPr>
          <w:noProof/>
        </w:rPr>
        <w:t xml:space="preserve">U okviru istog prioriteta za Prijedlog uredbe Vijeća o </w:t>
      </w:r>
      <w:r>
        <w:rPr>
          <w:b/>
          <w:noProof/>
        </w:rPr>
        <w:t>priznavanju roditeljstva među državama članicama</w:t>
      </w:r>
      <w:r>
        <w:rPr>
          <w:rStyle w:val="FootnoteReference"/>
          <w:noProof/>
          <w:lang w:val="en-IE"/>
        </w:rPr>
        <w:footnoteReference w:id="84"/>
      </w:r>
      <w:r>
        <w:rPr>
          <w:noProof/>
        </w:rPr>
        <w:t xml:space="preserve"> također su zaprimljena dva obrazložena mišljenja i šest mišljenja u okviru političkog dijaloga. Francuski </w:t>
      </w:r>
      <w:r>
        <w:rPr>
          <w:i/>
          <w:noProof/>
        </w:rPr>
        <w:t>Sénat</w:t>
      </w:r>
      <w:r>
        <w:rPr>
          <w:noProof/>
        </w:rPr>
        <w:t xml:space="preserve"> izrazio je bojazan da će se u skladu s predloženom uredbom Vijeća zahtijevati priznavanje roditeljstva utvrđenog u drugoj državi članici i u slučajevima zamjenskog majčinstva. Stoga se usprotivio odabiru uredbe Vijeća kao vrste pravnog instrumenta. Talijanski </w:t>
      </w:r>
      <w:r>
        <w:rPr>
          <w:i/>
          <w:noProof/>
        </w:rPr>
        <w:t>Senato della Repubblica</w:t>
      </w:r>
      <w:r>
        <w:rPr>
          <w:noProof/>
        </w:rPr>
        <w:t xml:space="preserve"> izrazio je zabrinutost da će se države članice moći pozvati na razloge javnog poretka kako bi odbile priznavanje roditeljstva samo na pojedinačnoj osnovi. </w:t>
      </w:r>
    </w:p>
    <w:p w14:paraId="14DA3618" w14:textId="7113DB77" w:rsidR="00B868F1" w:rsidRPr="00300F53" w:rsidRDefault="3AA7FA8C" w:rsidP="00B868F1">
      <w:pPr>
        <w:rPr>
          <w:noProof/>
        </w:rPr>
      </w:pPr>
      <w:r>
        <w:rPr>
          <w:noProof/>
        </w:rPr>
        <w:t xml:space="preserve">Zamjensko majčinstvo bilo je glavna tema i u mišljenjima u okviru političkog dijaloga. Rumunjski </w:t>
      </w:r>
      <w:r>
        <w:rPr>
          <w:i/>
          <w:noProof/>
        </w:rPr>
        <w:t>Senat</w:t>
      </w:r>
      <w:r>
        <w:rPr>
          <w:noProof/>
        </w:rPr>
        <w:t xml:space="preserve"> zatražio je jasne definicije pojmova „roditeljstvo”, „roditelj” i „obitelj” te da se izbjegnu slučajevi u kojoj bi se djeca rođena s pomoću zamjenskog majčinstva mogla automatski priznati, što bi moglo biti protivno postojećem pravu države članice. Slično tome, češki </w:t>
      </w:r>
      <w:r>
        <w:rPr>
          <w:i/>
          <w:noProof/>
        </w:rPr>
        <w:t>Senát</w:t>
      </w:r>
      <w:r>
        <w:rPr>
          <w:noProof/>
        </w:rPr>
        <w:t xml:space="preserve"> zatražio je da se zamjensko majčinstvo isključi iz područja primjene prijedloga i da se državama članicama dopusti da odbiju priznavanje roditeljstva u slučajevima u kojima je prekogranični element uspostavljen radi zaobilaženja nacionalnog zakonodavstva. Nizozemski </w:t>
      </w:r>
      <w:r>
        <w:rPr>
          <w:i/>
          <w:noProof/>
        </w:rPr>
        <w:t>Eerste Kamer</w:t>
      </w:r>
      <w:r>
        <w:rPr>
          <w:noProof/>
        </w:rPr>
        <w:t xml:space="preserve"> postavio je nekoliko pitanja, među ostalim o broju slučajeva kojih se tiče nepostojanje zajedničkih pravila o priznavanju roditeljstva te bi li mogla postojati alternativna rješenja koja ne zahtijevaju primjenu novog zakonodavstva EU-a. Litavski </w:t>
      </w:r>
      <w:r>
        <w:rPr>
          <w:i/>
          <w:noProof/>
        </w:rPr>
        <w:t>Seimas</w:t>
      </w:r>
      <w:r>
        <w:rPr>
          <w:noProof/>
        </w:rPr>
        <w:t xml:space="preserve"> podržao je prijedlog, za koji smatra da će imati „pozitivan učinak”, te je zatražio pojašnjenja kako bi se osiguralo da se odredba o javnom poretku primjenjuje u skladu s temeljnim pravima. Portugalska </w:t>
      </w:r>
      <w:r>
        <w:rPr>
          <w:i/>
          <w:noProof/>
        </w:rPr>
        <w:t>Assembleia da República</w:t>
      </w:r>
      <w:r>
        <w:rPr>
          <w:noProof/>
        </w:rPr>
        <w:t xml:space="preserve"> i španjolski </w:t>
      </w:r>
      <w:r>
        <w:rPr>
          <w:i/>
          <w:noProof/>
        </w:rPr>
        <w:t>Cortes Generales</w:t>
      </w:r>
      <w:r>
        <w:rPr>
          <w:noProof/>
        </w:rPr>
        <w:t xml:space="preserve"> izjavili su da je prijedlog u skladu s načelima supsidijarnosti i proporcionalnosti. </w:t>
      </w:r>
    </w:p>
    <w:p w14:paraId="24CDC7B4" w14:textId="5DA84499" w:rsidR="00E26BEF" w:rsidRPr="00676C4C" w:rsidRDefault="0C766B94" w:rsidP="00E26BEF">
      <w:pPr>
        <w:rPr>
          <w:noProof/>
        </w:rPr>
      </w:pPr>
      <w:r>
        <w:rPr>
          <w:noProof/>
        </w:rPr>
        <w:t>Komisija je u svojim odgovorima podsjetila da je Sud Europske unije presudio da se pojam javnog poretka mora usko tumačiti te je napomenula da se mogućnost odbijanja priznavanja roditeljstva na temelju javnog poretka ne može primijeniti ako bi to dovelo do diskriminacije. Komisija je naglasila i da predložena uredba Vijeća ne bi utjecala na nadležnost država članica da reguliraju ili zabrane zamjensko majčinstvo na svojem državnom području. Međutim, prema prijedlogu, nakon što se roditeljstvo djeteta rođenog s pomoću zamjenskog majčinstva utvrdi u jednoj državi članici, druge države članice trebale bi ga priznati jer bi nepriznavanje kršilo temeljna prava djece rođene s pomoću zamjenskog majčinstva.</w:t>
      </w:r>
    </w:p>
    <w:p w14:paraId="5538AFEE" w14:textId="37A6E5FC" w:rsidR="00DB3C00" w:rsidRPr="00676C4C" w:rsidRDefault="1E9548F9" w:rsidP="714972F1">
      <w:pPr>
        <w:rPr>
          <w:noProof/>
        </w:rPr>
      </w:pPr>
      <w:r>
        <w:rPr>
          <w:noProof/>
        </w:rPr>
        <w:t xml:space="preserve">U okviru prioriteta </w:t>
      </w:r>
      <w:r>
        <w:rPr>
          <w:noProof/>
          <w:u w:val="single"/>
        </w:rPr>
        <w:t>„Europa spremna za digitalno doba”</w:t>
      </w:r>
      <w:r>
        <w:rPr>
          <w:noProof/>
        </w:rPr>
        <w:t xml:space="preserve"> za Prijedlog uredbe o </w:t>
      </w:r>
      <w:r>
        <w:rPr>
          <w:b/>
          <w:noProof/>
        </w:rPr>
        <w:t>suzbijanju zakašnjelog plaćanja u poslovnim transakcijama</w:t>
      </w:r>
      <w:r>
        <w:rPr>
          <w:rStyle w:val="FootnoteReference"/>
          <w:noProof/>
          <w:lang w:val="en-IE"/>
        </w:rPr>
        <w:footnoteReference w:id="85"/>
      </w:r>
      <w:r>
        <w:rPr>
          <w:noProof/>
        </w:rPr>
        <w:t xml:space="preserve"> zaprimljena su dva obrazložena mišljenja</w:t>
      </w:r>
      <w:r>
        <w:rPr>
          <w:rStyle w:val="FootnoteReference"/>
          <w:noProof/>
          <w:lang w:val="en-IE"/>
        </w:rPr>
        <w:footnoteReference w:id="86"/>
      </w:r>
      <w:r>
        <w:rPr>
          <w:noProof/>
        </w:rPr>
        <w:t xml:space="preserve"> i četiri mišljenja u okviru političkog dijaloga</w:t>
      </w:r>
      <w:r>
        <w:rPr>
          <w:noProof/>
          <w:vertAlign w:val="superscript"/>
          <w:lang w:val="en-IE"/>
        </w:rPr>
        <w:footnoteReference w:id="87"/>
      </w:r>
      <w:r>
        <w:rPr>
          <w:noProof/>
        </w:rPr>
        <w:t xml:space="preserve">. Talijanska </w:t>
      </w:r>
      <w:r>
        <w:rPr>
          <w:i/>
          <w:noProof/>
        </w:rPr>
        <w:t>Camera dei Deputati</w:t>
      </w:r>
      <w:r>
        <w:rPr>
          <w:noProof/>
        </w:rPr>
        <w:t xml:space="preserve"> i švedski </w:t>
      </w:r>
      <w:r>
        <w:rPr>
          <w:i/>
          <w:noProof/>
        </w:rPr>
        <w:t>Riksdag</w:t>
      </w:r>
      <w:r>
        <w:rPr>
          <w:noProof/>
        </w:rPr>
        <w:t xml:space="preserve"> u svojim obrazloženim mišljenjima nisu dovodili u pitanje nužnost ili dodanu vrijednost zakonodavnih mjera na razini EU-a radi ispravljanja nedostataka postojeće Direktive, ali su izrazili zabrinutost zbog toga što je predloženi pravni instrument uredba. Smatrali su se da bi se ograničavanjem djelovanja država članica (time što bi se utvrdili maksimalno razdoblje plaćanja od 30 dana i fiksne kamatne stope za zatezne kamate te isključila mogućnost vjerovnika da se odrekne prava na kamate i naknadu za zakašnjelo plaćanje) ograničila sloboda ugovaranja za poduzeća. Isti razlozi za zabrinutost izraženi su i u četiri mišljenja u okviru političkog dijaloga. Osim toga, irski domovi parlamenta </w:t>
      </w:r>
      <w:r>
        <w:rPr>
          <w:i/>
          <w:noProof/>
        </w:rPr>
        <w:t>Oireachtas</w:t>
      </w:r>
      <w:r>
        <w:rPr>
          <w:noProof/>
        </w:rPr>
        <w:t xml:space="preserve"> kritizirali su nedostatak razlike između zakašnjelih plaćanja i dugih rokova za plaćanje te su se usprotivili prijedlogu uspostave tijela za provedbu zakonodavstva o zakašnjelom plaćanju. Rumunjski </w:t>
      </w:r>
      <w:r>
        <w:rPr>
          <w:i/>
          <w:noProof/>
        </w:rPr>
        <w:t>Senat</w:t>
      </w:r>
      <w:r>
        <w:rPr>
          <w:noProof/>
        </w:rPr>
        <w:t xml:space="preserve"> smatrao je da je moguć negativan učinak na poduzeća i gospodarstvo u cjelini.</w:t>
      </w:r>
    </w:p>
    <w:p w14:paraId="7AC221F0" w14:textId="7F409295" w:rsidR="00DB3C00" w:rsidRPr="00676C4C" w:rsidRDefault="6A4ACE19" w:rsidP="5E86D505">
      <w:pPr>
        <w:rPr>
          <w:noProof/>
        </w:rPr>
      </w:pPr>
      <w:r>
        <w:rPr>
          <w:noProof/>
        </w:rPr>
        <w:t>Komisija je u svojim odgovorima naglasila da je borba protiv zakašnjelog plaćanja i nepošteno dugih rokova za plaćanje nužna kako bi se zaštitila otpornost lanaca opskrbe i povećala konkurentnost MSP-ova. Naglasila je da je njezina procjena učinka pokazala da je predloženo ograničavanje rokova za plaćanje na 30 dana isplativije za promicanje kulture pravodobnog plaćanja od duljih rokova plaćanja. To je ujedno opcija kojoj su dionici i MSP-ovi dali prednost u javnim savjetovanjima te su je preporučili Europski parlament i platforma „Fit for Future”. Komisija je objasnila da nije uvela razliku između zakašnjelih plaćanja i dugih rokova za plaćanje jer do kašnjenja u plaćanju dolazi i kad su vjerovnicima nametnuti dugi rokovi za plaćanje. Odabir uredbe opravdan je potrebom da se utvrde stroža i jednostavnija pravila koja se mogu jednako primjenjivati u svim državama članicama. U procjeni učinka utvrđeno je da je nepostojanje odredaba za praćenje usklađenosti s pravilima i njihove provedbe jedan od najvećih nedostataka postojeće Direktive. Stoga je Komisija predložila uspostavu obveznih provedbenih tijela, pri čemu države članice imaju veliku fleksibilnost da odaberu hoće li imenovati postojeća ili stvoriti nova tijela. Komisija je istaknula i gospodarske koristi bolje kulture plaćanja zahvaljujući kojoj bi se povećalo i ojačalo povjerenje u poslovno okruženje EU-a.</w:t>
      </w:r>
    </w:p>
    <w:bookmarkEnd w:id="7"/>
    <w:p w14:paraId="4F745C9C" w14:textId="191CE3DA" w:rsidR="00C2188B" w:rsidRPr="00676C4C" w:rsidRDefault="0074612C" w:rsidP="0074612C">
      <w:pPr>
        <w:pStyle w:val="1Titre1"/>
        <w:rPr>
          <w:noProof/>
        </w:rPr>
      </w:pPr>
      <w:r>
        <w:rPr>
          <w:noProof/>
        </w:rPr>
        <w:t>Pisani politički dijalog s nacionalnim parlamentima</w:t>
      </w:r>
    </w:p>
    <w:p w14:paraId="3E11B5B9" w14:textId="0445D8F4" w:rsidR="00D4507D" w:rsidRPr="00676C4C" w:rsidRDefault="05AD813A" w:rsidP="00DC62E6">
      <w:pPr>
        <w:rPr>
          <w:noProof/>
        </w:rPr>
      </w:pPr>
      <w:r>
        <w:rPr>
          <w:noProof/>
        </w:rPr>
        <w:t>Uz mehanizam kontrole poštovanja načela supsidijarnosti iz Protokola br. 2, odnosi Komisije s nacionalnim parlamentima uključuju i niz drugih aktivnosti, posebno politički dijalog koji je uspostavljen 2006. To uključuje pisanu razmjenu informacija o svakoj inicijativi Komisije za koju nacionalni parlamenti žele dati svoj doprinos ili bilo kojoj temi koju žele samoinicijativno predložiti. Osim toga, to uključuje i usmeni politički dijalog (opisan u poglavlju 5.).</w:t>
      </w:r>
    </w:p>
    <w:p w14:paraId="48754702" w14:textId="27831668" w:rsidR="007B3E90" w:rsidRPr="00676C4C" w:rsidRDefault="007B3E90" w:rsidP="00BD46F7">
      <w:pPr>
        <w:pStyle w:val="1Titre1"/>
        <w:numPr>
          <w:ilvl w:val="1"/>
          <w:numId w:val="13"/>
        </w:numPr>
        <w:rPr>
          <w:noProof/>
        </w:rPr>
      </w:pPr>
      <w:r>
        <w:rPr>
          <w:noProof/>
        </w:rPr>
        <w:t>Općenita opažanja</w:t>
      </w:r>
    </w:p>
    <w:p w14:paraId="53EDDCB6" w14:textId="5469C73D" w:rsidR="00F81A1C" w:rsidRPr="00676C4C" w:rsidRDefault="0AD2743B" w:rsidP="0021218D">
      <w:pPr>
        <w:rPr>
          <w:b/>
          <w:bCs/>
          <w:noProof/>
        </w:rPr>
      </w:pPr>
      <w:bookmarkStart w:id="8" w:name="_Hlk175581507"/>
      <w:r>
        <w:rPr>
          <w:noProof/>
        </w:rPr>
        <w:t xml:space="preserve">Nacionalni parlamenti Komisiji su 2023. uputili ukupno </w:t>
      </w:r>
      <w:r>
        <w:rPr>
          <w:b/>
          <w:noProof/>
        </w:rPr>
        <w:t>402 mišljenja</w:t>
      </w:r>
      <w:r>
        <w:rPr>
          <w:noProof/>
        </w:rPr>
        <w:t>. To je prvi put od 2008. da je Komisija u posljednjoj punoj godini svojeg mandata zaprimila više mišljenja nego godinu prije. Kako je već navedeno u ovom godišnjem izvješću, to je bilo neuobičajeno i u suprotnosti s trendom istaknutim u godišnjem izvješću za 2022., prema kojem broj mišljenja nacionalnih parlamenata obično doseže vrhunac sredinom svakog mandata Komisije</w:t>
      </w:r>
      <w:r>
        <w:rPr>
          <w:rStyle w:val="FootnoteReference"/>
          <w:noProof/>
          <w:lang w:val="en-IE"/>
        </w:rPr>
        <w:footnoteReference w:id="88"/>
      </w:r>
      <w:r>
        <w:rPr>
          <w:noProof/>
        </w:rPr>
        <w:t xml:space="preserve">. Međutim, kako je već navedeno u godišnjem izvješću za 2022., ukupan broj mišljenja koja je zaprimila Komisija Ursule von der Leyen i dalje je znatno manji od broja mišljenja koja je Komisija zaprimila tijekom drugog Barrosova mandata i Junckerova mandata. </w:t>
      </w:r>
    </w:p>
    <w:bookmarkEnd w:id="8"/>
    <w:p w14:paraId="055C6270" w14:textId="067EDF43" w:rsidR="00F81A1C" w:rsidRPr="00676C4C" w:rsidRDefault="00AF42EB" w:rsidP="0021218D">
      <w:pPr>
        <w:rPr>
          <w:noProof/>
        </w:rPr>
      </w:pPr>
      <w:r>
        <w:rPr>
          <w:noProof/>
          <w:lang w:val="en-GB" w:eastAsia="en-GB"/>
        </w:rPr>
        <w:drawing>
          <wp:inline distT="0" distB="0" distL="0" distR="0" wp14:anchorId="4C47B7C0" wp14:editId="0AC7EAB4">
            <wp:extent cx="5939790" cy="2994660"/>
            <wp:effectExtent l="0" t="0" r="3810" b="0"/>
            <wp:docPr id="1008169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69308" name=""/>
                    <pic:cNvPicPr/>
                  </pic:nvPicPr>
                  <pic:blipFill>
                    <a:blip r:embed="rId20"/>
                    <a:stretch>
                      <a:fillRect/>
                    </a:stretch>
                  </pic:blipFill>
                  <pic:spPr>
                    <a:xfrm>
                      <a:off x="0" y="0"/>
                      <a:ext cx="5939790" cy="2994660"/>
                    </a:xfrm>
                    <a:prstGeom prst="rect">
                      <a:avLst/>
                    </a:prstGeom>
                  </pic:spPr>
                </pic:pic>
              </a:graphicData>
            </a:graphic>
          </wp:inline>
        </w:drawing>
      </w:r>
    </w:p>
    <w:p w14:paraId="25B3798C" w14:textId="40B05B54" w:rsidR="002032D0" w:rsidRPr="00676C4C" w:rsidDel="00CF57E9" w:rsidRDefault="70CF4A85" w:rsidP="00DC62E6">
      <w:pPr>
        <w:rPr>
          <w:noProof/>
        </w:rPr>
      </w:pPr>
      <w:r>
        <w:rPr>
          <w:noProof/>
        </w:rPr>
        <w:t>Od ta 402 mišljenja 282 (70 %) ih se odnosilo na zakonodavne prijedloge koji su podlijegali mehanizmu kontrole poštovanja načela supsidijarnosti</w:t>
      </w:r>
      <w:r>
        <w:rPr>
          <w:rStyle w:val="FootnoteReference"/>
          <w:noProof/>
          <w:lang w:val="en-IE"/>
        </w:rPr>
        <w:footnoteReference w:id="89"/>
      </w:r>
      <w:r>
        <w:rPr>
          <w:noProof/>
        </w:rPr>
        <w:t>. Preostalih 120 mišljenja (30 %) uglavnom se odnosilo na nezakonodavne inicijative (npr. komunikacije) ili samoinicijativna mišljenja koja nisu bila izravno povezana s nekom inicijativom Komisije. Postotak te druge vrste mišljenja najniži je tijekom tekućeg mandata. On pokazuje da su nacionalni parlamenti svoju analizu inicijativa Komisije 2023. još više nego prethodnih godina usmjerili na nacrte zakonodavnih akata koji podliježu kontroli poštovanja načela supsidijarnosti (čime su isključeni prijedlozi u područjima politike u kojima EU ima isključivu nadležnost, kao što su trgovina ili tržišno natjecanje). Također upućuje na to da smanjenje broja obrazloženih mišljenja posljednjih godina nije bilo posljedica manje intenzivne kontrole prijedloga Komisije. Ta se pretpostavka temelji i na velikom broju mišljenja zaprimljenih u kontekstu političkog dijaloga, u kojima se također izričito potvrđuje usklađenost predmetnih prijedloga s načelom supsidijarnosti.</w:t>
      </w:r>
    </w:p>
    <w:p w14:paraId="488FEEDF" w14:textId="06E0AECF" w:rsidR="0034390D" w:rsidRPr="00676C4C" w:rsidRDefault="001C455D" w:rsidP="00DC62E6">
      <w:pPr>
        <w:rPr>
          <w:rFonts w:eastAsia="Times New Roman"/>
          <w:noProof/>
        </w:rPr>
      </w:pPr>
      <w:r>
        <w:rPr>
          <w:noProof/>
        </w:rPr>
        <w:t>Komisija uvijek skreće posebnu pozornost relevantnih članova Komisije i službi Komisije i povjerenika te, kad je riječ o zakonodavnim prijedlozima, predstavnika Komisije koji sudjeluju u pregovorima suzakonodavaca, na pitanja koja su iznijeli nacionalni parlamenti ili domovi.</w:t>
      </w:r>
    </w:p>
    <w:p w14:paraId="714AB611" w14:textId="33419DCA" w:rsidR="00E075BC" w:rsidRPr="00676C4C" w:rsidRDefault="00884E17" w:rsidP="507099E6">
      <w:pPr>
        <w:pStyle w:val="2Titre2"/>
        <w:numPr>
          <w:ilvl w:val="0"/>
          <w:numId w:val="0"/>
        </w:numPr>
        <w:rPr>
          <w:i/>
          <w:noProof/>
        </w:rPr>
      </w:pPr>
      <w:r>
        <w:rPr>
          <w:noProof/>
        </w:rPr>
        <w:t>4.2. Sudjelovanje i opseg</w:t>
      </w:r>
    </w:p>
    <w:p w14:paraId="5F8C6B47" w14:textId="6BBED7E4" w:rsidR="0058378A" w:rsidRPr="00676C4C" w:rsidRDefault="61D1E4E5" w:rsidP="714972F1">
      <w:pPr>
        <w:rPr>
          <w:noProof/>
        </w:rPr>
      </w:pPr>
      <w:r>
        <w:rPr>
          <w:noProof/>
        </w:rPr>
        <w:t>Kao i prethodnih godina, broj mišljenja poslanih Komisiji znatno se razlikovao među nacionalnim parlamentima. Broj nacionalnih parlamenata ili domova koji nisu izdali nijedno mišljenje neznatno se povećao</w:t>
      </w:r>
      <w:r>
        <w:rPr>
          <w:rStyle w:val="FootnoteReference"/>
          <w:noProof/>
          <w:lang w:val="en-IE"/>
        </w:rPr>
        <w:footnoteReference w:id="90"/>
      </w:r>
      <w:r>
        <w:rPr>
          <w:noProof/>
        </w:rPr>
        <w:t>, sa sedam na devet domova</w:t>
      </w:r>
      <w:r>
        <w:rPr>
          <w:rStyle w:val="FootnoteReference"/>
          <w:noProof/>
          <w:lang w:val="en-IE"/>
        </w:rPr>
        <w:footnoteReference w:id="91"/>
      </w:r>
      <w:r>
        <w:rPr>
          <w:noProof/>
        </w:rPr>
        <w:t xml:space="preserve"> od sveukupno 39 (vidjeti Prilog 2.). To znači da 2023. parlamenti šest država članica</w:t>
      </w:r>
      <w:r>
        <w:rPr>
          <w:rStyle w:val="FootnoteReference"/>
          <w:noProof/>
          <w:lang w:val="en-IE"/>
        </w:rPr>
        <w:footnoteReference w:id="92"/>
      </w:r>
      <w:r>
        <w:rPr>
          <w:noProof/>
        </w:rPr>
        <w:t xml:space="preserve"> (pet u 2022.) nisu sudjelovali u pisanom političkom dijalogu slanjem službeno donesenih mišljenja. Međutim, valja napomenuti da je među šest država članica koje nisu izdale mišljenje bio, na primjer, estonski </w:t>
      </w:r>
      <w:r>
        <w:rPr>
          <w:i/>
          <w:noProof/>
        </w:rPr>
        <w:t>Riigikogu</w:t>
      </w:r>
      <w:r>
        <w:rPr>
          <w:noProof/>
        </w:rPr>
        <w:t xml:space="preserve">, koji je komunicirao s Komisijom izravnim dopisima, i slovenski </w:t>
      </w:r>
      <w:r>
        <w:rPr>
          <w:i/>
          <w:noProof/>
        </w:rPr>
        <w:t>Državni svet</w:t>
      </w:r>
      <w:r>
        <w:rPr>
          <w:noProof/>
        </w:rPr>
        <w:t>, koji je organizirao posjete svojih zastupnika u parlamentu Komisiji.</w:t>
      </w:r>
    </w:p>
    <w:p w14:paraId="451AAEFE" w14:textId="0E812783" w:rsidR="00934AB1" w:rsidRPr="00676C4C" w:rsidRDefault="00D04BA5" w:rsidP="0064417C">
      <w:pPr>
        <w:jc w:val="center"/>
        <w:rPr>
          <w:noProof/>
        </w:rPr>
      </w:pPr>
      <w:r w:rsidRPr="00D04BA5">
        <w:rPr>
          <w:noProof/>
          <w:lang w:val="en-GB" w:eastAsia="en-GB"/>
        </w:rPr>
        <w:drawing>
          <wp:inline distT="0" distB="0" distL="0" distR="0" wp14:anchorId="66CAAEFD" wp14:editId="19500270">
            <wp:extent cx="5943600" cy="3276600"/>
            <wp:effectExtent l="0" t="0" r="0" b="0"/>
            <wp:docPr id="576979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1FF2B211" w14:textId="1487AC7E" w:rsidR="001D7B26" w:rsidRPr="00676C4C" w:rsidRDefault="767DC5C0" w:rsidP="22F05443">
      <w:pPr>
        <w:rPr>
          <w:noProof/>
        </w:rPr>
      </w:pPr>
      <w:r>
        <w:rPr>
          <w:b/>
          <w:noProof/>
        </w:rPr>
        <w:t>Deset najaktivnijih domova izdalo je 320 mišljenja (80 % ukupnog broja mišljenja)</w:t>
      </w:r>
      <w:r>
        <w:rPr>
          <w:noProof/>
        </w:rPr>
        <w:t>. To je bilo u skladu s prosjekom posljednjih godina</w:t>
      </w:r>
      <w:r>
        <w:rPr>
          <w:rStyle w:val="FootnoteReference"/>
          <w:noProof/>
          <w:lang w:val="en-IE"/>
        </w:rPr>
        <w:footnoteReference w:id="93"/>
      </w:r>
      <w:r>
        <w:rPr>
          <w:noProof/>
        </w:rPr>
        <w:t xml:space="preserve">. Ti su domovi 2023. godine bili: češki </w:t>
      </w:r>
      <w:r>
        <w:rPr>
          <w:i/>
          <w:noProof/>
        </w:rPr>
        <w:t>Senát</w:t>
      </w:r>
      <w:r>
        <w:rPr>
          <w:noProof/>
        </w:rPr>
        <w:t xml:space="preserve"> </w:t>
      </w:r>
      <w:bookmarkStart w:id="9" w:name="_Hlk158045796"/>
      <w:r>
        <w:rPr>
          <w:noProof/>
        </w:rPr>
        <w:t>i</w:t>
      </w:r>
      <w:bookmarkEnd w:id="9"/>
      <w:r>
        <w:rPr>
          <w:noProof/>
        </w:rPr>
        <w:t xml:space="preserve"> portugalska </w:t>
      </w:r>
      <w:r>
        <w:rPr>
          <w:i/>
          <w:noProof/>
        </w:rPr>
        <w:t>Assembleia da República</w:t>
      </w:r>
      <w:r>
        <w:rPr>
          <w:noProof/>
        </w:rPr>
        <w:t xml:space="preserve"> (svaki po 41 mišljenje), češka </w:t>
      </w:r>
      <w:r>
        <w:rPr>
          <w:i/>
          <w:noProof/>
        </w:rPr>
        <w:t>Poslanecká sněmovna</w:t>
      </w:r>
      <w:r>
        <w:rPr>
          <w:noProof/>
        </w:rPr>
        <w:t xml:space="preserve"> i talijanska </w:t>
      </w:r>
      <w:r>
        <w:rPr>
          <w:i/>
          <w:noProof/>
        </w:rPr>
        <w:t>Camera dei Deputati</w:t>
      </w:r>
      <w:r>
        <w:rPr>
          <w:noProof/>
        </w:rPr>
        <w:t xml:space="preserve"> (svaka po 36 mišljenja), njemački </w:t>
      </w:r>
      <w:r>
        <w:rPr>
          <w:i/>
          <w:noProof/>
        </w:rPr>
        <w:t>Bundesrat</w:t>
      </w:r>
      <w:r>
        <w:rPr>
          <w:noProof/>
        </w:rPr>
        <w:t xml:space="preserve"> i rumunjska </w:t>
      </w:r>
      <w:r>
        <w:rPr>
          <w:i/>
          <w:noProof/>
        </w:rPr>
        <w:t>Camera Deputaților</w:t>
      </w:r>
      <w:r>
        <w:rPr>
          <w:noProof/>
        </w:rPr>
        <w:t xml:space="preserve"> (svaki po 35 mišljenja), rumunjski </w:t>
      </w:r>
      <w:r>
        <w:rPr>
          <w:i/>
          <w:noProof/>
        </w:rPr>
        <w:t>Senat</w:t>
      </w:r>
      <w:r>
        <w:rPr>
          <w:noProof/>
        </w:rPr>
        <w:t xml:space="preserve"> (29 mišljenja), talijanski </w:t>
      </w:r>
      <w:r>
        <w:rPr>
          <w:i/>
          <w:noProof/>
        </w:rPr>
        <w:t>Senato della Repubblica</w:t>
      </w:r>
      <w:r>
        <w:rPr>
          <w:noProof/>
        </w:rPr>
        <w:t xml:space="preserve"> (26 mišljenja), španjolski </w:t>
      </w:r>
      <w:r>
        <w:rPr>
          <w:i/>
          <w:noProof/>
        </w:rPr>
        <w:t>Cortes Generales</w:t>
      </w:r>
      <w:r>
        <w:rPr>
          <w:noProof/>
        </w:rPr>
        <w:t xml:space="preserve"> (24 mišljenja) i francuski </w:t>
      </w:r>
      <w:r>
        <w:rPr>
          <w:i/>
          <w:noProof/>
        </w:rPr>
        <w:t>Sénat</w:t>
      </w:r>
      <w:r>
        <w:rPr>
          <w:noProof/>
        </w:rPr>
        <w:t xml:space="preserve"> (17 mišljenja). Ti su domovi bili među najaktivnijima i prethodnih godina.</w:t>
      </w:r>
      <w:r>
        <w:rPr>
          <w:noProof/>
          <w:color w:val="000000" w:themeColor="text1"/>
        </w:rPr>
        <w:t xml:space="preserve"> U Prilogu 2. navodi se broj mišljenja koja je poslao svaki dom.</w:t>
      </w:r>
    </w:p>
    <w:p w14:paraId="7F3DCCEE" w14:textId="38E7FA79" w:rsidR="00116A20" w:rsidRPr="00676C4C" w:rsidRDefault="1A6E0362" w:rsidP="00DC62E6">
      <w:pPr>
        <w:rPr>
          <w:noProof/>
        </w:rPr>
      </w:pPr>
      <w:r>
        <w:rPr>
          <w:noProof/>
        </w:rPr>
        <w:t xml:space="preserve">I priroda mišljenja razlikovala se među nacionalnim parlamentima ili domovima. Neki su pridavali najviše važnosti provjeri usklađenosti prijedloga Komisije s načelima supsidijarnosti i proporcionalnosti. Drugi su detaljnije komentirali sadržaj prijedloga ili poslali samoinicijativna mišljenja koja se nisu odnosila na konkretan prijedlog Komisije. Učestale teme 25 samoinicijativnih mišljenja uključivale su prisilni premještaj ukrajinskih civila, uključujući djecu, u Rusiju, Pojas Gaze i izraelsko-palestinski sukob, ali i posebna politička pitanja kao što su nuklearna energija, pobačaj i vanjski odnosi. </w:t>
      </w:r>
    </w:p>
    <w:p w14:paraId="6195ED9A" w14:textId="37BC18FB" w:rsidR="008F2766" w:rsidRPr="00676C4C" w:rsidRDefault="5B96B10C" w:rsidP="49021F21">
      <w:pPr>
        <w:rPr>
          <w:noProof/>
          <w:highlight w:val="cyan"/>
        </w:rPr>
      </w:pPr>
      <w:r>
        <w:rPr>
          <w:noProof/>
        </w:rPr>
        <w:t xml:space="preserve">Važno je napomenuti da je 2023. zaprimljeno nekoliko novih vrsta podnesaka nacionalnih parlamenata. Na primjer, dva doma reagirala su na raspravu o zakonodavnim prijedlozima podnošenjem mišljenja tijekom pregovora u okviru trijaloga (mišljenje francuskog </w:t>
      </w:r>
      <w:r>
        <w:rPr>
          <w:i/>
          <w:noProof/>
        </w:rPr>
        <w:t>Sénata</w:t>
      </w:r>
      <w:r>
        <w:rPr>
          <w:noProof/>
        </w:rPr>
        <w:t xml:space="preserve"> o prijedlogu Akta o umjetnoj inteligenciji) ili izdavanjem različitih uzastopnih mišljenja istog parlamenta u različitim fazama zakonodavnog postupka (četiri mišljenja njemačkog </w:t>
      </w:r>
      <w:r>
        <w:rPr>
          <w:i/>
          <w:noProof/>
        </w:rPr>
        <w:t>Bundesrata</w:t>
      </w:r>
      <w:r>
        <w:rPr>
          <w:noProof/>
        </w:rPr>
        <w:t xml:space="preserve"> o prijedlogu Akta EU-a o slobodi medija). Četrnaest nacionalnih parlamenata uputilo je zajedničku izjavu institucijama EU-a uoči trijaloga, koja je sadržavala poziv da se tijekom pregovora u okviru trijaloga o reviziji Zakonika o schengenskim granicama na odgovarajući način ukloni rizik od instrumentalizacije migracija. Finska </w:t>
      </w:r>
      <w:r>
        <w:rPr>
          <w:i/>
          <w:noProof/>
        </w:rPr>
        <w:t>Eduskunta</w:t>
      </w:r>
      <w:r>
        <w:rPr>
          <w:noProof/>
        </w:rPr>
        <w:t xml:space="preserve"> podnijela je samoinicijativno mišljenje o nekoliko nacrta delegiranih i provedbenih akata povezanih s materijalima koji dolaze u dodir s vodom za piće, što je bio prvi slučaj podnošenja mišljenja o nacrtima delegiranih i provedbenih akata.</w:t>
      </w:r>
    </w:p>
    <w:p w14:paraId="76C48241" w14:textId="4F4E31C5" w:rsidR="00C2188B" w:rsidRPr="00676C4C" w:rsidRDefault="00884E17" w:rsidP="507099E6">
      <w:pPr>
        <w:pStyle w:val="2Titre2"/>
        <w:numPr>
          <w:ilvl w:val="0"/>
          <w:numId w:val="0"/>
        </w:numPr>
        <w:rPr>
          <w:noProof/>
        </w:rPr>
      </w:pPr>
      <w:r>
        <w:rPr>
          <w:noProof/>
        </w:rPr>
        <w:t>4.3. Glavne teme mišljenja u političkom dijalogu</w:t>
      </w:r>
    </w:p>
    <w:p w14:paraId="0D0AC9DD" w14:textId="57DB6139" w:rsidR="00A448AC" w:rsidRPr="00676C4C" w:rsidRDefault="77482C5A" w:rsidP="43EF3AFF">
      <w:pPr>
        <w:rPr>
          <w:noProof/>
        </w:rPr>
      </w:pPr>
      <w:r>
        <w:rPr>
          <w:noProof/>
        </w:rPr>
        <w:t xml:space="preserve">Kad je riječ o pojedinačnim inicijativama koje su dobile najviše primjedbi, nacionalni parlamenti poslali su najviše mišljenja o </w:t>
      </w:r>
      <w:r>
        <w:rPr>
          <w:rStyle w:val="ui-provider"/>
          <w:b/>
          <w:noProof/>
        </w:rPr>
        <w:t>programu rada Komisije za 2023.</w:t>
      </w:r>
      <w:r>
        <w:rPr>
          <w:noProof/>
        </w:rPr>
        <w:t xml:space="preserve">, prijedlogu o </w:t>
      </w:r>
      <w:r>
        <w:rPr>
          <w:b/>
          <w:noProof/>
        </w:rPr>
        <w:t>ambalaži i ambalažnom otpadu</w:t>
      </w:r>
      <w:r>
        <w:rPr>
          <w:noProof/>
        </w:rPr>
        <w:t>* </w:t>
      </w:r>
      <w:r>
        <w:rPr>
          <w:rStyle w:val="FootnoteReference"/>
          <w:noProof/>
          <w:lang w:val="en-IE"/>
        </w:rPr>
        <w:footnoteReference w:id="94"/>
      </w:r>
      <w:r>
        <w:rPr>
          <w:noProof/>
        </w:rPr>
        <w:t xml:space="preserve"> i prijedlogu o </w:t>
      </w:r>
      <w:r>
        <w:rPr>
          <w:b/>
          <w:noProof/>
        </w:rPr>
        <w:t>biljkama dobivenima određenim novim genomskim tehnikama te o hrani i hrani za životinje od njih*</w:t>
      </w:r>
      <w:r>
        <w:rPr>
          <w:noProof/>
        </w:rPr>
        <w:t xml:space="preserve"> (svaki po devet mišljenja); prijedlogu o </w:t>
      </w:r>
      <w:r>
        <w:rPr>
          <w:b/>
          <w:noProof/>
        </w:rPr>
        <w:t>uspostavi europske potvrde o roditeljstvu</w:t>
      </w:r>
      <w:r>
        <w:rPr>
          <w:noProof/>
        </w:rPr>
        <w:t xml:space="preserve">* i prijedlogu o </w:t>
      </w:r>
      <w:r>
        <w:rPr>
          <w:b/>
          <w:noProof/>
        </w:rPr>
        <w:t>borbi protiv korupcije</w:t>
      </w:r>
      <w:r>
        <w:rPr>
          <w:noProof/>
        </w:rPr>
        <w:t xml:space="preserve">* (svaki po osam mišljenja); prijedlogu o </w:t>
      </w:r>
      <w:r>
        <w:rPr>
          <w:b/>
          <w:noProof/>
        </w:rPr>
        <w:t>kvaliteti zraka i čišćem zraku za Europu</w:t>
      </w:r>
      <w:r>
        <w:rPr>
          <w:noProof/>
        </w:rPr>
        <w:t xml:space="preserve"> i prijedlogu o uspostavljanju </w:t>
      </w:r>
      <w:r>
        <w:rPr>
          <w:b/>
          <w:noProof/>
        </w:rPr>
        <w:t>okvira Unije za certifikaciju uklanjanja ugljika</w:t>
      </w:r>
      <w:r>
        <w:rPr>
          <w:noProof/>
        </w:rPr>
        <w:t xml:space="preserve"> (svaki po sedam mišljenja); prijedlogu </w:t>
      </w:r>
      <w:r>
        <w:rPr>
          <w:b/>
          <w:noProof/>
        </w:rPr>
        <w:t>Europskog akta o slobodi medija</w:t>
      </w:r>
      <w:r>
        <w:rPr>
          <w:noProof/>
        </w:rPr>
        <w:t xml:space="preserve">, prijedlogu o </w:t>
      </w:r>
      <w:r>
        <w:rPr>
          <w:b/>
          <w:noProof/>
        </w:rPr>
        <w:t>pročišćavanju komunalnih otpadnih voda</w:t>
      </w:r>
      <w:r>
        <w:rPr>
          <w:noProof/>
        </w:rPr>
        <w:t xml:space="preserve">, prijedlogu o </w:t>
      </w:r>
      <w:r>
        <w:rPr>
          <w:b/>
          <w:noProof/>
        </w:rPr>
        <w:t>zakoniku Unije o lijekovima za humanu primjenu</w:t>
      </w:r>
      <w:r>
        <w:rPr>
          <w:noProof/>
        </w:rPr>
        <w:t xml:space="preserve">, prijedlogu o </w:t>
      </w:r>
      <w:r>
        <w:rPr>
          <w:b/>
          <w:noProof/>
        </w:rPr>
        <w:t>lijekovima za humanu primjenu i pravilima o Europskoj agenciji za lijekove</w:t>
      </w:r>
      <w:r>
        <w:rPr>
          <w:noProof/>
        </w:rPr>
        <w:t xml:space="preserve">, prijedlogu o </w:t>
      </w:r>
      <w:r>
        <w:rPr>
          <w:b/>
          <w:noProof/>
        </w:rPr>
        <w:t>zahtjevima za proračunske okvire</w:t>
      </w:r>
      <w:r>
        <w:rPr>
          <w:noProof/>
        </w:rPr>
        <w:t xml:space="preserve"> država članica, prijedlogu </w:t>
      </w:r>
      <w:r>
        <w:rPr>
          <w:b/>
          <w:noProof/>
        </w:rPr>
        <w:t>Akta o praćenju tla</w:t>
      </w:r>
      <w:r>
        <w:rPr>
          <w:noProof/>
        </w:rPr>
        <w:t xml:space="preserve">* i prijedlogu o </w:t>
      </w:r>
      <w:r>
        <w:rPr>
          <w:b/>
          <w:noProof/>
        </w:rPr>
        <w:t>suzbijanju zakašnjelog plaćanja u poslovnim transakcijama</w:t>
      </w:r>
      <w:r>
        <w:rPr>
          <w:noProof/>
        </w:rPr>
        <w:t>* (svaki po šest mišljenja).</w:t>
      </w:r>
    </w:p>
    <w:p w14:paraId="7757F488" w14:textId="0B8A4E16" w:rsidR="00310256" w:rsidRPr="00676C4C" w:rsidRDefault="13022225" w:rsidP="43EF3AFF">
      <w:pPr>
        <w:rPr>
          <w:rFonts w:cstheme="minorBidi"/>
          <w:noProof/>
        </w:rPr>
      </w:pPr>
      <w:r>
        <w:rPr>
          <w:noProof/>
        </w:rPr>
        <w:t>Kao i prethodnih godina, sve veći broj nacionalnih parlamenata</w:t>
      </w:r>
      <w:r>
        <w:rPr>
          <w:rStyle w:val="FootnoteReference"/>
          <w:noProof/>
          <w:lang w:val="en-IE"/>
        </w:rPr>
        <w:footnoteReference w:id="95"/>
      </w:r>
      <w:r>
        <w:rPr>
          <w:noProof/>
        </w:rPr>
        <w:t xml:space="preserve"> analizirao je </w:t>
      </w:r>
      <w:r>
        <w:rPr>
          <w:rStyle w:val="ui-provider"/>
          <w:b/>
          <w:noProof/>
        </w:rPr>
        <w:t>program rada Komisije za 2023.</w:t>
      </w:r>
      <w:r>
        <w:rPr>
          <w:rStyle w:val="FootnoteReference"/>
          <w:noProof/>
          <w:lang w:val="en-IE"/>
        </w:rPr>
        <w:footnoteReference w:id="96"/>
      </w:r>
      <w:r>
        <w:rPr>
          <w:rStyle w:val="ui-provider"/>
          <w:noProof/>
        </w:rPr>
        <w:t>, za koji je 2023. zaprimljeno devet mišljenja (uz jedno mišljenje koje je zaprimljeno 2022.). Stoga je to bio dokument Komisije za koji je zaprimljeno najviše mišljenja u okviru političkog dijaloga. To je značilo i da je za program rada Komisije za 2023. zaprimljen veći broj mišljenja nego za bilo koji program rada Komisije dotad. Broj mišljenja bio je znatno veći od šest koliko ih je zaprimljeno za program rada Komisije za 2022. (pet mišljenja zaprimljenih 2022. i jedno mišljenje zaprimljeno 2021.). Prema izvješćima često se provodio i nadzor bez izdavanja mišljenja</w:t>
      </w:r>
      <w:r>
        <w:rPr>
          <w:rStyle w:val="FootnoteReference"/>
          <w:noProof/>
          <w:lang w:val="en-IE"/>
        </w:rPr>
        <w:footnoteReference w:id="97"/>
      </w:r>
      <w:r>
        <w:rPr>
          <w:rStyle w:val="ui-provider"/>
          <w:noProof/>
        </w:rPr>
        <w:t>. Sve u svemu, to pokazuje</w:t>
      </w:r>
      <w:r>
        <w:rPr>
          <w:noProof/>
        </w:rPr>
        <w:t xml:space="preserve"> da su nacionalni parlamenti u većoj mjeri strateški koristili specifičan instrument mišljenja o programu rada Komisije kako bi naglasili svoju potporu najavljenim prioritetima i inicijativama Komisije i povezali ih s vlastitim nacionalnim političkim prioritetima te ukazali na nacionalne posebnosti za koje su smatrali da ih treba uzeti u obzir.</w:t>
      </w:r>
    </w:p>
    <w:p w14:paraId="09F23261" w14:textId="5FCD6F21" w:rsidR="00A060BE" w:rsidRPr="00676C4C" w:rsidRDefault="0425615F" w:rsidP="43EF3AFF">
      <w:pPr>
        <w:rPr>
          <w:rFonts w:cstheme="minorBidi"/>
          <w:noProof/>
        </w:rPr>
      </w:pPr>
      <w:r>
        <w:rPr>
          <w:noProof/>
        </w:rPr>
        <w:t xml:space="preserve">U svojim mišljenjima o programu rada Komisije za 2023. nacionalni parlamenti osvrnuli su se na učinak agresivnog rata Rusije protiv Ukrajine, potaknuli Komisiju da pruža potporu Ukrajini dok god to bude potrebno i izrazili potporu proširenju EU-a. Tri doma pozvala su na reformu tržišta električne energije. Uzimajući u obzir izbore za Europski parlament 2024., pet domova naglasilo je važnost Komisijina „paketa za obranu demokracije”, uključujući inicijativu za zaštitu demokratske sfere EU-a od prikrivenog inozemnog utjecaja. Mađarski </w:t>
      </w:r>
      <w:r>
        <w:rPr>
          <w:i/>
          <w:noProof/>
        </w:rPr>
        <w:t>Országgyűlés</w:t>
      </w:r>
      <w:r>
        <w:rPr>
          <w:noProof/>
        </w:rPr>
        <w:t xml:space="preserve"> kritizirao je Europski akt o slobodi medija zbog navodnog bitnog ograničavanja nadležnosti država članica u području medija. Tri doma istaknula su važnost preispitivanja gospodarskog upravljanja, a dva su usto naglasila važnost jačanja eura (među ostalim u njegovu digitalnom obliku). Četiri doma naglasila su važnost jačanja sigurnosti i obrane u različitim oblicima (uključujući obranu u svemiru, jačanje vanjskih granica EU-a i učinkovito djelovanje protiv tokova nezakonitih migracija i mreža za trgovinu ljudima te pomorsku strategiju). Svi domovi potvrdili su važnost utvrđivanja prikladnijeg okvira za migracije. Francuski </w:t>
      </w:r>
      <w:r>
        <w:rPr>
          <w:i/>
          <w:noProof/>
        </w:rPr>
        <w:t>Sénat</w:t>
      </w:r>
      <w:r>
        <w:rPr>
          <w:noProof/>
        </w:rPr>
        <w:t xml:space="preserve"> pozvao je na transparentnije i sveobuhvatnije programe rada te na to da Komisija sustavno podupire svoje zakonodavne inicijative procjenama učinka</w:t>
      </w:r>
      <w:r>
        <w:rPr>
          <w:rStyle w:val="FootnoteReference"/>
          <w:noProof/>
          <w:lang w:val="en-IE"/>
        </w:rPr>
        <w:footnoteReference w:id="98"/>
      </w:r>
      <w:r>
        <w:rPr>
          <w:noProof/>
        </w:rPr>
        <w:t xml:space="preserve">. </w:t>
      </w:r>
    </w:p>
    <w:p w14:paraId="2F661795" w14:textId="303390BD" w:rsidR="00E26BEF" w:rsidRPr="00676C4C" w:rsidRDefault="610ECE07" w:rsidP="00A060BE">
      <w:pPr>
        <w:rPr>
          <w:rStyle w:val="ui-provider"/>
          <w:noProof/>
        </w:rPr>
      </w:pPr>
      <w:r>
        <w:rPr>
          <w:noProof/>
        </w:rPr>
        <w:t xml:space="preserve">Komisija je u svojim odgovorima naglasila da je cilj njezina programa rada za 2023. bila daljnja potpora oporavku EU-a od pandemije bolesti COVID-19 i odgovaranje na hitne potrebe nastale zbog agresivnog rata Rusije protiv Ukrajine i posljedične energetske krize i krize troškova života. Nedavne krize ukazale su i na potrebu za bržim ostvarenjem prioriteta Komisije, posebno borbe protiv klimatskih promjena i dovršetka digitalne tranzicije. Mnoge srodne inicijative iz programa rada Komisije za 2023. pokazuju jasnu predanost Komisije daljnjem postupanju na temelju preporuka Konferencije o budućnosti Europe. Komisija je spomenula svoju posvećenost prioritetu zelene i digitalne Europe bez emisija ugljika i sa snažnom gospodarskom osnovom utemeljenom na jedinstvenom tržištu. Istaknula je da su napadi dezinformacijama na demokratsku i medijsku sferu EU-a sve veći razlog za zabrinutost, posebno posljednjih godina i u kontekstu ruske invazije na Ukrajinu. Komisija je u okviru akcijskog plana za europsku demokraciju poduzela odlučne mjere za promicanje slobodnih i poštenih izbora, zaštitu medijskog pluralizma i borbu protiv dezinformacija. </w:t>
      </w:r>
    </w:p>
    <w:p w14:paraId="1E464FF8" w14:textId="3A9D885D" w:rsidR="0087781D" w:rsidRPr="00676C4C" w:rsidRDefault="731D3E3B" w:rsidP="49021F21">
      <w:pPr>
        <w:rPr>
          <w:noProof/>
        </w:rPr>
      </w:pPr>
      <w:r>
        <w:rPr>
          <w:noProof/>
        </w:rPr>
        <w:t xml:space="preserve">U okviru prioriteta </w:t>
      </w:r>
      <w:r>
        <w:rPr>
          <w:noProof/>
          <w:u w:val="single"/>
        </w:rPr>
        <w:t>„europski zeleni plan”</w:t>
      </w:r>
      <w:r>
        <w:rPr>
          <w:noProof/>
        </w:rPr>
        <w:t xml:space="preserve"> nekoliko prijedloga privuklo je znatnu pozornost nacionalnih parlamenata, ali nije zaprimljeno nijedno obrazloženo mišljenje: Prijedlog </w:t>
      </w:r>
      <w:r>
        <w:rPr>
          <w:b/>
          <w:noProof/>
        </w:rPr>
        <w:t>uredbe o uklanjanju ugljika</w:t>
      </w:r>
      <w:r>
        <w:rPr>
          <w:noProof/>
        </w:rPr>
        <w:t xml:space="preserve">, Prijedlog </w:t>
      </w:r>
      <w:r>
        <w:rPr>
          <w:b/>
          <w:noProof/>
        </w:rPr>
        <w:t>direktive o kvaliteti zraka i čišćem zraku za Europu</w:t>
      </w:r>
      <w:r>
        <w:rPr>
          <w:noProof/>
        </w:rPr>
        <w:t xml:space="preserve"> i Prijedlog </w:t>
      </w:r>
      <w:r>
        <w:rPr>
          <w:b/>
          <w:noProof/>
        </w:rPr>
        <w:t>direktive o pročišćavanju komunalnih otpadnih voda</w:t>
      </w:r>
      <w:r>
        <w:rPr>
          <w:noProof/>
        </w:rPr>
        <w:t>.</w:t>
      </w:r>
    </w:p>
    <w:p w14:paraId="55A0FD7D" w14:textId="30CB2483" w:rsidR="00252946" w:rsidRPr="00676C4C" w:rsidRDefault="2984CE8E" w:rsidP="006F6B59">
      <w:pPr>
        <w:rPr>
          <w:noProof/>
        </w:rPr>
      </w:pPr>
      <w:r>
        <w:rPr>
          <w:noProof/>
        </w:rPr>
        <w:t xml:space="preserve">Za Prijedlog uredbe o uspostavljanju okvira EU-a za certifikaciju </w:t>
      </w:r>
      <w:r>
        <w:rPr>
          <w:b/>
          <w:noProof/>
        </w:rPr>
        <w:t>uklanjanja ugljika</w:t>
      </w:r>
      <w:r>
        <w:rPr>
          <w:rStyle w:val="FootnoteReference"/>
          <w:noProof/>
          <w:lang w:val="en-IE"/>
        </w:rPr>
        <w:footnoteReference w:id="99"/>
      </w:r>
      <w:r>
        <w:rPr>
          <w:noProof/>
        </w:rPr>
        <w:t xml:space="preserve"> zaprimljeno je sedam mišljenja</w:t>
      </w:r>
      <w:r>
        <w:rPr>
          <w:rStyle w:val="FootnoteReference"/>
          <w:noProof/>
          <w:lang w:val="en-IE"/>
        </w:rPr>
        <w:footnoteReference w:id="100"/>
      </w:r>
      <w:r>
        <w:rPr>
          <w:noProof/>
        </w:rPr>
        <w:t>. Nekoliko domova izrazilo je sumnje u pogledu usklađenosti okvira EU-a s nacionalnim programima te je smatralo da su potrebna pojašnjenja o upravljanju okvirima za certifikaciju i njihovu financiranju kao i o uspostavi registra EU-a za aktivnosti uklanjanja ugljika. Neki domovi bili su zabrinuti zbog administrativnog opterećenja povezanog s uspostavljanjem tog novog okvira te su izrazili dvojbe o delegiranju ovlasti Komisiji.</w:t>
      </w:r>
    </w:p>
    <w:p w14:paraId="64AE46A3" w14:textId="68C0A649" w:rsidR="006F6B59" w:rsidRPr="00676C4C" w:rsidRDefault="2347446A" w:rsidP="006F6B59">
      <w:pPr>
        <w:rPr>
          <w:noProof/>
        </w:rPr>
      </w:pPr>
      <w:r>
        <w:rPr>
          <w:noProof/>
        </w:rPr>
        <w:t xml:space="preserve">Komisija je u svojim odgovorima istaknula da bi u skladu s predloženom uredbom države članice pod određenim uvjetima mogle podnijeti zahtjev za priznavanje bilo kojeg postojećeg nacionalnog programa certificiranja na razini EU-a, da njezin prijedlog sadržava odredbe kojima se troškovi certifikacije svode na najmanju moguću mjeru te da bi operateri mogli smanjiti troškove praćenja i izvješćivanja primjenom metodologija certificiranja koje je donijela Komisija i primjenom tehnologija daljinskog istraživanja (npr. Copernicus). Komisija je objasnila i da bi se kriteriji kvalitete EU-a trebali provoditi putem tehničkih metodologija certificiranja koje su prilagođene širokom rasponu postojećih aktivnosti uklanjanja ugljika. To bi zahtijevalo opširan tehnički rad i opsežno savjetovanje s dionicima te bi se najbolje provelo delegiranim aktima. </w:t>
      </w:r>
    </w:p>
    <w:p w14:paraId="3C448908" w14:textId="235D61F1" w:rsidR="00A060BE" w:rsidRPr="00676C4C" w:rsidRDefault="1877377E" w:rsidP="00A060BE">
      <w:pPr>
        <w:rPr>
          <w:noProof/>
        </w:rPr>
      </w:pPr>
      <w:bookmarkStart w:id="10" w:name="_Hlk159755580"/>
      <w:r>
        <w:rPr>
          <w:noProof/>
        </w:rPr>
        <w:t xml:space="preserve">Za Prijedlog </w:t>
      </w:r>
      <w:r>
        <w:rPr>
          <w:b/>
          <w:noProof/>
        </w:rPr>
        <w:t>direktive o kvaliteti zraka i čišćem zraku za Europu</w:t>
      </w:r>
      <w:r>
        <w:rPr>
          <w:noProof/>
        </w:rPr>
        <w:t xml:space="preserve"> (preinaka) </w:t>
      </w:r>
      <w:r>
        <w:rPr>
          <w:noProof/>
          <w:vertAlign w:val="superscript"/>
          <w:lang w:val="en-IE"/>
        </w:rPr>
        <w:footnoteReference w:id="101"/>
      </w:r>
      <w:r>
        <w:rPr>
          <w:noProof/>
        </w:rPr>
        <w:t xml:space="preserve"> zaprimljeno je sedam mišljenja u okviru političkog dijaloga</w:t>
      </w:r>
      <w:r>
        <w:rPr>
          <w:noProof/>
          <w:vertAlign w:val="superscript"/>
          <w:lang w:val="en-IE"/>
        </w:rPr>
        <w:footnoteReference w:id="102"/>
      </w:r>
      <w:r>
        <w:rPr>
          <w:noProof/>
        </w:rPr>
        <w:t xml:space="preserve">. </w:t>
      </w:r>
      <w:bookmarkEnd w:id="10"/>
      <w:r>
        <w:rPr>
          <w:noProof/>
        </w:rPr>
        <w:t>Nekoliko domova smatralo je da bi cilj nulte stope onečišćenja zraka bilo teško postići te da su ciljevi utvrđeni u prijedlogu preambiciozni ili da imaju prevelik utjecaj na proračun. Jedan dom smatrao je da se u prijedlogu ne pridaje dovoljno pozornosti rješavanju problema prekograničnog onečišćenja zraka koje uzrokuju susjedne zemlje. Jedan dom naglasio je potrebu za uspostavljanjem mehanizma zajedničke odgovornosti koji bi uključivao i EU i države članice (kao u Zakonu EU-a o klimi) te je ustrajao na potrebi da se osigura odgovarajuće međudjelovanje stupova zakonodavstva o emisijama (uključujući predložene granične vrijednosti za 2030. i emisijsku normu Euro 7). Jedan dom predložio je da se u direktivu uključe standardi kvalitete zraka u zatvorenim prostorima i pravila za emisije neugodnih mirisa. Dva doma smatrala su da je pravo na naknadu štete za narušeno zdravlje preširoko jer uključuje čak i mogućnost kolektivne tužbe za naknadu štete za narušeno zdravlje zbog nepoštovanja pravila o kvaliteti zraka i jer ne postoji rok za podnošenje zahtjeva.</w:t>
      </w:r>
    </w:p>
    <w:p w14:paraId="2C49BB7E" w14:textId="350A450C" w:rsidR="00A060BE" w:rsidRPr="00676C4C" w:rsidRDefault="610ECE07" w:rsidP="43EF3AFF">
      <w:pPr>
        <w:rPr>
          <w:noProof/>
        </w:rPr>
      </w:pPr>
      <w:r>
        <w:rPr>
          <w:noProof/>
        </w:rPr>
        <w:t>Komisija je u svojim odgovorima naglasila da nastoji utvrditi vjerodostojan put za postizanje cilja nulte stope onečišćenja zraka do 2050. postavljanjem ambicioznih, ali ostvarivih ciljeva kvalitete zraka. Predložena direktiva ne može se usporediti sa Zakonom EU-a o klimi jer emisije stakleničkih plinova imaju isti učinak bez obzira na to gdje su ispuštene, dok se učinci na kvalitetu zraka razlikuju ovisno o lokalnim okolnostima i mjerama. Kad je riječ o prekograničnim pitanjima, predloženom direktivom ojačali bi se mehanizmi za suradnju i brzu razmjenu informacija među državama članicama kako bi se riješila kršenja standarda kvalitete zraka zbog prekograničnog onečišćenja zraka. Komisija se složila da se politički kontekst dodatno razvio od donošenja prijedloga, djelomično zbog donošenja prijedloga o normi Euro 7. Nadležna tijela trebala bi to uzeti u obzir pri izradi strategije i planova za kvalitetu zraka. Kvaliteta zraka u zatvorenim prostorima i emisije neugodnih mirisa bile su izvan područja primjene predložene direktive. Komisija je naglasila da je cilj Prijedloga uspostaviti učinkovito pravo ljudi na traženje i dobivanje naknade štete za narušeno ljudsko zdravlje, uključujući mogućnost kolektivne tužbe.</w:t>
      </w:r>
    </w:p>
    <w:p w14:paraId="079A21D2" w14:textId="7555164F" w:rsidR="00A060BE" w:rsidRPr="00676C4C" w:rsidRDefault="1877377E" w:rsidP="00A060BE">
      <w:pPr>
        <w:rPr>
          <w:noProof/>
        </w:rPr>
      </w:pPr>
      <w:r>
        <w:rPr>
          <w:noProof/>
        </w:rPr>
        <w:t xml:space="preserve">Za prijedlog preinake </w:t>
      </w:r>
      <w:r>
        <w:rPr>
          <w:b/>
          <w:noProof/>
        </w:rPr>
        <w:t>Direktive o pročišćavanju komunalnih otpadnih voda</w:t>
      </w:r>
      <w:r>
        <w:rPr>
          <w:noProof/>
          <w:vertAlign w:val="superscript"/>
          <w:lang w:val="en-IE"/>
        </w:rPr>
        <w:footnoteReference w:id="103"/>
      </w:r>
      <w:r>
        <w:rPr>
          <w:noProof/>
        </w:rPr>
        <w:t xml:space="preserve"> zaprimljeno je šest mišljenja</w:t>
      </w:r>
      <w:r>
        <w:rPr>
          <w:noProof/>
          <w:vertAlign w:val="superscript"/>
          <w:lang w:val="en-IE"/>
        </w:rPr>
        <w:footnoteReference w:id="104"/>
      </w:r>
      <w:r>
        <w:rPr>
          <w:noProof/>
        </w:rPr>
        <w:t>. U većini mišljenja prijedlog je pozdravljen, ali neki su domovi smatrali da je postizanje energetske neutralnosti tog sektora do 2040. teško ostvarivo zbog sve većih zahtjeva za pročišćavanje komunalnih otpadnih voda povezanih sa širenjem tehnološke opreme i zbog potrebe za visokim razinama ulaganja. Izražena su različita stajališta o predloženom sustavu proširene odgovornosti proizvođača: dva su ga doma izričito podržala, a jedan je predložio da se sustav proširi na druge sektore. Jedan je dom tvrdio da nije moguće u potpunosti izbjeći izloženost otpadnih voda toksičnim ostacima svih farmaceutskih proizvoda te da je potrebno uzeti u obzir konkurentnost i inovativnost farmaceutske industrije EU-a. Jedan je dom istaknuo da bi predloženo proširenje zadaća praćenja i informiranje doveli do znatnog povećanja administrativnog opterećenja nadležnih tijela i operatora. Dva doma usprotivila su se navodnoj prekomjernoj primjeni delegiranih akata.</w:t>
      </w:r>
    </w:p>
    <w:p w14:paraId="3F1030EF" w14:textId="046D4A58" w:rsidR="00A060BE" w:rsidRPr="00676C4C" w:rsidRDefault="610ECE07" w:rsidP="00A060BE">
      <w:pPr>
        <w:rPr>
          <w:noProof/>
        </w:rPr>
      </w:pPr>
      <w:r>
        <w:rPr>
          <w:noProof/>
        </w:rPr>
        <w:t>Komisija je u svojim odgovorima ustrajala na tome da je postizanje energetske neutralnosti pročišćavanja komunalnih otpadnih voda izvedivo, čak i uz povećane zahtjeve pročišćavanja uključene u prijedlog. Početno ulaganje za postizanje novih ciljeva provelo bi se u razdoblju od 2030. do 2040. Time bi sektor otpadnih voda postao otporniji na nestabilnost cijena energije i pridonio energetskoj neovisnosti EU-a. Kad je riječ o predloženom proširenju sustava odgovornosti proizvođača, Komisija je uputila na svoju procjenu učinka, koja je pokazala da bi gospodarski učinak na farmaceutski sektor bio neznatan i neutralan za ukupnu konkurentnost industrije EU-a jer bi to proširenje jednako utjecalo na uvoznike i proizvođače iz EU-a. Kad je riječ o zahtjevima u pogledu praćenja i informiranja, Komisija je navela da je prijedlog osmislila tako da se opterećenje koje proizlazi iz povećanja zahtjeva u pogledu izvješćivanja svede na najmanju moguću mjeru.</w:t>
      </w:r>
    </w:p>
    <w:p w14:paraId="3F90EF26" w14:textId="0A068DB7" w:rsidR="00A060BE" w:rsidRPr="00676C4C" w:rsidRDefault="1877377E" w:rsidP="00A060BE">
      <w:pPr>
        <w:rPr>
          <w:noProof/>
        </w:rPr>
      </w:pPr>
      <w:r>
        <w:rPr>
          <w:noProof/>
        </w:rPr>
        <w:t xml:space="preserve">U okviru prioriteta </w:t>
      </w:r>
      <w:r>
        <w:rPr>
          <w:noProof/>
          <w:u w:val="single"/>
        </w:rPr>
        <w:t>„Novi poticaj europskoj demokraciji”</w:t>
      </w:r>
      <w:r>
        <w:rPr>
          <w:noProof/>
        </w:rPr>
        <w:t xml:space="preserve"> za prijedlog </w:t>
      </w:r>
      <w:r>
        <w:rPr>
          <w:b/>
          <w:noProof/>
        </w:rPr>
        <w:t>Europskog akta o slobodi medija</w:t>
      </w:r>
      <w:r>
        <w:rPr>
          <w:noProof/>
          <w:vertAlign w:val="superscript"/>
          <w:lang w:val="en-IE"/>
        </w:rPr>
        <w:footnoteReference w:id="105"/>
      </w:r>
      <w:r>
        <w:rPr>
          <w:noProof/>
        </w:rPr>
        <w:t xml:space="preserve"> 2023. zaprimljeno je šest mišljenja </w:t>
      </w:r>
      <w:r>
        <w:rPr>
          <w:noProof/>
          <w:vertAlign w:val="superscript"/>
          <w:lang w:val="en-IE"/>
        </w:rPr>
        <w:footnoteReference w:id="106"/>
      </w:r>
      <w:r>
        <w:rPr>
          <w:noProof/>
        </w:rPr>
        <w:t xml:space="preserve"> povrh 12 mišljenja zaprimljenih 2022.</w:t>
      </w:r>
      <w:r>
        <w:rPr>
          <w:noProof/>
          <w:vertAlign w:val="superscript"/>
          <w:lang w:val="en-IE"/>
        </w:rPr>
        <w:footnoteReference w:id="107"/>
      </w:r>
      <w:r>
        <w:rPr>
          <w:noProof/>
        </w:rPr>
        <w:t xml:space="preserve"> Nacionalni parlamenti nastavili su dovoditi u pitanje uplitanje u nacionalne nadležnosti u području medijskog pluralizma, odredbe za procjenu koncentracija na medijskom tržištu i neovisnost Europskog odbora za medijske usluge. Nekoliko domova pozvalo je na daljnje jačanje pravila za zaštitu novinara, među ostalim od zlonamjernih sudskih postupaka. Nekoliko domova pozvalo je i na jačanje odredaba o velikim internetskim platformama time što bi ih se obvezalo da objave razloge za uklanjanje sadržaja. Jedan dom pozvao je na zabranu blokiranja sadržaja objavljenog na internetu bez prethodne ljudske provjere. Jedan dom, njemački </w:t>
      </w:r>
      <w:r>
        <w:rPr>
          <w:i/>
          <w:noProof/>
        </w:rPr>
        <w:t>Bundesrat</w:t>
      </w:r>
      <w:r>
        <w:rPr>
          <w:noProof/>
        </w:rPr>
        <w:t xml:space="preserve">, poslao je četiri mišljenja o tom prijedlogu tijekom zakonodavnog ciklusa (posljednja dva poslao je 2023.). U svojem trećem mišljenju izrazio je zabrinutost zbog uplitanja u nacionalne nadležnosti i predviđenog početka pregovora u okviru trijaloga. U svojem četvrtom mišljenju ponovio je svoje ključne argumente za završnu fazu pregovora u okviru trijaloga. </w:t>
      </w:r>
    </w:p>
    <w:p w14:paraId="36335774" w14:textId="06BBD62B" w:rsidR="00A060BE" w:rsidRPr="00676C4C" w:rsidRDefault="610ECE07" w:rsidP="00A060BE">
      <w:pPr>
        <w:rPr>
          <w:noProof/>
        </w:rPr>
      </w:pPr>
      <w:r>
        <w:rPr>
          <w:noProof/>
        </w:rPr>
        <w:t xml:space="preserve">Komisija je u svojim odgovorima naglasila da je u prijedlogu u potpunosti prepoznala i očuvala nadležnosti država članica u području medijskog pluralizma te da se predloženim aktom ne bi promijenila sposobnost država članica da konkretno definiraju nadležnost, organizaciju i financiranje javne radiodifuzije. Komisija je ponovno istaknula svoju predanost jačanju zaštite novinara predloženim aktom i Prijedlogom direktive o zaštiti osoba uključenih u javno sudjelovanje od očito neosnovanih ili zlonamjernih sudskih postupaka. Kad je riječ o Europskom odboru za medijske usluge, naglasila je da je njegova neovisnost zajamčena time što ga čine neovisna nacionalna regulatorna tijela za medije, a dodatno je ojačava njegovo donošenje odluka za koje je potrebna dvotrećinska većina njegovih članova. Kad je riječ o procjeni koncentracija na medijskom tržištu, Komisija je ukazala na svoj pristup minimalnog usklađivanja, kojim je državama članicama ostavljeno veliko diskrecijsko pravo da uzmu u obzir svoje regulatorne tradicije i posebnosti svojih nacionalnih medijskih tržišta. Kad je riječ o velikim internetskim platformama, Komisija je podsjetila da su vrlo velike internetske platforme obvezne objaviti razloge za obustave i ograničenja sadržaja. </w:t>
      </w:r>
    </w:p>
    <w:p w14:paraId="3C86B729" w14:textId="2BBFF0FB" w:rsidR="0087781D" w:rsidRPr="00676C4C" w:rsidRDefault="776F8E9A" w:rsidP="507099E6">
      <w:pPr>
        <w:rPr>
          <w:noProof/>
        </w:rPr>
      </w:pPr>
      <w:r>
        <w:rPr>
          <w:noProof/>
        </w:rPr>
        <w:t xml:space="preserve">U okviru prioriteta </w:t>
      </w:r>
      <w:r>
        <w:rPr>
          <w:noProof/>
          <w:u w:val="single"/>
        </w:rPr>
        <w:t>„Promicanje europskog načina života”</w:t>
      </w:r>
      <w:r>
        <w:rPr>
          <w:noProof/>
        </w:rPr>
        <w:t xml:space="preserve"> </w:t>
      </w:r>
      <w:r>
        <w:rPr>
          <w:b/>
          <w:noProof/>
        </w:rPr>
        <w:t>revizija temeljnog zakonodavstva EU-a o farmaceutskim proizvodima</w:t>
      </w:r>
      <w:r>
        <w:rPr>
          <w:noProof/>
        </w:rPr>
        <w:t xml:space="preserve"> izazvala je velik interes nacionalnih parlamenata. Za prijedlog o </w:t>
      </w:r>
      <w:r>
        <w:rPr>
          <w:b/>
          <w:noProof/>
        </w:rPr>
        <w:t>zakoniku Unije o lijekovima za humanu primjenu</w:t>
      </w:r>
      <w:r>
        <w:rPr>
          <w:rStyle w:val="FootnoteReference"/>
          <w:noProof/>
          <w:lang w:val="en-IE"/>
        </w:rPr>
        <w:footnoteReference w:id="108"/>
      </w:r>
      <w:r>
        <w:rPr>
          <w:noProof/>
        </w:rPr>
        <w:t xml:space="preserve"> i prijedlog o utvrđivanju postupaka EU-a za </w:t>
      </w:r>
      <w:r>
        <w:rPr>
          <w:b/>
          <w:noProof/>
        </w:rPr>
        <w:t>odobravanje i nadzor lijekova za humanu primjenu</w:t>
      </w:r>
      <w:r>
        <w:rPr>
          <w:noProof/>
        </w:rPr>
        <w:t xml:space="preserve"> i o utvrđivanju </w:t>
      </w:r>
      <w:r>
        <w:rPr>
          <w:b/>
          <w:noProof/>
        </w:rPr>
        <w:t>pravila o Europskoj agenciji za lijekove</w:t>
      </w:r>
      <w:r>
        <w:rPr>
          <w:noProof/>
        </w:rPr>
        <w:t> </w:t>
      </w:r>
      <w:r>
        <w:rPr>
          <w:rStyle w:val="FootnoteReference"/>
          <w:noProof/>
          <w:lang w:val="en-IE"/>
        </w:rPr>
        <w:footnoteReference w:id="109"/>
      </w:r>
      <w:r>
        <w:rPr>
          <w:noProof/>
        </w:rPr>
        <w:t xml:space="preserve"> zaprimljeno je po šest mišljenja</w:t>
      </w:r>
      <w:r>
        <w:rPr>
          <w:rStyle w:val="FootnoteReference"/>
          <w:noProof/>
          <w:lang w:val="en-IE"/>
        </w:rPr>
        <w:footnoteReference w:id="110"/>
      </w:r>
      <w:r>
        <w:rPr>
          <w:noProof/>
        </w:rPr>
        <w:t>. Neki su se domovi osvrnuli i na druga dva dokumenta uključena u paket: prateću Komunikaciju Komisije</w:t>
      </w:r>
      <w:r>
        <w:rPr>
          <w:rStyle w:val="FootnoteReference"/>
          <w:noProof/>
          <w:lang w:val="en-IE"/>
        </w:rPr>
        <w:footnoteReference w:id="111"/>
      </w:r>
      <w:r>
        <w:rPr>
          <w:noProof/>
        </w:rPr>
        <w:t xml:space="preserve"> i Prijedlog preporuke Vijeća o </w:t>
      </w:r>
      <w:r>
        <w:rPr>
          <w:b/>
          <w:noProof/>
        </w:rPr>
        <w:t>borbi protiv antimikrobne otpornosti</w:t>
      </w:r>
      <w:r>
        <w:rPr>
          <w:rStyle w:val="FootnoteReference"/>
          <w:noProof/>
          <w:lang w:val="en-IE"/>
        </w:rPr>
        <w:footnoteReference w:id="112"/>
      </w:r>
      <w:r>
        <w:rPr>
          <w:noProof/>
        </w:rPr>
        <w:t>. Neki razlozi za zabrinutost koje su nacionalni parlamenti istaknuli u svojim mišljenjima odnosili su se na navodno kršenje načela proporcionalnosti, skraćivanje standardnog trajanja isključivog prava stavljanja u promet lijekova za rijetke bolesti, izmjenu odredbe Bolar koja se odnosi na izuzeća od prava koja proizlaze iz patenata, decentralizirane proizvodne lokacije za lijekove i korištenje vaučera.</w:t>
      </w:r>
    </w:p>
    <w:p w14:paraId="6B806831" w14:textId="61EC2F92" w:rsidR="0087781D" w:rsidRPr="00676C4C" w:rsidRDefault="2A47D654" w:rsidP="507099E6">
      <w:pPr>
        <w:rPr>
          <w:noProof/>
        </w:rPr>
      </w:pPr>
      <w:r>
        <w:rPr>
          <w:noProof/>
        </w:rPr>
        <w:t>Komisija je u svojim odgovorima tvrdila da prijedlozi ne prelaze okvire onog što je potrebno za postizanje ciljeva revizije. Potvrdila je da je za godinu dana skratila standardno trajanje isključivog prava stavljanja u promet lijekova za rijetke bolesti, ali je objasnila da će se za određene lijekove za rijetke bolesti trajanje produljiti za tri godine kako bi se potaknuli istraživanje i razvoj. Nadalje je objasnila da predložena izmjena odredbe Bolar služi tome da se olakša ulazak generičkih lijekova na tržište odmah nakon isteka razdoblja regulatorne zaštite. Komisija je razjasnila da bi, čak da se i određene proizvodne lokacije decentraliziraju, središnja proizvodna lokacija i dalje bila odgovorna za nadzor svih aspekata decentraliziranih lokacija te da prijedlog stoga ne bi doveo do smanjenih razina kontrole i nadzora. Objasnila je i da će pravila uređivati prenosive vaučere za zaštitu podataka za proizvođače koji razvijaju nova antimikrobna sredstva.</w:t>
      </w:r>
    </w:p>
    <w:p w14:paraId="2F014B62" w14:textId="55C1C125" w:rsidR="001A6D33" w:rsidRPr="00676C4C" w:rsidRDefault="257F27E5" w:rsidP="001A6D33">
      <w:pPr>
        <w:rPr>
          <w:noProof/>
        </w:rPr>
      </w:pPr>
      <w:r>
        <w:rPr>
          <w:noProof/>
        </w:rPr>
        <w:t xml:space="preserve">U okviru prioriteta </w:t>
      </w:r>
      <w:r>
        <w:rPr>
          <w:noProof/>
          <w:u w:val="single"/>
        </w:rPr>
        <w:t>„Gospodarstvo u interesu građana”</w:t>
      </w:r>
      <w:r>
        <w:rPr>
          <w:noProof/>
        </w:rPr>
        <w:t xml:space="preserve"> </w:t>
      </w:r>
      <w:r>
        <w:rPr>
          <w:b/>
          <w:noProof/>
        </w:rPr>
        <w:t>paket zakonodavnih prijedloga za reformu EU-ovih pravila gospodarskog upravljanja</w:t>
      </w:r>
      <w:r>
        <w:rPr>
          <w:noProof/>
          <w:vertAlign w:val="superscript"/>
          <w:lang w:val="en-IE"/>
        </w:rPr>
        <w:footnoteReference w:id="113"/>
      </w:r>
      <w:r>
        <w:rPr>
          <w:noProof/>
        </w:rPr>
        <w:t xml:space="preserve"> privukao je veliku pozornost nacionalnih parlamenata i za njega je zaprimljeno šest mišljenja</w:t>
      </w:r>
      <w:r>
        <w:rPr>
          <w:noProof/>
          <w:vertAlign w:val="superscript"/>
          <w:lang w:val="en-IE"/>
        </w:rPr>
        <w:footnoteReference w:id="114"/>
      </w:r>
      <w:r>
        <w:rPr>
          <w:noProof/>
        </w:rPr>
        <w:t xml:space="preserve">. Nekoliko domova ukazalo je na potrebu za prilagodbom potrebnih parametara za smanjenje duga i deficita kako bi odgovarali okolnostima različitih država članica na koje se primjenjuju. Jedan dom istaknuo je nedostatak kriterija za izuzimanje javnih ulaganja (posebno ulaganja u ekološku i digitalnu tranziciju) iz izračuna godišnjeg deficita. Drugi dom usprotivio se uvođenju računovodstvenih standarda </w:t>
      </w:r>
      <w:bookmarkStart w:id="14" w:name="_Hlk159859612"/>
      <w:r>
        <w:rPr>
          <w:noProof/>
        </w:rPr>
        <w:t>EU-a za javni sektor</w:t>
      </w:r>
      <w:bookmarkEnd w:id="14"/>
      <w:r>
        <w:rPr>
          <w:noProof/>
        </w:rPr>
        <w:t xml:space="preserve"> jer, prema njegovu mišljenju, ono ne bi pomoglo u postizanju ciljeva proračunskog nadzora. Jedan dom istaknuo je da proračunski planovi koji obuhvaćaju razdoblje do 17 godina (uključujući razdoblje prilagodbe od četiri do sedam godina) ne bi bili u skladu s učestalošću nacionalnih izbora. Jedan dom preporučio je da se razjasni i ograniči sposobnost Komisije da donosi delegirane akte radi osiguravanja </w:t>
      </w:r>
      <w:bookmarkStart w:id="15" w:name="_Hlk159866730"/>
      <w:r>
        <w:rPr>
          <w:noProof/>
        </w:rPr>
        <w:t>djelotvorne koordinacije ekonomskih politika i multilateralnog proračunskog nadzora.</w:t>
      </w:r>
      <w:bookmarkEnd w:id="15"/>
    </w:p>
    <w:p w14:paraId="5FB5B57B" w14:textId="26E16A6E" w:rsidR="001A6D33" w:rsidRPr="00676C4C" w:rsidRDefault="3510C13B" w:rsidP="001A6D33">
      <w:pPr>
        <w:rPr>
          <w:noProof/>
        </w:rPr>
      </w:pPr>
      <w:r>
        <w:rPr>
          <w:noProof/>
        </w:rPr>
        <w:t xml:space="preserve">Komisija je u svojim odgovorima naglasila da je jedan od ciljeva paketa povećati nacionalnu odgovornost, što bi se moglo postići intenzivnijim uključivanjem nacionalnih parlamenata u gospodarski i proračunski nadzor. Potvrdila je da se fiskalno stanje, poteškoće i gospodarski izgledi država članica znatno razlikuju, ali je navela da će se pri predloženoj reviziji okvira u većoj mjeri uzeti u obzir razlike među zemljama i njihovi specifični problemi javnog duga. Komisija je donijela te prijedloge radi prelaska na nadzorni okvir koji se više temelji na riziku i u čijem bi središtu trebala biti održivost javnog duga, a pritom bi se ulaganjima i reformama promicao održiv i uključiv rast. Kad je riječ o računovodstvenim standardima EU-a za javni sektor, Komisija je izjavila da se u okviru predloženog paketa ne bi propisali posebni računovodstveni standardi na temelju nastanka poslovnog događaja, već bi se to prepustilo državama članicama. Predložena direktiva o zahtjevima za proračunske okvire ne bi utjecala na načelo proračunske autonomije. Kad je riječ o vremenskom okviru nacionalnih planova, Komisija je jasno dala do znanja da bi oni mogli obuhvaćati razdoblje od četiri ili pet godina, ovisno o izbornim ciklusima država članica, te da bi nova vlada nakon preuzimanja dužnosti mogla predložiti novi plan. </w:t>
      </w:r>
    </w:p>
    <w:p w14:paraId="395A4640" w14:textId="5E634A75" w:rsidR="00C71653" w:rsidRPr="00676C4C" w:rsidRDefault="00DE7112" w:rsidP="00DE7112">
      <w:pPr>
        <w:pStyle w:val="1Titre1"/>
        <w:numPr>
          <w:ilvl w:val="0"/>
          <w:numId w:val="0"/>
        </w:numPr>
        <w:ind w:left="360" w:hanging="360"/>
        <w:rPr>
          <w:noProof/>
        </w:rPr>
      </w:pPr>
      <w:r>
        <w:rPr>
          <w:noProof/>
        </w:rPr>
        <w:t>5. Kontakti, posjeti, sastanci, konferencije i druge aktivnosti</w:t>
      </w:r>
    </w:p>
    <w:p w14:paraId="5745DF17" w14:textId="4FC0C39D" w:rsidR="00766B90" w:rsidRPr="00676C4C" w:rsidRDefault="00884E17" w:rsidP="00DC62E6">
      <w:pPr>
        <w:pStyle w:val="3intertitre"/>
        <w:rPr>
          <w:noProof/>
        </w:rPr>
      </w:pPr>
      <w:r>
        <w:rPr>
          <w:noProof/>
        </w:rPr>
        <w:t>5.1. Posjeti Komisije nacionalnim parlamentima i sastanci Komisije i nacionalnih parlamenata</w:t>
      </w:r>
    </w:p>
    <w:p w14:paraId="2E8C4707" w14:textId="2634B379" w:rsidR="00F53F2F" w:rsidRPr="00676C4C" w:rsidRDefault="753CB06D" w:rsidP="00DC62E6">
      <w:pPr>
        <w:rPr>
          <w:noProof/>
        </w:rPr>
      </w:pPr>
      <w:bookmarkStart w:id="16" w:name="_MON_1698735339"/>
      <w:bookmarkEnd w:id="16"/>
      <w:r>
        <w:rPr>
          <w:noProof/>
        </w:rPr>
        <w:t>Usmeni politički dijalog između Komisije i nacionalnih parlamenata uključuje razne oblike interakcije: posjete članova Komisije nacionalnim parlamentima i posjete izaslanstava nacionalnih parlamenata Komisiji, sudjelovanje Komisije na međuparlamentarnim sastancima (odbora) i konferencijama (uključujući COSAC), prezentacije Komisije stalnim predstavnicima nacionalnih parlamenata u Bruxellesu, tekuće rasprave o programima rada Komisije i dijaloge u okviru europskog semestra.</w:t>
      </w:r>
    </w:p>
    <w:p w14:paraId="6DFAFECF" w14:textId="234015E2" w:rsidR="22F05443" w:rsidRPr="00676C4C" w:rsidRDefault="368B4D3C">
      <w:pPr>
        <w:rPr>
          <w:noProof/>
        </w:rPr>
      </w:pPr>
      <w:r>
        <w:rPr>
          <w:noProof/>
        </w:rPr>
        <w:t>Članovi Komisije sudjelovali su 2023. u 127 interakcija s nacionalnim parlamentima (posjeti nacionalnim parlamentima i sastanci s izaslanstvima nacionalnih parlamenata), kojima su bili obuhvaćeni gotovo svi nacionalni parlamenti i domovi. To je manje nego prethodne dvije godine, ali iznad prosjeka za posljednje četiri godine (143 posjeta u 2022., 130 posjeta u 2021., 101 posjet u 2020. i 55 posjeta u 2019.; 2020. i 2021. je zbog pandemije bolesti COVID-19 organiziran manji broj sastanaka, koji su se većinom morali održati u virtualnom obliku). Komisija je primila i šest posjeta skupina osoblja iz raznih nacionalnih parlamenata, što nije prikazano na grafičkom prikazu u nastavku.</w:t>
      </w:r>
      <w:r>
        <w:rPr>
          <w:noProof/>
        </w:rPr>
        <w:br w:type="page"/>
      </w:r>
    </w:p>
    <w:p w14:paraId="7621A91E" w14:textId="6A85DBF1" w:rsidR="004C72B6" w:rsidRPr="00676C4C" w:rsidRDefault="004C72B6" w:rsidP="00DC62E6">
      <w:pPr>
        <w:keepNext/>
        <w:spacing w:after="0"/>
        <w:jc w:val="center"/>
        <w:rPr>
          <w:b/>
          <w:noProof/>
          <w:color w:val="002060"/>
        </w:rPr>
      </w:pPr>
      <w:r>
        <w:rPr>
          <w:b/>
          <w:noProof/>
          <w:color w:val="002060"/>
        </w:rPr>
        <w:t>Broj posjeta članova Komisije nacionalnim parlamentima i sastanaka članova Komisije s</w:t>
      </w:r>
    </w:p>
    <w:p w14:paraId="14C98F0D" w14:textId="7A7E1FFF" w:rsidR="00EB2A27" w:rsidRPr="00676C4C" w:rsidRDefault="004C72B6" w:rsidP="00DC62E6">
      <w:pPr>
        <w:spacing w:after="0"/>
        <w:jc w:val="center"/>
        <w:rPr>
          <w:noProof/>
        </w:rPr>
      </w:pPr>
      <w:r>
        <w:rPr>
          <w:b/>
          <w:noProof/>
          <w:color w:val="002060"/>
        </w:rPr>
        <w:t>nacionalnim parlamentima 2023.</w:t>
      </w:r>
      <w:r>
        <w:rPr>
          <w:noProof/>
          <w:color w:val="002060"/>
        </w:rPr>
        <w:t xml:space="preserve"> (ukupno za sve države članice: 127)</w:t>
      </w:r>
      <w:r>
        <w:rPr>
          <w:noProof/>
        </w:rPr>
        <w:t xml:space="preserve"> </w:t>
      </w:r>
    </w:p>
    <w:p w14:paraId="4629CCC7" w14:textId="77777777" w:rsidR="00D27DA8" w:rsidRPr="00676C4C" w:rsidRDefault="00D27DA8">
      <w:pPr>
        <w:spacing w:after="200" w:line="276" w:lineRule="auto"/>
        <w:jc w:val="left"/>
        <w:rPr>
          <w:noProof/>
          <w:lang w:val="en-IE"/>
        </w:rPr>
      </w:pPr>
    </w:p>
    <w:p w14:paraId="00F12E95" w14:textId="0216F16C" w:rsidR="00D27DA8" w:rsidRPr="00676C4C" w:rsidRDefault="075CF8F5" w:rsidP="5BA2BB32">
      <w:pPr>
        <w:spacing w:after="200" w:line="276" w:lineRule="auto"/>
        <w:jc w:val="center"/>
        <w:rPr>
          <w:noProof/>
        </w:rPr>
      </w:pPr>
      <w:r>
        <w:rPr>
          <w:noProof/>
          <w:lang w:val="en-GB" w:eastAsia="en-GB"/>
        </w:rPr>
        <w:drawing>
          <wp:inline distT="0" distB="0" distL="0" distR="0" wp14:anchorId="23F52470" wp14:editId="31D80CE2">
            <wp:extent cx="5631044" cy="8096248"/>
            <wp:effectExtent l="0" t="0" r="0" b="0"/>
            <wp:docPr id="36885620" name="Picture 3688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5620"/>
                    <pic:cNvPicPr/>
                  </pic:nvPicPr>
                  <pic:blipFill>
                    <a:blip r:embed="rId22">
                      <a:extLst>
                        <a:ext uri="{28A0092B-C50C-407E-A947-70E740481C1C}">
                          <a14:useLocalDpi xmlns:a14="http://schemas.microsoft.com/office/drawing/2010/main" val="0"/>
                        </a:ext>
                      </a:extLst>
                    </a:blip>
                    <a:stretch>
                      <a:fillRect/>
                    </a:stretch>
                  </pic:blipFill>
                  <pic:spPr>
                    <a:xfrm>
                      <a:off x="0" y="0"/>
                      <a:ext cx="5631044" cy="8096248"/>
                    </a:xfrm>
                    <a:prstGeom prst="rect">
                      <a:avLst/>
                    </a:prstGeom>
                  </pic:spPr>
                </pic:pic>
              </a:graphicData>
            </a:graphic>
          </wp:inline>
        </w:drawing>
      </w:r>
    </w:p>
    <w:p w14:paraId="4E94FC5C" w14:textId="607392B8" w:rsidR="22F05443" w:rsidRPr="00676C4C" w:rsidRDefault="22F05443">
      <w:pPr>
        <w:rPr>
          <w:noProof/>
        </w:rPr>
      </w:pPr>
      <w:r>
        <w:rPr>
          <w:noProof/>
        </w:rPr>
        <w:br w:type="page"/>
      </w:r>
    </w:p>
    <w:p w14:paraId="31DB817E" w14:textId="47301732" w:rsidR="00E932B8" w:rsidRPr="00676C4C" w:rsidRDefault="00884E17" w:rsidP="00DC62E6">
      <w:pPr>
        <w:pStyle w:val="3intertitre"/>
        <w:rPr>
          <w:noProof/>
        </w:rPr>
      </w:pPr>
      <w:r>
        <w:rPr>
          <w:noProof/>
        </w:rPr>
        <w:t>5.2. Međuparlamentarni sastanci i konferencije</w:t>
      </w:r>
    </w:p>
    <w:p w14:paraId="4D03935E" w14:textId="413F1BC9" w:rsidR="0072388E" w:rsidRPr="00676C4C" w:rsidRDefault="76CE24F0" w:rsidP="00DC62E6">
      <w:pPr>
        <w:rPr>
          <w:noProof/>
        </w:rPr>
      </w:pPr>
      <w:r>
        <w:rPr>
          <w:noProof/>
        </w:rPr>
        <w:t>Međuparlamentarni sastanci i konferencije</w:t>
      </w:r>
      <w:r>
        <w:rPr>
          <w:rStyle w:val="FootnoteReference"/>
          <w:noProof/>
          <w:lang w:val="en-IE"/>
        </w:rPr>
        <w:footnoteReference w:id="115"/>
      </w:r>
      <w:r>
        <w:rPr>
          <w:noProof/>
        </w:rPr>
        <w:t xml:space="preserve"> 2023. uglavnom su bili usmjereni na nastavak rata u Ukrajini. Učestale teme bile su demokracija, opskrba energijom i proširenje EU-a. Članovi Komisije sudjelovali su na:</w:t>
      </w:r>
    </w:p>
    <w:p w14:paraId="1D3959C3" w14:textId="4B714A09" w:rsidR="00DD7AEC" w:rsidRPr="00676C4C" w:rsidRDefault="5AB5B89A" w:rsidP="0074612C">
      <w:pPr>
        <w:pStyle w:val="ListParagraph"/>
        <w:numPr>
          <w:ilvl w:val="0"/>
          <w:numId w:val="6"/>
        </w:numPr>
        <w:rPr>
          <w:noProof/>
        </w:rPr>
      </w:pPr>
      <w:r>
        <w:rPr>
          <w:noProof/>
        </w:rPr>
        <w:t>Konferenciji parlamentarnih odbora za poslove Unije parlamenata Europske unije (COSAC)</w:t>
      </w:r>
      <w:r>
        <w:rPr>
          <w:rStyle w:val="FootnoteReference"/>
          <w:noProof/>
          <w:lang w:val="en-IE"/>
        </w:rPr>
        <w:footnoteReference w:id="116"/>
      </w:r>
      <w:r>
        <w:rPr>
          <w:noProof/>
        </w:rPr>
        <w:t>,</w:t>
      </w:r>
    </w:p>
    <w:p w14:paraId="3C3554CC" w14:textId="0B779A75" w:rsidR="009F0E06" w:rsidRPr="00676C4C" w:rsidRDefault="11A98B15" w:rsidP="0074612C">
      <w:pPr>
        <w:pStyle w:val="ListParagraph"/>
        <w:numPr>
          <w:ilvl w:val="0"/>
          <w:numId w:val="6"/>
        </w:numPr>
        <w:rPr>
          <w:noProof/>
        </w:rPr>
      </w:pPr>
      <w:r>
        <w:rPr>
          <w:noProof/>
        </w:rPr>
        <w:t>Europskom parlamentarnom tjednu</w:t>
      </w:r>
      <w:r>
        <w:rPr>
          <w:rStyle w:val="FootnoteReference"/>
          <w:noProof/>
          <w:lang w:val="en-IE"/>
        </w:rPr>
        <w:footnoteReference w:id="117"/>
      </w:r>
      <w:r>
        <w:rPr>
          <w:noProof/>
        </w:rPr>
        <w:t>,</w:t>
      </w:r>
    </w:p>
    <w:p w14:paraId="523FE054" w14:textId="72C0023B" w:rsidR="0033322B" w:rsidRPr="00676C4C" w:rsidRDefault="786E97E7" w:rsidP="0074612C">
      <w:pPr>
        <w:pStyle w:val="ListParagraph"/>
        <w:numPr>
          <w:ilvl w:val="0"/>
          <w:numId w:val="6"/>
        </w:numPr>
        <w:rPr>
          <w:noProof/>
        </w:rPr>
      </w:pPr>
      <w:r>
        <w:rPr>
          <w:noProof/>
        </w:rPr>
        <w:t>sastancima Zajedničke skupine za parlamentarni nadzor nad Europolom</w:t>
      </w:r>
      <w:r>
        <w:rPr>
          <w:rStyle w:val="FootnoteReference"/>
          <w:noProof/>
          <w:lang w:val="en-IE"/>
        </w:rPr>
        <w:footnoteReference w:id="118"/>
      </w:r>
      <w:r>
        <w:rPr>
          <w:noProof/>
        </w:rPr>
        <w:t>,</w:t>
      </w:r>
    </w:p>
    <w:p w14:paraId="249904C4" w14:textId="26DEAE0A" w:rsidR="00323064" w:rsidRPr="00676C4C" w:rsidRDefault="0C675F2D" w:rsidP="0074612C">
      <w:pPr>
        <w:pStyle w:val="ListParagraph"/>
        <w:numPr>
          <w:ilvl w:val="0"/>
          <w:numId w:val="6"/>
        </w:numPr>
        <w:rPr>
          <w:noProof/>
        </w:rPr>
      </w:pPr>
      <w:r>
        <w:rPr>
          <w:noProof/>
        </w:rPr>
        <w:t>raznim međuparlamentarnim konferencijama</w:t>
      </w:r>
      <w:r>
        <w:rPr>
          <w:rStyle w:val="FootnoteReference"/>
          <w:noProof/>
          <w:lang w:val="en-IE"/>
        </w:rPr>
        <w:footnoteReference w:id="119"/>
      </w:r>
      <w:r>
        <w:rPr>
          <w:noProof/>
        </w:rPr>
        <w:t xml:space="preserve"> i sjednicama odbora</w:t>
      </w:r>
      <w:r>
        <w:rPr>
          <w:rStyle w:val="FootnoteReference"/>
          <w:noProof/>
          <w:lang w:val="en-IE"/>
        </w:rPr>
        <w:footnoteReference w:id="120"/>
      </w:r>
      <w:r>
        <w:rPr>
          <w:noProof/>
        </w:rPr>
        <w:t>.</w:t>
      </w:r>
    </w:p>
    <w:p w14:paraId="0A85F1F1" w14:textId="6013F016" w:rsidR="00483928" w:rsidRPr="00676C4C" w:rsidRDefault="1648F7A3" w:rsidP="3A9A3AFA">
      <w:pPr>
        <w:rPr>
          <w:noProof/>
        </w:rPr>
      </w:pPr>
      <w:r>
        <w:rPr>
          <w:noProof/>
        </w:rPr>
        <w:t>Na sastancima COSAC-a 2023. u potpunosti su uspostavljene prakse prije pandemije bolesti COVID-19. Dva sastanka predsjedatelja COSAC-a (29. i 30. siječnja te 17. i 18. rujna) i dvije plenarne sjednice COSAC-a (14. – 16. svibnja te 26. – 28. studenog) održani su isključivo uz fizičku prisutnost sudionika u glavnim gradovima Švedske i Španjolske, koje su predsjedale Vijećem EU-a. Nakon svake plenarne sjednice objavljeni su zaključci</w:t>
      </w:r>
      <w:r>
        <w:rPr>
          <w:rStyle w:val="FootnoteReference"/>
          <w:noProof/>
          <w:lang w:val="en-IE"/>
        </w:rPr>
        <w:footnoteReference w:id="121"/>
      </w:r>
      <w:r>
        <w:rPr>
          <w:noProof/>
        </w:rPr>
        <w:t>, doprinos</w:t>
      </w:r>
      <w:r>
        <w:rPr>
          <w:rStyle w:val="FootnoteReference"/>
          <w:noProof/>
          <w:lang w:val="en-IE"/>
        </w:rPr>
        <w:footnoteReference w:id="122"/>
      </w:r>
      <w:r>
        <w:rPr>
          <w:noProof/>
        </w:rPr>
        <w:t xml:space="preserve"> i polugodišnje izvješće. </w:t>
      </w:r>
      <w:bookmarkStart w:id="22" w:name="_Hlk97274566"/>
      <w:r>
        <w:rPr>
          <w:noProof/>
        </w:rPr>
        <w:t>Komisija je dostavila pisane odgovore na doprinose COSAC-a</w:t>
      </w:r>
      <w:r>
        <w:rPr>
          <w:rStyle w:val="FootnoteReference"/>
          <w:noProof/>
          <w:lang w:val="en-IE"/>
        </w:rPr>
        <w:footnoteReference w:id="123"/>
      </w:r>
      <w:r>
        <w:rPr>
          <w:noProof/>
        </w:rPr>
        <w:t>.</w:t>
      </w:r>
      <w:bookmarkEnd w:id="22"/>
      <w:r>
        <w:rPr>
          <w:noProof/>
        </w:rPr>
        <w:t xml:space="preserve"> Praksa neformalnih internetskih razmjena COSAC-a s članovima Komisije iz prethodne dvije godine napuštena je 2023. iako je u COSAC u svojim zaključcima na drugoj plenarnoj sjednici 2022. potvrdio njihovu korisnost u omogućivanju pravodobnih i detaljnih rasprava o konkretnim inicijativama EU-a. </w:t>
      </w:r>
    </w:p>
    <w:p w14:paraId="31F7E869" w14:textId="1ED356F7" w:rsidR="00E932A9" w:rsidRPr="00676C4C" w:rsidRDefault="50840818" w:rsidP="00DC62E6">
      <w:pPr>
        <w:rPr>
          <w:noProof/>
        </w:rPr>
      </w:pPr>
      <w:r>
        <w:rPr>
          <w:noProof/>
        </w:rPr>
        <w:t xml:space="preserve">Komisiju je na tri od četiri prethodno navedene sjednice predstavljao jedan od njezinih članova. Predsjednica von der Leyen, koja je na LXIX. plenarnoj sjednici COSAC-a u Stockholmu sudjelovala prethodno snimljenom videoporukom, naglasila je važnost suradnje Komisije s nacionalnim parlamentima. Povjerenica Johansson sudjelovala je na prvom sastanku predsjedatelja (osobno) i na LXX. plenarnoj sjednici COSAC-a (videovezom), na kojima se raspravljalo o organiziranom kriminalu i paktu o migracijama i azilu. </w:t>
      </w:r>
    </w:p>
    <w:p w14:paraId="1806A9AC" w14:textId="2461A34E" w:rsidR="00995622" w:rsidRPr="00676C4C" w:rsidRDefault="2C6593E0" w:rsidP="00DC62E6">
      <w:pPr>
        <w:rPr>
          <w:noProof/>
        </w:rPr>
      </w:pPr>
      <w:r>
        <w:rPr>
          <w:noProof/>
        </w:rPr>
        <w:t>Osim tih tema i tradicionalne usmjerenosti na prioritete odgovarajućih predsjedništava Vijeća EU-a, druga pitanja o kojima je bilo riječi na tim sastancima uključivala su stanje u Ukrajini i njezinu budućnost u EU-u (ta je tema bila aktualna na tri od ukupno četiri sastanka, a na svakom je sudjelovala Ivanna Klympush-Tsintsadze, predsjednica Odbora ukrajinskog parlamenta za integraciju Ukrajine u EU), 30 godina jedinstvenog tržišta, energetsku krizu, zelenu tranziciju, otvorenu stratešku autonomiju i odnose s Latinskom Amerikom te stanje u Izraelu i Pojasu Gaze nakon terorističkih napada Hamasa na Izrael 7. listopada 2024.</w:t>
      </w:r>
    </w:p>
    <w:p w14:paraId="314C0759" w14:textId="0149E495" w:rsidR="00C2188B" w:rsidRPr="00676C4C" w:rsidRDefault="00DE7112" w:rsidP="00DE7112">
      <w:pPr>
        <w:pStyle w:val="1Titre1"/>
        <w:numPr>
          <w:ilvl w:val="0"/>
          <w:numId w:val="0"/>
        </w:numPr>
        <w:ind w:left="360" w:hanging="360"/>
        <w:rPr>
          <w:noProof/>
        </w:rPr>
      </w:pPr>
      <w:r>
        <w:rPr>
          <w:noProof/>
        </w:rPr>
        <w:t>6. Uloga regionalnih parlamenata</w:t>
      </w:r>
    </w:p>
    <w:p w14:paraId="4CC29DA6" w14:textId="11A5CE26" w:rsidR="0025490E" w:rsidRPr="00676C4C" w:rsidRDefault="32E9921E" w:rsidP="00DC62E6">
      <w:pPr>
        <w:rPr>
          <w:noProof/>
        </w:rPr>
      </w:pPr>
      <w:r>
        <w:rPr>
          <w:noProof/>
        </w:rPr>
        <w:t xml:space="preserve">Regionalni parlamenti neizravno doprinose odnosima Komisije s nacionalnim parlamentima. U skladu s Protokolom br. 2 pri provođenju provjere poštovanja načela supsidijarnosti nacrta zakonodavnih akata EU-a za potrebe izdavanja obrazloženih mišljenja nacionalni parlamenti prema potrebi savjetuju se s </w:t>
      </w:r>
      <w:r>
        <w:rPr>
          <w:noProof/>
          <w:color w:val="333333"/>
        </w:rPr>
        <w:t>regionalnim parlamentima koji imaju zakonodavne ovlasti</w:t>
      </w:r>
      <w:r>
        <w:rPr>
          <w:noProof/>
        </w:rPr>
        <w:t>.</w:t>
      </w:r>
    </w:p>
    <w:p w14:paraId="215A0186" w14:textId="7BAAEBBD" w:rsidR="009D4F9A" w:rsidRPr="00676C4C" w:rsidRDefault="56DC0156" w:rsidP="00DC62E6">
      <w:pPr>
        <w:rPr>
          <w:noProof/>
        </w:rPr>
      </w:pPr>
      <w:r>
        <w:rPr>
          <w:noProof/>
        </w:rPr>
        <w:t>Članovi regionalnih parlamenata zastupljeni su i u Europskom odboru regija, koji provodi aktivnosti praćenja preko Mreže za praćenje primjene načela supsidijarnosti i njezine internetske platforme, osmišljene radi podupiranja sudjelovanja regionalnih parlamenata sa zakonodavnim ovlastima u mehanizmu ranog upozoravanja za supsidijarnost (REGPEX)</w:t>
      </w:r>
      <w:r>
        <w:rPr>
          <w:rStyle w:val="FootnoteReference"/>
          <w:noProof/>
          <w:lang w:val="en-IE"/>
        </w:rPr>
        <w:footnoteReference w:id="124"/>
      </w:r>
      <w:r>
        <w:rPr>
          <w:noProof/>
        </w:rPr>
        <w:t xml:space="preserve">. </w:t>
      </w:r>
    </w:p>
    <w:p w14:paraId="74630512" w14:textId="71B890E1" w:rsidR="00245C71" w:rsidRPr="00676C4C" w:rsidRDefault="6BE1401E" w:rsidP="22F05443">
      <w:pPr>
        <w:rPr>
          <w:rFonts w:eastAsia="Times New Roman"/>
          <w:noProof/>
        </w:rPr>
      </w:pPr>
      <w:r>
        <w:rPr>
          <w:noProof/>
        </w:rPr>
        <w:t>U Ugovorima nije izričito predviđena izravna interakcija između Komisije i regionalnih parlamenata, ali Komisija uzima u obzir njihove doprinose i odgovara na njih. Manje regionalnih parlamenata</w:t>
      </w:r>
      <w:r>
        <w:rPr>
          <w:rStyle w:val="FootnoteReference"/>
          <w:rFonts w:eastAsia="Times New Roman"/>
          <w:noProof/>
          <w:lang w:val="en-IE"/>
        </w:rPr>
        <w:footnoteReference w:id="125"/>
      </w:r>
      <w:r>
        <w:rPr>
          <w:noProof/>
        </w:rPr>
        <w:t xml:space="preserve"> podnijelo je Komisiji manje rezolucija nego prethodnih godina: 32 rezolucije u 2023., u usporedbi sa 72 u 2022., 50 u 2021. i 33 u 2020. One su se odnosile na razna pitanja, kao što su Briselska deklaracija regionalnih parlamenata njemačkog govornog područja, priznavanje gladomora kao genocida, kružno gospodarstvo, ljudska prava, Konferencija o budućnosti Europe, kriptovalute, Europska godina mladih, humanitarna suradnja, Sporazum na Veliki petak i status katalonskog jezika u EU-u. Otprilike trećina doprinosa odnosila se na određene prijedloge Komisije</w:t>
      </w:r>
      <w:r>
        <w:rPr>
          <w:rStyle w:val="FootnoteReference"/>
          <w:rFonts w:eastAsia="Times New Roman"/>
          <w:noProof/>
          <w:lang w:val="en-IE"/>
        </w:rPr>
        <w:footnoteReference w:id="126"/>
      </w:r>
      <w:r>
        <w:rPr>
          <w:noProof/>
        </w:rPr>
        <w:t>, a u osam ih je izražena zabrinutost zbog primjene načela supsidijarnosti. Drugi regionalni parlamenti sudjelovali su u javnim savjetovanjima Komisije, iako se tim kanalom dosad aktivno služio samo jedan regionalni parlament, koji je dostavio odgovore na nekoliko javnih savjetovanja koja je pokrenula Komisija</w:t>
      </w:r>
      <w:r>
        <w:rPr>
          <w:rStyle w:val="FootnoteReference"/>
          <w:rFonts w:eastAsia="Times New Roman"/>
          <w:noProof/>
          <w:lang w:val="en-IE"/>
        </w:rPr>
        <w:footnoteReference w:id="127"/>
      </w:r>
      <w:r>
        <w:rPr>
          <w:noProof/>
        </w:rPr>
        <w:t>. Jedan regionalni parlament iskoristio je drugi kanal i podnio tri mišljenja preko nacionalnog parlamenta</w:t>
      </w:r>
      <w:r>
        <w:rPr>
          <w:rStyle w:val="FootnoteReference"/>
          <w:rFonts w:eastAsia="Times New Roman"/>
          <w:noProof/>
          <w:lang w:val="en-IE"/>
        </w:rPr>
        <w:footnoteReference w:id="128"/>
      </w:r>
      <w:r>
        <w:rPr>
          <w:noProof/>
        </w:rPr>
        <w:t xml:space="preserve">. </w:t>
      </w:r>
    </w:p>
    <w:p w14:paraId="0C925A3D" w14:textId="28ACB9A7" w:rsidR="00DB3AE1" w:rsidRPr="00676C4C" w:rsidRDefault="00DE7112" w:rsidP="00DE7112">
      <w:pPr>
        <w:pStyle w:val="1Titre1"/>
        <w:numPr>
          <w:ilvl w:val="0"/>
          <w:numId w:val="0"/>
        </w:numPr>
        <w:ind w:left="360" w:hanging="360"/>
        <w:rPr>
          <w:noProof/>
        </w:rPr>
      </w:pPr>
      <w:r>
        <w:rPr>
          <w:noProof/>
        </w:rPr>
        <w:t>7. Zaključak</w:t>
      </w:r>
    </w:p>
    <w:p w14:paraId="07DC2D53" w14:textId="5571D93A" w:rsidR="0023133A" w:rsidRPr="00676C4C" w:rsidRDefault="30D59ECF" w:rsidP="00837AFE">
      <w:pPr>
        <w:rPr>
          <w:noProof/>
        </w:rPr>
      </w:pPr>
      <w:r>
        <w:rPr>
          <w:noProof/>
        </w:rPr>
        <w:t>U usporedbi s prethodnim godinama mandata ove Komisije 2023. je došlo do općeg povećanja intenziteta aktivnosti nacionalnih parlamenata u obliku pisanog i usmenog dijaloga te njihova praćenja poštovanja načela supsidijarnosti i proporcionalnosti, koje se provodi kako bi se osiguralo da se mjere EU-a poduzimaju samo kad je to potrebno i u mjeri u kojoj je to potrebno. Ukupan broj mišljenja (uključujući obrazložena mišljenja) povećao se na 402 u 2023., u usporedbi s 355 u 2022. i 360 u 2021.</w:t>
      </w:r>
    </w:p>
    <w:p w14:paraId="60F9E61F" w14:textId="28C56EED" w:rsidR="002032D0" w:rsidRPr="00676C4C" w:rsidRDefault="00880D2F" w:rsidP="002032D0">
      <w:pPr>
        <w:rPr>
          <w:noProof/>
        </w:rPr>
      </w:pPr>
      <w:r>
        <w:rPr>
          <w:noProof/>
        </w:rPr>
        <w:t xml:space="preserve">Komisija je 2023. prvi put od 2008. zaprimila više mišljenja u posljednjoj punoj godini svojeg mandata nego prethodne godine. Međutim, u usporedbi s dva prethodna mandata Komisije nastavio se trend smanjenja ukupnog broja mišljenja nacionalnih parlamenata, koji je već istaknut u godišnjem izvješću za 2022. </w:t>
      </w:r>
    </w:p>
    <w:p w14:paraId="0841338E" w14:textId="5A0468E5" w:rsidR="003A0F1E" w:rsidRPr="00676C4C" w:rsidRDefault="4B71A130" w:rsidP="00837AFE">
      <w:pPr>
        <w:rPr>
          <w:noProof/>
        </w:rPr>
      </w:pPr>
      <w:r>
        <w:rPr>
          <w:noProof/>
        </w:rPr>
        <w:t xml:space="preserve">Broj mišljenja i dalje se znatno razlikovao među nacionalnim parlamentima. Postotak mišljenja 10 najaktivnijih domova ostao je gotovo isti kao i prethodne dvije godine (79 %), ali su dva doma manje izdala mišljenje. Općenito, nacionalni parlamenti koji su tradicionalno usmjereni na provjeru usklađenosti prijedloga s načelima supsidijarnosti i proporcionalnosti nastavili su to činiti i 2023. </w:t>
      </w:r>
    </w:p>
    <w:p w14:paraId="305E92B2" w14:textId="77777777" w:rsidR="00300F53" w:rsidRPr="00300F53" w:rsidRDefault="38050B48" w:rsidP="00790493">
      <w:pPr>
        <w:rPr>
          <w:noProof/>
        </w:rPr>
      </w:pPr>
      <w:r>
        <w:rPr>
          <w:noProof/>
        </w:rPr>
        <w:t>Ukupno je oko 70 % mišljenja nacionalnih parlamenata bilo usmjereno na prijedloge koji su podlijegali kontroli poštovanja načela supsidijarnosti. Preostalih 30 % bilo je usmjereno na prijedloge koji nisu podlijegali kontroli poštovanja načela supsidijarnosti (tj. politike u kojima EU ima isključivu nadležnost), nezakonodavne dokumente ili druge teme (putem samoinicijativnih mišljenja). Ta je ravnoteža bila uobičajena za godinu s velikim brojem zakonodavnih prijedloga.</w:t>
      </w:r>
    </w:p>
    <w:p w14:paraId="7E598AB1" w14:textId="16844E2E" w:rsidR="00790493" w:rsidRPr="00676C4C" w:rsidRDefault="00790493" w:rsidP="00790493">
      <w:pPr>
        <w:rPr>
          <w:noProof/>
        </w:rPr>
      </w:pPr>
      <w:r>
        <w:rPr>
          <w:noProof/>
        </w:rPr>
        <w:t>Kad je riječ o odnosima između Komisije i regionalnih parlamenata, 2023. se znatno smanjio broj doprinosa regionalnih parlamenata (32) i vratio se na razinu iz 2020. (33) (nakon vrhunca u prethodne dvije godine sa 72 doprinosa u 2022. i 50 doprinosa u 2021.).</w:t>
      </w:r>
    </w:p>
    <w:p w14:paraId="2A4A517A" w14:textId="657BBAB7" w:rsidR="0001490E" w:rsidRPr="00676C4C" w:rsidRDefault="0001490E" w:rsidP="0001490E">
      <w:pPr>
        <w:rPr>
          <w:noProof/>
        </w:rPr>
      </w:pPr>
      <w:r>
        <w:rPr>
          <w:noProof/>
        </w:rPr>
        <w:t>Nacionalni parlamenti i dalje su tematski bili usmjereni na glavne prioritete Komisije, pri čemu su posebnu pozornost posvetili europskom zelenom planu, novom poticaju europskoj demokraciji i promicanju europskog načina života. Zbog aktualnih ratova u Ukrajini i na Bliskom istoku zahtjevan geopolitički kontekst također je imao istaknutu ulogu u razmjenama (među ostalim na međuparlamentarnim sastancima i konferencijama, kao što je COSAC). Stoga su istaknute teme bile i promišljanja o budućnosti EU-a i njegovu proširenju, migracijama i sigurnosti, kao i opskrba energijom i troškovi energije, konkurentnost EU-a, otvorena strateška autonomija i pravedna tranzicija.</w:t>
      </w:r>
    </w:p>
    <w:p w14:paraId="4ED6A69B" w14:textId="7144A108" w:rsidR="00AC7DB3" w:rsidRPr="00676C4C" w:rsidRDefault="2A80A258" w:rsidP="00DC62E6">
      <w:pPr>
        <w:rPr>
          <w:noProof/>
        </w:rPr>
      </w:pPr>
      <w:r>
        <w:rPr>
          <w:noProof/>
        </w:rPr>
        <w:t>Na temelju glavnih događanja 2023. u vezi s kontrolom poštovanja načela supsidijarnosti mogu se izvesti sljedeći zaključci vrijedni pozornosti.</w:t>
      </w:r>
    </w:p>
    <w:p w14:paraId="20CB5CDD" w14:textId="4BC86B4B" w:rsidR="00EA536E" w:rsidRPr="00676C4C" w:rsidRDefault="20EC0FCA" w:rsidP="0074612C">
      <w:pPr>
        <w:pStyle w:val="ListParagraph"/>
        <w:numPr>
          <w:ilvl w:val="0"/>
          <w:numId w:val="9"/>
        </w:numPr>
        <w:rPr>
          <w:noProof/>
        </w:rPr>
      </w:pPr>
      <w:r>
        <w:rPr>
          <w:noProof/>
        </w:rPr>
        <w:t xml:space="preserve">Broj obrazloženih mišljenja (22) u kojima se tvrdi da se nije poštovalo načelo supsidijarnosti smanjio se za gotovo trećinu u odnosu na prethodnu godinu (32). </w:t>
      </w:r>
    </w:p>
    <w:p w14:paraId="4DB3BC69" w14:textId="4527A145" w:rsidR="005339B9" w:rsidRPr="00676C4C" w:rsidRDefault="374724F6" w:rsidP="0074612C">
      <w:pPr>
        <w:pStyle w:val="ListParagraph"/>
        <w:numPr>
          <w:ilvl w:val="0"/>
          <w:numId w:val="9"/>
        </w:numPr>
        <w:rPr>
          <w:noProof/>
        </w:rPr>
      </w:pPr>
      <w:r>
        <w:rPr>
          <w:noProof/>
        </w:rPr>
        <w:t xml:space="preserve">Gotovo dvije trećine tih obrazloženih mišljenja dostavila su dva nacionalna parlamenta: oba talijanska doma (devet) i švedski </w:t>
      </w:r>
      <w:r>
        <w:rPr>
          <w:i/>
          <w:noProof/>
        </w:rPr>
        <w:t>Riksdag</w:t>
      </w:r>
      <w:r>
        <w:rPr>
          <w:noProof/>
        </w:rPr>
        <w:t xml:space="preserve"> (pet). </w:t>
      </w:r>
    </w:p>
    <w:p w14:paraId="3D1389B3" w14:textId="7C3CF1A2" w:rsidR="00D70A21" w:rsidRPr="00676C4C" w:rsidRDefault="008B0FFF" w:rsidP="0074612C">
      <w:pPr>
        <w:pStyle w:val="ListParagraph"/>
        <w:numPr>
          <w:ilvl w:val="0"/>
          <w:numId w:val="9"/>
        </w:numPr>
        <w:rPr>
          <w:noProof/>
        </w:rPr>
      </w:pPr>
      <w:r>
        <w:rPr>
          <w:noProof/>
        </w:rPr>
        <w:t>Nekoliko parlamenata uvelo je unutarnje promjene kako bi se mogli bolje i ranije informirati o procesu oblikovanja politika na razini EU-a te učinkovitije izražavati svoja stajališta</w:t>
      </w:r>
      <w:r>
        <w:rPr>
          <w:rStyle w:val="FootnoteReference"/>
          <w:noProof/>
          <w:lang w:val="en-IE"/>
        </w:rPr>
        <w:footnoteReference w:id="129"/>
      </w:r>
      <w:r>
        <w:rPr>
          <w:noProof/>
        </w:rPr>
        <w:t xml:space="preserve">. </w:t>
      </w:r>
    </w:p>
    <w:p w14:paraId="704C722E" w14:textId="537A6B8C" w:rsidR="001523D5" w:rsidRPr="00676C4C" w:rsidRDefault="009E4977" w:rsidP="00980974">
      <w:pPr>
        <w:pStyle w:val="ListParagraph"/>
        <w:numPr>
          <w:ilvl w:val="0"/>
          <w:numId w:val="9"/>
        </w:numPr>
        <w:rPr>
          <w:noProof/>
        </w:rPr>
      </w:pPr>
      <w:r>
        <w:rPr>
          <w:noProof/>
        </w:rPr>
        <w:t>Poseban instrument mišljenja o programu rada Komisije u većoj se mjeri strateški koristi. Broj mišljenja nacionalnih parlamenata koji su iskoristili tu mogućnost za informiranje institucija EU-a o vlastitim nacionalnim prioritetima u odnosu na ključne inicijative na razini EU-a i za isticanje posebnosti znatno se povećao, sa 6 u 2022. na 10 u 2023.</w:t>
      </w:r>
    </w:p>
    <w:p w14:paraId="646C5FE3" w14:textId="47E043AE" w:rsidR="000A709A" w:rsidRPr="00676C4C" w:rsidRDefault="78F168D9" w:rsidP="00A55585">
      <w:pPr>
        <w:rPr>
          <w:noProof/>
          <w:highlight w:val="yellow"/>
        </w:rPr>
      </w:pPr>
      <w:r>
        <w:rPr>
          <w:noProof/>
        </w:rPr>
        <w:t>Slično tome, moglo se primijetiti i da su neki nacionalni parlamenti počeli sudjelovati u političkom dijalogu na inovativne načine, kao što je reagiranje na raspravu o zakonodavnim prijedlozima koja je u tijeku u okviru trijaloga podnošenjem mišljenja – bilo jednog ili nekoliko uzastopnih mišljenja koja je izdao isti dom ili zajedničkog mišljenja koje je izdao niz parlamenata i koje je podneseno u kasnoj fazi zakonodavnog postupka – te reagiranje na aspekte nekoliko nacrta delegiranih i provedbenih akata podnošenjem posebnog samoinicijativnog mišljenja. To pokazuje strateški potencijal i fleksibilnost koju omogućuje dijalog između nacionalnih parlamenata i Komisije.</w:t>
      </w:r>
    </w:p>
    <w:sectPr w:rsidR="000A709A" w:rsidRPr="00676C4C" w:rsidSect="00292855">
      <w:headerReference w:type="even" r:id="rId23"/>
      <w:headerReference w:type="default" r:id="rId24"/>
      <w:footerReference w:type="even" r:id="rId25"/>
      <w:footerReference w:type="default" r:id="rId26"/>
      <w:headerReference w:type="first" r:id="rId27"/>
      <w:footerReference w:type="first" r:id="rId28"/>
      <w:pgSz w:w="11906" w:h="16838"/>
      <w:pgMar w:top="992" w:right="1134" w:bottom="1134" w:left="1418" w:header="709"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76F6" w14:textId="77777777" w:rsidR="00D658E3" w:rsidRPr="006F30E4" w:rsidRDefault="00D658E3" w:rsidP="004E4A6E">
      <w:r>
        <w:separator/>
      </w:r>
    </w:p>
  </w:endnote>
  <w:endnote w:type="continuationSeparator" w:id="0">
    <w:p w14:paraId="798B5806" w14:textId="77777777" w:rsidR="00D658E3" w:rsidRPr="006F30E4" w:rsidRDefault="00D658E3" w:rsidP="004E4A6E">
      <w:r>
        <w:continuationSeparator/>
      </w:r>
    </w:p>
  </w:endnote>
  <w:endnote w:type="continuationNotice" w:id="1">
    <w:p w14:paraId="764D201A" w14:textId="77777777" w:rsidR="00D658E3" w:rsidRPr="006F30E4" w:rsidRDefault="00D658E3" w:rsidP="004E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413">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6791" w14:textId="45212AFA" w:rsidR="001D63A3" w:rsidRPr="001D63A3" w:rsidRDefault="001D63A3" w:rsidP="001D63A3">
    <w:pPr>
      <w:pStyle w:val="FooterCoverPage"/>
      <w:rPr>
        <w:rFonts w:ascii="Arial" w:hAnsi="Arial" w:cs="Arial"/>
        <w:b/>
        <w:sz w:val="48"/>
      </w:rPr>
    </w:pPr>
    <w:r w:rsidRPr="001D63A3">
      <w:rPr>
        <w:rFonts w:ascii="Arial" w:hAnsi="Arial" w:cs="Arial"/>
        <w:b/>
        <w:sz w:val="48"/>
      </w:rPr>
      <w:t>HR</w:t>
    </w:r>
    <w:r w:rsidRPr="001D63A3">
      <w:rPr>
        <w:rFonts w:ascii="Arial" w:hAnsi="Arial" w:cs="Arial"/>
        <w:b/>
        <w:sz w:val="48"/>
      </w:rPr>
      <w:tab/>
    </w:r>
    <w:r w:rsidRPr="001D63A3">
      <w:rPr>
        <w:rFonts w:ascii="Arial" w:hAnsi="Arial" w:cs="Arial"/>
        <w:b/>
        <w:sz w:val="48"/>
      </w:rPr>
      <w:tab/>
    </w:r>
    <w:r w:rsidRPr="001D63A3">
      <w:tab/>
    </w:r>
    <w:r w:rsidRPr="001D63A3">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40D3" w14:textId="46ED281F" w:rsidR="001D63A3" w:rsidRPr="001D63A3" w:rsidRDefault="001D63A3" w:rsidP="001D63A3">
    <w:pPr>
      <w:pStyle w:val="FooterCoverPage"/>
      <w:rPr>
        <w:rFonts w:ascii="Arial" w:hAnsi="Arial" w:cs="Arial"/>
        <w:b/>
        <w:sz w:val="48"/>
      </w:rPr>
    </w:pPr>
    <w:r w:rsidRPr="001D63A3">
      <w:rPr>
        <w:rFonts w:ascii="Arial" w:hAnsi="Arial" w:cs="Arial"/>
        <w:b/>
        <w:sz w:val="48"/>
      </w:rPr>
      <w:t>HR</w:t>
    </w:r>
    <w:r w:rsidRPr="001D63A3">
      <w:rPr>
        <w:rFonts w:ascii="Arial" w:hAnsi="Arial" w:cs="Arial"/>
        <w:b/>
        <w:sz w:val="48"/>
      </w:rPr>
      <w:tab/>
    </w:r>
    <w:r w:rsidRPr="001D63A3">
      <w:rPr>
        <w:rFonts w:ascii="Arial" w:hAnsi="Arial" w:cs="Arial"/>
        <w:b/>
        <w:sz w:val="48"/>
      </w:rPr>
      <w:tab/>
    </w:r>
    <w:r w:rsidRPr="001D63A3">
      <w:tab/>
    </w:r>
    <w:r w:rsidRPr="001D63A3">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1B63" w14:textId="77777777" w:rsidR="001D63A3" w:rsidRPr="001D63A3" w:rsidRDefault="001D63A3" w:rsidP="001D63A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A201" w14:textId="77777777" w:rsidR="00E628F5" w:rsidRPr="006F30E4" w:rsidRDefault="00E628F5" w:rsidP="004E4A6E">
    <w:pPr>
      <w:pStyle w:val="Footer"/>
    </w:pPr>
  </w:p>
  <w:p w14:paraId="477AF5ED" w14:textId="77777777" w:rsidR="00E628F5" w:rsidRPr="006F30E4" w:rsidRDefault="00E628F5" w:rsidP="004E4A6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870047"/>
      <w:docPartObj>
        <w:docPartGallery w:val="Page Numbers (Bottom of Page)"/>
        <w:docPartUnique/>
      </w:docPartObj>
    </w:sdtPr>
    <w:sdtEndPr>
      <w:rPr>
        <w:noProof/>
      </w:rPr>
    </w:sdtEndPr>
    <w:sdtContent>
      <w:p w14:paraId="317A7388" w14:textId="6B75D882" w:rsidR="00E628F5" w:rsidRPr="006F30E4" w:rsidRDefault="00035BAE" w:rsidP="00035BAE">
        <w:pPr>
          <w:pStyle w:val="Footer"/>
          <w:jc w:val="center"/>
        </w:pPr>
        <w:r>
          <w:fldChar w:fldCharType="begin"/>
        </w:r>
        <w:r>
          <w:instrText xml:space="preserve"> PAGE   \* MERGEFORMAT </w:instrText>
        </w:r>
        <w:r>
          <w:fldChar w:fldCharType="separate"/>
        </w:r>
        <w:r w:rsidR="001D63A3">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AD53" w14:textId="77777777" w:rsidR="00E628F5" w:rsidRPr="005E714F" w:rsidRDefault="00E628F5" w:rsidP="004E4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751EE" w14:textId="77777777" w:rsidR="00D658E3" w:rsidRPr="006F30E4" w:rsidRDefault="00D658E3" w:rsidP="004E4A6E">
      <w:r>
        <w:separator/>
      </w:r>
    </w:p>
  </w:footnote>
  <w:footnote w:type="continuationSeparator" w:id="0">
    <w:p w14:paraId="6250333F" w14:textId="77777777" w:rsidR="00D658E3" w:rsidRPr="006F30E4" w:rsidRDefault="00D658E3" w:rsidP="004E4A6E">
      <w:r>
        <w:continuationSeparator/>
      </w:r>
    </w:p>
  </w:footnote>
  <w:footnote w:type="continuationNotice" w:id="1">
    <w:p w14:paraId="3971697A" w14:textId="77777777" w:rsidR="00D658E3" w:rsidRPr="006F30E4" w:rsidRDefault="00D658E3" w:rsidP="004E4A6E"/>
  </w:footnote>
  <w:footnote w:id="2">
    <w:p w14:paraId="504C1556" w14:textId="288C3A37" w:rsidR="002C146C" w:rsidRPr="00FF47D1" w:rsidRDefault="002C146C" w:rsidP="00EC63CF">
      <w:pPr>
        <w:pStyle w:val="FootnoteText"/>
        <w:ind w:left="426" w:hanging="426"/>
      </w:pPr>
      <w:r>
        <w:rPr>
          <w:rStyle w:val="FootnoteReference"/>
          <w:lang w:val="en-IE"/>
        </w:rPr>
        <w:footnoteRef/>
      </w:r>
      <w:r>
        <w:t xml:space="preserve"> </w:t>
      </w:r>
      <w:r>
        <w:tab/>
        <w:t>Konferencija parlamentarnih odbora za poslove Unije parlamenata Europske unije.</w:t>
      </w:r>
    </w:p>
  </w:footnote>
  <w:footnote w:id="3">
    <w:p w14:paraId="75655196" w14:textId="448AE18C" w:rsidR="00CE632A" w:rsidRPr="00FF47D1" w:rsidRDefault="00CE632A" w:rsidP="00EC63CF">
      <w:pPr>
        <w:pStyle w:val="FootnoteText"/>
        <w:ind w:left="426" w:hanging="426"/>
      </w:pPr>
      <w:r>
        <w:rPr>
          <w:rStyle w:val="FootnoteReference"/>
          <w:lang w:val="en-IE"/>
        </w:rPr>
        <w:footnoteRef/>
      </w:r>
      <w:r>
        <w:t xml:space="preserve"> </w:t>
      </w:r>
      <w:r>
        <w:tab/>
      </w:r>
      <w:hyperlink r:id="rId1" w:history="1">
        <w:r>
          <w:rPr>
            <w:rStyle w:val="Hyperlink"/>
          </w:rPr>
          <w:t>OECD-ov pregled regulatorne politike 2021. |</w:t>
        </w:r>
      </w:hyperlink>
      <w:hyperlink r:id="rId2" w:history="1">
        <w:r>
          <w:rPr>
            <w:rStyle w:val="Hyperlink"/>
          </w:rPr>
          <w:t xml:space="preserve"> en |</w:t>
        </w:r>
      </w:hyperlink>
      <w:hyperlink r:id="rId3" w:history="1">
        <w:r>
          <w:rPr>
            <w:rStyle w:val="Hyperlink"/>
          </w:rPr>
          <w:t xml:space="preserve"> OECD</w:t>
        </w:r>
      </w:hyperlink>
      <w:r>
        <w:t>.</w:t>
      </w:r>
    </w:p>
  </w:footnote>
  <w:footnote w:id="4">
    <w:p w14:paraId="1C017641" w14:textId="3A4A7DA5" w:rsidR="008349E6" w:rsidRPr="00FF47D1" w:rsidRDefault="008349E6" w:rsidP="00EC63CF">
      <w:pPr>
        <w:pStyle w:val="FootnoteText"/>
        <w:ind w:left="426" w:hanging="426"/>
      </w:pPr>
      <w:r>
        <w:rPr>
          <w:rStyle w:val="FootnoteReference"/>
          <w:lang w:val="en-IE"/>
        </w:rPr>
        <w:footnoteRef/>
      </w:r>
      <w:r>
        <w:t xml:space="preserve"> </w:t>
      </w:r>
      <w:r>
        <w:tab/>
      </w:r>
      <w:hyperlink r:id="rId4" w:history="1">
        <w:r>
          <w:rPr>
            <w:rStyle w:val="Hyperlink"/>
          </w:rPr>
          <w:t>Bolja regulativa:</w:t>
        </w:r>
      </w:hyperlink>
      <w:hyperlink r:id="rId5" w:history="1">
        <w:r>
          <w:rPr>
            <w:rStyle w:val="Hyperlink"/>
          </w:rPr>
          <w:t xml:space="preserve"> smjernice i alati (europa.eu)</w:t>
        </w:r>
      </w:hyperlink>
      <w:r>
        <w:t>.</w:t>
      </w:r>
    </w:p>
  </w:footnote>
  <w:footnote w:id="5">
    <w:p w14:paraId="58DCA9D9" w14:textId="2A289D21" w:rsidR="00B638DE" w:rsidRPr="00FF47D1" w:rsidRDefault="00B638DE" w:rsidP="00EC63CF">
      <w:pPr>
        <w:pStyle w:val="FootnoteText"/>
        <w:ind w:left="426" w:hanging="426"/>
      </w:pPr>
      <w:r>
        <w:rPr>
          <w:rStyle w:val="FootnoteReference"/>
          <w:lang w:val="en-IE"/>
        </w:rPr>
        <w:footnoteRef/>
      </w:r>
      <w:r>
        <w:t xml:space="preserve"> </w:t>
      </w:r>
      <w:r>
        <w:tab/>
        <w:t>COM(2021) 219 final.</w:t>
      </w:r>
    </w:p>
  </w:footnote>
  <w:footnote w:id="6">
    <w:p w14:paraId="34445415" w14:textId="6A5DB3C9" w:rsidR="00B638DE" w:rsidRPr="00FF47D1" w:rsidRDefault="00B638DE" w:rsidP="00EC63CF">
      <w:pPr>
        <w:pStyle w:val="FootnoteText"/>
        <w:ind w:left="426" w:hanging="426"/>
      </w:pPr>
      <w:r>
        <w:rPr>
          <w:rStyle w:val="FootnoteReference"/>
          <w:lang w:val="en-IE"/>
        </w:rPr>
        <w:footnoteRef/>
      </w:r>
      <w:r>
        <w:t xml:space="preserve"> </w:t>
      </w:r>
      <w:r>
        <w:tab/>
        <w:t xml:space="preserve">To je uključivalo: izmjenu Alata #3 (Uloga Odbora za nadzor regulative) kako bi se uzele u obzir promjene u sastavu Odbora, izmjenu Alata #11 (Format izvješća o procjeni učinka), u okviru koje je promijenjen način na koji se predstavljaju informacije povezane s pristupom „jedan za jedan” i uvođenje dodatka o provjeri konkurentnosti. Vidjeti </w:t>
      </w:r>
      <w:hyperlink r:id="rId6" w:history="1">
        <w:r>
          <w:rPr>
            <w:rStyle w:val="Hyperlink"/>
          </w:rPr>
          <w:t>Alate za bolju regulativu – srpanj 2023. – KONAČNA VERZIJA.pdf (europa.eu)</w:t>
        </w:r>
      </w:hyperlink>
      <w:r>
        <w:t>.</w:t>
      </w:r>
    </w:p>
  </w:footnote>
  <w:footnote w:id="7">
    <w:p w14:paraId="00D7EB7B" w14:textId="07085118" w:rsidR="00BC7AF7" w:rsidRPr="00FF47D1" w:rsidRDefault="00BC7AF7" w:rsidP="00EC63CF">
      <w:pPr>
        <w:pStyle w:val="FootnoteText"/>
        <w:ind w:left="426" w:hanging="426"/>
      </w:pPr>
      <w:r>
        <w:rPr>
          <w:rStyle w:val="FootnoteReference"/>
          <w:lang w:val="en-IE"/>
        </w:rPr>
        <w:footnoteRef/>
      </w:r>
      <w:r>
        <w:t xml:space="preserve"> </w:t>
      </w:r>
      <w:r>
        <w:tab/>
        <w:t>COM(2023) 168 final i COM(2023) 535 final.</w:t>
      </w:r>
    </w:p>
  </w:footnote>
  <w:footnote w:id="8">
    <w:p w14:paraId="738EAC46" w14:textId="128120D8" w:rsidR="00AB74C2" w:rsidRPr="00FF47D1" w:rsidRDefault="00AB74C2" w:rsidP="00EC63CF">
      <w:pPr>
        <w:pStyle w:val="FootnoteText"/>
        <w:ind w:left="426" w:hanging="426"/>
      </w:pPr>
      <w:r>
        <w:rPr>
          <w:rStyle w:val="FootnoteReference"/>
          <w:lang w:val="en-IE"/>
        </w:rPr>
        <w:footnoteRef/>
      </w:r>
      <w:r>
        <w:t xml:space="preserve"> </w:t>
      </w:r>
      <w:r>
        <w:tab/>
        <w:t xml:space="preserve">U predstojećem godišnjem pregledu opterećenosti za 2023. dat će se pregled različitih područja rada na smanjenju birokracije. Pregled će biti dostupan na stranici </w:t>
      </w:r>
      <w:hyperlink r:id="rId7" w:history="1">
        <w:r>
          <w:rPr>
            <w:rStyle w:val="Hyperlink"/>
          </w:rPr>
          <w:t>Godišnji pregled opterećenosti – Europska komisija (europa.eu)</w:t>
        </w:r>
      </w:hyperlink>
      <w:r>
        <w:t>.</w:t>
      </w:r>
    </w:p>
  </w:footnote>
  <w:footnote w:id="9">
    <w:p w14:paraId="32D7E154" w14:textId="0C95BE50" w:rsidR="0088501F" w:rsidRPr="00FF47D1" w:rsidRDefault="0088501F" w:rsidP="00EC63CF">
      <w:pPr>
        <w:pStyle w:val="FootnoteText"/>
        <w:ind w:left="426" w:hanging="426"/>
      </w:pPr>
      <w:r>
        <w:rPr>
          <w:rStyle w:val="FootnoteReference"/>
          <w:lang w:val="en-IE"/>
        </w:rPr>
        <w:footnoteRef/>
      </w:r>
      <w:r>
        <w:t xml:space="preserve"> </w:t>
      </w:r>
      <w:r>
        <w:tab/>
        <w:t xml:space="preserve">Procjena učinka na ruralna područja znači preispitivanje politika iz ruralne perspektive (vidjeti </w:t>
      </w:r>
      <w:r>
        <w:rPr>
          <w:shd w:val="clear" w:color="auto" w:fill="FFFFFF"/>
        </w:rPr>
        <w:t xml:space="preserve">Komunikaciju Komisije Europskom parlamentu, Vijeću, Europskom gospodarskom i socijalnom odboru i Odboru regija od 30. lipnja 2021., </w:t>
      </w:r>
      <w:r>
        <w:rPr>
          <w:i/>
          <w:shd w:val="clear" w:color="auto" w:fill="FFFFFF"/>
        </w:rPr>
        <w:t>Dugoročna vizija za ruralna područja EU-a – Do 2040. ostvariti jača, povezana, otporna i prosperitetna ruralna područja</w:t>
      </w:r>
      <w:r>
        <w:rPr>
          <w:shd w:val="clear" w:color="auto" w:fill="FFFFFF"/>
        </w:rPr>
        <w:t xml:space="preserve">, </w:t>
      </w:r>
      <w:r>
        <w:t>COM(2021) 345 final). Stoga procjena učinka na ruralna područja uključuje uzimanje u obzir stvarnih i potencijalnih, izravnih i neizravnih učinaka na radna mjesta i rast u ruralnim područjima, na mogućnosti razvoja, socijalnu dobrobit i kvalitetu okoliša u ruralnim područjima i zajednicama. Ako se očekuje da će intervencija EU-a imati znatne negativne učinke na ta područja i zajednice, možda će biti potrebno prilagoditi njezino osmišljavanje i provedbu specifičnom kontekstu.</w:t>
      </w:r>
    </w:p>
  </w:footnote>
  <w:footnote w:id="10">
    <w:p w14:paraId="6512C932" w14:textId="5AF5EC69" w:rsidR="00572122" w:rsidRPr="00FF47D1" w:rsidRDefault="00572122" w:rsidP="00EC63CF">
      <w:pPr>
        <w:pStyle w:val="FootnoteText"/>
        <w:ind w:left="426" w:hanging="426"/>
      </w:pPr>
      <w:r>
        <w:rPr>
          <w:rStyle w:val="FootnoteReference"/>
          <w:lang w:val="en-IE"/>
        </w:rPr>
        <w:footnoteRef/>
      </w:r>
      <w:r>
        <w:t xml:space="preserve"> </w:t>
      </w:r>
      <w:r>
        <w:tab/>
        <w:t xml:space="preserve">Komisija ispituje moguće teritorijalne učinke na određene vrste regija/područja na temelju istraživačkih pitanja (Alat #18: Utvrđivanje učinaka). Prema potrebi se provodi internetska provjera nužnosti procjene teritorijalnog učinka (Alat #34: Teritorijalni učinci) kako bi se ocijenilo je li potrebna procjena teritorijalnog učinka. Ako se smatra da su mogući znatni teritorijalni učinci, procjenom teritorijalnog učinka utvrđuju se vjerojatni obrasci učinaka u cijelom EU-u, kao i uzroci i potencijalne mogućnosti za prilagodbu kako bi učinak politike bio ravnomjerniji. </w:t>
      </w:r>
      <w:r>
        <w:rPr>
          <w:color w:val="000000" w:themeColor="text1"/>
        </w:rPr>
        <w:t xml:space="preserve">Vidjeti </w:t>
      </w:r>
      <w:hyperlink r:id="rId8" w:history="1">
        <w:r>
          <w:rPr>
            <w:rStyle w:val="Hyperlink"/>
          </w:rPr>
          <w:t>Alate za bolju regulativu – srpanj 2023. – KONAČNA VERZIJA.pdf (europa.eu)</w:t>
        </w:r>
      </w:hyperlink>
      <w:r>
        <w:t>.</w:t>
      </w:r>
      <w:r>
        <w:rPr>
          <w:color w:val="000000" w:themeColor="text1"/>
        </w:rPr>
        <w:t xml:space="preserve"> </w:t>
      </w:r>
    </w:p>
  </w:footnote>
  <w:footnote w:id="11">
    <w:p w14:paraId="0F742A84" w14:textId="4957880F" w:rsidR="00591E20" w:rsidRPr="00FF47D1" w:rsidRDefault="00591E20" w:rsidP="00EC63CF">
      <w:pPr>
        <w:pStyle w:val="FootnoteText"/>
        <w:ind w:left="426" w:hanging="426"/>
      </w:pPr>
      <w:r>
        <w:rPr>
          <w:rStyle w:val="FootnoteReference"/>
          <w:lang w:val="en-IE"/>
        </w:rPr>
        <w:footnoteRef/>
      </w:r>
      <w:r>
        <w:t xml:space="preserve"> </w:t>
      </w:r>
      <w:r>
        <w:tab/>
        <w:t xml:space="preserve">Platforma „Fit for Future” oslanja se na stručnost i iskustvo nacionalnih, regionalnih i lokalnih tijela upravljanja i dionika. Sastoji se od dvije skupine: skupine predstavnika vlada (predstavnici nacionalnih, regionalnih i lokalnih tijela iz svih država članica EU-a i Europskog odbora regija) i skupine dionika (stručnjaci za bolju regulativu koji predstavljaju poslovne i nevladine organizacije te Europski gospodarski i socijalni odbor). Vidjeti </w:t>
      </w:r>
      <w:hyperlink r:id="rId9" w:history="1">
        <w:r>
          <w:rPr>
            <w:rStyle w:val="Hyperlink"/>
          </w:rPr>
          <w:t>https://commission.europa.eu/law/law-making-process/evaluating-and-improving-existing-laws/refit-making-eu-law-simpler-less-costly-and-future-proof/fit-future-platform-f4f_hr</w:t>
        </w:r>
      </w:hyperlink>
      <w:r>
        <w:t>.</w:t>
      </w:r>
    </w:p>
  </w:footnote>
  <w:footnote w:id="12">
    <w:p w14:paraId="61274BC8" w14:textId="4E89B5B1" w:rsidR="00591E20" w:rsidRPr="00FF47D1" w:rsidRDefault="00591E20" w:rsidP="00EC63CF">
      <w:pPr>
        <w:pStyle w:val="FootnoteText"/>
        <w:ind w:left="426" w:hanging="426"/>
      </w:pPr>
      <w:r>
        <w:rPr>
          <w:rStyle w:val="FootnoteReference"/>
          <w:lang w:val="en-IE"/>
        </w:rPr>
        <w:footnoteRef/>
      </w:r>
      <w:r>
        <w:t xml:space="preserve"> </w:t>
      </w:r>
      <w:r>
        <w:tab/>
      </w:r>
      <w:hyperlink r:id="rId10" w:anchor="adopted-opinions--2023" w:history="1">
        <w:r>
          <w:rPr>
            <w:rStyle w:val="Hyperlink"/>
          </w:rPr>
          <w:t>https://commission.europa.eu/law/law-making-process/evaluating-and-improving-existing-laws/refit-making-eu-law-simpler-less-costly-and-future-proof/fit-future-platform-f4f/adopted-opinions_hr#adopted-opinions--2023</w:t>
        </w:r>
      </w:hyperlink>
    </w:p>
  </w:footnote>
  <w:footnote w:id="13">
    <w:p w14:paraId="7DB00F12" w14:textId="1C4E0DE0" w:rsidR="00D37794" w:rsidRPr="00FF47D1" w:rsidRDefault="00D37794" w:rsidP="00EC63CF">
      <w:pPr>
        <w:pStyle w:val="FootnoteText"/>
        <w:ind w:left="426" w:hanging="426"/>
      </w:pPr>
      <w:r>
        <w:rPr>
          <w:rStyle w:val="FootnoteReference"/>
          <w:lang w:val="en-IE"/>
        </w:rPr>
        <w:footnoteRef/>
      </w:r>
      <w:r>
        <w:t xml:space="preserve"> </w:t>
      </w:r>
      <w:r>
        <w:tab/>
        <w:t xml:space="preserve">Na primjer, u mišljenju o </w:t>
      </w:r>
      <w:hyperlink r:id="rId11" w:history="1">
        <w:r>
          <w:rPr>
            <w:rStyle w:val="Hyperlink"/>
          </w:rPr>
          <w:t>subjektima socijalne ekonomije</w:t>
        </w:r>
      </w:hyperlink>
      <w:r>
        <w:t xml:space="preserve"> naglašeno je da bi informiranje o pravilima za državne potpore kojima se mogu poduprijeti poduzeća socijalne ekonomije moglo imati važnu ulogu u očuvanju njihove konkurentnosti. U mišljenju o osiguravanju </w:t>
      </w:r>
      <w:hyperlink r:id="rId12" w:history="1">
        <w:r>
          <w:rPr>
            <w:rStyle w:val="Hyperlink"/>
          </w:rPr>
          <w:t>regulatornog okvira otpornog na buduće promjene</w:t>
        </w:r>
      </w:hyperlink>
      <w:r>
        <w:t xml:space="preserve"> za jedinstveno tržište poziva se na normizaciju i interoperabilnost na razini EU-a kako bi se olakšale prekogranične transakcije i smanjilo administrativno opterećenje te ojačala usklađenost i poboljšao pristup tržištu za poduzeća svih veličina. U mišljenju o </w:t>
      </w:r>
      <w:hyperlink r:id="rId13" w:history="1">
        <w:r>
          <w:rPr>
            <w:rStyle w:val="Hyperlink"/>
          </w:rPr>
          <w:t>javnoj nabavi</w:t>
        </w:r>
      </w:hyperlink>
      <w:r>
        <w:t xml:space="preserve"> izneseni su prijedlozi usmjereni na pojednostavnjenje zakonodavstva EU-a u tom području i poticanje nabave za inovacije. U mišljenju se napominje da lokalne i regionalne vlasti oprezno pristupaju novim prilikama, osobito zbog nedostatka iskustva s njima. U mišljenju o </w:t>
      </w:r>
      <w:hyperlink r:id="rId14" w:history="1">
        <w:r>
          <w:rPr>
            <w:rStyle w:val="Hyperlink"/>
          </w:rPr>
          <w:t>primjeni testa za MSP-ove</w:t>
        </w:r>
      </w:hyperlink>
      <w:r>
        <w:t xml:space="preserve"> od Komisije je zatraženo da dodatno istakne perspektivu MSP-ova u procjenama učinka, </w:t>
      </w:r>
      <w:r>
        <w:rPr>
          <w:i/>
        </w:rPr>
        <w:t>ex post</w:t>
      </w:r>
      <w:r>
        <w:t xml:space="preserve"> evaluacijama i provjerama primjerenosti prava EU-a kako bi se procijenilo jesu li obveze za mala i srednja poduzeća (npr. obveze izvješćivanja) i dalje potrebne ili primjerene. Ukazano je na tehnološki razvoj ili nove pristupe koji mogu omogućiti pojednostavnjenje ili smanjenje obveza ili postupaka uz zadržavanje postojećih standarda zaštite i njihove djelotvorne provedbe. U mišljenju o </w:t>
      </w:r>
      <w:hyperlink r:id="rId15" w:history="1">
        <w:r>
          <w:rPr>
            <w:rStyle w:val="Hyperlink"/>
          </w:rPr>
          <w:t>programu Digitalna Europa</w:t>
        </w:r>
      </w:hyperlink>
      <w:r>
        <w:t xml:space="preserve"> poziva se na promicanje dobrovoljnih alata za ocjenjivanje prema referentnim vrijednostima (npr. alati za ocjenjivanje lokalne i regionalne digitalne zrelosti (LORDIMAS)) u prijavama za financiranje programa.</w:t>
      </w:r>
    </w:p>
  </w:footnote>
  <w:footnote w:id="14">
    <w:p w14:paraId="339E2076" w14:textId="567BA15B" w:rsidR="007A1937" w:rsidRPr="00FF47D1" w:rsidRDefault="007A1937" w:rsidP="00EC63CF">
      <w:pPr>
        <w:pStyle w:val="FootnoteText"/>
        <w:ind w:left="426" w:hanging="426"/>
      </w:pPr>
      <w:r>
        <w:rPr>
          <w:rStyle w:val="FootnoteReference"/>
          <w:lang w:val="en-IE"/>
        </w:rPr>
        <w:footnoteRef/>
      </w:r>
      <w:r>
        <w:t xml:space="preserve"> </w:t>
      </w:r>
      <w:r>
        <w:tab/>
        <w:t xml:space="preserve">„RegHub” je mreža lokalnih i regionalnih tijela kojom se nastoje prikupiti iskustva o provedbi politika EU-a putem savjetovanja dionika na lokalnoj razini: </w:t>
      </w:r>
      <w:hyperlink r:id="rId16" w:history="1">
        <w:r>
          <w:rPr>
            <w:rStyle w:val="Hyperlink"/>
          </w:rPr>
          <w:t>https://portal.cor.europa.eu/reghub/Pages/default.aspx</w:t>
        </w:r>
      </w:hyperlink>
      <w:r>
        <w:t>. Za dodatne informacije o radu mreže RegHub vidjeti odjeljak 2.4.</w:t>
      </w:r>
    </w:p>
  </w:footnote>
  <w:footnote w:id="15">
    <w:p w14:paraId="5EA8613C" w14:textId="6D4C955E" w:rsidR="00E85B65" w:rsidRPr="00FF47D1" w:rsidRDefault="00E85B65" w:rsidP="00EC63CF">
      <w:pPr>
        <w:pStyle w:val="FootnoteText"/>
        <w:ind w:left="426" w:hanging="426"/>
      </w:pPr>
      <w:r>
        <w:rPr>
          <w:rStyle w:val="FootnoteReference"/>
          <w:lang w:val="en-IE"/>
        </w:rPr>
        <w:footnoteRef/>
      </w:r>
      <w:r>
        <w:t xml:space="preserve"> </w:t>
      </w:r>
      <w:r>
        <w:tab/>
      </w:r>
      <w:hyperlink r:id="rId17" w:history="1">
        <w:r>
          <w:rPr>
            <w:rStyle w:val="Hyperlink"/>
          </w:rPr>
          <w:t>https://commission.europa.eu/law/law-making-process/regulatory-scrutiny-board_hr</w:t>
        </w:r>
      </w:hyperlink>
      <w:r>
        <w:t>.</w:t>
      </w:r>
    </w:p>
  </w:footnote>
  <w:footnote w:id="16">
    <w:p w14:paraId="3683A47F" w14:textId="01036278" w:rsidR="00EF141C" w:rsidRPr="00FF47D1" w:rsidRDefault="00EF141C" w:rsidP="00EC63CF">
      <w:pPr>
        <w:pStyle w:val="FootnoteText"/>
        <w:ind w:left="426" w:hanging="426"/>
      </w:pPr>
      <w:r>
        <w:rPr>
          <w:rStyle w:val="FootnoteReference"/>
          <w:lang w:val="en-IE"/>
        </w:rPr>
        <w:footnoteRef/>
      </w:r>
      <w:r>
        <w:t xml:space="preserve"> </w:t>
      </w:r>
      <w:r>
        <w:tab/>
        <w:t xml:space="preserve">Izvješće za 2023. objavljeno je u svibnju 2024. i dostupno je na </w:t>
      </w:r>
      <w:hyperlink r:id="rId18" w:history="1">
        <w:r>
          <w:rPr>
            <w:rStyle w:val="Hyperlink"/>
          </w:rPr>
          <w:t>https://commission.europa.eu/publications/regulatory-scrutiny-board-annual-report-2023_en</w:t>
        </w:r>
      </w:hyperlink>
      <w:r>
        <w:t>.</w:t>
      </w:r>
    </w:p>
  </w:footnote>
  <w:footnote w:id="17">
    <w:p w14:paraId="2B3B858F" w14:textId="57EDC176" w:rsidR="00917EC7" w:rsidRPr="00FF47D1" w:rsidRDefault="00917EC7" w:rsidP="00EC63CF">
      <w:pPr>
        <w:pStyle w:val="FootnoteText"/>
        <w:ind w:left="426" w:hanging="426"/>
      </w:pPr>
      <w:r>
        <w:rPr>
          <w:rStyle w:val="FootnoteReference"/>
          <w:lang w:val="en-IE"/>
        </w:rPr>
        <w:footnoteRef/>
      </w:r>
      <w:r>
        <w:t xml:space="preserve"> </w:t>
      </w:r>
      <w:r>
        <w:tab/>
        <w:t>COM(2023) 441 final.</w:t>
      </w:r>
    </w:p>
  </w:footnote>
  <w:footnote w:id="18">
    <w:p w14:paraId="3787F770" w14:textId="1E9A8156" w:rsidR="001A3113" w:rsidRPr="00FF47D1" w:rsidRDefault="001A3113" w:rsidP="00EC63CF">
      <w:pPr>
        <w:pStyle w:val="FootnoteText"/>
        <w:ind w:left="426" w:hanging="426"/>
      </w:pPr>
      <w:r>
        <w:rPr>
          <w:rStyle w:val="FootnoteReference"/>
          <w:lang w:val="en-IE"/>
        </w:rPr>
        <w:footnoteRef/>
      </w:r>
      <w:r>
        <w:t xml:space="preserve"> </w:t>
      </w:r>
      <w:r>
        <w:tab/>
        <w:t>Dokument SWD(2023) 265 final, u kojem se predstavlja procjena učinka priložena prijedlogu COM(2023) 459 final.</w:t>
      </w:r>
    </w:p>
  </w:footnote>
  <w:footnote w:id="19">
    <w:p w14:paraId="4CBF44A5" w14:textId="3DF1BCD9" w:rsidR="001A3113" w:rsidRPr="00FF47D1" w:rsidRDefault="001A3113" w:rsidP="00EC63CF">
      <w:pPr>
        <w:pStyle w:val="FootnoteText"/>
        <w:ind w:left="426" w:hanging="426"/>
      </w:pPr>
      <w:r>
        <w:rPr>
          <w:rStyle w:val="FootnoteReference"/>
          <w:lang w:val="en-IE"/>
        </w:rPr>
        <w:footnoteRef/>
      </w:r>
      <w:r>
        <w:t xml:space="preserve"> </w:t>
      </w:r>
      <w:r>
        <w:tab/>
        <w:t>SWD(2023) 281 final.</w:t>
      </w:r>
    </w:p>
  </w:footnote>
  <w:footnote w:id="20">
    <w:p w14:paraId="39BF90F8" w14:textId="0F7181E3" w:rsidR="00E628F5" w:rsidRPr="00FF47D1" w:rsidRDefault="00E628F5" w:rsidP="00EC63CF">
      <w:pPr>
        <w:pStyle w:val="FootnoteText"/>
        <w:ind w:left="426" w:hanging="426"/>
      </w:pPr>
      <w:r>
        <w:rPr>
          <w:rStyle w:val="FootnoteReference"/>
          <w:lang w:val="en-IE"/>
        </w:rPr>
        <w:footnoteRef/>
      </w:r>
      <w:r>
        <w:t xml:space="preserve"> </w:t>
      </w:r>
      <w:r>
        <w:tab/>
        <w:t>Odjeljci od 2.2. do 2.4. ovog izvješća temelje se na doprinosima odgovarajućih institucija i tijela EU-a.</w:t>
      </w:r>
    </w:p>
  </w:footnote>
  <w:footnote w:id="21">
    <w:p w14:paraId="2343613E" w14:textId="68FFACDD" w:rsidR="00FE20A3" w:rsidRPr="00FF47D1" w:rsidRDefault="00FE20A3" w:rsidP="00EC63CF">
      <w:pPr>
        <w:pStyle w:val="FootnoteText"/>
        <w:ind w:left="426" w:hanging="426"/>
      </w:pPr>
      <w:r>
        <w:rPr>
          <w:rStyle w:val="FootnoteReference"/>
          <w:lang w:val="en-IE"/>
        </w:rPr>
        <w:footnoteRef/>
      </w:r>
      <w:r>
        <w:t xml:space="preserve"> </w:t>
      </w:r>
      <w:r>
        <w:tab/>
        <w:t>Iako to nije relevantno za 2023., Europski parlament i Komisija različito tumače broj obrazloženih mišljenja. Komisija obrazloženo mišljenje koje se odnosi na više prijedloga računa kao samo jedno obrazloženo mišljenje za statističke svrhe, a za utvrđivanje je li za određeni prijedlog dosegnut prag za pokretanje postupka „žutog” ili „narančastog” kartona računa se kao jedno obrazloženo mišljenje za svaki prijedlog na koji se mišljenje odnosi. S druge strane, Europski parlament obrazloženo mišljenje računa za svaki predmetni prijedlog. Pragovi su utvrđeni u članku 7. Protokola br. 2.</w:t>
      </w:r>
    </w:p>
  </w:footnote>
  <w:footnote w:id="22">
    <w:p w14:paraId="18A1CAF7" w14:textId="6890A9E2" w:rsidR="000A288B" w:rsidRPr="00FF47D1" w:rsidRDefault="000A288B" w:rsidP="00EC63CF">
      <w:pPr>
        <w:pStyle w:val="FootnoteText"/>
        <w:ind w:left="426" w:hanging="426"/>
      </w:pPr>
      <w:r>
        <w:rPr>
          <w:rStyle w:val="FootnoteReference"/>
          <w:lang w:val="en-IE"/>
        </w:rPr>
        <w:footnoteRef/>
      </w:r>
      <w:r>
        <w:t xml:space="preserve"> </w:t>
      </w:r>
      <w:r>
        <w:tab/>
        <w:t>U skladu s člankom 43. Poslovnika, ako nacionalni parlament predsjedniku Europskog parlamenta uputi obrazloženo mišljenje, ono se upućuje odboru nadležnom za dotični predmet i radi obavijesti šalje Odboru za pravna pitanja (JURI), koji je nadležan za poštovanje načela supsidijarnosti.</w:t>
      </w:r>
    </w:p>
  </w:footnote>
  <w:footnote w:id="23">
    <w:p w14:paraId="4C06F2F1" w14:textId="1D9AA898" w:rsidR="00F06A33" w:rsidRPr="00FF47D1" w:rsidRDefault="00F06A33" w:rsidP="00EC63CF">
      <w:pPr>
        <w:pStyle w:val="FootnoteText"/>
        <w:ind w:left="426" w:hanging="426"/>
      </w:pPr>
      <w:r>
        <w:rPr>
          <w:rStyle w:val="FootnoteReference"/>
          <w:lang w:val="en-IE"/>
        </w:rPr>
        <w:footnoteRef/>
      </w:r>
      <w:r>
        <w:t xml:space="preserve"> </w:t>
      </w:r>
      <w:r>
        <w:tab/>
      </w:r>
      <w:hyperlink r:id="rId19" w:history="1">
        <w:r>
          <w:rPr>
            <w:rStyle w:val="Hyperlink"/>
          </w:rPr>
          <w:t>https://secure.ipex.eu/IPEXL-WEB/download/file/8a8629a8881d935701881eeb09e40005/39th%20Bi-annual%20Report%20of%20COSAC.pdf</w:t>
        </w:r>
      </w:hyperlink>
    </w:p>
  </w:footnote>
  <w:footnote w:id="24">
    <w:p w14:paraId="0FBA1968" w14:textId="383CF713" w:rsidR="00F06A33" w:rsidRPr="00FF47D1" w:rsidRDefault="00F06A33" w:rsidP="00EC63CF">
      <w:pPr>
        <w:pStyle w:val="FootnoteText"/>
        <w:ind w:left="426" w:hanging="426"/>
      </w:pPr>
      <w:r>
        <w:rPr>
          <w:rStyle w:val="FootnoteReference"/>
          <w:lang w:val="en-IE"/>
        </w:rPr>
        <w:footnoteRef/>
      </w:r>
      <w:r>
        <w:t xml:space="preserve"> </w:t>
      </w:r>
      <w:r>
        <w:tab/>
      </w:r>
      <w:hyperlink r:id="rId20" w:history="1">
        <w:r>
          <w:rPr>
            <w:rStyle w:val="Hyperlink"/>
          </w:rPr>
          <w:t>https://secure.ipex.eu/IPEXL-WEB/download/file/8a8629a88bcc3697018bcdb41d910010/3%20-%2040th%20Bi-annual%20Report%20of%20COSAC.pdf</w:t>
        </w:r>
      </w:hyperlink>
      <w:r>
        <w:t xml:space="preserve"> </w:t>
      </w:r>
    </w:p>
  </w:footnote>
  <w:footnote w:id="25">
    <w:p w14:paraId="27F59713" w14:textId="78978828" w:rsidR="00E647A3" w:rsidRPr="00FF47D1" w:rsidRDefault="00E647A3" w:rsidP="00EC63CF">
      <w:pPr>
        <w:pStyle w:val="FootnoteText"/>
        <w:ind w:left="426" w:hanging="426"/>
      </w:pPr>
      <w:r>
        <w:rPr>
          <w:rStyle w:val="FootnoteReference"/>
          <w:lang w:val="en-IE"/>
        </w:rPr>
        <w:footnoteRef/>
      </w:r>
      <w:r>
        <w:t xml:space="preserve"> </w:t>
      </w:r>
      <w:r>
        <w:tab/>
        <w:t>Konferencija parlamentarnih odbora za poslove Unije parlamenata Europske unije. Europski parlament sastavni je član.</w:t>
      </w:r>
    </w:p>
  </w:footnote>
  <w:footnote w:id="26">
    <w:p w14:paraId="41A2940A" w14:textId="4346CEE1" w:rsidR="00935D67" w:rsidRPr="00FF47D1" w:rsidRDefault="00935D67" w:rsidP="00EC63CF">
      <w:pPr>
        <w:pStyle w:val="FootnoteText"/>
        <w:ind w:left="426" w:hanging="426"/>
      </w:pPr>
      <w:r>
        <w:rPr>
          <w:rStyle w:val="FootnoteReference"/>
          <w:lang w:val="en-IE"/>
        </w:rPr>
        <w:footnoteRef/>
      </w:r>
      <w:r>
        <w:t xml:space="preserve"> </w:t>
      </w:r>
      <w:r>
        <w:tab/>
      </w:r>
      <w:hyperlink r:id="rId21" w:history="1">
        <w:r>
          <w:rPr>
            <w:rStyle w:val="Hyperlink"/>
          </w:rPr>
          <w:t>https://www.ipex.eu</w:t>
        </w:r>
      </w:hyperlink>
      <w:r>
        <w:t xml:space="preserve"> </w:t>
      </w:r>
    </w:p>
  </w:footnote>
  <w:footnote w:id="27">
    <w:p w14:paraId="54D34FA6" w14:textId="29CADDA3" w:rsidR="00D9766E" w:rsidRPr="00FF47D1" w:rsidRDefault="00D9766E" w:rsidP="00EC63CF">
      <w:pPr>
        <w:pStyle w:val="FootnoteText"/>
        <w:ind w:left="426" w:hanging="426"/>
      </w:pPr>
      <w:r>
        <w:rPr>
          <w:rStyle w:val="FootnoteReference"/>
          <w:lang w:val="en-IE"/>
        </w:rPr>
        <w:footnoteRef/>
      </w:r>
      <w:r>
        <w:t xml:space="preserve"> </w:t>
      </w:r>
      <w:r>
        <w:tab/>
        <w:t>Rezolucija Europskog parlamenta od 22. studenog 2023. o prijedlozima Europskog parlamenta za izmjenu Ugovorâ (2022/2051(INL)) (</w:t>
      </w:r>
      <w:hyperlink r:id="rId22" w:history="1">
        <w:r>
          <w:rPr>
            <w:rStyle w:val="Hyperlink"/>
          </w:rPr>
          <w:t>https://www.europarl.europa.eu/doceo/document/TA-9-2023-0427_HR.html</w:t>
        </w:r>
      </w:hyperlink>
      <w:r>
        <w:t>); izvjestitelji: Guy Verhofstadt (Renew/BE), Sven Simon (EPP/DE), Gabriele Bischoff (S&amp;D/DE), Daniel Freund (Zeleni/ESS/DE) i Helmut Scholz (GUE/NGL/DE).</w:t>
      </w:r>
    </w:p>
  </w:footnote>
  <w:footnote w:id="28">
    <w:p w14:paraId="50E12B19" w14:textId="310566C6" w:rsidR="009E041C" w:rsidRPr="00FF47D1" w:rsidRDefault="009E041C" w:rsidP="00EC63CF">
      <w:pPr>
        <w:pStyle w:val="FootnoteText"/>
        <w:ind w:left="426" w:hanging="426"/>
      </w:pPr>
      <w:r>
        <w:rPr>
          <w:rStyle w:val="FootnoteReference"/>
          <w:lang w:val="en-IE"/>
        </w:rPr>
        <w:footnoteRef/>
      </w:r>
      <w:r>
        <w:t xml:space="preserve"> </w:t>
      </w:r>
      <w:r>
        <w:tab/>
        <w:t>Rezolucija Europskog parlamenta od 23. studenog 2023. o prikladnosti propisa Europske unije, supsidijarnosti i proporcionalnosti – izvješće o boljoj izradi zakonodavstva za 2020., 2021. i 2022. (2023/2079(INI)) (</w:t>
      </w:r>
      <w:hyperlink r:id="rId23" w:history="1">
        <w:r>
          <w:rPr>
            <w:rStyle w:val="Hyperlink"/>
          </w:rPr>
          <w:t>https://www.europarl.europa.eu/doceo/document/TA-9-2023-0442_HR.html</w:t>
        </w:r>
      </w:hyperlink>
      <w:r>
        <w:t>); izvjestiteljica: Catharina Rinzema (Renew/NL).</w:t>
      </w:r>
    </w:p>
  </w:footnote>
  <w:footnote w:id="29">
    <w:p w14:paraId="414F00F6" w14:textId="486789FB" w:rsidR="00E4766F" w:rsidRPr="00FF47D1" w:rsidRDefault="00E4766F" w:rsidP="00EC63CF">
      <w:pPr>
        <w:pStyle w:val="FootnoteText"/>
        <w:ind w:left="426" w:hanging="426"/>
      </w:pPr>
      <w:r>
        <w:rPr>
          <w:rStyle w:val="FootnoteReference"/>
          <w:lang w:val="en-IE"/>
        </w:rPr>
        <w:footnoteRef/>
      </w:r>
      <w:r>
        <w:t xml:space="preserve"> </w:t>
      </w:r>
      <w:r>
        <w:tab/>
        <w:t>Rezolucija Europskog parlamenta od 17. siječnja 2024. o provedbi odredbi Ugovora o nacionalnim parlamentima (2023/2084(INI)) (</w:t>
      </w:r>
      <w:hyperlink r:id="rId24" w:history="1">
        <w:r>
          <w:rPr>
            <w:rStyle w:val="Hyperlink"/>
          </w:rPr>
          <w:t>https://www.europarl.europa.eu/doceo/document/TA-9-2024-0023_HR.html</w:t>
        </w:r>
      </w:hyperlink>
      <w:r>
        <w:t>); izvjestitelj: Paulo Rangel (EPP/PT).</w:t>
      </w:r>
    </w:p>
  </w:footnote>
  <w:footnote w:id="30">
    <w:p w14:paraId="75E7DB42" w14:textId="285A7D1F" w:rsidR="00961B4D" w:rsidRPr="00FF47D1" w:rsidRDefault="00961B4D" w:rsidP="00EC63CF">
      <w:pPr>
        <w:pStyle w:val="FootnoteText"/>
        <w:ind w:left="426" w:hanging="426"/>
      </w:pPr>
      <w:r>
        <w:rPr>
          <w:rStyle w:val="FootnoteReference"/>
          <w:lang w:val="en-IE"/>
        </w:rPr>
        <w:footnoteRef/>
      </w:r>
      <w:r>
        <w:t xml:space="preserve"> </w:t>
      </w:r>
      <w:r>
        <w:tab/>
      </w:r>
      <w:hyperlink r:id="rId25" w:history="1">
        <w:r>
          <w:rPr>
            <w:color w:val="0000FF"/>
            <w:u w:val="single"/>
          </w:rPr>
          <w:t>Služba Europskog parlamenta za istraživanja (europa.eu)</w:t>
        </w:r>
      </w:hyperlink>
      <w:r>
        <w:t>.</w:t>
      </w:r>
    </w:p>
  </w:footnote>
  <w:footnote w:id="31">
    <w:p w14:paraId="7E5E9D2D" w14:textId="5EEE56B1" w:rsidR="00A16EF6" w:rsidRPr="00CF2DFA" w:rsidRDefault="00A16EF6" w:rsidP="00EC63CF">
      <w:pPr>
        <w:pStyle w:val="FootnoteText"/>
        <w:ind w:left="426" w:hanging="426"/>
      </w:pPr>
      <w:r>
        <w:rPr>
          <w:rStyle w:val="FootnoteReference"/>
        </w:rPr>
        <w:footnoteRef/>
      </w:r>
      <w:r>
        <w:tab/>
        <w:t>Zamjenska procjena učinka Prijedloga uredbe o rješavanju situacija instrumentalizacije u području migracija i azila, listopad 2023., PE 753.156.</w:t>
      </w:r>
    </w:p>
  </w:footnote>
  <w:footnote w:id="32">
    <w:p w14:paraId="5F33953A" w14:textId="47DE3957" w:rsidR="005A5607" w:rsidRPr="00FF47D1" w:rsidRDefault="005A5607" w:rsidP="00EC63CF">
      <w:pPr>
        <w:pStyle w:val="FootnoteText"/>
        <w:ind w:left="426" w:hanging="426"/>
      </w:pPr>
      <w:r>
        <w:rPr>
          <w:rStyle w:val="FootnoteReference"/>
          <w:lang w:val="en-IE"/>
        </w:rPr>
        <w:footnoteRef/>
      </w:r>
      <w:r>
        <w:t xml:space="preserve"> </w:t>
      </w:r>
      <w:r>
        <w:tab/>
        <w:t>Dopunska procjena učinka Prijedloga uredbe o utvrđivanju pravila za sprečavanje i suzbijanje seksualnog zlostavljanja djece, travanj 2023., PE 740.248.</w:t>
      </w:r>
    </w:p>
  </w:footnote>
  <w:footnote w:id="33">
    <w:p w14:paraId="359A3D83" w14:textId="60E1FC55" w:rsidR="0022762F" w:rsidRPr="00FF47D1" w:rsidRDefault="0022762F" w:rsidP="00EC63CF">
      <w:pPr>
        <w:pStyle w:val="FootnoteText"/>
        <w:ind w:left="426" w:hanging="426"/>
      </w:pPr>
      <w:r>
        <w:rPr>
          <w:rStyle w:val="FootnoteReference"/>
          <w:lang w:val="en-IE"/>
        </w:rPr>
        <w:footnoteRef/>
      </w:r>
      <w:r>
        <w:t xml:space="preserve"> </w:t>
      </w:r>
      <w:r>
        <w:tab/>
        <w:t>Dokument EUCO 17/18, točke II./2. i IV./15. i dokument EUCO 13/20, točka II./4.; te, u smislu provedbe, dokument Vijeća ST 11654/21.</w:t>
      </w:r>
    </w:p>
  </w:footnote>
  <w:footnote w:id="34">
    <w:p w14:paraId="197F9363" w14:textId="794D07D7" w:rsidR="0022762F" w:rsidRPr="00FF47D1" w:rsidRDefault="0022762F" w:rsidP="00EC63CF">
      <w:pPr>
        <w:pStyle w:val="FootnoteText"/>
        <w:ind w:left="426" w:hanging="426"/>
      </w:pPr>
      <w:r>
        <w:rPr>
          <w:rStyle w:val="FootnoteReference"/>
          <w:lang w:val="en-IE"/>
        </w:rPr>
        <w:footnoteRef/>
      </w:r>
      <w:r>
        <w:t xml:space="preserve"> </w:t>
      </w:r>
      <w:r>
        <w:tab/>
        <w:t>Dokument Vijeća ST 6232/20, točke 2. i 12.</w:t>
      </w:r>
    </w:p>
  </w:footnote>
  <w:footnote w:id="35">
    <w:p w14:paraId="4DEE5DDB" w14:textId="35C27213" w:rsidR="0022762F" w:rsidRPr="00FF47D1" w:rsidRDefault="0022762F" w:rsidP="00EC63CF">
      <w:pPr>
        <w:pStyle w:val="FootnoteText"/>
        <w:ind w:left="426" w:hanging="426"/>
      </w:pPr>
      <w:r>
        <w:rPr>
          <w:rStyle w:val="FootnoteReference"/>
          <w:lang w:val="en-IE"/>
        </w:rPr>
        <w:footnoteRef/>
      </w:r>
      <w:r>
        <w:t xml:space="preserve"> </w:t>
      </w:r>
      <w:r>
        <w:tab/>
        <w:t>Dokument Vijeća ST 13026/1/20 REV 1, točke 3. i 12.</w:t>
      </w:r>
    </w:p>
  </w:footnote>
  <w:footnote w:id="36">
    <w:p w14:paraId="318561A8" w14:textId="0BC1EB58" w:rsidR="0022762F" w:rsidRPr="00CF2DFA" w:rsidRDefault="0022762F" w:rsidP="00EC63CF">
      <w:pPr>
        <w:pStyle w:val="FootnoteText"/>
        <w:ind w:left="426" w:hanging="426"/>
      </w:pPr>
      <w:r>
        <w:rPr>
          <w:rStyle w:val="FootnoteReference"/>
          <w:lang w:val="en-IE"/>
        </w:rPr>
        <w:footnoteRef/>
      </w:r>
      <w:r>
        <w:t xml:space="preserve"> </w:t>
      </w:r>
      <w:r>
        <w:tab/>
        <w:t>SL C 241, 21.6.2021., str. 13.</w:t>
      </w:r>
    </w:p>
  </w:footnote>
  <w:footnote w:id="37">
    <w:p w14:paraId="6AD62715" w14:textId="3F16BFEA" w:rsidR="0022762F" w:rsidRPr="00CF2DFA" w:rsidRDefault="0022762F" w:rsidP="00EC63CF">
      <w:pPr>
        <w:pStyle w:val="FootnoteText"/>
        <w:ind w:left="426" w:hanging="426"/>
      </w:pPr>
      <w:r>
        <w:rPr>
          <w:rStyle w:val="FootnoteReference"/>
          <w:lang w:val="en-IE"/>
        </w:rPr>
        <w:footnoteRef/>
      </w:r>
      <w:r>
        <w:t xml:space="preserve"> </w:t>
      </w:r>
      <w:r>
        <w:tab/>
        <w:t>Dokument EUCO 14/23.</w:t>
      </w:r>
    </w:p>
  </w:footnote>
  <w:footnote w:id="38">
    <w:p w14:paraId="5AA270CD" w14:textId="41C4C98A" w:rsidR="0022762F" w:rsidRPr="00FF47D1" w:rsidRDefault="0022762F" w:rsidP="00EC63CF">
      <w:pPr>
        <w:pStyle w:val="FootnoteText"/>
        <w:ind w:left="426" w:hanging="426"/>
      </w:pPr>
      <w:r>
        <w:rPr>
          <w:rStyle w:val="FootnoteReference"/>
          <w:lang w:val="en-IE"/>
        </w:rPr>
        <w:footnoteRef/>
      </w:r>
      <w:r>
        <w:t xml:space="preserve"> </w:t>
      </w:r>
      <w:r>
        <w:tab/>
        <w:t>Dokument Vijeća ST 15936/22 o zakonodavnom prijedlogu Suda Europske unije o izmjeni Protokola br. 3 o Statutu Suda Europske unije.</w:t>
      </w:r>
    </w:p>
  </w:footnote>
  <w:footnote w:id="39">
    <w:p w14:paraId="4B3A5087" w14:textId="0FCAAAFF" w:rsidR="0022762F" w:rsidRPr="00FF47D1" w:rsidRDefault="0022762F" w:rsidP="00EC63CF">
      <w:pPr>
        <w:pStyle w:val="FootnoteText"/>
        <w:ind w:left="426" w:hanging="426"/>
      </w:pPr>
      <w:r>
        <w:rPr>
          <w:rStyle w:val="FootnoteReference"/>
          <w:lang w:val="en-IE"/>
        </w:rPr>
        <w:footnoteRef/>
      </w:r>
      <w:r>
        <w:t xml:space="preserve"> </w:t>
      </w:r>
      <w:r>
        <w:tab/>
        <w:t>Glavno tajništvo Vijeća ne prima sustavno sva mišljenja nacionalnih parlamenata, pa različite institucije mogu zaprimiti različit broj mišljenja (vidjeti i bilješku 20.).</w:t>
      </w:r>
    </w:p>
  </w:footnote>
  <w:footnote w:id="40">
    <w:p w14:paraId="063317CD" w14:textId="6C80F8AE" w:rsidR="00B96BAB" w:rsidRPr="00FF47D1" w:rsidRDefault="00B96BAB" w:rsidP="00EC63CF">
      <w:pPr>
        <w:pStyle w:val="FootnoteText"/>
        <w:ind w:left="426" w:hanging="426"/>
      </w:pPr>
      <w:r>
        <w:rPr>
          <w:rStyle w:val="FootnoteReference"/>
          <w:lang w:val="en-IE"/>
        </w:rPr>
        <w:footnoteRef/>
      </w:r>
      <w:r>
        <w:t xml:space="preserve"> </w:t>
      </w:r>
      <w:r>
        <w:tab/>
        <w:t xml:space="preserve">Rezolucija Europskog odbora regija od 2. srpnja 2020. – Prioriteti Europskog odbora regija za razdoblje 2020. – 2025. – Europa se približava građanima zahvaljujući svojim selima, gradovima i regijama, </w:t>
      </w:r>
      <w:hyperlink r:id="rId26" w:history="1">
        <w:r>
          <w:rPr>
            <w:rStyle w:val="Hyperlink"/>
          </w:rPr>
          <w:t>https://eur-lex.europa.eu/legal-content/HR/TXT/?uri=CELEX:52020XR1392</w:t>
        </w:r>
      </w:hyperlink>
      <w:r>
        <w:t>.</w:t>
      </w:r>
    </w:p>
  </w:footnote>
  <w:footnote w:id="41">
    <w:p w14:paraId="7E403D67" w14:textId="0DCA344B" w:rsidR="00B96BAB" w:rsidRPr="00FF47D1" w:rsidRDefault="00B96BAB" w:rsidP="00EC63CF">
      <w:pPr>
        <w:pStyle w:val="FootnoteText"/>
        <w:ind w:left="426" w:hanging="426"/>
      </w:pPr>
      <w:r>
        <w:rPr>
          <w:rStyle w:val="FootnoteReference"/>
          <w:lang w:val="en-IE"/>
        </w:rPr>
        <w:footnoteRef/>
      </w:r>
      <w:r>
        <w:t xml:space="preserve"> </w:t>
      </w:r>
      <w:r>
        <w:tab/>
        <w:t>Antje Grotheer (DE/PES), članica OR-a i predsjednica regionalnog parlamenta Bremena, naslijedila je 2024. Karl-Heinza Lambertza (BE/PES) na mjestu predsjedatelja skupine BRASS-G. Više informacija o skupini BRASS</w:t>
      </w:r>
      <w:r>
        <w:noBreakHyphen/>
        <w:t xml:space="preserve">G dostupno je na </w:t>
      </w:r>
      <w:hyperlink r:id="rId27" w:history="1">
        <w:r>
          <w:rPr>
            <w:rStyle w:val="Hyperlink"/>
          </w:rPr>
          <w:t>https://cor.europa.eu/hr/our-work/Pages/Better-Regulation-and-Active-Subsidiarity.aspx</w:t>
        </w:r>
      </w:hyperlink>
      <w:r>
        <w:t>.</w:t>
      </w:r>
    </w:p>
  </w:footnote>
  <w:footnote w:id="42">
    <w:p w14:paraId="221488AC" w14:textId="5267DC96" w:rsidR="00B96BAB" w:rsidRPr="00FF47D1" w:rsidRDefault="00B96BAB" w:rsidP="00EC63CF">
      <w:pPr>
        <w:pStyle w:val="FootnoteText"/>
        <w:ind w:left="426" w:hanging="426"/>
      </w:pPr>
      <w:r>
        <w:rPr>
          <w:rStyle w:val="FootnoteReference"/>
          <w:lang w:val="en-IE"/>
        </w:rPr>
        <w:footnoteRef/>
      </w:r>
      <w:r>
        <w:t xml:space="preserve"> </w:t>
      </w:r>
      <w:r>
        <w:tab/>
        <w:t>OR je sudjelovao u brojnim aktivnostima strateškog predviđanja koje su organizirale institucije EU-a, uglavnom u kontekstu Europskog sustava strateške analize i analize politika (ESPAS). To je uključivalo sudjelovanje u temeljnom timu za izradu Izvješća o globalnim trendovima ESPAS-a za 2024., projektnom timu ESPAS-a, upravljačkoj skupini ESPAS-a, mreži mladih talenata ESPAS-a i godišnjoj konferenciji ESPAS-a 2023.</w:t>
      </w:r>
    </w:p>
  </w:footnote>
  <w:footnote w:id="43">
    <w:p w14:paraId="5CE39C99" w14:textId="53042413" w:rsidR="00B96BAB" w:rsidRPr="00FF47D1" w:rsidRDefault="00B96BAB" w:rsidP="00EC63CF">
      <w:pPr>
        <w:pStyle w:val="FootnoteText"/>
        <w:ind w:left="426" w:hanging="426"/>
      </w:pPr>
      <w:r>
        <w:rPr>
          <w:rStyle w:val="FootnoteReference"/>
          <w:lang w:val="en-IE"/>
        </w:rPr>
        <w:footnoteRef/>
      </w:r>
      <w:r>
        <w:t xml:space="preserve"> </w:t>
      </w:r>
      <w:r>
        <w:tab/>
      </w:r>
      <w:hyperlink r:id="rId28" w:history="1">
        <w:r>
          <w:rPr>
            <w:rStyle w:val="Hyperlink"/>
          </w:rPr>
          <w:t>https://cor.europa.eu/hr/news/Pages/strategic-foresight-capacity-better-prepare-future.aspx</w:t>
        </w:r>
      </w:hyperlink>
      <w:r>
        <w:t xml:space="preserve"> </w:t>
      </w:r>
    </w:p>
  </w:footnote>
  <w:footnote w:id="44">
    <w:p w14:paraId="447782FA" w14:textId="6B24692D" w:rsidR="00B96BAB" w:rsidRPr="00FF47D1" w:rsidRDefault="00B96BAB" w:rsidP="00EC63CF">
      <w:pPr>
        <w:pStyle w:val="FootnoteText"/>
        <w:ind w:left="426" w:hanging="426"/>
      </w:pPr>
      <w:r>
        <w:rPr>
          <w:rStyle w:val="FootnoteReference"/>
          <w:lang w:val="en-IE"/>
        </w:rPr>
        <w:footnoteRef/>
      </w:r>
      <w:r>
        <w:t xml:space="preserve"> </w:t>
      </w:r>
      <w:r>
        <w:tab/>
      </w:r>
      <w:hyperlink r:id="rId29" w:history="1">
        <w:r>
          <w:rPr>
            <w:rStyle w:val="Hyperlink"/>
          </w:rPr>
          <w:t>https://cor.europa.eu/hr/news/Pages/green-deal-going-local-working-group-strategic-foresight.aspx</w:t>
        </w:r>
      </w:hyperlink>
      <w:r>
        <w:t xml:space="preserve"> </w:t>
      </w:r>
    </w:p>
  </w:footnote>
  <w:footnote w:id="45">
    <w:p w14:paraId="26C0BD97" w14:textId="165C9D91" w:rsidR="00B96BAB" w:rsidRPr="00FF47D1" w:rsidRDefault="00B96BAB" w:rsidP="00EC63CF">
      <w:pPr>
        <w:pStyle w:val="FootnoteText"/>
        <w:ind w:left="426" w:hanging="426"/>
      </w:pPr>
      <w:r>
        <w:rPr>
          <w:rStyle w:val="FootnoteReference"/>
          <w:lang w:val="en-IE"/>
        </w:rPr>
        <w:footnoteRef/>
      </w:r>
      <w:r>
        <w:t xml:space="preserve"> </w:t>
      </w:r>
      <w:r>
        <w:tab/>
        <w:t xml:space="preserve">CIVEX-VII/022: Strateško predviđanje kao instrument za upravljanje u EU-u i izradu bolje regulative. </w:t>
      </w:r>
    </w:p>
  </w:footnote>
  <w:footnote w:id="46">
    <w:p w14:paraId="0E2A4B71" w14:textId="04CE9067" w:rsidR="00B96BAB" w:rsidRPr="00FF47D1" w:rsidRDefault="00B96BAB" w:rsidP="00EC63CF">
      <w:pPr>
        <w:pStyle w:val="FootnoteText"/>
        <w:ind w:left="426" w:hanging="426"/>
      </w:pPr>
      <w:r>
        <w:rPr>
          <w:rStyle w:val="FootnoteReference"/>
          <w:lang w:val="en-IE"/>
        </w:rPr>
        <w:footnoteRef/>
      </w:r>
      <w:r>
        <w:t xml:space="preserve"> </w:t>
      </w:r>
      <w:r>
        <w:tab/>
        <w:t xml:space="preserve">Za sve pojedinosti vidjeti </w:t>
      </w:r>
      <w:hyperlink r:id="rId30" w:history="1">
        <w:r>
          <w:rPr>
            <w:rStyle w:val="Hyperlink"/>
          </w:rPr>
          <w:t>EUR-Lex (europa.eu)</w:t>
        </w:r>
      </w:hyperlink>
      <w:r>
        <w:t>.</w:t>
      </w:r>
    </w:p>
  </w:footnote>
  <w:footnote w:id="47">
    <w:p w14:paraId="2DD5009B" w14:textId="67A3D4B2" w:rsidR="00B96BAB" w:rsidRPr="00FF47D1" w:rsidRDefault="00B96BAB" w:rsidP="00EC63CF">
      <w:pPr>
        <w:pStyle w:val="FootnoteText"/>
        <w:ind w:left="426" w:hanging="426"/>
      </w:pPr>
      <w:r>
        <w:rPr>
          <w:rStyle w:val="FootnoteReference"/>
          <w:lang w:val="en-IE"/>
        </w:rPr>
        <w:footnoteRef/>
      </w:r>
      <w:r>
        <w:t xml:space="preserve"> </w:t>
      </w:r>
      <w:r>
        <w:tab/>
        <w:t>29 mišljenja i četiri rezolucije. U Rezoluciji Europskog odbora regija o stanju regija i gradova u Europskoj uniji 2023. i prijedlozima za sljedeći strateški program EU-a za razdoblje 2024. – 2029. (</w:t>
      </w:r>
      <w:hyperlink r:id="rId31" w:history="1">
        <w:r>
          <w:rPr>
            <w:rStyle w:val="Hyperlink"/>
          </w:rPr>
          <w:t>https://eur-lex.europa.eu/legal-content/HR/TXT/?uri=OJ:C_202301321</w:t>
        </w:r>
      </w:hyperlink>
      <w:r>
        <w:t>) Europski odbor regija naglasio je da bi se „optimizacijom postojećih odredaba Ugovora trebale aktivno osigurati veća transparentnost i odgovornost u procesu odlučivanja u EU-u, što uključuje veći naglasak na supsidijarnosti, višerazinskom upravljanju i ulozi [Europskog odbora regija]” te je „u tom pogledu smatra[o] neophodnom reviziju Međuinstitucijskog sporazuma o boljoj izradi zakonodavstva tijekom sljedećeg ciklusa politike”.</w:t>
      </w:r>
    </w:p>
  </w:footnote>
  <w:footnote w:id="48">
    <w:p w14:paraId="2EC3762D" w14:textId="6CFDB280" w:rsidR="00343454" w:rsidRPr="00FF47D1" w:rsidRDefault="00343454" w:rsidP="00EC63CF">
      <w:pPr>
        <w:pStyle w:val="FootnoteText"/>
        <w:ind w:left="426" w:hanging="426"/>
      </w:pPr>
      <w:r>
        <w:rPr>
          <w:rStyle w:val="FootnoteReference"/>
          <w:lang w:val="en-IE"/>
        </w:rPr>
        <w:footnoteRef/>
      </w:r>
      <w:r>
        <w:t xml:space="preserve"> </w:t>
      </w:r>
      <w:r>
        <w:tab/>
      </w:r>
      <w:hyperlink r:id="rId32" w:history="1">
        <w:r>
          <w:rPr>
            <w:rStyle w:val="Hyperlink"/>
          </w:rPr>
          <w:t>https://portal.cor.europa.eu/subsidiarity/Publications/Documents/Subsidiarity-Work-Programme/2023.pdf</w:t>
        </w:r>
      </w:hyperlink>
      <w:r>
        <w:t xml:space="preserve"> </w:t>
      </w:r>
    </w:p>
  </w:footnote>
  <w:footnote w:id="49">
    <w:p w14:paraId="53F86BED" w14:textId="4E32136B" w:rsidR="00343454" w:rsidRPr="00FF47D1" w:rsidRDefault="00343454" w:rsidP="00EC63CF">
      <w:pPr>
        <w:pStyle w:val="FootnoteText"/>
        <w:ind w:left="426" w:hanging="426"/>
      </w:pPr>
      <w:r>
        <w:rPr>
          <w:rStyle w:val="FootnoteReference"/>
          <w:lang w:val="en-IE"/>
        </w:rPr>
        <w:footnoteRef/>
      </w:r>
      <w:r>
        <w:t xml:space="preserve"> </w:t>
      </w:r>
      <w:r>
        <w:tab/>
        <w:t>ENVE-VII/042 – Praćenje i otpornost tla (Akt o praćenju tla), ECON-VII/030 – Reforma okvira gospodarskog upravljanja EU-a, NAT-VII/033 – Zakonodavni okvir za održive prehrambene sustave i ECON-VII/035 – Paket olakšica za MSP-ove i okvir BEFIT.</w:t>
      </w:r>
    </w:p>
  </w:footnote>
  <w:footnote w:id="50">
    <w:p w14:paraId="1E003206" w14:textId="3E0D085B" w:rsidR="00343454" w:rsidRPr="00FF47D1" w:rsidRDefault="00343454" w:rsidP="00EC63CF">
      <w:pPr>
        <w:pStyle w:val="FootnoteText"/>
        <w:ind w:left="426" w:hanging="426"/>
      </w:pPr>
      <w:r>
        <w:rPr>
          <w:rStyle w:val="FootnoteReference"/>
          <w:lang w:val="en-IE"/>
        </w:rPr>
        <w:footnoteRef/>
      </w:r>
      <w:r>
        <w:t xml:space="preserve"> </w:t>
      </w:r>
      <w:r>
        <w:tab/>
        <w:t>Mreža za praćenje primjene načela supsidijarnosti okuplja parlamente i vlade regija sa zakonodavnim ovlastima, lokalne i regionalne vlasti bez zakonodavnih ovlasti te udruge lokalnih vlasti u EU-u. Otvorena je i za nacionalna izaslanstva OR-a i nacionalne parlamente.</w:t>
      </w:r>
    </w:p>
  </w:footnote>
  <w:footnote w:id="51">
    <w:p w14:paraId="3B82F5DF" w14:textId="362BFBE7" w:rsidR="00391C8B" w:rsidRPr="00FF47D1" w:rsidRDefault="00391C8B" w:rsidP="00EC63CF">
      <w:pPr>
        <w:pStyle w:val="FootnoteText"/>
        <w:ind w:left="426" w:hanging="426"/>
      </w:pPr>
      <w:r>
        <w:rPr>
          <w:rStyle w:val="FootnoteReference"/>
          <w:lang w:val="en-IE"/>
        </w:rPr>
        <w:footnoteRef/>
      </w:r>
      <w:r>
        <w:t xml:space="preserve"> </w:t>
      </w:r>
      <w:r>
        <w:tab/>
        <w:t>REGPEX je podskupina Mreže za praćenje primjene načela supsidijarnosti koja okuplja regionalne parlamente sa zakonodavnim ovlastima (</w:t>
      </w:r>
      <w:hyperlink r:id="rId33" w:history="1">
        <w:r>
          <w:rPr>
            <w:rStyle w:val="Hyperlink"/>
          </w:rPr>
          <w:t>https://portal.cor.europa.eu/subsidiarity/regpex/Pages/default.aspx</w:t>
        </w:r>
      </w:hyperlink>
      <w:r>
        <w:t>).</w:t>
      </w:r>
    </w:p>
  </w:footnote>
  <w:footnote w:id="52">
    <w:p w14:paraId="51B09218" w14:textId="6840BBB5" w:rsidR="004D4FE3" w:rsidRPr="00FF47D1" w:rsidRDefault="004D4FE3" w:rsidP="00EC63CF">
      <w:pPr>
        <w:pStyle w:val="FootnoteText"/>
        <w:ind w:left="426" w:hanging="426"/>
      </w:pPr>
      <w:r>
        <w:rPr>
          <w:rStyle w:val="FootnoteReference"/>
          <w:lang w:val="en-IE"/>
        </w:rPr>
        <w:footnoteRef/>
      </w:r>
      <w:r>
        <w:t xml:space="preserve"> </w:t>
      </w:r>
      <w:r>
        <w:tab/>
        <w:t>„Strategija za dronove 2.0” u svibnju, „Održivi prehrambeni sustavi” u lipnju i „Platforma za strateške tehnologije za Europu (STEP)” u listopadu.</w:t>
      </w:r>
    </w:p>
  </w:footnote>
  <w:footnote w:id="53">
    <w:p w14:paraId="60DE297E" w14:textId="618C20F6" w:rsidR="004D4FE3" w:rsidRPr="00FF47D1" w:rsidRDefault="004D4FE3" w:rsidP="00EC63CF">
      <w:pPr>
        <w:pStyle w:val="FootnoteText"/>
        <w:ind w:left="426" w:hanging="426"/>
      </w:pPr>
      <w:r>
        <w:rPr>
          <w:rStyle w:val="FootnoteReference"/>
          <w:lang w:val="en-IE"/>
        </w:rPr>
        <w:footnoteRef/>
      </w:r>
      <w:r>
        <w:t xml:space="preserve"> </w:t>
      </w:r>
      <w:r>
        <w:tab/>
        <w:t>COTER-VII/026: Nenanošenje štete koheziji – međusektorsko načelo koje doprinosi koheziji kao općem cilju i vrijednosti EU-a.</w:t>
      </w:r>
    </w:p>
  </w:footnote>
  <w:footnote w:id="54">
    <w:p w14:paraId="0D93DD4B" w14:textId="6E09BC02" w:rsidR="004D4FE3" w:rsidRPr="00FF47D1" w:rsidRDefault="004D4FE3" w:rsidP="00EC63CF">
      <w:pPr>
        <w:pStyle w:val="FootnoteText"/>
        <w:ind w:left="426" w:hanging="426"/>
      </w:pPr>
      <w:r>
        <w:rPr>
          <w:rStyle w:val="FootnoteReference"/>
          <w:lang w:val="en-IE"/>
        </w:rPr>
        <w:footnoteRef/>
      </w:r>
      <w:r>
        <w:t xml:space="preserve"> </w:t>
      </w:r>
      <w:r>
        <w:tab/>
        <w:t>Vidjeti odjeljak 2.1. za više informacija o doprinosu OR-a radu platforme „Fit for Future” putem mreže RegHub.</w:t>
      </w:r>
    </w:p>
  </w:footnote>
  <w:footnote w:id="55">
    <w:p w14:paraId="783DE1DC" w14:textId="26F0A3C9" w:rsidR="004D4FE3" w:rsidRPr="00FF47D1" w:rsidRDefault="004D4FE3" w:rsidP="00EC63CF">
      <w:pPr>
        <w:pStyle w:val="FootnoteText"/>
        <w:ind w:left="426" w:hanging="426"/>
      </w:pPr>
      <w:r>
        <w:rPr>
          <w:rStyle w:val="FootnoteReference"/>
          <w:lang w:val="en-IE"/>
        </w:rPr>
        <w:footnoteRef/>
      </w:r>
      <w:r>
        <w:t xml:space="preserve"> </w:t>
      </w:r>
      <w:r>
        <w:tab/>
      </w:r>
      <w:hyperlink r:id="rId34" w:history="1">
        <w:r>
          <w:rPr>
            <w:rStyle w:val="Hyperlink"/>
          </w:rPr>
          <w:t>https://cor.europa.eu/en/engage/Documents/RegHub/green-deal-taking-stock-looking-ahead.pdf</w:t>
        </w:r>
      </w:hyperlink>
      <w:r>
        <w:t xml:space="preserve">. </w:t>
      </w:r>
    </w:p>
  </w:footnote>
  <w:footnote w:id="56">
    <w:p w14:paraId="758A1653" w14:textId="55D6F668" w:rsidR="004D4FE3" w:rsidRPr="00FF47D1" w:rsidRDefault="004D4FE3" w:rsidP="00EC63CF">
      <w:pPr>
        <w:pStyle w:val="FootnoteText"/>
        <w:ind w:left="426" w:hanging="426"/>
      </w:pPr>
      <w:r>
        <w:rPr>
          <w:rStyle w:val="FootnoteReference"/>
          <w:lang w:val="en-IE"/>
        </w:rPr>
        <w:footnoteRef/>
      </w:r>
      <w:hyperlink r:id="rId35" w:history="1">
        <w:r w:rsidR="00BD2924" w:rsidRPr="00760FA6">
          <w:rPr>
            <w:rStyle w:val="Hyperlink"/>
          </w:rPr>
          <w:t>https://cor.europa.eu/en/engage/brochures/Documents/EU%20Annual%20Report%20on%20the%20State%20of%20Regions%20and%20Cities%202023/4892%20-%202023%20Annual%20Report%20EN.pdf</w:t>
        </w:r>
      </w:hyperlink>
      <w:r>
        <w:t xml:space="preserve"> </w:t>
      </w:r>
    </w:p>
  </w:footnote>
  <w:footnote w:id="57">
    <w:p w14:paraId="4C0241B6" w14:textId="11833B41" w:rsidR="004D4FE3" w:rsidRPr="00FF47D1" w:rsidRDefault="004D4FE3" w:rsidP="00EC63CF">
      <w:pPr>
        <w:pStyle w:val="FootnoteText"/>
        <w:ind w:left="426" w:hanging="426"/>
      </w:pPr>
      <w:r>
        <w:rPr>
          <w:rStyle w:val="FootnoteReference"/>
          <w:lang w:val="en-IE"/>
        </w:rPr>
        <w:footnoteRef/>
      </w:r>
      <w:r>
        <w:t xml:space="preserve"> </w:t>
      </w:r>
      <w:r>
        <w:tab/>
      </w:r>
      <w:hyperlink r:id="rId36" w:history="1">
        <w:r>
          <w:rPr>
            <w:rStyle w:val="Hyperlink"/>
          </w:rPr>
          <w:t>https://cor.europa.eu/en/engage/Documents/RegHub/1st-report-regional-dimension-cap-strategic-plans.pdf</w:t>
        </w:r>
      </w:hyperlink>
      <w:r>
        <w:t xml:space="preserve">. </w:t>
      </w:r>
    </w:p>
  </w:footnote>
  <w:footnote w:id="58">
    <w:p w14:paraId="267A564E" w14:textId="4591F653" w:rsidR="00AC3B53" w:rsidRPr="00FF47D1" w:rsidRDefault="00AC3B53" w:rsidP="00EC63CF">
      <w:pPr>
        <w:pStyle w:val="FootnoteText"/>
        <w:ind w:left="426" w:hanging="426"/>
      </w:pPr>
      <w:r>
        <w:rPr>
          <w:rStyle w:val="FootnoteReference"/>
          <w:lang w:val="en-IE"/>
        </w:rPr>
        <w:footnoteRef/>
      </w:r>
      <w:r>
        <w:t xml:space="preserve"> </w:t>
      </w:r>
      <w:r>
        <w:tab/>
      </w:r>
      <w:hyperlink r:id="rId37" w:history="1">
        <w:r>
          <w:rPr>
            <w:rStyle w:val="Hyperlink"/>
          </w:rPr>
          <w:t>https://eur-lex.europa.eu/legal-content/HR/TXT/?uri=CELEX:32024Y02478</w:t>
        </w:r>
      </w:hyperlink>
      <w:r>
        <w:t xml:space="preserve">. </w:t>
      </w:r>
    </w:p>
  </w:footnote>
  <w:footnote w:id="59">
    <w:p w14:paraId="52D204E6" w14:textId="4ACA132D" w:rsidR="0005295C" w:rsidRPr="00FF47D1" w:rsidRDefault="0005295C" w:rsidP="00EC63CF">
      <w:pPr>
        <w:pStyle w:val="FootnoteText"/>
        <w:ind w:left="426" w:hanging="426"/>
      </w:pPr>
      <w:r>
        <w:rPr>
          <w:rStyle w:val="FootnoteReference"/>
          <w:lang w:val="en-IE"/>
        </w:rPr>
        <w:footnoteRef/>
      </w:r>
      <w:r>
        <w:t xml:space="preserve"> </w:t>
      </w:r>
      <w:r>
        <w:tab/>
        <w:t>Uredba (EU) 2019/942 Europskog parlamenta i Vijeća od 5. lipnja 2019. o osnivanju Agencije Europske unije za suradnju energetskih regulatora (preinaka).</w:t>
      </w:r>
    </w:p>
  </w:footnote>
  <w:footnote w:id="60">
    <w:p w14:paraId="14FA0239" w14:textId="3ED0B302" w:rsidR="003B213F" w:rsidRPr="00FF47D1" w:rsidRDefault="003B213F" w:rsidP="00EC63CF">
      <w:pPr>
        <w:pStyle w:val="FootnoteText"/>
        <w:ind w:left="426" w:hanging="426"/>
      </w:pPr>
      <w:r>
        <w:rPr>
          <w:rStyle w:val="FootnoteReference"/>
          <w:lang w:val="en-IE"/>
        </w:rPr>
        <w:footnoteRef/>
      </w:r>
      <w:r>
        <w:t xml:space="preserve"> </w:t>
      </w:r>
      <w:r>
        <w:tab/>
        <w:t xml:space="preserve">Presuda Suda od 15. veljače 2023., </w:t>
      </w:r>
      <w:r>
        <w:rPr>
          <w:i/>
        </w:rPr>
        <w:t>Austrian Power Grid i dr. / ACER</w:t>
      </w:r>
      <w:r>
        <w:t>, T</w:t>
      </w:r>
      <w:r>
        <w:noBreakHyphen/>
        <w:t>606/20, ECLI:EU:T:2023, točke od 45. do 49. (u postupku žalbe: predmet C-281/23 P).</w:t>
      </w:r>
    </w:p>
  </w:footnote>
  <w:footnote w:id="61">
    <w:p w14:paraId="68A71761" w14:textId="0B8A99EB" w:rsidR="00E628F5" w:rsidRPr="00FF47D1" w:rsidRDefault="00E628F5" w:rsidP="00EC63CF">
      <w:pPr>
        <w:pStyle w:val="FootnoteText"/>
        <w:ind w:left="426" w:hanging="426"/>
      </w:pPr>
      <w:r>
        <w:rPr>
          <w:rStyle w:val="FootnoteReference"/>
          <w:lang w:val="en-IE"/>
        </w:rPr>
        <w:footnoteRef/>
      </w:r>
      <w:r>
        <w:t xml:space="preserve"> </w:t>
      </w:r>
      <w:r>
        <w:tab/>
        <w:t>Taj se broj odnosi na ukupan broj obrazloženih mišljenja domova parlamenta zaprimljenih 2023. u skladu s Protokolom br. 2. Za popis dokumenata Komisije za koje je Komisija zaprimila obrazložena mišljenja vidjeti bilješku 20. i Prilog 1.</w:t>
      </w:r>
    </w:p>
  </w:footnote>
  <w:footnote w:id="62">
    <w:p w14:paraId="22C7E3BC" w14:textId="2E43E0EA" w:rsidR="005436EA" w:rsidRPr="00FF47D1" w:rsidRDefault="005436EA" w:rsidP="00EC63CF">
      <w:pPr>
        <w:pStyle w:val="FootnoteText"/>
        <w:ind w:left="426" w:hanging="426"/>
      </w:pPr>
      <w:r>
        <w:rPr>
          <w:rStyle w:val="FootnoteReference"/>
          <w:lang w:val="en-IE"/>
        </w:rPr>
        <w:footnoteRef/>
      </w:r>
      <w:r>
        <w:t xml:space="preserve"> </w:t>
      </w:r>
      <w:r>
        <w:tab/>
        <w:t>U skladu s Protokolom br. 2 svaki nacionalni parlament ili dom nacionalnog parlamenta može u roku od osam tjedana od datuma dostave nacrta zakonodavnog akta na službenim jezicima EU-a izdati obrazloženo mišljenje u kojem navodi zašto smatra da dotični nacrt nije u skladu s načelom supsidijarnosti. Vidjeti i bilješku 61.</w:t>
      </w:r>
    </w:p>
  </w:footnote>
  <w:footnote w:id="63">
    <w:p w14:paraId="5E695D8C" w14:textId="4DA09011" w:rsidR="003B52FA" w:rsidRPr="00FF47D1" w:rsidRDefault="003B52FA" w:rsidP="00EC63CF">
      <w:pPr>
        <w:pStyle w:val="FootnoteText"/>
        <w:ind w:left="426" w:hanging="426"/>
      </w:pPr>
      <w:r>
        <w:rPr>
          <w:rStyle w:val="FootnoteReference"/>
          <w:lang w:val="en-IE"/>
        </w:rPr>
        <w:footnoteRef/>
      </w:r>
      <w:r>
        <w:t xml:space="preserve"> </w:t>
      </w:r>
      <w:r>
        <w:tab/>
        <w:t>S obzirom na relativno malen broj obrazloženih mišljenja, čak i malo povećanje broja obrazloženih mišljenja može uzrokovati naoko iznimno povećanje postotka obrazloženih mišljenja. Tim se može objasniti „skok” između 2021. i 2022., koji je jednim dijelom bio uzrokovan prijedlogom „Izbornog zakona” Europskog parlamenta za koji je zaprimljeno osam obrazloženih mišljenja (vidjeti godišnje izvješće Komisije za 2022., COM(2023) 640 final, str. 10.).</w:t>
      </w:r>
    </w:p>
  </w:footnote>
  <w:footnote w:id="64">
    <w:p w14:paraId="48048B0C" w14:textId="0A9F294E" w:rsidR="00954A3B" w:rsidRPr="00FF47D1" w:rsidRDefault="00954A3B" w:rsidP="00EC63CF">
      <w:pPr>
        <w:pStyle w:val="FootnoteText"/>
        <w:ind w:left="426" w:hanging="426"/>
      </w:pPr>
      <w:r>
        <w:rPr>
          <w:rStyle w:val="FootnoteReference"/>
          <w:lang w:val="en-IE"/>
        </w:rPr>
        <w:footnoteRef/>
      </w:r>
      <w:r>
        <w:t xml:space="preserve"> </w:t>
      </w:r>
      <w:r>
        <w:tab/>
      </w:r>
      <w:hyperlink r:id="rId38" w:history="1">
        <w:r>
          <w:rPr>
            <w:rStyle w:val="Hyperlink"/>
          </w:rPr>
          <w:t>https://commission.europa.eu/strategy-and-policy/priorities-2019-2024_hr</w:t>
        </w:r>
      </w:hyperlink>
      <w:r>
        <w:t>.</w:t>
      </w:r>
    </w:p>
  </w:footnote>
  <w:footnote w:id="65">
    <w:p w14:paraId="3F0E0ABC" w14:textId="7D1B3A22" w:rsidR="00765DEA" w:rsidRPr="00FF47D1" w:rsidRDefault="00765DEA" w:rsidP="00EC63CF">
      <w:pPr>
        <w:pStyle w:val="FootnoteText"/>
        <w:ind w:left="426" w:hanging="426"/>
      </w:pPr>
      <w:r>
        <w:rPr>
          <w:rStyle w:val="FootnoteReference"/>
          <w:lang w:val="en-IE"/>
        </w:rPr>
        <w:footnoteRef/>
      </w:r>
      <w:r>
        <w:t xml:space="preserve"> </w:t>
      </w:r>
      <w:r>
        <w:tab/>
        <w:t>Svaki nacionalni parlament ima dva glasa, a svaki dom u dvodomnom sustavu ima jedan glas.</w:t>
      </w:r>
    </w:p>
  </w:footnote>
  <w:footnote w:id="66">
    <w:p w14:paraId="570A9DF7" w14:textId="19B47134" w:rsidR="006A664D" w:rsidRPr="00FF47D1" w:rsidRDefault="006A664D" w:rsidP="00EC63CF">
      <w:pPr>
        <w:pStyle w:val="FootnoteText"/>
        <w:ind w:left="426" w:hanging="426"/>
      </w:pPr>
      <w:r>
        <w:rPr>
          <w:rStyle w:val="FootnoteReference"/>
          <w:lang w:val="en-IE"/>
        </w:rPr>
        <w:footnoteRef/>
      </w:r>
      <w:r>
        <w:t xml:space="preserve"> </w:t>
      </w:r>
      <w:r>
        <w:tab/>
        <w:t>COM(2023) 411 final.</w:t>
      </w:r>
    </w:p>
  </w:footnote>
  <w:footnote w:id="67">
    <w:p w14:paraId="7055E45D" w14:textId="53CC7121" w:rsidR="00B96639" w:rsidRPr="00FF47D1" w:rsidRDefault="00B96639" w:rsidP="00EC63CF">
      <w:pPr>
        <w:pStyle w:val="FootnoteText"/>
        <w:ind w:left="426" w:hanging="426"/>
      </w:pPr>
      <w:r>
        <w:rPr>
          <w:rStyle w:val="FootnoteReference"/>
          <w:lang w:val="en-IE"/>
        </w:rPr>
        <w:footnoteRef/>
      </w:r>
      <w:r>
        <w:t xml:space="preserve"> </w:t>
      </w:r>
      <w:r>
        <w:tab/>
        <w:t>Komisija se obvezala dostaviti objedinjeni odgovor ako za prijedlog zaprimi „znatan” broj obrazloženih mišljenja („znatan” u tom kontekstu znači da broj obrazloženih mišljenja odgovara najmanje sedam glasova nacionalnih parlamenata), čak i ako za prijedlog ne zaprimi dovoljno obrazloženih mišljenja da bi se dosegnuo prag za pokretanje postupka „žutog kartona”, odnosno obveznog preispitivanja nacrta pravnog akta. Prag za pokretanje postupka „žutog kartona” obično je dosegnut kad broj obrazloženih mišljenja zaprimljenih od nacionalnih parlamenata čini najmanje trećinu svih glasova koji su im dodijeljeni (tj. 18 od 54). Za nacrte zakonodavnih akata koji se podnose u području slobode, sigurnosti i pravde prag je jedna četvrtina glasova (14 od 54).</w:t>
      </w:r>
    </w:p>
  </w:footnote>
  <w:footnote w:id="68">
    <w:p w14:paraId="4E359FA9" w14:textId="30D45142" w:rsidR="000168B9" w:rsidRPr="00FF47D1" w:rsidRDefault="000168B9" w:rsidP="00EC63CF">
      <w:pPr>
        <w:pStyle w:val="FootnoteText"/>
        <w:ind w:left="426" w:hanging="426"/>
      </w:pPr>
      <w:r>
        <w:rPr>
          <w:rStyle w:val="FootnoteReference"/>
          <w:lang w:val="en-IE"/>
        </w:rPr>
        <w:footnoteRef/>
      </w:r>
      <w:r>
        <w:t xml:space="preserve"> </w:t>
      </w:r>
      <w:r>
        <w:tab/>
        <w:t>COM(2022) 677 final.</w:t>
      </w:r>
    </w:p>
  </w:footnote>
  <w:footnote w:id="69">
    <w:p w14:paraId="304C42AF" w14:textId="320949C0" w:rsidR="00103E4B" w:rsidRPr="00FF47D1" w:rsidRDefault="00103E4B" w:rsidP="00EC63CF">
      <w:pPr>
        <w:pStyle w:val="FootnoteText"/>
        <w:ind w:left="426" w:hanging="426"/>
      </w:pPr>
      <w:r>
        <w:rPr>
          <w:rStyle w:val="FootnoteReference"/>
          <w:lang w:val="en-IE"/>
        </w:rPr>
        <w:footnoteRef/>
      </w:r>
      <w:r>
        <w:t xml:space="preserve"> </w:t>
      </w:r>
      <w:r>
        <w:tab/>
        <w:t xml:space="preserve">Francuski </w:t>
      </w:r>
      <w:r>
        <w:rPr>
          <w:i/>
        </w:rPr>
        <w:t>Sénat</w:t>
      </w:r>
      <w:r>
        <w:t xml:space="preserve"> i talijanska </w:t>
      </w:r>
      <w:r>
        <w:rPr>
          <w:i/>
        </w:rPr>
        <w:t>Camera dei Deputati</w:t>
      </w:r>
      <w:r>
        <w:t xml:space="preserve"> i </w:t>
      </w:r>
      <w:r>
        <w:rPr>
          <w:i/>
        </w:rPr>
        <w:t>Senato della Repubblica</w:t>
      </w:r>
      <w:r>
        <w:t>.</w:t>
      </w:r>
      <w:bookmarkStart w:id="6" w:name="_Hlk170792717"/>
    </w:p>
    <w:bookmarkEnd w:id="6"/>
  </w:footnote>
  <w:footnote w:id="70">
    <w:p w14:paraId="0CE6A7AB" w14:textId="544192F6" w:rsidR="0070498E" w:rsidRPr="00FF47D1" w:rsidRDefault="0070498E" w:rsidP="00EC63CF">
      <w:pPr>
        <w:pStyle w:val="FootnoteText"/>
        <w:ind w:left="426" w:hanging="426"/>
      </w:pPr>
      <w:r>
        <w:rPr>
          <w:rStyle w:val="FootnoteReference"/>
          <w:lang w:val="en-IE"/>
        </w:rPr>
        <w:footnoteRef/>
      </w:r>
      <w:r>
        <w:t xml:space="preserve"> </w:t>
      </w:r>
      <w:r>
        <w:tab/>
        <w:t xml:space="preserve">Češka </w:t>
      </w:r>
      <w:r>
        <w:rPr>
          <w:i/>
        </w:rPr>
        <w:t>Poslanecká sněmovna</w:t>
      </w:r>
      <w:r>
        <w:t xml:space="preserve"> i </w:t>
      </w:r>
      <w:r>
        <w:rPr>
          <w:i/>
        </w:rPr>
        <w:t>Senát</w:t>
      </w:r>
      <w:r>
        <w:t xml:space="preserve">, španjolski </w:t>
      </w:r>
      <w:r>
        <w:rPr>
          <w:i/>
        </w:rPr>
        <w:t>Cortes Generales</w:t>
      </w:r>
      <w:r>
        <w:t xml:space="preserve">, talijanska </w:t>
      </w:r>
      <w:r>
        <w:rPr>
          <w:i/>
        </w:rPr>
        <w:t>Camera dei Deputati</w:t>
      </w:r>
      <w:r>
        <w:t xml:space="preserve">, poljski </w:t>
      </w:r>
      <w:r>
        <w:rPr>
          <w:i/>
        </w:rPr>
        <w:t>Senat</w:t>
      </w:r>
      <w:r>
        <w:t xml:space="preserve"> i rumunjski </w:t>
      </w:r>
      <w:r>
        <w:rPr>
          <w:i/>
        </w:rPr>
        <w:t>Senat</w:t>
      </w:r>
      <w:r>
        <w:t xml:space="preserve">. </w:t>
      </w:r>
    </w:p>
  </w:footnote>
  <w:footnote w:id="71">
    <w:p w14:paraId="34D47FA1" w14:textId="1D1AA227" w:rsidR="00EE6B6B" w:rsidRPr="00FF47D1" w:rsidRDefault="00EE6B6B" w:rsidP="00EC63CF">
      <w:pPr>
        <w:pStyle w:val="FootnoteText"/>
        <w:ind w:left="426" w:hanging="426"/>
      </w:pPr>
      <w:r>
        <w:rPr>
          <w:rStyle w:val="FootnoteReference"/>
          <w:lang w:val="en-IE"/>
        </w:rPr>
        <w:footnoteRef/>
      </w:r>
      <w:r>
        <w:t xml:space="preserve"> </w:t>
      </w:r>
      <w:r>
        <w:tab/>
        <w:t>COM(2023) 411 final.</w:t>
      </w:r>
    </w:p>
  </w:footnote>
  <w:footnote w:id="72">
    <w:p w14:paraId="40F36101" w14:textId="166C1BFC" w:rsidR="00EE6B6B" w:rsidRPr="00FF47D1" w:rsidRDefault="00EE6B6B" w:rsidP="00EC63CF">
      <w:pPr>
        <w:pStyle w:val="FootnoteText"/>
        <w:ind w:left="426" w:hanging="426"/>
      </w:pPr>
      <w:r>
        <w:rPr>
          <w:rStyle w:val="FootnoteReference"/>
          <w:lang w:val="en-IE"/>
        </w:rPr>
        <w:footnoteRef/>
      </w:r>
      <w:r>
        <w:t xml:space="preserve"> </w:t>
      </w:r>
      <w:r>
        <w:tab/>
        <w:t xml:space="preserve">Ciparski </w:t>
      </w:r>
      <w:r>
        <w:rPr>
          <w:i/>
        </w:rPr>
        <w:t>Vouli ton Antiprosopon</w:t>
      </w:r>
      <w:r>
        <w:t xml:space="preserve"> i mađarski </w:t>
      </w:r>
      <w:r>
        <w:rPr>
          <w:i/>
        </w:rPr>
        <w:t>Országgyűlés</w:t>
      </w:r>
      <w:r>
        <w:t>.</w:t>
      </w:r>
    </w:p>
  </w:footnote>
  <w:footnote w:id="73">
    <w:p w14:paraId="27B20814" w14:textId="5F73C6A6" w:rsidR="00EE6B6B" w:rsidRPr="00FF47D1" w:rsidRDefault="00EE6B6B" w:rsidP="00EC63CF">
      <w:pPr>
        <w:pStyle w:val="FootnoteText"/>
        <w:ind w:left="426" w:hanging="426"/>
      </w:pPr>
      <w:r>
        <w:rPr>
          <w:rStyle w:val="FootnoteReference"/>
          <w:lang w:val="en-IE"/>
        </w:rPr>
        <w:footnoteRef/>
      </w:r>
      <w:r>
        <w:t xml:space="preserve"> </w:t>
      </w:r>
      <w:r>
        <w:tab/>
        <w:t xml:space="preserve">Češki </w:t>
      </w:r>
      <w:r>
        <w:rPr>
          <w:i/>
        </w:rPr>
        <w:t>Senát</w:t>
      </w:r>
      <w:r>
        <w:t xml:space="preserve">, danski </w:t>
      </w:r>
      <w:r>
        <w:rPr>
          <w:i/>
        </w:rPr>
        <w:t>Folketing</w:t>
      </w:r>
      <w:r>
        <w:t xml:space="preserve">, </w:t>
      </w:r>
      <w:r>
        <w:rPr>
          <w:i/>
        </w:rPr>
        <w:t>Hrvatski sabor</w:t>
      </w:r>
      <w:r>
        <w:t xml:space="preserve">, talijanski </w:t>
      </w:r>
      <w:r>
        <w:rPr>
          <w:i/>
        </w:rPr>
        <w:t>Senato della Repubblica</w:t>
      </w:r>
      <w:r>
        <w:t xml:space="preserve">, nizozemski </w:t>
      </w:r>
      <w:r>
        <w:rPr>
          <w:i/>
        </w:rPr>
        <w:t>Eerste Kamer</w:t>
      </w:r>
      <w:r>
        <w:t xml:space="preserve">, portugalski </w:t>
      </w:r>
      <w:r>
        <w:rPr>
          <w:i/>
        </w:rPr>
        <w:t>Assembleia da República</w:t>
      </w:r>
      <w:r>
        <w:t xml:space="preserve"> i rumunjski </w:t>
      </w:r>
      <w:r>
        <w:rPr>
          <w:i/>
        </w:rPr>
        <w:t>Senat</w:t>
      </w:r>
      <w:r>
        <w:t>.</w:t>
      </w:r>
    </w:p>
  </w:footnote>
  <w:footnote w:id="74">
    <w:p w14:paraId="6877328A" w14:textId="13D46F0D" w:rsidR="00896C5D" w:rsidRPr="00FF47D1" w:rsidRDefault="00896C5D" w:rsidP="00EC63CF">
      <w:pPr>
        <w:pStyle w:val="FootnoteText"/>
        <w:ind w:left="426" w:hanging="426"/>
      </w:pPr>
      <w:r>
        <w:rPr>
          <w:rStyle w:val="FootnoteReference"/>
          <w:lang w:val="en-IE"/>
        </w:rPr>
        <w:footnoteRef/>
      </w:r>
      <w:r>
        <w:t xml:space="preserve"> </w:t>
      </w:r>
      <w:r>
        <w:tab/>
        <w:t>COM(2023) 416 final.</w:t>
      </w:r>
    </w:p>
  </w:footnote>
  <w:footnote w:id="75">
    <w:p w14:paraId="6C886FA2" w14:textId="0DE9EFC3" w:rsidR="00A55D51" w:rsidRPr="00FF47D1" w:rsidRDefault="00A55D51" w:rsidP="00EC63CF">
      <w:pPr>
        <w:pStyle w:val="FootnoteText"/>
        <w:ind w:left="426" w:hanging="426"/>
      </w:pPr>
      <w:r>
        <w:rPr>
          <w:rStyle w:val="FootnoteReference"/>
          <w:lang w:val="en-IE"/>
        </w:rPr>
        <w:footnoteRef/>
      </w:r>
      <w:r>
        <w:t xml:space="preserve"> </w:t>
      </w:r>
      <w:r>
        <w:tab/>
        <w:t xml:space="preserve">Nizozemski </w:t>
      </w:r>
      <w:r>
        <w:rPr>
          <w:i/>
        </w:rPr>
        <w:t>Eerste Kamer</w:t>
      </w:r>
      <w:r>
        <w:t xml:space="preserve"> i </w:t>
      </w:r>
      <w:r>
        <w:rPr>
          <w:i/>
        </w:rPr>
        <w:t>Tweede Kamer</w:t>
      </w:r>
      <w:r>
        <w:t>.</w:t>
      </w:r>
    </w:p>
  </w:footnote>
  <w:footnote w:id="76">
    <w:p w14:paraId="0E97745E" w14:textId="7F4DC0C1" w:rsidR="00103E4B" w:rsidRPr="00FF47D1" w:rsidRDefault="00103E4B" w:rsidP="00EC63CF">
      <w:pPr>
        <w:pStyle w:val="FootnoteText"/>
        <w:ind w:left="426" w:hanging="426"/>
      </w:pPr>
      <w:r>
        <w:rPr>
          <w:rStyle w:val="FootnoteReference"/>
          <w:lang w:val="en-IE"/>
        </w:rPr>
        <w:footnoteRef/>
      </w:r>
      <w:r>
        <w:t xml:space="preserve"> </w:t>
      </w:r>
      <w:r>
        <w:tab/>
        <w:t xml:space="preserve">Češki </w:t>
      </w:r>
      <w:r>
        <w:rPr>
          <w:i/>
        </w:rPr>
        <w:t>Senát</w:t>
      </w:r>
      <w:r>
        <w:t xml:space="preserve">, talijanski </w:t>
      </w:r>
      <w:r>
        <w:rPr>
          <w:i/>
        </w:rPr>
        <w:t>Senato</w:t>
      </w:r>
      <w:r>
        <w:t xml:space="preserve"> i austrijski </w:t>
      </w:r>
      <w:r>
        <w:rPr>
          <w:i/>
        </w:rPr>
        <w:t>Bundesrat</w:t>
      </w:r>
      <w:r>
        <w:t>.</w:t>
      </w:r>
    </w:p>
  </w:footnote>
  <w:footnote w:id="77">
    <w:p w14:paraId="236549E6" w14:textId="1694B942" w:rsidR="006F6B59" w:rsidRPr="00FF47D1" w:rsidRDefault="006F6B59" w:rsidP="00EC63CF">
      <w:pPr>
        <w:pStyle w:val="FootnoteText"/>
        <w:ind w:left="426" w:hanging="426"/>
      </w:pPr>
      <w:r>
        <w:rPr>
          <w:rStyle w:val="FootnoteReference"/>
          <w:lang w:val="en-IE"/>
        </w:rPr>
        <w:footnoteRef/>
      </w:r>
      <w:r>
        <w:t xml:space="preserve"> </w:t>
      </w:r>
      <w:r>
        <w:tab/>
        <w:t>COM(2023) 88 final.</w:t>
      </w:r>
    </w:p>
  </w:footnote>
  <w:footnote w:id="78">
    <w:p w14:paraId="1C6DBE53" w14:textId="349DBF10" w:rsidR="00E85C56" w:rsidRPr="00FF47D1" w:rsidRDefault="00E85C56" w:rsidP="00EC63CF">
      <w:pPr>
        <w:pStyle w:val="FootnoteText"/>
        <w:ind w:left="426" w:hanging="426"/>
      </w:pPr>
      <w:r>
        <w:rPr>
          <w:rStyle w:val="FootnoteReference"/>
          <w:lang w:val="en-IE"/>
        </w:rPr>
        <w:footnoteRef/>
      </w:r>
      <w:r>
        <w:t xml:space="preserve"> </w:t>
      </w:r>
      <w:r>
        <w:tab/>
        <w:t xml:space="preserve">Talijanski </w:t>
      </w:r>
      <w:r>
        <w:rPr>
          <w:i/>
        </w:rPr>
        <w:t>Camera dei Deputati</w:t>
      </w:r>
      <w:r>
        <w:t xml:space="preserve"> i </w:t>
      </w:r>
      <w:r>
        <w:rPr>
          <w:i/>
        </w:rPr>
        <w:t>Senato della Repubblica</w:t>
      </w:r>
      <w:r>
        <w:t>.</w:t>
      </w:r>
    </w:p>
  </w:footnote>
  <w:footnote w:id="79">
    <w:p w14:paraId="655D6B8E" w14:textId="632BC0B4" w:rsidR="00E85C56" w:rsidRPr="00FF47D1" w:rsidRDefault="00E85C56" w:rsidP="00EC63CF">
      <w:pPr>
        <w:pStyle w:val="FootnoteText"/>
        <w:ind w:left="426" w:hanging="426"/>
      </w:pPr>
      <w:r>
        <w:rPr>
          <w:rStyle w:val="FootnoteReference"/>
          <w:lang w:val="en-IE"/>
        </w:rPr>
        <w:footnoteRef/>
      </w:r>
      <w:r>
        <w:t xml:space="preserve"> </w:t>
      </w:r>
      <w:r>
        <w:tab/>
        <w:t xml:space="preserve">Češki </w:t>
      </w:r>
      <w:r>
        <w:rPr>
          <w:i/>
        </w:rPr>
        <w:t>Senat</w:t>
      </w:r>
      <w:r>
        <w:t>.</w:t>
      </w:r>
    </w:p>
  </w:footnote>
  <w:footnote w:id="80">
    <w:p w14:paraId="192BF96B" w14:textId="7842E118" w:rsidR="006A7E75" w:rsidRPr="00FF47D1" w:rsidRDefault="006A7E75" w:rsidP="00EC63CF">
      <w:pPr>
        <w:pStyle w:val="FootnoteText"/>
        <w:ind w:left="426" w:hanging="426"/>
      </w:pPr>
      <w:r>
        <w:rPr>
          <w:rStyle w:val="FootnoteReference"/>
          <w:lang w:val="en-IE"/>
        </w:rPr>
        <w:footnoteRef/>
      </w:r>
      <w:r>
        <w:t xml:space="preserve"> </w:t>
      </w:r>
      <w:r>
        <w:tab/>
        <w:t>SWD(2023) 88 final.</w:t>
      </w:r>
    </w:p>
  </w:footnote>
  <w:footnote w:id="81">
    <w:p w14:paraId="78E412B0" w14:textId="565C3E50" w:rsidR="008F65E5" w:rsidRPr="00FF47D1" w:rsidRDefault="008F65E5" w:rsidP="00EC63CF">
      <w:pPr>
        <w:pStyle w:val="FootnoteText"/>
        <w:ind w:left="426" w:hanging="426"/>
      </w:pPr>
      <w:r>
        <w:rPr>
          <w:rStyle w:val="FootnoteReference"/>
          <w:lang w:val="en-IE"/>
        </w:rPr>
        <w:footnoteRef/>
      </w:r>
      <w:r>
        <w:t xml:space="preserve"> </w:t>
      </w:r>
      <w:r>
        <w:tab/>
        <w:t>COM(2023) 234 final.</w:t>
      </w:r>
    </w:p>
  </w:footnote>
  <w:footnote w:id="82">
    <w:p w14:paraId="51F5FC13" w14:textId="5CE7650C" w:rsidR="00F061D3" w:rsidRPr="00FF47D1" w:rsidRDefault="00F061D3" w:rsidP="00EC63CF">
      <w:pPr>
        <w:pStyle w:val="FootnoteText"/>
        <w:ind w:left="426" w:hanging="426"/>
      </w:pPr>
      <w:r>
        <w:rPr>
          <w:rStyle w:val="FootnoteReference"/>
          <w:lang w:val="en-IE"/>
        </w:rPr>
        <w:footnoteRef/>
      </w:r>
      <w:r>
        <w:t xml:space="preserve"> </w:t>
      </w:r>
      <w:r>
        <w:tab/>
        <w:t xml:space="preserve">Talijanska </w:t>
      </w:r>
      <w:r>
        <w:rPr>
          <w:i/>
        </w:rPr>
        <w:t>Camera dei Deputati</w:t>
      </w:r>
      <w:r>
        <w:t xml:space="preserve"> i švedski </w:t>
      </w:r>
      <w:r>
        <w:rPr>
          <w:i/>
        </w:rPr>
        <w:t>Riksdag</w:t>
      </w:r>
      <w:r>
        <w:t>.</w:t>
      </w:r>
    </w:p>
  </w:footnote>
  <w:footnote w:id="83">
    <w:p w14:paraId="235E1804" w14:textId="54865454" w:rsidR="00F061D3" w:rsidRPr="00FF47D1" w:rsidRDefault="00F061D3" w:rsidP="00EC63CF">
      <w:pPr>
        <w:pStyle w:val="FootnoteText"/>
        <w:ind w:left="426" w:hanging="426"/>
      </w:pPr>
      <w:r>
        <w:rPr>
          <w:rStyle w:val="FootnoteReference"/>
          <w:lang w:val="en-IE"/>
        </w:rPr>
        <w:footnoteRef/>
      </w:r>
      <w:r>
        <w:t xml:space="preserve"> </w:t>
      </w:r>
      <w:r>
        <w:tab/>
        <w:t xml:space="preserve">Češka </w:t>
      </w:r>
      <w:r>
        <w:rPr>
          <w:i/>
        </w:rPr>
        <w:t>Poslanecká sněmovna</w:t>
      </w:r>
      <w:r>
        <w:t xml:space="preserve"> i </w:t>
      </w:r>
      <w:r>
        <w:rPr>
          <w:i/>
        </w:rPr>
        <w:t>Senát</w:t>
      </w:r>
      <w:r>
        <w:t xml:space="preserve">, francuski </w:t>
      </w:r>
      <w:r>
        <w:rPr>
          <w:i/>
        </w:rPr>
        <w:t>Sénat</w:t>
      </w:r>
      <w:r>
        <w:t xml:space="preserve">, talijanski </w:t>
      </w:r>
      <w:r>
        <w:rPr>
          <w:i/>
        </w:rPr>
        <w:t>Senato della Repubblica</w:t>
      </w:r>
      <w:r>
        <w:t xml:space="preserve">, austrijski </w:t>
      </w:r>
      <w:r>
        <w:rPr>
          <w:i/>
        </w:rPr>
        <w:t>Nationalrat</w:t>
      </w:r>
      <w:r>
        <w:t xml:space="preserve"> i </w:t>
      </w:r>
      <w:r>
        <w:rPr>
          <w:i/>
        </w:rPr>
        <w:t>Bundesrat</w:t>
      </w:r>
      <w:r>
        <w:t xml:space="preserve"> te portugalska </w:t>
      </w:r>
      <w:r>
        <w:rPr>
          <w:i/>
        </w:rPr>
        <w:t>Assembleia da República</w:t>
      </w:r>
      <w:r>
        <w:t>.</w:t>
      </w:r>
    </w:p>
  </w:footnote>
  <w:footnote w:id="84">
    <w:p w14:paraId="2F319EF2" w14:textId="0CFF0C66" w:rsidR="00B868F1" w:rsidRPr="00FF47D1" w:rsidRDefault="00B868F1" w:rsidP="00EC63CF">
      <w:pPr>
        <w:pStyle w:val="FootnoteText"/>
        <w:ind w:left="426" w:hanging="426"/>
      </w:pPr>
      <w:r>
        <w:rPr>
          <w:rStyle w:val="FootnoteReference"/>
          <w:lang w:val="en-IE"/>
        </w:rPr>
        <w:footnoteRef/>
      </w:r>
      <w:r>
        <w:t xml:space="preserve"> </w:t>
      </w:r>
      <w:r>
        <w:tab/>
        <w:t>COM(2022) 695 final.</w:t>
      </w:r>
    </w:p>
  </w:footnote>
  <w:footnote w:id="85">
    <w:p w14:paraId="162651A2" w14:textId="39CCA019" w:rsidR="00E26BEF" w:rsidRPr="00FF47D1" w:rsidRDefault="00E26BEF" w:rsidP="00EC63CF">
      <w:pPr>
        <w:pStyle w:val="FootnoteText"/>
        <w:ind w:left="426" w:hanging="426"/>
      </w:pPr>
      <w:r>
        <w:rPr>
          <w:rStyle w:val="FootnoteReference"/>
          <w:lang w:val="en-IE"/>
        </w:rPr>
        <w:footnoteRef/>
      </w:r>
      <w:r>
        <w:t xml:space="preserve"> </w:t>
      </w:r>
      <w:r>
        <w:tab/>
        <w:t>COM(2023) 533 final.</w:t>
      </w:r>
    </w:p>
  </w:footnote>
  <w:footnote w:id="86">
    <w:p w14:paraId="60349934" w14:textId="69BE5A76" w:rsidR="00EE7345" w:rsidRPr="00FF47D1" w:rsidRDefault="00EE7345" w:rsidP="00EC63CF">
      <w:pPr>
        <w:pStyle w:val="FootnoteText"/>
        <w:ind w:left="426" w:hanging="426"/>
      </w:pPr>
      <w:r>
        <w:rPr>
          <w:rStyle w:val="FootnoteReference"/>
          <w:lang w:val="en-IE"/>
        </w:rPr>
        <w:footnoteRef/>
      </w:r>
      <w:r>
        <w:t xml:space="preserve"> </w:t>
      </w:r>
      <w:r>
        <w:tab/>
        <w:t xml:space="preserve">Talijanska </w:t>
      </w:r>
      <w:r>
        <w:rPr>
          <w:i/>
        </w:rPr>
        <w:t>Camera dei Deputati</w:t>
      </w:r>
      <w:r>
        <w:t xml:space="preserve"> i švedski </w:t>
      </w:r>
      <w:r>
        <w:rPr>
          <w:i/>
        </w:rPr>
        <w:t>Riksdag</w:t>
      </w:r>
      <w:r>
        <w:t>.</w:t>
      </w:r>
    </w:p>
  </w:footnote>
  <w:footnote w:id="87">
    <w:p w14:paraId="4A787589" w14:textId="19445A33" w:rsidR="00DB3C00" w:rsidRPr="00FF47D1" w:rsidRDefault="00DB3C00" w:rsidP="00EC63CF">
      <w:pPr>
        <w:pStyle w:val="FootnoteText"/>
        <w:ind w:left="426" w:hanging="426"/>
      </w:pPr>
      <w:r>
        <w:rPr>
          <w:rStyle w:val="FootnoteReference"/>
          <w:lang w:val="en-IE"/>
        </w:rPr>
        <w:footnoteRef/>
      </w:r>
      <w:r>
        <w:t xml:space="preserve"> </w:t>
      </w:r>
      <w:r>
        <w:tab/>
        <w:t xml:space="preserve">Irski domovi parlamenta </w:t>
      </w:r>
      <w:r>
        <w:rPr>
          <w:i/>
        </w:rPr>
        <w:t>Oireachtas</w:t>
      </w:r>
      <w:r>
        <w:t xml:space="preserve">, talijanski </w:t>
      </w:r>
      <w:r>
        <w:rPr>
          <w:i/>
        </w:rPr>
        <w:t>Senato della Repubblica</w:t>
      </w:r>
      <w:r>
        <w:t xml:space="preserve">, portugalska </w:t>
      </w:r>
      <w:r>
        <w:rPr>
          <w:i/>
        </w:rPr>
        <w:t>Assembleia da República</w:t>
      </w:r>
      <w:r>
        <w:t xml:space="preserve"> i rumunjski </w:t>
      </w:r>
      <w:r>
        <w:rPr>
          <w:i/>
        </w:rPr>
        <w:t>Senat</w:t>
      </w:r>
      <w:r>
        <w:t xml:space="preserve">. Komisija je u prva četiri mjeseca 2024. zaprimila četiri dodatna mišljenja u okviru političkog dijaloga (uputili su ih češki </w:t>
      </w:r>
      <w:r>
        <w:rPr>
          <w:i/>
        </w:rPr>
        <w:t>Senát</w:t>
      </w:r>
      <w:r>
        <w:t xml:space="preserve"> i </w:t>
      </w:r>
      <w:r>
        <w:rPr>
          <w:i/>
        </w:rPr>
        <w:t>Poslanecká sněmovna</w:t>
      </w:r>
      <w:r>
        <w:t xml:space="preserve">, francuski </w:t>
      </w:r>
      <w:r>
        <w:rPr>
          <w:i/>
        </w:rPr>
        <w:t>Sénat</w:t>
      </w:r>
      <w:r>
        <w:t xml:space="preserve"> i malteška </w:t>
      </w:r>
      <w:r>
        <w:rPr>
          <w:i/>
        </w:rPr>
        <w:t>Kamra tad</w:t>
      </w:r>
      <w:r>
        <w:rPr>
          <w:i/>
        </w:rPr>
        <w:noBreakHyphen/>
        <w:t>Deputati</w:t>
      </w:r>
      <w:r>
        <w:t>), čiji su se argumenti u velikoj mjeri podudarali s onima iz mišljenja zaprimljenih 2023.</w:t>
      </w:r>
    </w:p>
  </w:footnote>
  <w:footnote w:id="88">
    <w:p w14:paraId="6FEB3BA3" w14:textId="0869488D" w:rsidR="00BF6321" w:rsidRPr="00FF47D1" w:rsidRDefault="00BF6321" w:rsidP="00EC63CF">
      <w:pPr>
        <w:pStyle w:val="FootnoteText"/>
        <w:ind w:left="426" w:hanging="426"/>
      </w:pPr>
      <w:r>
        <w:rPr>
          <w:rStyle w:val="FootnoteReference"/>
          <w:lang w:val="en-IE"/>
        </w:rPr>
        <w:footnoteRef/>
      </w:r>
      <w:r>
        <w:t xml:space="preserve"> </w:t>
      </w:r>
      <w:r>
        <w:tab/>
        <w:t xml:space="preserve">Španjolski </w:t>
      </w:r>
      <w:r>
        <w:rPr>
          <w:i/>
        </w:rPr>
        <w:t>Cortes Generales</w:t>
      </w:r>
      <w:r>
        <w:t>, koji je u političkom dijalogu s Komisijom u prethodne tri godine bio na prvom ili drugom mjestu, izdao je mišljenja samo u prva četiri mjeseca 2023. zbog parlamentarnih izbora u Španjolskoj.</w:t>
      </w:r>
    </w:p>
  </w:footnote>
  <w:footnote w:id="89">
    <w:p w14:paraId="0B1477A6" w14:textId="1A010400" w:rsidR="00392913" w:rsidRPr="00FF47D1" w:rsidRDefault="00392913" w:rsidP="00EC63CF">
      <w:pPr>
        <w:pStyle w:val="FootnoteText"/>
        <w:ind w:left="426" w:hanging="426"/>
      </w:pPr>
      <w:r>
        <w:rPr>
          <w:rStyle w:val="FootnoteReference"/>
          <w:lang w:val="en-IE"/>
        </w:rPr>
        <w:footnoteRef/>
      </w:r>
      <w:r>
        <w:t xml:space="preserve"> </w:t>
      </w:r>
      <w:r>
        <w:tab/>
        <w:t xml:space="preserve">Za više informacija o mehanizmu kontrole poštovanja načela supsidijarnosti i političkom dijalogu vidjeti </w:t>
      </w:r>
      <w:hyperlink r:id="rId39" w:history="1">
        <w:r>
          <w:rPr>
            <w:rStyle w:val="Hyperlink"/>
          </w:rPr>
          <w:t>https://commission.europa.eu/law/law-making-process/adopting-eu-law/relations-national-parliaments_hr</w:t>
        </w:r>
      </w:hyperlink>
      <w:r>
        <w:t>. Zakonodavni prijedlozi koji se odnose na područja politike pod isključivom nadležnošću EU-a ne podliježu kontroli poštovanja načela supsidijarnosti koju provode nacionalni parlamenti.</w:t>
      </w:r>
    </w:p>
  </w:footnote>
  <w:footnote w:id="90">
    <w:p w14:paraId="6B5CCFC6" w14:textId="7BD385E2" w:rsidR="00E628F5" w:rsidRPr="00FF47D1" w:rsidRDefault="00E628F5" w:rsidP="00EC63CF">
      <w:pPr>
        <w:pStyle w:val="FootnoteText"/>
        <w:ind w:left="426" w:hanging="426"/>
      </w:pPr>
      <w:r>
        <w:rPr>
          <w:rStyle w:val="FootnoteReference"/>
          <w:lang w:val="en-IE"/>
        </w:rPr>
        <w:footnoteRef/>
      </w:r>
      <w:r>
        <w:t xml:space="preserve"> </w:t>
      </w:r>
      <w:r>
        <w:tab/>
        <w:t>2022.: sedam, 2021.: osam, 2020.: 12, 2019.: 17, 2018.: deset.</w:t>
      </w:r>
    </w:p>
  </w:footnote>
  <w:footnote w:id="91">
    <w:p w14:paraId="57495DB2" w14:textId="7DC08718" w:rsidR="00E628F5" w:rsidRPr="00FF47D1" w:rsidRDefault="00E628F5" w:rsidP="00EC63CF">
      <w:pPr>
        <w:pStyle w:val="FootnoteText"/>
        <w:ind w:left="426" w:hanging="426"/>
      </w:pPr>
      <w:r>
        <w:rPr>
          <w:rStyle w:val="FootnoteReference"/>
          <w:lang w:val="en-IE"/>
        </w:rPr>
        <w:footnoteRef/>
      </w:r>
      <w:r>
        <w:t xml:space="preserve"> </w:t>
      </w:r>
      <w:r>
        <w:tab/>
        <w:t>Vidjeti Prilog 3.</w:t>
      </w:r>
    </w:p>
  </w:footnote>
  <w:footnote w:id="92">
    <w:p w14:paraId="0D2E56BF" w14:textId="27D13C48" w:rsidR="00E628F5" w:rsidRPr="00FF47D1" w:rsidRDefault="00E628F5" w:rsidP="00EC63CF">
      <w:pPr>
        <w:pStyle w:val="FootnoteText"/>
        <w:ind w:left="426" w:hanging="426"/>
      </w:pPr>
      <w:r>
        <w:rPr>
          <w:rStyle w:val="FootnoteReference"/>
          <w:lang w:val="en-IE"/>
        </w:rPr>
        <w:footnoteRef/>
      </w:r>
      <w:r>
        <w:t xml:space="preserve"> </w:t>
      </w:r>
      <w:r>
        <w:tab/>
        <w:t>Nacionalni parlamenti u Bugarskoj, Grčkoj, Estoniji, Latviji, Malti i Sloveniji.</w:t>
      </w:r>
    </w:p>
  </w:footnote>
  <w:footnote w:id="93">
    <w:p w14:paraId="62BD9CBB" w14:textId="3A23501A" w:rsidR="006D0671" w:rsidRPr="00FF47D1" w:rsidRDefault="006D0671" w:rsidP="00EC63CF">
      <w:pPr>
        <w:pStyle w:val="FootnoteText"/>
        <w:ind w:left="426" w:hanging="426"/>
      </w:pPr>
      <w:r>
        <w:rPr>
          <w:rStyle w:val="FootnoteReference"/>
          <w:lang w:val="en-IE"/>
        </w:rPr>
        <w:footnoteRef/>
      </w:r>
      <w:r>
        <w:t xml:space="preserve"> </w:t>
      </w:r>
      <w:r>
        <w:tab/>
        <w:t>2022.: 79 %; 2021.: 79 %; 2020.: 85 %; 2019.: 73 %; 2018.: 83 %; 2017.: 74 %; 2016.: 73 %.</w:t>
      </w:r>
    </w:p>
  </w:footnote>
  <w:footnote w:id="94">
    <w:p w14:paraId="2D6B3A6F" w14:textId="023728B6" w:rsidR="43EF3AFF" w:rsidRDefault="43EF3AFF" w:rsidP="00EC63CF">
      <w:pPr>
        <w:pStyle w:val="FootnoteText"/>
        <w:ind w:left="426" w:hanging="426"/>
      </w:pPr>
      <w:r>
        <w:rPr>
          <w:rStyle w:val="FootnoteReference"/>
          <w:lang w:val="en-IE"/>
        </w:rPr>
        <w:footnoteRef/>
      </w:r>
      <w:r>
        <w:t xml:space="preserve"> </w:t>
      </w:r>
      <w:r>
        <w:tab/>
        <w:t>U Prilogu 3. nalazi se popis inicijativa Komisije za koje je zaprimljeno najmanje pet mišljenja. U ovom se odjeljku daje pregled šest glavnih prioritetnih područja Komisije za koja je zaprimljeno najmanje šest mišljenja. Mišljenja koja se odnose na prijedloge označene zvjezdicom (*) nisu uključena u ovaj odjeljak jer su za njih zaprimljena i najmanje dva obrazložena mišljenja te su stoga već obuhvaćena odjeljkom 3.2. ovog izvješća.</w:t>
      </w:r>
    </w:p>
  </w:footnote>
  <w:footnote w:id="95">
    <w:p w14:paraId="13A34942" w14:textId="22BCD7D5" w:rsidR="00A060BE" w:rsidRPr="00FF47D1" w:rsidRDefault="00A060BE" w:rsidP="00EC63CF">
      <w:pPr>
        <w:pStyle w:val="FootnoteText"/>
        <w:ind w:left="426" w:hanging="426"/>
      </w:pPr>
      <w:r>
        <w:rPr>
          <w:rStyle w:val="FootnoteReference"/>
          <w:lang w:val="en-IE"/>
        </w:rPr>
        <w:footnoteRef/>
      </w:r>
      <w:r>
        <w:t xml:space="preserve"> </w:t>
      </w:r>
      <w:r>
        <w:tab/>
        <w:t xml:space="preserve">Francuski </w:t>
      </w:r>
      <w:r>
        <w:rPr>
          <w:i/>
        </w:rPr>
        <w:t>Sénat</w:t>
      </w:r>
      <w:r>
        <w:t xml:space="preserve">, </w:t>
      </w:r>
      <w:r>
        <w:rPr>
          <w:i/>
        </w:rPr>
        <w:t>Hrvatski sabor</w:t>
      </w:r>
      <w:r>
        <w:t xml:space="preserve">, litavski </w:t>
      </w:r>
      <w:r>
        <w:rPr>
          <w:i/>
        </w:rPr>
        <w:t>Seimas</w:t>
      </w:r>
      <w:r>
        <w:t xml:space="preserve">, luksemburški </w:t>
      </w:r>
      <w:r>
        <w:rPr>
          <w:i/>
        </w:rPr>
        <w:t>Chambre des deputes</w:t>
      </w:r>
      <w:r>
        <w:t xml:space="preserve">, mađarski </w:t>
      </w:r>
      <w:r>
        <w:rPr>
          <w:i/>
        </w:rPr>
        <w:t>Országgyűlés</w:t>
      </w:r>
      <w:r>
        <w:t xml:space="preserve">, nizozemski </w:t>
      </w:r>
      <w:r>
        <w:rPr>
          <w:i/>
        </w:rPr>
        <w:t>Tweede Kamer</w:t>
      </w:r>
      <w:r>
        <w:t xml:space="preserve"> i </w:t>
      </w:r>
      <w:r>
        <w:rPr>
          <w:i/>
        </w:rPr>
        <w:t>Eerste Kamer</w:t>
      </w:r>
      <w:r>
        <w:t xml:space="preserve">, portugalska </w:t>
      </w:r>
      <w:r>
        <w:rPr>
          <w:i/>
        </w:rPr>
        <w:t>Assembleia da República</w:t>
      </w:r>
      <w:r>
        <w:t xml:space="preserve"> i rumunjski </w:t>
      </w:r>
      <w:r>
        <w:rPr>
          <w:i/>
        </w:rPr>
        <w:t>Senat</w:t>
      </w:r>
      <w:r>
        <w:t xml:space="preserve"> poslali su mišljenja 2023. Švedski </w:t>
      </w:r>
      <w:r>
        <w:rPr>
          <w:i/>
        </w:rPr>
        <w:t>Riksdag</w:t>
      </w:r>
      <w:r>
        <w:t xml:space="preserve"> poslao je mišljenje krajem 2022. Bilo je šest takvih mišljenja o programu rada Komisije za 2022.</w:t>
      </w:r>
    </w:p>
  </w:footnote>
  <w:footnote w:id="96">
    <w:p w14:paraId="4A3DD281" w14:textId="74ED40CC" w:rsidR="00E26BEF" w:rsidRPr="00FF47D1" w:rsidRDefault="00E26BEF" w:rsidP="00EC63CF">
      <w:pPr>
        <w:pStyle w:val="FootnoteText"/>
        <w:ind w:left="426" w:hanging="426"/>
      </w:pPr>
      <w:r>
        <w:rPr>
          <w:rStyle w:val="FootnoteReference"/>
          <w:lang w:val="en-IE"/>
        </w:rPr>
        <w:footnoteRef/>
      </w:r>
      <w:r>
        <w:t xml:space="preserve"> </w:t>
      </w:r>
      <w:r>
        <w:tab/>
      </w:r>
      <w:r>
        <w:rPr>
          <w:rStyle w:val="ui-provider"/>
        </w:rPr>
        <w:t>COM(2022) 548 final.</w:t>
      </w:r>
    </w:p>
  </w:footnote>
  <w:footnote w:id="97">
    <w:p w14:paraId="167E418A" w14:textId="4FA37B51" w:rsidR="00D55F80" w:rsidRPr="00FF47D1" w:rsidRDefault="00D55F80" w:rsidP="00EC63CF">
      <w:pPr>
        <w:pStyle w:val="FootnoteText"/>
        <w:ind w:left="426" w:hanging="426"/>
      </w:pPr>
      <w:r>
        <w:rPr>
          <w:rStyle w:val="FootnoteReference"/>
          <w:lang w:val="en-IE"/>
        </w:rPr>
        <w:footnoteRef/>
      </w:r>
      <w:r>
        <w:t xml:space="preserve"> </w:t>
      </w:r>
      <w:r>
        <w:tab/>
        <w:t xml:space="preserve">Prema 41. polugodišnjem izvješću o promjenama u postupcima i praksama Europske unije važnima za parlamentarni nadzor, koje je u ožujku 2024. pripremilo tajništvo COSAC-a, samo 8 od 34 nacionalna parlamenta/doma koji su odgovorili na pitanja o programu rada Komisije (svi osim belgijskog </w:t>
      </w:r>
      <w:r>
        <w:rPr>
          <w:i/>
        </w:rPr>
        <w:t>Sénata/Senaata</w:t>
      </w:r>
      <w:r>
        <w:t xml:space="preserve"> i njemačkog </w:t>
      </w:r>
      <w:r>
        <w:rPr>
          <w:i/>
        </w:rPr>
        <w:t>Bundestaga</w:t>
      </w:r>
      <w:r>
        <w:t>);</w:t>
      </w:r>
      <w:r>
        <w:rPr>
          <w:i/>
        </w:rPr>
        <w:t xml:space="preserve"> </w:t>
      </w:r>
      <w:r>
        <w:t xml:space="preserve">dvodomni nacionalni parlamenti Irske, Španjolske i Austrije dostavili su po jedan skup odgovora na upitnik) izjavilo je da nisu pregledali taj dokument. Izvješće je dostupno na </w:t>
      </w:r>
      <w:hyperlink r:id="rId40" w:history="1">
        <w:r>
          <w:rPr>
            <w:rStyle w:val="Hyperlink"/>
          </w:rPr>
          <w:t>https://ipexl.europarl.europa.eu/IPEXL-WEB/conferences/cosac/event/8a8629a88c42a971018c43c0bdee000a</w:t>
        </w:r>
      </w:hyperlink>
      <w:r>
        <w:t xml:space="preserve">. </w:t>
      </w:r>
    </w:p>
  </w:footnote>
  <w:footnote w:id="98">
    <w:p w14:paraId="0BC4F6F1" w14:textId="286C47C9" w:rsidR="003B52FA" w:rsidRPr="00FF47D1" w:rsidRDefault="003B52FA" w:rsidP="00EC63CF">
      <w:pPr>
        <w:pStyle w:val="FootnoteText"/>
        <w:ind w:left="426" w:hanging="426"/>
      </w:pPr>
      <w:r>
        <w:rPr>
          <w:rStyle w:val="FootnoteReference"/>
          <w:lang w:val="en-IE"/>
        </w:rPr>
        <w:footnoteRef/>
      </w:r>
      <w:r>
        <w:t xml:space="preserve"> </w:t>
      </w:r>
      <w:r>
        <w:tab/>
        <w:t>Čak i u rijetkim slučajevima u kojima procjena učinka nije dostavljena uz prijedlog (iako bi to u načelu bilo potrebno, ali u praksi nije bilo moguće te je odobreno odstupanje, na primjer zbog hitnosti prijedloga), Komisija i dalje u skladu sa svojim Smjernicama za bolju regulativu (SWD(2021) 305 final) u roku od tri mjeseca od donošenja inicijative predstavlja „analitički dokument u obliku radnog dokumenta službi Komisije u kojem se iznose dokazi na kojima se temelji prijedlog i procjene troškova”.</w:t>
      </w:r>
    </w:p>
  </w:footnote>
  <w:footnote w:id="99">
    <w:p w14:paraId="0CD8BFFF" w14:textId="62503C84" w:rsidR="006F6B59" w:rsidRPr="00FF47D1" w:rsidRDefault="006F6B59" w:rsidP="00EC63CF">
      <w:pPr>
        <w:pStyle w:val="FootnoteText"/>
        <w:ind w:left="426" w:hanging="426"/>
      </w:pPr>
      <w:r>
        <w:rPr>
          <w:rStyle w:val="FootnoteReference"/>
          <w:lang w:val="en-IE"/>
        </w:rPr>
        <w:footnoteRef/>
      </w:r>
      <w:r>
        <w:t xml:space="preserve"> </w:t>
      </w:r>
      <w:r>
        <w:tab/>
        <w:t>COM(2022) 672 final.</w:t>
      </w:r>
    </w:p>
  </w:footnote>
  <w:footnote w:id="100">
    <w:p w14:paraId="6E31AE46" w14:textId="3C83E3E6" w:rsidR="006F6B59" w:rsidRPr="00FF47D1" w:rsidRDefault="006F6B59" w:rsidP="00EC63CF">
      <w:pPr>
        <w:pStyle w:val="FootnoteText"/>
        <w:ind w:left="426" w:hanging="426"/>
      </w:pPr>
      <w:r>
        <w:rPr>
          <w:rStyle w:val="FootnoteReference"/>
          <w:lang w:val="en-IE"/>
        </w:rPr>
        <w:footnoteRef/>
      </w:r>
      <w:r>
        <w:t xml:space="preserve"> </w:t>
      </w:r>
      <w:r>
        <w:tab/>
        <w:t xml:space="preserve">Njemački </w:t>
      </w:r>
      <w:r>
        <w:rPr>
          <w:i/>
        </w:rPr>
        <w:t>Bundesrat</w:t>
      </w:r>
      <w:r>
        <w:t xml:space="preserve">, španjolski </w:t>
      </w:r>
      <w:r>
        <w:rPr>
          <w:i/>
        </w:rPr>
        <w:t>Cortes Generales</w:t>
      </w:r>
      <w:r>
        <w:t xml:space="preserve">, talijanska </w:t>
      </w:r>
      <w:r>
        <w:rPr>
          <w:i/>
        </w:rPr>
        <w:t>Camera dei Deputati</w:t>
      </w:r>
      <w:r>
        <w:t xml:space="preserve">, litavski </w:t>
      </w:r>
      <w:r>
        <w:rPr>
          <w:i/>
        </w:rPr>
        <w:t>Seimas</w:t>
      </w:r>
      <w:r>
        <w:t xml:space="preserve">, nizozemski </w:t>
      </w:r>
      <w:r>
        <w:rPr>
          <w:i/>
        </w:rPr>
        <w:t>Eerste Kamer</w:t>
      </w:r>
      <w:r>
        <w:t xml:space="preserve">, portugalska </w:t>
      </w:r>
      <w:r>
        <w:rPr>
          <w:i/>
        </w:rPr>
        <w:t>Assembleia da República</w:t>
      </w:r>
      <w:r>
        <w:t xml:space="preserve"> i rumunjski </w:t>
      </w:r>
      <w:r>
        <w:rPr>
          <w:i/>
        </w:rPr>
        <w:t>Senat</w:t>
      </w:r>
      <w:r>
        <w:t>.</w:t>
      </w:r>
    </w:p>
  </w:footnote>
  <w:footnote w:id="101">
    <w:p w14:paraId="4AC2880A" w14:textId="412B43D2" w:rsidR="00A060BE" w:rsidRPr="00FF47D1" w:rsidRDefault="00A060BE" w:rsidP="00EC63CF">
      <w:pPr>
        <w:pStyle w:val="FootnoteText"/>
        <w:ind w:left="426" w:hanging="426"/>
      </w:pPr>
      <w:r>
        <w:rPr>
          <w:rStyle w:val="FootnoteReference"/>
          <w:lang w:val="en-IE"/>
        </w:rPr>
        <w:footnoteRef/>
      </w:r>
      <w:r>
        <w:t xml:space="preserve"> </w:t>
      </w:r>
      <w:r>
        <w:tab/>
        <w:t>COM(2022) 542 final.</w:t>
      </w:r>
    </w:p>
  </w:footnote>
  <w:footnote w:id="102">
    <w:p w14:paraId="23E9C79E" w14:textId="11A1908F" w:rsidR="00A060BE" w:rsidRPr="00FF47D1" w:rsidRDefault="00A060BE" w:rsidP="00EC63CF">
      <w:pPr>
        <w:pStyle w:val="FootnoteText"/>
        <w:ind w:left="426" w:hanging="426"/>
      </w:pPr>
      <w:r>
        <w:rPr>
          <w:rStyle w:val="FootnoteReference"/>
          <w:lang w:val="en-IE"/>
        </w:rPr>
        <w:footnoteRef/>
      </w:r>
      <w:bookmarkStart w:id="11" w:name="_Hlk159756309"/>
      <w:r>
        <w:t xml:space="preserve"> </w:t>
      </w:r>
      <w:r>
        <w:tab/>
        <w:t xml:space="preserve">Češki </w:t>
      </w:r>
      <w:r>
        <w:rPr>
          <w:i/>
        </w:rPr>
        <w:t>Senát</w:t>
      </w:r>
      <w:r>
        <w:t xml:space="preserve"> i </w:t>
      </w:r>
      <w:r>
        <w:rPr>
          <w:i/>
        </w:rPr>
        <w:t>Poslanecká sněmovna</w:t>
      </w:r>
      <w:bookmarkEnd w:id="11"/>
      <w:r>
        <w:t xml:space="preserve">, njemački </w:t>
      </w:r>
      <w:r>
        <w:rPr>
          <w:i/>
        </w:rPr>
        <w:t>Bundesrat</w:t>
      </w:r>
      <w:r>
        <w:t xml:space="preserve">, španjolski </w:t>
      </w:r>
      <w:r>
        <w:rPr>
          <w:i/>
        </w:rPr>
        <w:t>Cortes Generales</w:t>
      </w:r>
      <w:r>
        <w:t xml:space="preserve">, </w:t>
      </w:r>
      <w:bookmarkStart w:id="12" w:name="_Hlk159702553"/>
      <w:r>
        <w:t xml:space="preserve">talijanski </w:t>
      </w:r>
      <w:r>
        <w:rPr>
          <w:i/>
        </w:rPr>
        <w:t>Senato della Repubblica</w:t>
      </w:r>
      <w:r>
        <w:t xml:space="preserve">, </w:t>
      </w:r>
      <w:bookmarkEnd w:id="12"/>
      <w:r>
        <w:t xml:space="preserve">portugalska </w:t>
      </w:r>
      <w:r>
        <w:rPr>
          <w:i/>
        </w:rPr>
        <w:t>Assembleia da República</w:t>
      </w:r>
      <w:r>
        <w:t xml:space="preserve"> i </w:t>
      </w:r>
      <w:bookmarkStart w:id="13" w:name="_Hlk159756367"/>
      <w:r>
        <w:t xml:space="preserve">rumunjski </w:t>
      </w:r>
      <w:r>
        <w:rPr>
          <w:i/>
        </w:rPr>
        <w:t>Senat</w:t>
      </w:r>
      <w:bookmarkEnd w:id="13"/>
      <w:r>
        <w:t>.</w:t>
      </w:r>
    </w:p>
  </w:footnote>
  <w:footnote w:id="103">
    <w:p w14:paraId="30B4D684" w14:textId="25D01008" w:rsidR="009D372C" w:rsidRPr="00FF47D1" w:rsidRDefault="00A060BE" w:rsidP="00EC63CF">
      <w:pPr>
        <w:pStyle w:val="FootnoteText"/>
        <w:ind w:left="426" w:hanging="426"/>
      </w:pPr>
      <w:r>
        <w:rPr>
          <w:rStyle w:val="FootnoteReference"/>
          <w:lang w:val="en-IE"/>
        </w:rPr>
        <w:footnoteRef/>
      </w:r>
      <w:r>
        <w:t xml:space="preserve"> </w:t>
      </w:r>
      <w:r>
        <w:tab/>
        <w:t>COM(2022) 541 final.</w:t>
      </w:r>
    </w:p>
  </w:footnote>
  <w:footnote w:id="104">
    <w:p w14:paraId="79D458D8" w14:textId="58170722" w:rsidR="00A060BE" w:rsidRPr="00FF47D1" w:rsidRDefault="00A060BE" w:rsidP="00EC63CF">
      <w:pPr>
        <w:pStyle w:val="FootnoteText"/>
        <w:ind w:left="426" w:hanging="426"/>
      </w:pPr>
      <w:r>
        <w:rPr>
          <w:rStyle w:val="FootnoteReference"/>
          <w:lang w:val="en-IE"/>
        </w:rPr>
        <w:footnoteRef/>
      </w:r>
      <w:r>
        <w:t xml:space="preserve"> </w:t>
      </w:r>
      <w:r>
        <w:tab/>
        <w:t xml:space="preserve">Češki </w:t>
      </w:r>
      <w:r>
        <w:rPr>
          <w:i/>
        </w:rPr>
        <w:t>Senát</w:t>
      </w:r>
      <w:r>
        <w:t xml:space="preserve"> i češka </w:t>
      </w:r>
      <w:r>
        <w:rPr>
          <w:i/>
        </w:rPr>
        <w:t>Poslanecká sněmovna</w:t>
      </w:r>
      <w:r>
        <w:t xml:space="preserve">, njemački </w:t>
      </w:r>
      <w:r>
        <w:rPr>
          <w:i/>
        </w:rPr>
        <w:t>Bundesrat</w:t>
      </w:r>
      <w:r>
        <w:t xml:space="preserve">, španjolski </w:t>
      </w:r>
      <w:r>
        <w:rPr>
          <w:i/>
        </w:rPr>
        <w:t>Cortes Generales</w:t>
      </w:r>
      <w:r>
        <w:t xml:space="preserve">, talijanski </w:t>
      </w:r>
      <w:r>
        <w:rPr>
          <w:i/>
        </w:rPr>
        <w:t>Senato della Repubblica</w:t>
      </w:r>
      <w:r>
        <w:t xml:space="preserve"> i austrijski </w:t>
      </w:r>
      <w:r>
        <w:rPr>
          <w:i/>
        </w:rPr>
        <w:t>Bundesrat</w:t>
      </w:r>
      <w:r>
        <w:t>.</w:t>
      </w:r>
    </w:p>
  </w:footnote>
  <w:footnote w:id="105">
    <w:p w14:paraId="6AAEBE07" w14:textId="3FF1FB1D" w:rsidR="00A060BE" w:rsidRPr="00FF47D1" w:rsidRDefault="00A060BE" w:rsidP="00EC63CF">
      <w:pPr>
        <w:pStyle w:val="FootnoteText"/>
        <w:ind w:left="426" w:hanging="426"/>
      </w:pPr>
      <w:r>
        <w:rPr>
          <w:rStyle w:val="FootnoteReference"/>
          <w:lang w:val="en-IE"/>
        </w:rPr>
        <w:footnoteRef/>
      </w:r>
      <w:r>
        <w:t xml:space="preserve"> </w:t>
      </w:r>
      <w:r>
        <w:tab/>
        <w:t>COM(2022) 457 final.</w:t>
      </w:r>
    </w:p>
  </w:footnote>
  <w:footnote w:id="106">
    <w:p w14:paraId="4CBCF7EC" w14:textId="509EC28F" w:rsidR="00A060BE" w:rsidRPr="00FF47D1" w:rsidRDefault="00A060BE" w:rsidP="00EC63CF">
      <w:pPr>
        <w:pStyle w:val="FootnoteText"/>
        <w:ind w:left="426" w:hanging="426"/>
      </w:pPr>
      <w:r>
        <w:rPr>
          <w:rStyle w:val="FootnoteReference"/>
          <w:lang w:val="en-IE"/>
        </w:rPr>
        <w:footnoteRef/>
      </w:r>
      <w:r>
        <w:t xml:space="preserve"> </w:t>
      </w:r>
      <w:r>
        <w:tab/>
        <w:t xml:space="preserve">Njemački </w:t>
      </w:r>
      <w:r>
        <w:rPr>
          <w:i/>
        </w:rPr>
        <w:t>Bundesrat</w:t>
      </w:r>
      <w:r>
        <w:t xml:space="preserve"> (dva mišljenja 2023.), francuski </w:t>
      </w:r>
      <w:r>
        <w:rPr>
          <w:i/>
        </w:rPr>
        <w:t>Assemblée nationale</w:t>
      </w:r>
      <w:r>
        <w:t xml:space="preserve">, talijanski </w:t>
      </w:r>
      <w:r>
        <w:rPr>
          <w:i/>
        </w:rPr>
        <w:t>Senato della Repubblica</w:t>
      </w:r>
      <w:r>
        <w:t xml:space="preserve"> i </w:t>
      </w:r>
      <w:r>
        <w:rPr>
          <w:i/>
        </w:rPr>
        <w:t>Kamera dei Deputati</w:t>
      </w:r>
      <w:r>
        <w:t xml:space="preserve"> te nizozemski </w:t>
      </w:r>
      <w:r>
        <w:rPr>
          <w:i/>
        </w:rPr>
        <w:t>Eerste Kamer</w:t>
      </w:r>
      <w:r>
        <w:t>.</w:t>
      </w:r>
    </w:p>
  </w:footnote>
  <w:footnote w:id="107">
    <w:p w14:paraId="087FE95C" w14:textId="41EA2437" w:rsidR="00A060BE" w:rsidRPr="00FF47D1" w:rsidRDefault="00A060BE" w:rsidP="00EC63CF">
      <w:pPr>
        <w:pStyle w:val="FootnoteText"/>
        <w:ind w:left="426" w:hanging="426"/>
      </w:pPr>
      <w:r>
        <w:rPr>
          <w:rStyle w:val="FootnoteReference"/>
          <w:lang w:val="en-IE"/>
        </w:rPr>
        <w:footnoteRef/>
      </w:r>
      <w:r>
        <w:t xml:space="preserve"> </w:t>
      </w:r>
      <w:r>
        <w:tab/>
        <w:t>Vidjeti godišnje izvješće za 2022.: COM(2023) 640 final.</w:t>
      </w:r>
    </w:p>
  </w:footnote>
  <w:footnote w:id="108">
    <w:p w14:paraId="75015324" w14:textId="73947793" w:rsidR="00B841DB" w:rsidRPr="00FF47D1" w:rsidRDefault="00B841DB" w:rsidP="00EC63CF">
      <w:pPr>
        <w:pStyle w:val="FootnoteText"/>
        <w:ind w:left="426" w:hanging="426"/>
      </w:pPr>
      <w:r>
        <w:rPr>
          <w:rStyle w:val="FootnoteReference"/>
          <w:lang w:val="en-IE"/>
        </w:rPr>
        <w:footnoteRef/>
      </w:r>
      <w:r>
        <w:t xml:space="preserve"> </w:t>
      </w:r>
      <w:r>
        <w:tab/>
        <w:t>COM(2023) 192 final.</w:t>
      </w:r>
    </w:p>
  </w:footnote>
  <w:footnote w:id="109">
    <w:p w14:paraId="6BF3E929" w14:textId="38212418" w:rsidR="00B841DB" w:rsidRPr="00FF47D1" w:rsidRDefault="00B841DB" w:rsidP="00EC63CF">
      <w:pPr>
        <w:pStyle w:val="FootnoteText"/>
        <w:ind w:left="426" w:hanging="426"/>
      </w:pPr>
      <w:r>
        <w:rPr>
          <w:rStyle w:val="FootnoteReference"/>
          <w:lang w:val="en-IE"/>
        </w:rPr>
        <w:footnoteRef/>
      </w:r>
      <w:r>
        <w:t xml:space="preserve"> </w:t>
      </w:r>
      <w:r>
        <w:tab/>
        <w:t>COM(2023) 193 final.</w:t>
      </w:r>
    </w:p>
  </w:footnote>
  <w:footnote w:id="110">
    <w:p w14:paraId="023AB5CE" w14:textId="09392F3F" w:rsidR="00957035" w:rsidRPr="00CF2DFA" w:rsidRDefault="00957035" w:rsidP="00EC63CF">
      <w:pPr>
        <w:pStyle w:val="FootnoteText"/>
        <w:ind w:left="426" w:hanging="426"/>
      </w:pPr>
      <w:r>
        <w:rPr>
          <w:rStyle w:val="FootnoteReference"/>
        </w:rPr>
        <w:footnoteRef/>
      </w:r>
      <w:r>
        <w:t xml:space="preserve"> </w:t>
      </w:r>
      <w:r>
        <w:tab/>
        <w:t xml:space="preserve">Češki </w:t>
      </w:r>
      <w:r>
        <w:rPr>
          <w:i/>
        </w:rPr>
        <w:t>Poslanecká sněmovna</w:t>
      </w:r>
      <w:r>
        <w:t xml:space="preserve"> i </w:t>
      </w:r>
      <w:r>
        <w:rPr>
          <w:i/>
        </w:rPr>
        <w:t>Senát</w:t>
      </w:r>
      <w:r>
        <w:t xml:space="preserve">, talijanski </w:t>
      </w:r>
      <w:r>
        <w:rPr>
          <w:i/>
        </w:rPr>
        <w:t>Senato della Repubblica</w:t>
      </w:r>
      <w:r>
        <w:t xml:space="preserve"> i </w:t>
      </w:r>
      <w:r>
        <w:rPr>
          <w:i/>
        </w:rPr>
        <w:t>Camera dei Deputati</w:t>
      </w:r>
      <w:r>
        <w:t xml:space="preserve">, rumunjski </w:t>
      </w:r>
      <w:r>
        <w:rPr>
          <w:i/>
        </w:rPr>
        <w:t>Senat</w:t>
      </w:r>
      <w:r>
        <w:t xml:space="preserve"> i njemački </w:t>
      </w:r>
      <w:r>
        <w:rPr>
          <w:i/>
        </w:rPr>
        <w:t>Bundesrat</w:t>
      </w:r>
      <w:r>
        <w:t>.</w:t>
      </w:r>
    </w:p>
  </w:footnote>
  <w:footnote w:id="111">
    <w:p w14:paraId="7DC633D4" w14:textId="146E2E08" w:rsidR="00B841DB" w:rsidRPr="00FF47D1" w:rsidRDefault="00B841DB" w:rsidP="00EC63CF">
      <w:pPr>
        <w:pStyle w:val="FootnoteText"/>
        <w:ind w:left="426" w:hanging="426"/>
      </w:pPr>
      <w:r>
        <w:rPr>
          <w:rStyle w:val="FootnoteReference"/>
          <w:lang w:val="en-IE"/>
        </w:rPr>
        <w:footnoteRef/>
      </w:r>
      <w:r>
        <w:t xml:space="preserve"> </w:t>
      </w:r>
      <w:r>
        <w:tab/>
        <w:t>COM(2023) 190 final.</w:t>
      </w:r>
    </w:p>
  </w:footnote>
  <w:footnote w:id="112">
    <w:p w14:paraId="36AA1144" w14:textId="19E6B4D5" w:rsidR="00B841DB" w:rsidRPr="00FF47D1" w:rsidRDefault="00B841DB" w:rsidP="00EC63CF">
      <w:pPr>
        <w:pStyle w:val="FootnoteText"/>
        <w:ind w:left="426" w:hanging="426"/>
      </w:pPr>
      <w:r>
        <w:rPr>
          <w:rStyle w:val="FootnoteReference"/>
          <w:lang w:val="en-IE"/>
        </w:rPr>
        <w:footnoteRef/>
      </w:r>
      <w:r>
        <w:t xml:space="preserve"> </w:t>
      </w:r>
      <w:r>
        <w:tab/>
        <w:t>COM(2023) 191 final.</w:t>
      </w:r>
    </w:p>
  </w:footnote>
  <w:footnote w:id="113">
    <w:p w14:paraId="59002971" w14:textId="1C1CB220" w:rsidR="001A6D33" w:rsidRPr="00FF47D1" w:rsidRDefault="001A6D33" w:rsidP="00EC63CF">
      <w:pPr>
        <w:pStyle w:val="FootnoteText"/>
        <w:ind w:left="426" w:hanging="426"/>
      </w:pPr>
      <w:r>
        <w:rPr>
          <w:rStyle w:val="FootnoteReference"/>
          <w:lang w:val="en-IE"/>
        </w:rPr>
        <w:footnoteRef/>
      </w:r>
      <w:r>
        <w:t xml:space="preserve"> </w:t>
      </w:r>
      <w:r>
        <w:tab/>
        <w:t>COM(2023) 240 final, COM(2023) 241 final i COM(2023) 242 final.</w:t>
      </w:r>
    </w:p>
  </w:footnote>
  <w:footnote w:id="114">
    <w:p w14:paraId="7642B441" w14:textId="4D16FF8E" w:rsidR="001A6D33" w:rsidRPr="00FF47D1" w:rsidRDefault="001A6D33" w:rsidP="00EC63CF">
      <w:pPr>
        <w:pStyle w:val="FootnoteText"/>
        <w:ind w:left="426" w:hanging="426"/>
      </w:pPr>
      <w:r>
        <w:rPr>
          <w:rStyle w:val="FootnoteReference"/>
          <w:lang w:val="en-IE"/>
        </w:rPr>
        <w:footnoteRef/>
      </w:r>
      <w:r>
        <w:t xml:space="preserve"> </w:t>
      </w:r>
      <w:r>
        <w:tab/>
        <w:t xml:space="preserve">Češki </w:t>
      </w:r>
      <w:r>
        <w:rPr>
          <w:i/>
        </w:rPr>
        <w:t>Senát</w:t>
      </w:r>
      <w:r>
        <w:t xml:space="preserve">, njemački </w:t>
      </w:r>
      <w:r>
        <w:rPr>
          <w:i/>
        </w:rPr>
        <w:t>Bundesrat</w:t>
      </w:r>
      <w:r>
        <w:t xml:space="preserve">, irski domovi parlamenta </w:t>
      </w:r>
      <w:r>
        <w:rPr>
          <w:i/>
        </w:rPr>
        <w:t>Oireachtas</w:t>
      </w:r>
      <w:r>
        <w:t xml:space="preserve">, francuski </w:t>
      </w:r>
      <w:r>
        <w:rPr>
          <w:i/>
        </w:rPr>
        <w:t>Sénat</w:t>
      </w:r>
      <w:r>
        <w:t xml:space="preserve"> te talijanski </w:t>
      </w:r>
      <w:r>
        <w:rPr>
          <w:i/>
        </w:rPr>
        <w:t>Senato della Repubblica</w:t>
      </w:r>
      <w:r>
        <w:t xml:space="preserve"> i </w:t>
      </w:r>
      <w:r>
        <w:rPr>
          <w:i/>
        </w:rPr>
        <w:t>Camera dei Deputati</w:t>
      </w:r>
      <w:r>
        <w:t>.</w:t>
      </w:r>
    </w:p>
  </w:footnote>
  <w:footnote w:id="115">
    <w:p w14:paraId="0DE9D82F" w14:textId="754324CD" w:rsidR="00A2061C" w:rsidRPr="00FF47D1" w:rsidRDefault="00A2061C" w:rsidP="00EC63CF">
      <w:pPr>
        <w:pStyle w:val="FootnoteText"/>
        <w:ind w:left="426" w:hanging="426"/>
      </w:pPr>
      <w:r>
        <w:rPr>
          <w:rStyle w:val="FootnoteReference"/>
          <w:lang w:val="en-IE"/>
        </w:rPr>
        <w:footnoteRef/>
      </w:r>
      <w:r>
        <w:t xml:space="preserve"> </w:t>
      </w:r>
      <w:r>
        <w:tab/>
        <w:t xml:space="preserve">Za više pojedinosti vidjeti Izvješće Europskog parlamenta o odnosima između Europskog parlamenta i nacionalnih parlamenata: </w:t>
      </w:r>
      <w:hyperlink r:id="rId41" w:history="1">
        <w:r>
          <w:rPr>
            <w:rStyle w:val="Hyperlink"/>
          </w:rPr>
          <w:t>http://www.europarl.europa.eu/relnatparl/en/home/annual-reports.html</w:t>
        </w:r>
      </w:hyperlink>
      <w:r>
        <w:t>.</w:t>
      </w:r>
    </w:p>
  </w:footnote>
  <w:footnote w:id="116">
    <w:p w14:paraId="5DD259F7" w14:textId="3F5FA184" w:rsidR="00E628F5" w:rsidRPr="00FF47D1" w:rsidRDefault="00E628F5" w:rsidP="00EC63CF">
      <w:pPr>
        <w:pStyle w:val="FootnoteText"/>
        <w:ind w:left="426" w:hanging="426"/>
      </w:pPr>
      <w:r>
        <w:rPr>
          <w:rStyle w:val="FootnoteReference"/>
          <w:lang w:val="en-IE"/>
        </w:rPr>
        <w:footnoteRef/>
      </w:r>
      <w:r>
        <w:t xml:space="preserve"> </w:t>
      </w:r>
      <w:r>
        <w:tab/>
        <w:t xml:space="preserve">COSAC, u kojem Komisija ima status promatrača, jedini je međuparlamentarni forum utvrđen u Ugovorima (u Protokolu br. 1 o ulozi nacionalnih parlamenata u EU-u). Za više informacija vidjeti </w:t>
      </w:r>
      <w:hyperlink r:id="rId42" w:history="1">
        <w:r>
          <w:rPr>
            <w:rStyle w:val="Hyperlink"/>
          </w:rPr>
          <w:t>https://secure.ipex.eu/IPEXL-WEB/conferences/cosac</w:t>
        </w:r>
      </w:hyperlink>
      <w:r>
        <w:t>.</w:t>
      </w:r>
    </w:p>
  </w:footnote>
  <w:footnote w:id="117">
    <w:p w14:paraId="69D23C88" w14:textId="2C92EFF1" w:rsidR="00E628F5" w:rsidRPr="00FF47D1" w:rsidRDefault="00E628F5" w:rsidP="00EC63CF">
      <w:pPr>
        <w:pStyle w:val="FootnoteText"/>
        <w:ind w:left="426" w:hanging="426"/>
      </w:pPr>
      <w:r>
        <w:rPr>
          <w:rStyle w:val="FootnoteReference"/>
          <w:lang w:val="en-IE"/>
        </w:rPr>
        <w:footnoteRef/>
      </w:r>
      <w:r>
        <w:t xml:space="preserve"> </w:t>
      </w:r>
      <w:r>
        <w:tab/>
        <w:t>Europski parlamentarni tjedan okuplja parlamentarne zastupnike iz EU-a, zemalja kandidatkinja i promatračica kako bi raspravljali o gospodarskim, proračunskim, okolišnim i socijalnim pitanjima. Europski parlamentarni tjedan 2023., naslovljen „Gospodarsko upravljanje EU-om iz parlamentarne perspektive”, održan je 27. i 28. veljače. Izvršni potpredsjednik Dombrovskis iznio je ključne uvodne napomene na sjednici na temu „Gospodarski i socijalni izazovi u vrijeme geopolitičke nesigurnosti”. Povjerenik Hahn predstavio je sjednicu na temu „Potpora Ukrajini – odgovori na proračunske krize na nacionalnoj razini i razini EU-a te uloga parlamenata”. Povjerenik Gentiloni iznio je uvodne napomene tijekom plenarne sjednice na temu „Preispitivanje okvira gospodarskog upravljanja EU-a”.</w:t>
      </w:r>
    </w:p>
  </w:footnote>
  <w:footnote w:id="118">
    <w:p w14:paraId="41692B83" w14:textId="44B7909E" w:rsidR="00E628F5" w:rsidRPr="00FF47D1" w:rsidRDefault="00E628F5" w:rsidP="00EC63CF">
      <w:pPr>
        <w:pStyle w:val="FootnoteText"/>
        <w:ind w:left="426" w:hanging="426"/>
      </w:pPr>
      <w:r>
        <w:rPr>
          <w:rStyle w:val="FootnoteReference"/>
          <w:lang w:val="en-IE"/>
        </w:rPr>
        <w:footnoteRef/>
      </w:r>
      <w:r>
        <w:t xml:space="preserve"> </w:t>
      </w:r>
      <w:r>
        <w:tab/>
        <w:t xml:space="preserve">Ta je skupina 26. i 27. ožujka u Stockholmu održala svoj </w:t>
      </w:r>
      <w:bookmarkStart w:id="17" w:name="_Hlk153374401"/>
      <w:r>
        <w:t>12. sastanak, a 20. i 21. rujna u Europskom parlamentu 13. sastanak. Povjerenica Johansson osobno je nazočila prvom sastanku i održala uvodni govor o borbi protiv organiziranog kriminala.</w:t>
      </w:r>
      <w:bookmarkEnd w:id="17"/>
      <w:r>
        <w:t xml:space="preserve"> Na drugom sastanku sudjelovala je videoporukom.</w:t>
      </w:r>
    </w:p>
  </w:footnote>
  <w:footnote w:id="119">
    <w:p w14:paraId="53A877B2" w14:textId="03CD55F4" w:rsidR="00E628F5" w:rsidRPr="00FF47D1" w:rsidRDefault="00E628F5" w:rsidP="00EC63CF">
      <w:pPr>
        <w:pStyle w:val="FootnoteText"/>
        <w:ind w:left="426" w:hanging="426"/>
        <w:rPr>
          <w:highlight w:val="yellow"/>
        </w:rPr>
      </w:pPr>
      <w:r>
        <w:rPr>
          <w:rStyle w:val="FootnoteReference"/>
          <w:lang w:val="en-IE"/>
        </w:rPr>
        <w:footnoteRef/>
      </w:r>
      <w:r>
        <w:t xml:space="preserve"> </w:t>
      </w:r>
      <w:r>
        <w:tab/>
        <w:t xml:space="preserve">Međuparlamentarna konferencija „Kružno biogospodarstvo: put prema inovativnijoj, resursno učinkovitijoj i konkurentnijoj Europi (20. veljače), na kojoj je sudjelovao povjerenik Sinkevičius, međuparlamentarna konferencija „Demokracija u Europi: kako zastupnici u parlamentu mogu pomoći u zaštiti i jačanju demokracije i vladavine prava?” (18. i 19. lipnja), na kojoj je sudjelovao povjerenik Reynders, </w:t>
      </w:r>
      <w:bookmarkStart w:id="18" w:name="_Hlk153374987"/>
      <w:r>
        <w:t>porezni simpozij u okviru međuparlamentarne konferencije na temu „Budućnost oporezivanja u EU-u: predstojeći izazovi i potrebne promjene”</w:t>
      </w:r>
      <w:bookmarkEnd w:id="18"/>
      <w:r>
        <w:t xml:space="preserve"> (24. i 25. listopada), na kojoj je </w:t>
      </w:r>
      <w:bookmarkStart w:id="19" w:name="_Hlk153374933"/>
      <w:r>
        <w:t>izvršni potpredsjednik Dombrovskis održao završni govor</w:t>
      </w:r>
      <w:bookmarkEnd w:id="19"/>
      <w:r>
        <w:t xml:space="preserve"> prvog dana, a povjerenik Gentiloni uvodni govor drugog dana, međuparlamentarna konferencija na temu „Stabilnost, gospodarska koordinacija i upravljanje u EU-u” (26. i 27. listopada 2023.), na kojoj se izvršni potpredsjednik Šefčovič obratio prisutnima videoporukom. </w:t>
      </w:r>
    </w:p>
  </w:footnote>
  <w:footnote w:id="120">
    <w:p w14:paraId="5BC5F36B" w14:textId="6FD382D1" w:rsidR="00E628F5" w:rsidRPr="00FF47D1" w:rsidRDefault="00E628F5" w:rsidP="00EC63CF">
      <w:pPr>
        <w:pStyle w:val="FootnoteText"/>
        <w:ind w:left="426" w:hanging="426"/>
      </w:pPr>
      <w:r>
        <w:rPr>
          <w:rStyle w:val="FootnoteReference"/>
          <w:lang w:val="en-IE"/>
        </w:rPr>
        <w:footnoteRef/>
      </w:r>
      <w:r>
        <w:t xml:space="preserve"> </w:t>
      </w:r>
      <w:r>
        <w:tab/>
      </w:r>
      <w:bookmarkStart w:id="20" w:name="_Hlk127188501"/>
      <w:r>
        <w:t xml:space="preserve">Međuparlamentarna sjednica odbora na temu „Djeca u središtu Europe: dvije godine europskog jamstva za djecu” (28. lipnja), na kojoj je sudjelovala potpredsjednica Šuica, </w:t>
      </w:r>
      <w:bookmarkStart w:id="21" w:name="_Hlk153375221"/>
      <w:r>
        <w:t>međuparlamentarna sjednica odbora na temu „Budućnost kohezijske politike: mogućnosti, izazovi i sljedeći koraci” (7. studenog), na kojoj je sudjelovala povjerenica Ferreira</w:t>
      </w:r>
      <w:bookmarkEnd w:id="21"/>
      <w:r>
        <w:t>, međuparlamentarna sjednica odbora na temu „Stanje vladavine prava u EU-u” (4. prosinca), na kojoj se povjerenik Reynders obratio prisutnima videoporukom.</w:t>
      </w:r>
      <w:bookmarkEnd w:id="20"/>
    </w:p>
  </w:footnote>
  <w:footnote w:id="121">
    <w:p w14:paraId="0A6789A8" w14:textId="71C563A9" w:rsidR="00E8574C" w:rsidRPr="00FF47D1" w:rsidRDefault="00E8574C" w:rsidP="00EC63CF">
      <w:pPr>
        <w:pStyle w:val="FootnoteText"/>
        <w:ind w:left="426" w:hanging="426"/>
      </w:pPr>
      <w:r>
        <w:rPr>
          <w:rStyle w:val="FootnoteReference"/>
          <w:lang w:val="en-IE"/>
        </w:rPr>
        <w:footnoteRef/>
      </w:r>
      <w:r>
        <w:t xml:space="preserve"> </w:t>
      </w:r>
      <w:r>
        <w:tab/>
      </w:r>
      <w:hyperlink r:id="rId43" w:history="1">
        <w:r>
          <w:rPr>
            <w:rStyle w:val="Hyperlink"/>
          </w:rPr>
          <w:t>Zaključci doneseni na LXIX. plenarnoj sjednici COSAC-a</w:t>
        </w:r>
      </w:hyperlink>
      <w:r>
        <w:t xml:space="preserve"> i </w:t>
      </w:r>
      <w:hyperlink r:id="rId44" w:history="1">
        <w:r>
          <w:rPr>
            <w:rStyle w:val="Hyperlink"/>
          </w:rPr>
          <w:t>Zaključci doneseni na LXX. plenarnoj sjednici COSAC-a</w:t>
        </w:r>
      </w:hyperlink>
      <w:r>
        <w:t xml:space="preserve"> (na engleskom i francuskom jeziku).</w:t>
      </w:r>
    </w:p>
  </w:footnote>
  <w:footnote w:id="122">
    <w:p w14:paraId="409BA985" w14:textId="182FFEDE" w:rsidR="00E8574C" w:rsidRPr="00FF47D1" w:rsidRDefault="00E8574C" w:rsidP="00EC63CF">
      <w:pPr>
        <w:pStyle w:val="FootnoteText"/>
        <w:ind w:left="426" w:hanging="426"/>
      </w:pPr>
      <w:r>
        <w:rPr>
          <w:rStyle w:val="FootnoteReference"/>
          <w:lang w:val="en-IE"/>
        </w:rPr>
        <w:footnoteRef/>
      </w:r>
      <w:r>
        <w:t xml:space="preserve"> </w:t>
      </w:r>
      <w:r>
        <w:tab/>
      </w:r>
      <w:hyperlink r:id="rId45" w:history="1">
        <w:r>
          <w:rPr>
            <w:rStyle w:val="Hyperlink"/>
          </w:rPr>
          <w:t>Doprinos LXIX. plenarne sjednice COSAC-a</w:t>
        </w:r>
      </w:hyperlink>
      <w:r>
        <w:t xml:space="preserve"> i </w:t>
      </w:r>
      <w:hyperlink r:id="rId46" w:history="1">
        <w:r>
          <w:rPr>
            <w:rStyle w:val="Hyperlink"/>
          </w:rPr>
          <w:t>Doprinos LXX. plenarne sjednice COSAC-a</w:t>
        </w:r>
      </w:hyperlink>
      <w:r>
        <w:t xml:space="preserve"> (na engleskom i francuskom jeziku).</w:t>
      </w:r>
    </w:p>
  </w:footnote>
  <w:footnote w:id="123">
    <w:p w14:paraId="6D2117C6" w14:textId="7CB26A10" w:rsidR="00A2189D" w:rsidRPr="00FF47D1" w:rsidRDefault="00A2189D" w:rsidP="00EC63CF">
      <w:pPr>
        <w:pStyle w:val="FootnoteText"/>
        <w:ind w:left="426" w:hanging="426"/>
      </w:pPr>
      <w:r>
        <w:rPr>
          <w:rStyle w:val="FootnoteReference"/>
          <w:lang w:val="en-IE"/>
        </w:rPr>
        <w:footnoteRef/>
      </w:r>
      <w:r>
        <w:t xml:space="preserve"> </w:t>
      </w:r>
      <w:r>
        <w:tab/>
      </w:r>
      <w:hyperlink r:id="rId47" w:history="1">
        <w:r>
          <w:rPr>
            <w:rStyle w:val="Hyperlink"/>
          </w:rPr>
          <w:t>Odgovor Komisije na doprinos LXIX. plenarne sjednice COSAC-a</w:t>
        </w:r>
      </w:hyperlink>
      <w:r>
        <w:t xml:space="preserve"> (</w:t>
      </w:r>
      <w:hyperlink r:id="rId48" w:history="1">
        <w:r>
          <w:rPr>
            <w:rStyle w:val="Hyperlink"/>
          </w:rPr>
          <w:t>prilog</w:t>
        </w:r>
      </w:hyperlink>
      <w:r>
        <w:t xml:space="preserve">) i </w:t>
      </w:r>
      <w:hyperlink r:id="rId49" w:history="1">
        <w:r>
          <w:rPr>
            <w:rStyle w:val="Hyperlink"/>
          </w:rPr>
          <w:t>Odgovor Komisije na doprinos LXX. plenarne sjednice COSAC-a</w:t>
        </w:r>
      </w:hyperlink>
      <w:r>
        <w:t xml:space="preserve"> (</w:t>
      </w:r>
      <w:hyperlink r:id="rId50" w:history="1">
        <w:r>
          <w:rPr>
            <w:rStyle w:val="Hyperlink"/>
          </w:rPr>
          <w:t>prilog</w:t>
        </w:r>
      </w:hyperlink>
      <w:r>
        <w:t>) (samo na engleskom jeziku).</w:t>
      </w:r>
    </w:p>
  </w:footnote>
  <w:footnote w:id="124">
    <w:p w14:paraId="7DD03FCF" w14:textId="02EC1800" w:rsidR="00E628F5" w:rsidRPr="00FF47D1" w:rsidRDefault="00E628F5" w:rsidP="00EC63CF">
      <w:pPr>
        <w:pStyle w:val="FootnoteText"/>
        <w:ind w:left="426" w:hanging="426"/>
      </w:pPr>
      <w:r>
        <w:rPr>
          <w:rStyle w:val="FootnoteReference"/>
          <w:lang w:val="en-IE"/>
        </w:rPr>
        <w:footnoteRef/>
      </w:r>
      <w:r>
        <w:t xml:space="preserve"> </w:t>
      </w:r>
      <w:r>
        <w:tab/>
      </w:r>
      <w:hyperlink r:id="rId51" w:history="1">
        <w:r>
          <w:rPr>
            <w:rStyle w:val="Hyperlink"/>
          </w:rPr>
          <w:t>http://portal.cor.europa.eu/subsidiarity/regpex/Pages/default.aspx</w:t>
        </w:r>
      </w:hyperlink>
      <w:r>
        <w:t>. Vidjeti odjeljak 2.4. za više pojedinosti o aktivnostima Europskog odbora regija u okviru kontrole poštovanja načela supsidijarnosti.</w:t>
      </w:r>
    </w:p>
  </w:footnote>
  <w:footnote w:id="125">
    <w:p w14:paraId="125775C8" w14:textId="2394235A" w:rsidR="00AE1CAD" w:rsidRPr="00FF47D1" w:rsidRDefault="00AE1CAD" w:rsidP="00EC63CF">
      <w:pPr>
        <w:pStyle w:val="FootnoteText"/>
        <w:ind w:left="426" w:hanging="426"/>
      </w:pPr>
      <w:r>
        <w:rPr>
          <w:rStyle w:val="FootnoteReference"/>
          <w:lang w:val="en-IE"/>
        </w:rPr>
        <w:footnoteRef/>
      </w:r>
      <w:r>
        <w:t xml:space="preserve"> </w:t>
      </w:r>
      <w:r>
        <w:tab/>
        <w:t xml:space="preserve">Regionalni parlamenti: Flandrije (Belgija), saveznih zemalja Bavarske i Baden-Württemberga (Njemačka), Balearskih otoka i Baskije (Španjolska), regionalni parlament Gornje Austrije i Bečki pokrajinski parlament (Austrija), Europska konferencija predsjednika njemačkih i austrijskih regionalnih parlamenata, Regionalna skupština Južnog Tirola, Parlament Njemačke zajednice u Belgiji, zajedno s njemačkim </w:t>
      </w:r>
      <w:r>
        <w:rPr>
          <w:i/>
        </w:rPr>
        <w:t>Bundestagom</w:t>
      </w:r>
      <w:r>
        <w:t xml:space="preserve"> i </w:t>
      </w:r>
      <w:r>
        <w:rPr>
          <w:i/>
        </w:rPr>
        <w:t>Bundesratom</w:t>
      </w:r>
      <w:r>
        <w:t xml:space="preserve"> te austrijskim </w:t>
      </w:r>
      <w:r>
        <w:rPr>
          <w:i/>
        </w:rPr>
        <w:t>Bundesratom</w:t>
      </w:r>
      <w:r>
        <w:t xml:space="preserve"> i Konferencija predsjednika austrijskih regionalnih parlamenata. Regionalni parlament Bavarske dostavio je gotovo 50 % tih rezolucija (14). Drugi osobito aktivni regionalni parlamenti bili su oni Baskije (pet rezolucija), Balearskih otoka (četiri rezolucije) i Baden</w:t>
      </w:r>
      <w:r>
        <w:noBreakHyphen/>
        <w:t>Württemberga (tri rezolucije).</w:t>
      </w:r>
    </w:p>
  </w:footnote>
  <w:footnote w:id="126">
    <w:p w14:paraId="77E644A3" w14:textId="4AD1F7B9" w:rsidR="00E66CA9" w:rsidRPr="00FF47D1" w:rsidRDefault="00E66CA9" w:rsidP="00EC63CF">
      <w:pPr>
        <w:pStyle w:val="FootnoteText"/>
        <w:ind w:left="426" w:hanging="426"/>
      </w:pPr>
      <w:r>
        <w:rPr>
          <w:rStyle w:val="FootnoteReference"/>
          <w:lang w:val="en-IE"/>
        </w:rPr>
        <w:footnoteRef/>
      </w:r>
      <w:r>
        <w:t xml:space="preserve"> </w:t>
      </w:r>
      <w:r>
        <w:tab/>
        <w:t>COM(2022) 542 final, COM(2022) 720 final, COM(2023) 31 final, COM(2023) 128 final, COM(2023) 185 final, COM(2023) 234 final, COM(2023) 242 final, COM(2023) 335 final, COM(2023) 411 final, COM(2023) 414 final, COM(2023) 415 final i COM(2023) 528 final.</w:t>
      </w:r>
    </w:p>
  </w:footnote>
  <w:footnote w:id="127">
    <w:p w14:paraId="459ADB05" w14:textId="27F6B9E1" w:rsidR="00B5398B" w:rsidRPr="00FF47D1" w:rsidRDefault="00B5398B" w:rsidP="00EC63CF">
      <w:pPr>
        <w:pStyle w:val="FootnoteText"/>
        <w:ind w:left="426" w:hanging="426"/>
      </w:pPr>
      <w:r>
        <w:rPr>
          <w:rStyle w:val="FootnoteReference"/>
          <w:lang w:val="en-IE"/>
        </w:rPr>
        <w:footnoteRef/>
      </w:r>
      <w:r>
        <w:t xml:space="preserve"> </w:t>
      </w:r>
      <w:r>
        <w:tab/>
        <w:t>Regionalni parlament Bavarske dostavio je doprinose za šest javnih savjetovanja za inicijative u okviru raznih politika, za razliku od više od 20 u prethodnoj godini.</w:t>
      </w:r>
    </w:p>
  </w:footnote>
  <w:footnote w:id="128">
    <w:p w14:paraId="44001219" w14:textId="63F1D1C0" w:rsidR="00B5398B" w:rsidRPr="00FF47D1" w:rsidRDefault="00B5398B" w:rsidP="00EC63CF">
      <w:pPr>
        <w:pStyle w:val="FootnoteText"/>
        <w:ind w:left="426" w:hanging="426"/>
      </w:pPr>
      <w:r>
        <w:rPr>
          <w:rStyle w:val="FootnoteReference"/>
          <w:lang w:val="en-IE"/>
        </w:rPr>
        <w:footnoteRef/>
      </w:r>
      <w:r>
        <w:t xml:space="preserve"> </w:t>
      </w:r>
      <w:r>
        <w:tab/>
        <w:t xml:space="preserve">Flamanski parlament dostavio je mišljenja o armensko-azerbajdžanskom sukobu, Gorskom Karabahu i oružanom sukobu na Bliskom istoku. Prema 51. izjavi uz Ugovore Flamanski parlament sastavni je dio belgijskog nacionalnog parlamentarnog sustava. Mišljenja regionalnih parlamenata dostavljaju se preko tajništva Konferencije predsjednika parlamentarnih skupština, uz navođenje adrese belgijskog </w:t>
      </w:r>
      <w:r>
        <w:rPr>
          <w:i/>
        </w:rPr>
        <w:t>Sénata/Senaata</w:t>
      </w:r>
      <w:r>
        <w:t xml:space="preserve">. Komisija ih je stoga tehnički evidentirala kao mišljenja belgijskog </w:t>
      </w:r>
      <w:r>
        <w:rPr>
          <w:i/>
        </w:rPr>
        <w:t>Sénata/Senaata</w:t>
      </w:r>
      <w:r>
        <w:t xml:space="preserve"> te je odgovorila i njemu i izravno regionalnom parlamentu.</w:t>
      </w:r>
    </w:p>
  </w:footnote>
  <w:footnote w:id="129">
    <w:p w14:paraId="255FB0A1" w14:textId="1B208D80" w:rsidR="00AE33A1" w:rsidRPr="00FF47D1" w:rsidRDefault="00AE33A1" w:rsidP="00EC63CF">
      <w:pPr>
        <w:pStyle w:val="FootnoteText"/>
        <w:ind w:left="426" w:hanging="426"/>
      </w:pPr>
      <w:r>
        <w:rPr>
          <w:rStyle w:val="FootnoteReference"/>
          <w:lang w:val="en-IE"/>
        </w:rPr>
        <w:footnoteRef/>
      </w:r>
      <w:r>
        <w:t xml:space="preserve"> </w:t>
      </w:r>
      <w:r>
        <w:tab/>
        <w:t xml:space="preserve">Na primjer, luksemburški </w:t>
      </w:r>
      <w:r>
        <w:rPr>
          <w:i/>
        </w:rPr>
        <w:t>Chambre des députés</w:t>
      </w:r>
      <w:r>
        <w:t xml:space="preserve"> 2023. prvi je put osnovao Odbor za europske poslove. Drugi parlamenti 2023. su proveli unutarnje reforme kako bi mogli učinkovitije djelovati u procesu oblikovanja politika EU-a. Primjer za to je irski </w:t>
      </w:r>
      <w:r>
        <w:rPr>
          <w:i/>
        </w:rPr>
        <w:t>Seanad Éireann</w:t>
      </w:r>
      <w:r>
        <w:t>, koji je u prosincu 2022. osnovao odbor za kontrolu nacrta zakonskih instrumenata povezanih s EU-om.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5C1D" w14:textId="77777777" w:rsidR="001D63A3" w:rsidRPr="001D63A3" w:rsidRDefault="001D63A3" w:rsidP="001D63A3">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0D9D" w14:textId="77777777" w:rsidR="001D63A3" w:rsidRPr="001D63A3" w:rsidRDefault="001D63A3" w:rsidP="001D63A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B4C6" w14:textId="77777777" w:rsidR="001D63A3" w:rsidRPr="001D63A3" w:rsidRDefault="001D63A3" w:rsidP="001D63A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F76B" w14:textId="77777777" w:rsidR="00E628F5" w:rsidRPr="005E714F" w:rsidRDefault="00E628F5" w:rsidP="004E4A6E">
    <w:pPr>
      <w:pStyle w:val="Header"/>
    </w:pPr>
  </w:p>
  <w:p w14:paraId="38FA9AE7" w14:textId="77777777" w:rsidR="00E628F5" w:rsidRPr="005E714F" w:rsidRDefault="00E628F5" w:rsidP="004E4A6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8B9B" w14:textId="77777777" w:rsidR="00E628F5" w:rsidRPr="005E714F" w:rsidRDefault="00E628F5" w:rsidP="004E4A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49360" w14:textId="77777777" w:rsidR="00E628F5" w:rsidRPr="005E714F" w:rsidRDefault="00E628F5" w:rsidP="004E4A6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3D5"/>
    <w:multiLevelType w:val="hybridMultilevel"/>
    <w:tmpl w:val="AB9AC0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A12"/>
    <w:multiLevelType w:val="hybridMultilevel"/>
    <w:tmpl w:val="09E849F0"/>
    <w:lvl w:ilvl="0" w:tplc="F7D097B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A7EB4"/>
    <w:multiLevelType w:val="multilevel"/>
    <w:tmpl w:val="30941C54"/>
    <w:lvl w:ilvl="0">
      <w:start w:val="1"/>
      <w:numFmt w:val="decimal"/>
      <w:pStyle w:val="1Titre1"/>
      <w:lvlText w:val="%1."/>
      <w:lvlJc w:val="left"/>
      <w:pPr>
        <w:ind w:left="360" w:hanging="360"/>
      </w:pPr>
    </w:lvl>
    <w:lvl w:ilvl="1">
      <w:start w:val="1"/>
      <w:numFmt w:val="decimal"/>
      <w:pStyle w:val="2Titre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C5585B"/>
    <w:multiLevelType w:val="hybridMultilevel"/>
    <w:tmpl w:val="CADCF952"/>
    <w:lvl w:ilvl="0" w:tplc="52F288BA">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60253914"/>
    <w:multiLevelType w:val="hybridMultilevel"/>
    <w:tmpl w:val="F904A974"/>
    <w:lvl w:ilvl="0" w:tplc="0292F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0" w15:restartNumberingAfterBreak="0">
    <w:nsid w:val="6CBF2BB3"/>
    <w:multiLevelType w:val="multilevel"/>
    <w:tmpl w:val="6448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74345"/>
    <w:multiLevelType w:val="multilevel"/>
    <w:tmpl w:val="DED2E1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6"/>
    <w:lvlOverride w:ilvl="0">
      <w:startOverride w:val="1"/>
    </w:lvlOverride>
  </w:num>
  <w:num w:numId="3">
    <w:abstractNumId w:val="12"/>
  </w:num>
  <w:num w:numId="4">
    <w:abstractNumId w:val="5"/>
  </w:num>
  <w:num w:numId="5">
    <w:abstractNumId w:val="9"/>
  </w:num>
  <w:num w:numId="6">
    <w:abstractNumId w:val="8"/>
  </w:num>
  <w:num w:numId="7">
    <w:abstractNumId w:val="1"/>
  </w:num>
  <w:num w:numId="8">
    <w:abstractNumId w:val="3"/>
  </w:num>
  <w:num w:numId="9">
    <w:abstractNumId w:val="2"/>
  </w:num>
  <w:num w:numId="10">
    <w:abstractNumId w:val="3"/>
  </w:num>
  <w:num w:numId="11">
    <w:abstractNumId w:val="3"/>
  </w:num>
  <w:num w:numId="12">
    <w:abstractNumId w:val="10"/>
  </w:num>
  <w:num w:numId="13">
    <w:abstractNumId w:val="11"/>
  </w:num>
  <w:num w:numId="14">
    <w:abstractNumId w:val="3"/>
  </w:num>
  <w:num w:numId="15">
    <w:abstractNumId w:val="0"/>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6B8DF12-9689-483B-A68E-86C2E4CAE749"/>
    <w:docVar w:name="LW_COVERPAGE_TYPE" w:val="1"/>
    <w:docVar w:name="LW_CROSSREFERENCE" w:val="&lt;UNUSED&gt;"/>
    <w:docVar w:name="LW_DocType" w:val="NORMAL"/>
    <w:docVar w:name="LW_EMISSION" w:val="25.10.2024."/>
    <w:docVar w:name="LW_EMISSION_ISODATE" w:val="2024-10-25"/>
    <w:docVar w:name="LW_EMISSION_LOCATION" w:val="BRX"/>
    <w:docVar w:name="LW_EMISSION_PREFIX" w:val="Bruxelles, "/>
    <w:docVar w:name="LW_EMISSION_SUFFIX" w:val="&lt;EMPTY&gt;"/>
    <w:docVar w:name="LW_ID_DOCTYPE_NONLW" w:val="CP-003"/>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4) 49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GODI\u352?NJE IZVJE\u352?\u262?E ZA 2023.&lt;/FMT&gt;  _x000b_                                                                                                &lt;FMT:Bold&gt;                                                              O PRIMJENI NA\u268?ELA SUPSIDIJARNOSTI I PROPORCIONALNOSTI TE O ODNOSIMA S NACIONALNIM PARLAMENTIMA&lt;/FMT&gt;"/>
    <w:docVar w:name="LW_TYPE.DOC.CP" w:val="IZVJE\u352?\u262?E KOMISIJE"/>
    <w:docVar w:name="LwApiVersions" w:val="LW4CoDe 1.24.5.0; LW 9.0, Build 20240221"/>
    <w:docVar w:name="Stamp" w:val="\\dossiers.dgt.cec.eu.int\dossiers\SG\SG-2023-00645\SG-2023-00645-00-01-EN-EDT-00.202306261536534056058.DOCX"/>
  </w:docVars>
  <w:rsids>
    <w:rsidRoot w:val="00C65132"/>
    <w:rsid w:val="00000A7D"/>
    <w:rsid w:val="00001135"/>
    <w:rsid w:val="00001650"/>
    <w:rsid w:val="00001BA0"/>
    <w:rsid w:val="00001FE5"/>
    <w:rsid w:val="000029CE"/>
    <w:rsid w:val="00002AAB"/>
    <w:rsid w:val="00002C83"/>
    <w:rsid w:val="00002D10"/>
    <w:rsid w:val="00003336"/>
    <w:rsid w:val="0000351F"/>
    <w:rsid w:val="0000396D"/>
    <w:rsid w:val="000042C4"/>
    <w:rsid w:val="00004355"/>
    <w:rsid w:val="000045B4"/>
    <w:rsid w:val="00004837"/>
    <w:rsid w:val="000048A0"/>
    <w:rsid w:val="000049A0"/>
    <w:rsid w:val="00004F4D"/>
    <w:rsid w:val="000056B5"/>
    <w:rsid w:val="000056F6"/>
    <w:rsid w:val="000059FF"/>
    <w:rsid w:val="0000637E"/>
    <w:rsid w:val="0000650F"/>
    <w:rsid w:val="00006E8F"/>
    <w:rsid w:val="00006F43"/>
    <w:rsid w:val="00006FC2"/>
    <w:rsid w:val="00007014"/>
    <w:rsid w:val="000075BB"/>
    <w:rsid w:val="000079B1"/>
    <w:rsid w:val="00007C1F"/>
    <w:rsid w:val="00007E53"/>
    <w:rsid w:val="00010077"/>
    <w:rsid w:val="000105B9"/>
    <w:rsid w:val="00010605"/>
    <w:rsid w:val="00010751"/>
    <w:rsid w:val="00010AA3"/>
    <w:rsid w:val="00010D50"/>
    <w:rsid w:val="00011193"/>
    <w:rsid w:val="00011403"/>
    <w:rsid w:val="000121CA"/>
    <w:rsid w:val="00012522"/>
    <w:rsid w:val="000128F1"/>
    <w:rsid w:val="00012B9B"/>
    <w:rsid w:val="00012C33"/>
    <w:rsid w:val="00012CC6"/>
    <w:rsid w:val="00012FDB"/>
    <w:rsid w:val="00013347"/>
    <w:rsid w:val="0001366A"/>
    <w:rsid w:val="00013C6F"/>
    <w:rsid w:val="00014292"/>
    <w:rsid w:val="0001490E"/>
    <w:rsid w:val="000151D8"/>
    <w:rsid w:val="00016241"/>
    <w:rsid w:val="000164FC"/>
    <w:rsid w:val="000166A0"/>
    <w:rsid w:val="000168B9"/>
    <w:rsid w:val="00016D14"/>
    <w:rsid w:val="0001729D"/>
    <w:rsid w:val="000177F3"/>
    <w:rsid w:val="00017933"/>
    <w:rsid w:val="00017F9F"/>
    <w:rsid w:val="00017FDC"/>
    <w:rsid w:val="00020386"/>
    <w:rsid w:val="000204BF"/>
    <w:rsid w:val="000219D1"/>
    <w:rsid w:val="00021CD9"/>
    <w:rsid w:val="000221E3"/>
    <w:rsid w:val="0002221E"/>
    <w:rsid w:val="000222B6"/>
    <w:rsid w:val="00022655"/>
    <w:rsid w:val="00022846"/>
    <w:rsid w:val="000234B2"/>
    <w:rsid w:val="0002363A"/>
    <w:rsid w:val="000239CD"/>
    <w:rsid w:val="00023A6F"/>
    <w:rsid w:val="00023CC9"/>
    <w:rsid w:val="000245FE"/>
    <w:rsid w:val="000247B4"/>
    <w:rsid w:val="00024958"/>
    <w:rsid w:val="00024EBA"/>
    <w:rsid w:val="0002510C"/>
    <w:rsid w:val="00025391"/>
    <w:rsid w:val="00025B79"/>
    <w:rsid w:val="00025FA1"/>
    <w:rsid w:val="00026C69"/>
    <w:rsid w:val="00027216"/>
    <w:rsid w:val="0002722E"/>
    <w:rsid w:val="000277BA"/>
    <w:rsid w:val="00027D6B"/>
    <w:rsid w:val="000300F0"/>
    <w:rsid w:val="00031014"/>
    <w:rsid w:val="000311A0"/>
    <w:rsid w:val="00031865"/>
    <w:rsid w:val="0003186B"/>
    <w:rsid w:val="00031C84"/>
    <w:rsid w:val="00031F26"/>
    <w:rsid w:val="000320B0"/>
    <w:rsid w:val="00032713"/>
    <w:rsid w:val="00032B11"/>
    <w:rsid w:val="00032B3D"/>
    <w:rsid w:val="000330E6"/>
    <w:rsid w:val="0003354D"/>
    <w:rsid w:val="0003368C"/>
    <w:rsid w:val="000336AC"/>
    <w:rsid w:val="00033B93"/>
    <w:rsid w:val="00033BF9"/>
    <w:rsid w:val="00034A4D"/>
    <w:rsid w:val="00034D5E"/>
    <w:rsid w:val="00034DCA"/>
    <w:rsid w:val="00034E11"/>
    <w:rsid w:val="00035564"/>
    <w:rsid w:val="00035587"/>
    <w:rsid w:val="00035594"/>
    <w:rsid w:val="000359C4"/>
    <w:rsid w:val="00035BAE"/>
    <w:rsid w:val="00036340"/>
    <w:rsid w:val="000363DB"/>
    <w:rsid w:val="000372D0"/>
    <w:rsid w:val="00037339"/>
    <w:rsid w:val="00040885"/>
    <w:rsid w:val="000408D4"/>
    <w:rsid w:val="00040933"/>
    <w:rsid w:val="00040945"/>
    <w:rsid w:val="00040E59"/>
    <w:rsid w:val="0004125E"/>
    <w:rsid w:val="0004168E"/>
    <w:rsid w:val="000416F0"/>
    <w:rsid w:val="00041A0E"/>
    <w:rsid w:val="00041B39"/>
    <w:rsid w:val="00041BD0"/>
    <w:rsid w:val="00041BE8"/>
    <w:rsid w:val="00041FC9"/>
    <w:rsid w:val="0004224C"/>
    <w:rsid w:val="00042CA8"/>
    <w:rsid w:val="00042D20"/>
    <w:rsid w:val="00042DEF"/>
    <w:rsid w:val="000432D8"/>
    <w:rsid w:val="00043C88"/>
    <w:rsid w:val="000457A9"/>
    <w:rsid w:val="000457D7"/>
    <w:rsid w:val="00045815"/>
    <w:rsid w:val="00045991"/>
    <w:rsid w:val="00045BAB"/>
    <w:rsid w:val="00045D70"/>
    <w:rsid w:val="00046CDF"/>
    <w:rsid w:val="00046E79"/>
    <w:rsid w:val="0004796D"/>
    <w:rsid w:val="00047C44"/>
    <w:rsid w:val="00050277"/>
    <w:rsid w:val="00050B19"/>
    <w:rsid w:val="00050CEE"/>
    <w:rsid w:val="0005196B"/>
    <w:rsid w:val="00051F95"/>
    <w:rsid w:val="000521C3"/>
    <w:rsid w:val="00052806"/>
    <w:rsid w:val="0005295C"/>
    <w:rsid w:val="00053350"/>
    <w:rsid w:val="0005351F"/>
    <w:rsid w:val="00053C4B"/>
    <w:rsid w:val="00054F17"/>
    <w:rsid w:val="000554A8"/>
    <w:rsid w:val="00055BC6"/>
    <w:rsid w:val="000563D1"/>
    <w:rsid w:val="000566FC"/>
    <w:rsid w:val="00056876"/>
    <w:rsid w:val="0005722E"/>
    <w:rsid w:val="00057837"/>
    <w:rsid w:val="00057A79"/>
    <w:rsid w:val="0006004B"/>
    <w:rsid w:val="00060A0D"/>
    <w:rsid w:val="00060E20"/>
    <w:rsid w:val="000611BA"/>
    <w:rsid w:val="0006172F"/>
    <w:rsid w:val="0006206D"/>
    <w:rsid w:val="000624A2"/>
    <w:rsid w:val="00062732"/>
    <w:rsid w:val="00062CF0"/>
    <w:rsid w:val="00062D04"/>
    <w:rsid w:val="00062DA4"/>
    <w:rsid w:val="00062F13"/>
    <w:rsid w:val="00063228"/>
    <w:rsid w:val="00063F3C"/>
    <w:rsid w:val="00064135"/>
    <w:rsid w:val="0006446C"/>
    <w:rsid w:val="0006463B"/>
    <w:rsid w:val="00064972"/>
    <w:rsid w:val="00064989"/>
    <w:rsid w:val="00064AA8"/>
    <w:rsid w:val="00064AB7"/>
    <w:rsid w:val="00064B59"/>
    <w:rsid w:val="00064F41"/>
    <w:rsid w:val="00065F55"/>
    <w:rsid w:val="0006629E"/>
    <w:rsid w:val="000669F1"/>
    <w:rsid w:val="00066C38"/>
    <w:rsid w:val="00066C99"/>
    <w:rsid w:val="00067589"/>
    <w:rsid w:val="0006BA70"/>
    <w:rsid w:val="00071BCF"/>
    <w:rsid w:val="00071CC2"/>
    <w:rsid w:val="00071E6C"/>
    <w:rsid w:val="00072583"/>
    <w:rsid w:val="000728B2"/>
    <w:rsid w:val="00072C59"/>
    <w:rsid w:val="000737C6"/>
    <w:rsid w:val="00073AA5"/>
    <w:rsid w:val="00073AD8"/>
    <w:rsid w:val="00073D0F"/>
    <w:rsid w:val="00074019"/>
    <w:rsid w:val="00074375"/>
    <w:rsid w:val="000745DA"/>
    <w:rsid w:val="00074793"/>
    <w:rsid w:val="000747E8"/>
    <w:rsid w:val="00074B54"/>
    <w:rsid w:val="00074D5B"/>
    <w:rsid w:val="00074E0A"/>
    <w:rsid w:val="000754AE"/>
    <w:rsid w:val="00075AF1"/>
    <w:rsid w:val="000761DA"/>
    <w:rsid w:val="00076473"/>
    <w:rsid w:val="00076595"/>
    <w:rsid w:val="000765FF"/>
    <w:rsid w:val="00076A1A"/>
    <w:rsid w:val="00076B61"/>
    <w:rsid w:val="00076EC8"/>
    <w:rsid w:val="00076EF4"/>
    <w:rsid w:val="000800C9"/>
    <w:rsid w:val="0008044E"/>
    <w:rsid w:val="00080606"/>
    <w:rsid w:val="000808F0"/>
    <w:rsid w:val="00080946"/>
    <w:rsid w:val="000816F5"/>
    <w:rsid w:val="00081A0D"/>
    <w:rsid w:val="00082304"/>
    <w:rsid w:val="00082550"/>
    <w:rsid w:val="00082D9A"/>
    <w:rsid w:val="00082E11"/>
    <w:rsid w:val="00082FBD"/>
    <w:rsid w:val="0008406B"/>
    <w:rsid w:val="00084080"/>
    <w:rsid w:val="000847FE"/>
    <w:rsid w:val="00084B2C"/>
    <w:rsid w:val="00085DC2"/>
    <w:rsid w:val="000861E3"/>
    <w:rsid w:val="00086677"/>
    <w:rsid w:val="00086B1A"/>
    <w:rsid w:val="00086F6F"/>
    <w:rsid w:val="00087C19"/>
    <w:rsid w:val="00087FC3"/>
    <w:rsid w:val="00090595"/>
    <w:rsid w:val="00090627"/>
    <w:rsid w:val="00090CAC"/>
    <w:rsid w:val="00091B71"/>
    <w:rsid w:val="00091F7C"/>
    <w:rsid w:val="00092072"/>
    <w:rsid w:val="000924DA"/>
    <w:rsid w:val="0009286E"/>
    <w:rsid w:val="00092AC6"/>
    <w:rsid w:val="0009378B"/>
    <w:rsid w:val="00093B9F"/>
    <w:rsid w:val="00093D52"/>
    <w:rsid w:val="0009413D"/>
    <w:rsid w:val="000941F0"/>
    <w:rsid w:val="00094334"/>
    <w:rsid w:val="00094C97"/>
    <w:rsid w:val="0009520B"/>
    <w:rsid w:val="00095AD3"/>
    <w:rsid w:val="00095E08"/>
    <w:rsid w:val="00096154"/>
    <w:rsid w:val="000967E3"/>
    <w:rsid w:val="00096A4F"/>
    <w:rsid w:val="00096CE3"/>
    <w:rsid w:val="00097187"/>
    <w:rsid w:val="000978AF"/>
    <w:rsid w:val="000A06F6"/>
    <w:rsid w:val="000A17FE"/>
    <w:rsid w:val="000A195E"/>
    <w:rsid w:val="000A19A6"/>
    <w:rsid w:val="000A1DC8"/>
    <w:rsid w:val="000A1E4F"/>
    <w:rsid w:val="000A288B"/>
    <w:rsid w:val="000A28B5"/>
    <w:rsid w:val="000A2B6D"/>
    <w:rsid w:val="000A2C7F"/>
    <w:rsid w:val="000A2D97"/>
    <w:rsid w:val="000A384C"/>
    <w:rsid w:val="000A4566"/>
    <w:rsid w:val="000A5A8F"/>
    <w:rsid w:val="000A5B16"/>
    <w:rsid w:val="000A6150"/>
    <w:rsid w:val="000A6347"/>
    <w:rsid w:val="000A63DD"/>
    <w:rsid w:val="000A6970"/>
    <w:rsid w:val="000A6A7D"/>
    <w:rsid w:val="000A6F78"/>
    <w:rsid w:val="000A709A"/>
    <w:rsid w:val="000A71DF"/>
    <w:rsid w:val="000A7205"/>
    <w:rsid w:val="000A796C"/>
    <w:rsid w:val="000B0858"/>
    <w:rsid w:val="000B086E"/>
    <w:rsid w:val="000B0C32"/>
    <w:rsid w:val="000B0DBA"/>
    <w:rsid w:val="000B13CA"/>
    <w:rsid w:val="000B13D7"/>
    <w:rsid w:val="000B17D3"/>
    <w:rsid w:val="000B20F5"/>
    <w:rsid w:val="000B2554"/>
    <w:rsid w:val="000B2A97"/>
    <w:rsid w:val="000B2F02"/>
    <w:rsid w:val="000B2F24"/>
    <w:rsid w:val="000B3415"/>
    <w:rsid w:val="000B344A"/>
    <w:rsid w:val="000B37DC"/>
    <w:rsid w:val="000B398E"/>
    <w:rsid w:val="000B3B99"/>
    <w:rsid w:val="000B4203"/>
    <w:rsid w:val="000B44C2"/>
    <w:rsid w:val="000B4D8E"/>
    <w:rsid w:val="000B504D"/>
    <w:rsid w:val="000B542F"/>
    <w:rsid w:val="000B5BA9"/>
    <w:rsid w:val="000B642F"/>
    <w:rsid w:val="000B64B2"/>
    <w:rsid w:val="000B6620"/>
    <w:rsid w:val="000B690A"/>
    <w:rsid w:val="000B6D7B"/>
    <w:rsid w:val="000B735C"/>
    <w:rsid w:val="000B78BD"/>
    <w:rsid w:val="000B7B5F"/>
    <w:rsid w:val="000B7B63"/>
    <w:rsid w:val="000B7C77"/>
    <w:rsid w:val="000C0233"/>
    <w:rsid w:val="000C0E47"/>
    <w:rsid w:val="000C0FAD"/>
    <w:rsid w:val="000C16A8"/>
    <w:rsid w:val="000C2783"/>
    <w:rsid w:val="000C3251"/>
    <w:rsid w:val="000C3646"/>
    <w:rsid w:val="000C3BBC"/>
    <w:rsid w:val="000C4463"/>
    <w:rsid w:val="000C4910"/>
    <w:rsid w:val="000C4B7F"/>
    <w:rsid w:val="000C4CD8"/>
    <w:rsid w:val="000C4DBB"/>
    <w:rsid w:val="000C5424"/>
    <w:rsid w:val="000C55A7"/>
    <w:rsid w:val="000C5AAE"/>
    <w:rsid w:val="000C6162"/>
    <w:rsid w:val="000C69DF"/>
    <w:rsid w:val="000C75CD"/>
    <w:rsid w:val="000C7AF4"/>
    <w:rsid w:val="000C7AF6"/>
    <w:rsid w:val="000D06DA"/>
    <w:rsid w:val="000D0B58"/>
    <w:rsid w:val="000D0F48"/>
    <w:rsid w:val="000D1442"/>
    <w:rsid w:val="000D1552"/>
    <w:rsid w:val="000D262C"/>
    <w:rsid w:val="000D2657"/>
    <w:rsid w:val="000D27AF"/>
    <w:rsid w:val="000D29EA"/>
    <w:rsid w:val="000D2A8B"/>
    <w:rsid w:val="000D33AF"/>
    <w:rsid w:val="000D3C1F"/>
    <w:rsid w:val="000D3DE1"/>
    <w:rsid w:val="000D41E8"/>
    <w:rsid w:val="000D48B3"/>
    <w:rsid w:val="000D510F"/>
    <w:rsid w:val="000D5148"/>
    <w:rsid w:val="000D59B9"/>
    <w:rsid w:val="000D5A98"/>
    <w:rsid w:val="000D5B4A"/>
    <w:rsid w:val="000D5FF5"/>
    <w:rsid w:val="000D675E"/>
    <w:rsid w:val="000D6963"/>
    <w:rsid w:val="000D6C14"/>
    <w:rsid w:val="000D7109"/>
    <w:rsid w:val="000D7134"/>
    <w:rsid w:val="000D766F"/>
    <w:rsid w:val="000D7718"/>
    <w:rsid w:val="000D77BE"/>
    <w:rsid w:val="000E0327"/>
    <w:rsid w:val="000E04D3"/>
    <w:rsid w:val="000E095C"/>
    <w:rsid w:val="000E12A4"/>
    <w:rsid w:val="000E16EE"/>
    <w:rsid w:val="000E176F"/>
    <w:rsid w:val="000E1896"/>
    <w:rsid w:val="000E1B8B"/>
    <w:rsid w:val="000E20DE"/>
    <w:rsid w:val="000E214A"/>
    <w:rsid w:val="000E2B36"/>
    <w:rsid w:val="000E2FFE"/>
    <w:rsid w:val="000E3549"/>
    <w:rsid w:val="000E39B9"/>
    <w:rsid w:val="000E3D00"/>
    <w:rsid w:val="000E3EBD"/>
    <w:rsid w:val="000E3F1C"/>
    <w:rsid w:val="000E3F51"/>
    <w:rsid w:val="000E400C"/>
    <w:rsid w:val="000E4CDF"/>
    <w:rsid w:val="000E4FEC"/>
    <w:rsid w:val="000E5053"/>
    <w:rsid w:val="000E5507"/>
    <w:rsid w:val="000E5C08"/>
    <w:rsid w:val="000E5CDB"/>
    <w:rsid w:val="000E627A"/>
    <w:rsid w:val="000E6719"/>
    <w:rsid w:val="000E6A98"/>
    <w:rsid w:val="000E7055"/>
    <w:rsid w:val="000F021A"/>
    <w:rsid w:val="000F03FB"/>
    <w:rsid w:val="000F0E1A"/>
    <w:rsid w:val="000F0FD1"/>
    <w:rsid w:val="000F0FD3"/>
    <w:rsid w:val="000F15D4"/>
    <w:rsid w:val="000F1715"/>
    <w:rsid w:val="000F1A1A"/>
    <w:rsid w:val="000F1D42"/>
    <w:rsid w:val="000F200D"/>
    <w:rsid w:val="000F21AF"/>
    <w:rsid w:val="000F245C"/>
    <w:rsid w:val="000F34C0"/>
    <w:rsid w:val="000F380D"/>
    <w:rsid w:val="000F3B66"/>
    <w:rsid w:val="000F5456"/>
    <w:rsid w:val="000F5691"/>
    <w:rsid w:val="000F5A7B"/>
    <w:rsid w:val="000F5E3F"/>
    <w:rsid w:val="000F6ACD"/>
    <w:rsid w:val="000F77E2"/>
    <w:rsid w:val="000F7D20"/>
    <w:rsid w:val="000F7D26"/>
    <w:rsid w:val="000F7DB8"/>
    <w:rsid w:val="000F7DDF"/>
    <w:rsid w:val="00100381"/>
    <w:rsid w:val="001004E3"/>
    <w:rsid w:val="00100569"/>
    <w:rsid w:val="001009B6"/>
    <w:rsid w:val="00101849"/>
    <w:rsid w:val="00101FC4"/>
    <w:rsid w:val="00102289"/>
    <w:rsid w:val="0010249A"/>
    <w:rsid w:val="00103280"/>
    <w:rsid w:val="001033A5"/>
    <w:rsid w:val="00103448"/>
    <w:rsid w:val="00103E4B"/>
    <w:rsid w:val="00104286"/>
    <w:rsid w:val="001047D9"/>
    <w:rsid w:val="00104D14"/>
    <w:rsid w:val="00104DC2"/>
    <w:rsid w:val="0010546C"/>
    <w:rsid w:val="00105486"/>
    <w:rsid w:val="00105598"/>
    <w:rsid w:val="001058A4"/>
    <w:rsid w:val="00105959"/>
    <w:rsid w:val="00105BE7"/>
    <w:rsid w:val="00106C3F"/>
    <w:rsid w:val="001077BC"/>
    <w:rsid w:val="00110360"/>
    <w:rsid w:val="00110C36"/>
    <w:rsid w:val="00111390"/>
    <w:rsid w:val="00111AFD"/>
    <w:rsid w:val="00111CE6"/>
    <w:rsid w:val="00112236"/>
    <w:rsid w:val="00112255"/>
    <w:rsid w:val="001122BC"/>
    <w:rsid w:val="0011241C"/>
    <w:rsid w:val="00112A05"/>
    <w:rsid w:val="00113170"/>
    <w:rsid w:val="001131A8"/>
    <w:rsid w:val="001136B2"/>
    <w:rsid w:val="0011380F"/>
    <w:rsid w:val="00113AD2"/>
    <w:rsid w:val="0011410A"/>
    <w:rsid w:val="00114332"/>
    <w:rsid w:val="0011445B"/>
    <w:rsid w:val="001146B9"/>
    <w:rsid w:val="00114AFE"/>
    <w:rsid w:val="00114DC4"/>
    <w:rsid w:val="001151ED"/>
    <w:rsid w:val="00115442"/>
    <w:rsid w:val="00115C8F"/>
    <w:rsid w:val="001162B1"/>
    <w:rsid w:val="00116A20"/>
    <w:rsid w:val="00117032"/>
    <w:rsid w:val="001171C3"/>
    <w:rsid w:val="0011735C"/>
    <w:rsid w:val="001214F3"/>
    <w:rsid w:val="00121907"/>
    <w:rsid w:val="00121B46"/>
    <w:rsid w:val="00121B9A"/>
    <w:rsid w:val="00121D7F"/>
    <w:rsid w:val="00122217"/>
    <w:rsid w:val="0012232A"/>
    <w:rsid w:val="001223C4"/>
    <w:rsid w:val="00122C66"/>
    <w:rsid w:val="001232DE"/>
    <w:rsid w:val="001233B9"/>
    <w:rsid w:val="0012349C"/>
    <w:rsid w:val="001235E3"/>
    <w:rsid w:val="001236DF"/>
    <w:rsid w:val="00123718"/>
    <w:rsid w:val="00123760"/>
    <w:rsid w:val="00123D1A"/>
    <w:rsid w:val="00123ED2"/>
    <w:rsid w:val="00123F0E"/>
    <w:rsid w:val="00123FF3"/>
    <w:rsid w:val="0012402E"/>
    <w:rsid w:val="001242D0"/>
    <w:rsid w:val="0012440D"/>
    <w:rsid w:val="00124603"/>
    <w:rsid w:val="0012541D"/>
    <w:rsid w:val="00125A22"/>
    <w:rsid w:val="00125AA1"/>
    <w:rsid w:val="00125CB0"/>
    <w:rsid w:val="00125DEB"/>
    <w:rsid w:val="00125E02"/>
    <w:rsid w:val="001266DA"/>
    <w:rsid w:val="001269E9"/>
    <w:rsid w:val="00126A0E"/>
    <w:rsid w:val="00126AAD"/>
    <w:rsid w:val="00126AED"/>
    <w:rsid w:val="00126E64"/>
    <w:rsid w:val="00127368"/>
    <w:rsid w:val="001276BB"/>
    <w:rsid w:val="00127C76"/>
    <w:rsid w:val="00127CC8"/>
    <w:rsid w:val="00130240"/>
    <w:rsid w:val="00130408"/>
    <w:rsid w:val="001304D2"/>
    <w:rsid w:val="001307DB"/>
    <w:rsid w:val="00130BC0"/>
    <w:rsid w:val="00130E77"/>
    <w:rsid w:val="00131399"/>
    <w:rsid w:val="001315BB"/>
    <w:rsid w:val="0013162E"/>
    <w:rsid w:val="00132357"/>
    <w:rsid w:val="001323EB"/>
    <w:rsid w:val="00132501"/>
    <w:rsid w:val="00132D9B"/>
    <w:rsid w:val="00133825"/>
    <w:rsid w:val="001339CD"/>
    <w:rsid w:val="00133FAA"/>
    <w:rsid w:val="00133FFC"/>
    <w:rsid w:val="0013401B"/>
    <w:rsid w:val="00134055"/>
    <w:rsid w:val="00134411"/>
    <w:rsid w:val="001349F4"/>
    <w:rsid w:val="00134B3F"/>
    <w:rsid w:val="0013513C"/>
    <w:rsid w:val="0013550E"/>
    <w:rsid w:val="00135723"/>
    <w:rsid w:val="001357BB"/>
    <w:rsid w:val="00135988"/>
    <w:rsid w:val="001359FF"/>
    <w:rsid w:val="00135A7C"/>
    <w:rsid w:val="001361B3"/>
    <w:rsid w:val="001365F3"/>
    <w:rsid w:val="001366EE"/>
    <w:rsid w:val="00136863"/>
    <w:rsid w:val="001368AE"/>
    <w:rsid w:val="001369AA"/>
    <w:rsid w:val="001369B2"/>
    <w:rsid w:val="00136D8C"/>
    <w:rsid w:val="00136D93"/>
    <w:rsid w:val="00137205"/>
    <w:rsid w:val="00137220"/>
    <w:rsid w:val="00137845"/>
    <w:rsid w:val="0013790A"/>
    <w:rsid w:val="00137EE8"/>
    <w:rsid w:val="00140053"/>
    <w:rsid w:val="0014038B"/>
    <w:rsid w:val="00140559"/>
    <w:rsid w:val="00140638"/>
    <w:rsid w:val="001406FB"/>
    <w:rsid w:val="00140B0B"/>
    <w:rsid w:val="00140C1B"/>
    <w:rsid w:val="00140EA8"/>
    <w:rsid w:val="0014110E"/>
    <w:rsid w:val="0014137B"/>
    <w:rsid w:val="001423C4"/>
    <w:rsid w:val="00142B03"/>
    <w:rsid w:val="00142DD2"/>
    <w:rsid w:val="0014337C"/>
    <w:rsid w:val="001437F3"/>
    <w:rsid w:val="00143C7C"/>
    <w:rsid w:val="00143CC6"/>
    <w:rsid w:val="001443F0"/>
    <w:rsid w:val="00144638"/>
    <w:rsid w:val="001446EA"/>
    <w:rsid w:val="00144881"/>
    <w:rsid w:val="00144CC4"/>
    <w:rsid w:val="001452F0"/>
    <w:rsid w:val="001455B7"/>
    <w:rsid w:val="001458FF"/>
    <w:rsid w:val="0014600E"/>
    <w:rsid w:val="001461A0"/>
    <w:rsid w:val="00146BB3"/>
    <w:rsid w:val="00146CDE"/>
    <w:rsid w:val="00146D74"/>
    <w:rsid w:val="00146FF3"/>
    <w:rsid w:val="00147253"/>
    <w:rsid w:val="00147C7A"/>
    <w:rsid w:val="001503F8"/>
    <w:rsid w:val="00150599"/>
    <w:rsid w:val="00150A62"/>
    <w:rsid w:val="00150C19"/>
    <w:rsid w:val="00151061"/>
    <w:rsid w:val="00151433"/>
    <w:rsid w:val="00151532"/>
    <w:rsid w:val="00151984"/>
    <w:rsid w:val="001522DD"/>
    <w:rsid w:val="001523D5"/>
    <w:rsid w:val="0015372C"/>
    <w:rsid w:val="00153CA2"/>
    <w:rsid w:val="001541B5"/>
    <w:rsid w:val="00154814"/>
    <w:rsid w:val="00154B8A"/>
    <w:rsid w:val="00155357"/>
    <w:rsid w:val="0015543C"/>
    <w:rsid w:val="001559EC"/>
    <w:rsid w:val="00157040"/>
    <w:rsid w:val="00157046"/>
    <w:rsid w:val="00157229"/>
    <w:rsid w:val="00157803"/>
    <w:rsid w:val="0016026B"/>
    <w:rsid w:val="001602B9"/>
    <w:rsid w:val="00160E8B"/>
    <w:rsid w:val="00160F38"/>
    <w:rsid w:val="001610D3"/>
    <w:rsid w:val="00161661"/>
    <w:rsid w:val="0016193C"/>
    <w:rsid w:val="00161E9F"/>
    <w:rsid w:val="001626F3"/>
    <w:rsid w:val="00162D9E"/>
    <w:rsid w:val="00162F4B"/>
    <w:rsid w:val="00163175"/>
    <w:rsid w:val="001631CF"/>
    <w:rsid w:val="0016367A"/>
    <w:rsid w:val="00163DEE"/>
    <w:rsid w:val="00164030"/>
    <w:rsid w:val="001640E0"/>
    <w:rsid w:val="001647D3"/>
    <w:rsid w:val="00164B2B"/>
    <w:rsid w:val="001653E5"/>
    <w:rsid w:val="00165598"/>
    <w:rsid w:val="0016584F"/>
    <w:rsid w:val="0016602F"/>
    <w:rsid w:val="00166035"/>
    <w:rsid w:val="00166215"/>
    <w:rsid w:val="0016654E"/>
    <w:rsid w:val="00166553"/>
    <w:rsid w:val="00166C61"/>
    <w:rsid w:val="00166F90"/>
    <w:rsid w:val="00167179"/>
    <w:rsid w:val="00167536"/>
    <w:rsid w:val="001675AA"/>
    <w:rsid w:val="001677F7"/>
    <w:rsid w:val="0016799F"/>
    <w:rsid w:val="00170417"/>
    <w:rsid w:val="0017092D"/>
    <w:rsid w:val="0017110F"/>
    <w:rsid w:val="00171644"/>
    <w:rsid w:val="00171DC7"/>
    <w:rsid w:val="001724BC"/>
    <w:rsid w:val="00172BCB"/>
    <w:rsid w:val="00172ED3"/>
    <w:rsid w:val="00173080"/>
    <w:rsid w:val="0017355B"/>
    <w:rsid w:val="00173667"/>
    <w:rsid w:val="00173FC8"/>
    <w:rsid w:val="001740A8"/>
    <w:rsid w:val="00174BED"/>
    <w:rsid w:val="0017548B"/>
    <w:rsid w:val="0017581E"/>
    <w:rsid w:val="00176211"/>
    <w:rsid w:val="00176295"/>
    <w:rsid w:val="00176AA6"/>
    <w:rsid w:val="001771FE"/>
    <w:rsid w:val="00177B44"/>
    <w:rsid w:val="00177C5F"/>
    <w:rsid w:val="00177E3C"/>
    <w:rsid w:val="00177FF6"/>
    <w:rsid w:val="001800A7"/>
    <w:rsid w:val="0018076E"/>
    <w:rsid w:val="00180D1A"/>
    <w:rsid w:val="001812A6"/>
    <w:rsid w:val="00181598"/>
    <w:rsid w:val="00181A6C"/>
    <w:rsid w:val="00181D40"/>
    <w:rsid w:val="001820B6"/>
    <w:rsid w:val="001822A3"/>
    <w:rsid w:val="001827FF"/>
    <w:rsid w:val="00182C28"/>
    <w:rsid w:val="00183420"/>
    <w:rsid w:val="00183522"/>
    <w:rsid w:val="00183642"/>
    <w:rsid w:val="00183708"/>
    <w:rsid w:val="00183FC3"/>
    <w:rsid w:val="001842D4"/>
    <w:rsid w:val="00184CD5"/>
    <w:rsid w:val="00184FDE"/>
    <w:rsid w:val="0018532A"/>
    <w:rsid w:val="00185337"/>
    <w:rsid w:val="001855D6"/>
    <w:rsid w:val="001856D2"/>
    <w:rsid w:val="00185719"/>
    <w:rsid w:val="00185BF0"/>
    <w:rsid w:val="00185C7F"/>
    <w:rsid w:val="00186413"/>
    <w:rsid w:val="001867ED"/>
    <w:rsid w:val="00187877"/>
    <w:rsid w:val="00187CC4"/>
    <w:rsid w:val="00187E17"/>
    <w:rsid w:val="00190562"/>
    <w:rsid w:val="00190B14"/>
    <w:rsid w:val="00190DFF"/>
    <w:rsid w:val="00190E09"/>
    <w:rsid w:val="00191781"/>
    <w:rsid w:val="00191BCF"/>
    <w:rsid w:val="00191EE6"/>
    <w:rsid w:val="00191FC4"/>
    <w:rsid w:val="001923A0"/>
    <w:rsid w:val="001927D5"/>
    <w:rsid w:val="00193401"/>
    <w:rsid w:val="0019343A"/>
    <w:rsid w:val="0019390C"/>
    <w:rsid w:val="0019453C"/>
    <w:rsid w:val="001948B9"/>
    <w:rsid w:val="00194EAE"/>
    <w:rsid w:val="00195256"/>
    <w:rsid w:val="0019559B"/>
    <w:rsid w:val="0019774B"/>
    <w:rsid w:val="0019776B"/>
    <w:rsid w:val="001A0149"/>
    <w:rsid w:val="001A0687"/>
    <w:rsid w:val="001A0901"/>
    <w:rsid w:val="001A0A0F"/>
    <w:rsid w:val="001A0EF9"/>
    <w:rsid w:val="001A0F44"/>
    <w:rsid w:val="001A1061"/>
    <w:rsid w:val="001A11D9"/>
    <w:rsid w:val="001A16CF"/>
    <w:rsid w:val="001A19D2"/>
    <w:rsid w:val="001A1B45"/>
    <w:rsid w:val="001A27E9"/>
    <w:rsid w:val="001A2EAC"/>
    <w:rsid w:val="001A304F"/>
    <w:rsid w:val="001A30A2"/>
    <w:rsid w:val="001A3113"/>
    <w:rsid w:val="001A339F"/>
    <w:rsid w:val="001A3713"/>
    <w:rsid w:val="001A3DE7"/>
    <w:rsid w:val="001A3EE2"/>
    <w:rsid w:val="001A41E7"/>
    <w:rsid w:val="001A431F"/>
    <w:rsid w:val="001A47AE"/>
    <w:rsid w:val="001A4847"/>
    <w:rsid w:val="001A4CD4"/>
    <w:rsid w:val="001A4E84"/>
    <w:rsid w:val="001A4FA9"/>
    <w:rsid w:val="001A58DD"/>
    <w:rsid w:val="001A684F"/>
    <w:rsid w:val="001A690A"/>
    <w:rsid w:val="001A6CA3"/>
    <w:rsid w:val="001A6D33"/>
    <w:rsid w:val="001A727A"/>
    <w:rsid w:val="001A72E6"/>
    <w:rsid w:val="001A7644"/>
    <w:rsid w:val="001A77A2"/>
    <w:rsid w:val="001A77F4"/>
    <w:rsid w:val="001A77F7"/>
    <w:rsid w:val="001A7AEC"/>
    <w:rsid w:val="001A7EA9"/>
    <w:rsid w:val="001A7EEC"/>
    <w:rsid w:val="001B05C6"/>
    <w:rsid w:val="001B0760"/>
    <w:rsid w:val="001B11BE"/>
    <w:rsid w:val="001B1A08"/>
    <w:rsid w:val="001B1C74"/>
    <w:rsid w:val="001B1E3A"/>
    <w:rsid w:val="001B2AD9"/>
    <w:rsid w:val="001B36EB"/>
    <w:rsid w:val="001B3761"/>
    <w:rsid w:val="001B3A74"/>
    <w:rsid w:val="001B3AF1"/>
    <w:rsid w:val="001B3C21"/>
    <w:rsid w:val="001B3C54"/>
    <w:rsid w:val="001B3F07"/>
    <w:rsid w:val="001B4385"/>
    <w:rsid w:val="001B45B2"/>
    <w:rsid w:val="001B4977"/>
    <w:rsid w:val="001B4D8B"/>
    <w:rsid w:val="001B4FFA"/>
    <w:rsid w:val="001B543B"/>
    <w:rsid w:val="001B6589"/>
    <w:rsid w:val="001B667A"/>
    <w:rsid w:val="001B66CC"/>
    <w:rsid w:val="001B67B8"/>
    <w:rsid w:val="001B6951"/>
    <w:rsid w:val="001B7B5A"/>
    <w:rsid w:val="001B7DA3"/>
    <w:rsid w:val="001C0850"/>
    <w:rsid w:val="001C1842"/>
    <w:rsid w:val="001C184F"/>
    <w:rsid w:val="001C26D8"/>
    <w:rsid w:val="001C26F9"/>
    <w:rsid w:val="001C2BE9"/>
    <w:rsid w:val="001C2D32"/>
    <w:rsid w:val="001C2DF9"/>
    <w:rsid w:val="001C33A8"/>
    <w:rsid w:val="001C360C"/>
    <w:rsid w:val="001C3A08"/>
    <w:rsid w:val="001C3F30"/>
    <w:rsid w:val="001C3FBB"/>
    <w:rsid w:val="001C42FF"/>
    <w:rsid w:val="001C4340"/>
    <w:rsid w:val="001C455D"/>
    <w:rsid w:val="001C45E1"/>
    <w:rsid w:val="001C5B12"/>
    <w:rsid w:val="001C5CD8"/>
    <w:rsid w:val="001C6026"/>
    <w:rsid w:val="001C6C7B"/>
    <w:rsid w:val="001C6C90"/>
    <w:rsid w:val="001C6CF9"/>
    <w:rsid w:val="001C6DB0"/>
    <w:rsid w:val="001C7190"/>
    <w:rsid w:val="001C798D"/>
    <w:rsid w:val="001C7FF0"/>
    <w:rsid w:val="001D0767"/>
    <w:rsid w:val="001D0830"/>
    <w:rsid w:val="001D0C1B"/>
    <w:rsid w:val="001D0D52"/>
    <w:rsid w:val="001D0D8E"/>
    <w:rsid w:val="001D1B5D"/>
    <w:rsid w:val="001D1DFC"/>
    <w:rsid w:val="001D2C3A"/>
    <w:rsid w:val="001D2F5A"/>
    <w:rsid w:val="001D334C"/>
    <w:rsid w:val="001D381A"/>
    <w:rsid w:val="001D39AE"/>
    <w:rsid w:val="001D3A6B"/>
    <w:rsid w:val="001D3B66"/>
    <w:rsid w:val="001D3D78"/>
    <w:rsid w:val="001D3F65"/>
    <w:rsid w:val="001D4149"/>
    <w:rsid w:val="001D41E8"/>
    <w:rsid w:val="001D475D"/>
    <w:rsid w:val="001D4CCE"/>
    <w:rsid w:val="001D50F1"/>
    <w:rsid w:val="001D583E"/>
    <w:rsid w:val="001D5C75"/>
    <w:rsid w:val="001D5D66"/>
    <w:rsid w:val="001D5DC2"/>
    <w:rsid w:val="001D63A3"/>
    <w:rsid w:val="001D65F6"/>
    <w:rsid w:val="001D6785"/>
    <w:rsid w:val="001D69C1"/>
    <w:rsid w:val="001D6D7B"/>
    <w:rsid w:val="001D7578"/>
    <w:rsid w:val="001D7B26"/>
    <w:rsid w:val="001E03A5"/>
    <w:rsid w:val="001E080D"/>
    <w:rsid w:val="001E0916"/>
    <w:rsid w:val="001E094E"/>
    <w:rsid w:val="001E0BDF"/>
    <w:rsid w:val="001E0E2F"/>
    <w:rsid w:val="001E0FD6"/>
    <w:rsid w:val="001E1029"/>
    <w:rsid w:val="001E11B9"/>
    <w:rsid w:val="001E1987"/>
    <w:rsid w:val="001E1993"/>
    <w:rsid w:val="001E19E5"/>
    <w:rsid w:val="001E204B"/>
    <w:rsid w:val="001E23BD"/>
    <w:rsid w:val="001E27D5"/>
    <w:rsid w:val="001E2990"/>
    <w:rsid w:val="001E321E"/>
    <w:rsid w:val="001E337A"/>
    <w:rsid w:val="001E3638"/>
    <w:rsid w:val="001E3667"/>
    <w:rsid w:val="001E4056"/>
    <w:rsid w:val="001E4184"/>
    <w:rsid w:val="001E4230"/>
    <w:rsid w:val="001E439D"/>
    <w:rsid w:val="001E4647"/>
    <w:rsid w:val="001E4DF4"/>
    <w:rsid w:val="001E4E93"/>
    <w:rsid w:val="001E60DC"/>
    <w:rsid w:val="001E6492"/>
    <w:rsid w:val="001E685D"/>
    <w:rsid w:val="001E6A8E"/>
    <w:rsid w:val="001E726C"/>
    <w:rsid w:val="001E761B"/>
    <w:rsid w:val="001E7822"/>
    <w:rsid w:val="001E7836"/>
    <w:rsid w:val="001E7CEA"/>
    <w:rsid w:val="001F0805"/>
    <w:rsid w:val="001F0A7E"/>
    <w:rsid w:val="001F0AC0"/>
    <w:rsid w:val="001F0F1A"/>
    <w:rsid w:val="001F17DB"/>
    <w:rsid w:val="001F189F"/>
    <w:rsid w:val="001F1A33"/>
    <w:rsid w:val="001F1DC8"/>
    <w:rsid w:val="001F1DE0"/>
    <w:rsid w:val="001F245F"/>
    <w:rsid w:val="001F24AC"/>
    <w:rsid w:val="001F266C"/>
    <w:rsid w:val="001F2CEB"/>
    <w:rsid w:val="001F2D18"/>
    <w:rsid w:val="001F385F"/>
    <w:rsid w:val="001F3BE9"/>
    <w:rsid w:val="001F3FD7"/>
    <w:rsid w:val="001F413B"/>
    <w:rsid w:val="001F42A2"/>
    <w:rsid w:val="001F4FE3"/>
    <w:rsid w:val="001F500F"/>
    <w:rsid w:val="001F51D7"/>
    <w:rsid w:val="001F58B8"/>
    <w:rsid w:val="001F5DB7"/>
    <w:rsid w:val="001F62DC"/>
    <w:rsid w:val="001F6338"/>
    <w:rsid w:val="001F6D00"/>
    <w:rsid w:val="001F76C8"/>
    <w:rsid w:val="002001E8"/>
    <w:rsid w:val="0020047E"/>
    <w:rsid w:val="00200602"/>
    <w:rsid w:val="00200A9C"/>
    <w:rsid w:val="00200CDD"/>
    <w:rsid w:val="00200F47"/>
    <w:rsid w:val="0020124F"/>
    <w:rsid w:val="0020137E"/>
    <w:rsid w:val="002016A0"/>
    <w:rsid w:val="00202220"/>
    <w:rsid w:val="00202545"/>
    <w:rsid w:val="002027EB"/>
    <w:rsid w:val="00202CA4"/>
    <w:rsid w:val="00202E32"/>
    <w:rsid w:val="002032D0"/>
    <w:rsid w:val="00203331"/>
    <w:rsid w:val="00203885"/>
    <w:rsid w:val="00203E52"/>
    <w:rsid w:val="0020403B"/>
    <w:rsid w:val="00204048"/>
    <w:rsid w:val="0020475E"/>
    <w:rsid w:val="002052FA"/>
    <w:rsid w:val="00205B95"/>
    <w:rsid w:val="00205F84"/>
    <w:rsid w:val="00206177"/>
    <w:rsid w:val="002067FC"/>
    <w:rsid w:val="00206A2E"/>
    <w:rsid w:val="00206BBE"/>
    <w:rsid w:val="00206CDF"/>
    <w:rsid w:val="00206D7F"/>
    <w:rsid w:val="00207075"/>
    <w:rsid w:val="00207487"/>
    <w:rsid w:val="0020786F"/>
    <w:rsid w:val="00207AFA"/>
    <w:rsid w:val="00210283"/>
    <w:rsid w:val="00211068"/>
    <w:rsid w:val="00211A9F"/>
    <w:rsid w:val="00211AD1"/>
    <w:rsid w:val="00211AE8"/>
    <w:rsid w:val="00211C05"/>
    <w:rsid w:val="00211EA4"/>
    <w:rsid w:val="0021218D"/>
    <w:rsid w:val="00212873"/>
    <w:rsid w:val="00212DCF"/>
    <w:rsid w:val="002134FF"/>
    <w:rsid w:val="0021364C"/>
    <w:rsid w:val="00214165"/>
    <w:rsid w:val="002149B6"/>
    <w:rsid w:val="00214EB4"/>
    <w:rsid w:val="00215597"/>
    <w:rsid w:val="00215837"/>
    <w:rsid w:val="002161C1"/>
    <w:rsid w:val="002162E7"/>
    <w:rsid w:val="00216B79"/>
    <w:rsid w:val="00217711"/>
    <w:rsid w:val="00220DC6"/>
    <w:rsid w:val="00220ECB"/>
    <w:rsid w:val="0022157D"/>
    <w:rsid w:val="00221C0A"/>
    <w:rsid w:val="00221CC7"/>
    <w:rsid w:val="0022259A"/>
    <w:rsid w:val="00222656"/>
    <w:rsid w:val="00222673"/>
    <w:rsid w:val="002226E3"/>
    <w:rsid w:val="002228B5"/>
    <w:rsid w:val="00222A76"/>
    <w:rsid w:val="00222E6A"/>
    <w:rsid w:val="002232AB"/>
    <w:rsid w:val="002237DA"/>
    <w:rsid w:val="00223B0C"/>
    <w:rsid w:val="00223FE7"/>
    <w:rsid w:val="00224338"/>
    <w:rsid w:val="00224BDF"/>
    <w:rsid w:val="00225052"/>
    <w:rsid w:val="0022508C"/>
    <w:rsid w:val="0022598E"/>
    <w:rsid w:val="00226398"/>
    <w:rsid w:val="00226535"/>
    <w:rsid w:val="002269AE"/>
    <w:rsid w:val="00226D73"/>
    <w:rsid w:val="0022747E"/>
    <w:rsid w:val="0022762F"/>
    <w:rsid w:val="00227D65"/>
    <w:rsid w:val="00227E4A"/>
    <w:rsid w:val="00230002"/>
    <w:rsid w:val="0023078B"/>
    <w:rsid w:val="00230F40"/>
    <w:rsid w:val="0023133A"/>
    <w:rsid w:val="0023179B"/>
    <w:rsid w:val="00231B1D"/>
    <w:rsid w:val="00231CD3"/>
    <w:rsid w:val="00232092"/>
    <w:rsid w:val="0023292D"/>
    <w:rsid w:val="00233562"/>
    <w:rsid w:val="0023440D"/>
    <w:rsid w:val="002347CD"/>
    <w:rsid w:val="002349E7"/>
    <w:rsid w:val="00234A10"/>
    <w:rsid w:val="00234A38"/>
    <w:rsid w:val="00234C2A"/>
    <w:rsid w:val="0023532F"/>
    <w:rsid w:val="00235996"/>
    <w:rsid w:val="002359AE"/>
    <w:rsid w:val="00235CF2"/>
    <w:rsid w:val="00235F9E"/>
    <w:rsid w:val="00236120"/>
    <w:rsid w:val="0023626A"/>
    <w:rsid w:val="00236691"/>
    <w:rsid w:val="002368A1"/>
    <w:rsid w:val="002369DE"/>
    <w:rsid w:val="00236D5E"/>
    <w:rsid w:val="00236EA3"/>
    <w:rsid w:val="00237C9E"/>
    <w:rsid w:val="00237F31"/>
    <w:rsid w:val="002406D1"/>
    <w:rsid w:val="0024089C"/>
    <w:rsid w:val="002413AE"/>
    <w:rsid w:val="00241581"/>
    <w:rsid w:val="00241DC6"/>
    <w:rsid w:val="002425A4"/>
    <w:rsid w:val="002426D0"/>
    <w:rsid w:val="0024296B"/>
    <w:rsid w:val="00242C5E"/>
    <w:rsid w:val="0024387D"/>
    <w:rsid w:val="002439D1"/>
    <w:rsid w:val="00243F9A"/>
    <w:rsid w:val="002442ED"/>
    <w:rsid w:val="00244929"/>
    <w:rsid w:val="00244FA6"/>
    <w:rsid w:val="002455E4"/>
    <w:rsid w:val="0024574E"/>
    <w:rsid w:val="002458A0"/>
    <w:rsid w:val="002458A2"/>
    <w:rsid w:val="002459D8"/>
    <w:rsid w:val="00245B08"/>
    <w:rsid w:val="00245C71"/>
    <w:rsid w:val="00245F3E"/>
    <w:rsid w:val="002462ED"/>
    <w:rsid w:val="0024687F"/>
    <w:rsid w:val="00246AFA"/>
    <w:rsid w:val="00247BD0"/>
    <w:rsid w:val="00247D0C"/>
    <w:rsid w:val="00247F90"/>
    <w:rsid w:val="002509F9"/>
    <w:rsid w:val="00250A63"/>
    <w:rsid w:val="00250B32"/>
    <w:rsid w:val="00250D27"/>
    <w:rsid w:val="0025115F"/>
    <w:rsid w:val="00251434"/>
    <w:rsid w:val="002515B6"/>
    <w:rsid w:val="002519BD"/>
    <w:rsid w:val="002526D4"/>
    <w:rsid w:val="00252946"/>
    <w:rsid w:val="00252F49"/>
    <w:rsid w:val="00253701"/>
    <w:rsid w:val="002537F2"/>
    <w:rsid w:val="00253F33"/>
    <w:rsid w:val="0025431F"/>
    <w:rsid w:val="00254781"/>
    <w:rsid w:val="0025490E"/>
    <w:rsid w:val="00254BFA"/>
    <w:rsid w:val="0025536D"/>
    <w:rsid w:val="002563D4"/>
    <w:rsid w:val="00256C60"/>
    <w:rsid w:val="00256DFE"/>
    <w:rsid w:val="00257B5F"/>
    <w:rsid w:val="00257E06"/>
    <w:rsid w:val="002602FE"/>
    <w:rsid w:val="002607FB"/>
    <w:rsid w:val="0026174D"/>
    <w:rsid w:val="00262107"/>
    <w:rsid w:val="00262878"/>
    <w:rsid w:val="002628CF"/>
    <w:rsid w:val="00262D80"/>
    <w:rsid w:val="00262F85"/>
    <w:rsid w:val="002636B4"/>
    <w:rsid w:val="002637FF"/>
    <w:rsid w:val="00263A10"/>
    <w:rsid w:val="00264586"/>
    <w:rsid w:val="00264651"/>
    <w:rsid w:val="00264786"/>
    <w:rsid w:val="00264F8D"/>
    <w:rsid w:val="002656DF"/>
    <w:rsid w:val="002658B8"/>
    <w:rsid w:val="00265A75"/>
    <w:rsid w:val="00265FB3"/>
    <w:rsid w:val="00266A65"/>
    <w:rsid w:val="002675D7"/>
    <w:rsid w:val="00267BF8"/>
    <w:rsid w:val="0027000A"/>
    <w:rsid w:val="0027028F"/>
    <w:rsid w:val="00270632"/>
    <w:rsid w:val="00270A7E"/>
    <w:rsid w:val="00270D68"/>
    <w:rsid w:val="0027127C"/>
    <w:rsid w:val="0027135E"/>
    <w:rsid w:val="00271449"/>
    <w:rsid w:val="002718C8"/>
    <w:rsid w:val="00271D6C"/>
    <w:rsid w:val="00271D8A"/>
    <w:rsid w:val="00272404"/>
    <w:rsid w:val="00272516"/>
    <w:rsid w:val="0027270E"/>
    <w:rsid w:val="002727B1"/>
    <w:rsid w:val="00272BD5"/>
    <w:rsid w:val="00272C7C"/>
    <w:rsid w:val="00272F5E"/>
    <w:rsid w:val="00273785"/>
    <w:rsid w:val="002739D4"/>
    <w:rsid w:val="00273E86"/>
    <w:rsid w:val="0027510E"/>
    <w:rsid w:val="0027513A"/>
    <w:rsid w:val="002754A6"/>
    <w:rsid w:val="00275717"/>
    <w:rsid w:val="00275B9E"/>
    <w:rsid w:val="002768BC"/>
    <w:rsid w:val="00276A02"/>
    <w:rsid w:val="00276CEE"/>
    <w:rsid w:val="00277763"/>
    <w:rsid w:val="002779EE"/>
    <w:rsid w:val="00277B97"/>
    <w:rsid w:val="00280079"/>
    <w:rsid w:val="00280639"/>
    <w:rsid w:val="00281102"/>
    <w:rsid w:val="0028172F"/>
    <w:rsid w:val="00281A10"/>
    <w:rsid w:val="002820B0"/>
    <w:rsid w:val="0028232C"/>
    <w:rsid w:val="00282541"/>
    <w:rsid w:val="00282745"/>
    <w:rsid w:val="00282D5E"/>
    <w:rsid w:val="0028351E"/>
    <w:rsid w:val="00283AFD"/>
    <w:rsid w:val="00283B9B"/>
    <w:rsid w:val="00284168"/>
    <w:rsid w:val="00284731"/>
    <w:rsid w:val="00284937"/>
    <w:rsid w:val="00284E66"/>
    <w:rsid w:val="00285EDF"/>
    <w:rsid w:val="00285F70"/>
    <w:rsid w:val="0028629C"/>
    <w:rsid w:val="00286389"/>
    <w:rsid w:val="00286BA8"/>
    <w:rsid w:val="002879B4"/>
    <w:rsid w:val="00287A28"/>
    <w:rsid w:val="00287A54"/>
    <w:rsid w:val="00287A86"/>
    <w:rsid w:val="0029014A"/>
    <w:rsid w:val="00290652"/>
    <w:rsid w:val="0029067C"/>
    <w:rsid w:val="00290907"/>
    <w:rsid w:val="00290A78"/>
    <w:rsid w:val="002910F2"/>
    <w:rsid w:val="002912C5"/>
    <w:rsid w:val="00291384"/>
    <w:rsid w:val="002916D3"/>
    <w:rsid w:val="00291ABD"/>
    <w:rsid w:val="00291ACA"/>
    <w:rsid w:val="00291E89"/>
    <w:rsid w:val="00291FC7"/>
    <w:rsid w:val="0029226D"/>
    <w:rsid w:val="002923BA"/>
    <w:rsid w:val="002924C0"/>
    <w:rsid w:val="002926C4"/>
    <w:rsid w:val="0029271B"/>
    <w:rsid w:val="00292855"/>
    <w:rsid w:val="00292BCA"/>
    <w:rsid w:val="00293257"/>
    <w:rsid w:val="00293453"/>
    <w:rsid w:val="002939E3"/>
    <w:rsid w:val="00293C8B"/>
    <w:rsid w:val="00294912"/>
    <w:rsid w:val="00294ACA"/>
    <w:rsid w:val="00294D82"/>
    <w:rsid w:val="00294EB2"/>
    <w:rsid w:val="002958AA"/>
    <w:rsid w:val="00295A44"/>
    <w:rsid w:val="00297140"/>
    <w:rsid w:val="00297766"/>
    <w:rsid w:val="00297A0D"/>
    <w:rsid w:val="00297B1F"/>
    <w:rsid w:val="00297B6F"/>
    <w:rsid w:val="00297F52"/>
    <w:rsid w:val="00297F5A"/>
    <w:rsid w:val="002A0747"/>
    <w:rsid w:val="002A1598"/>
    <w:rsid w:val="002A174B"/>
    <w:rsid w:val="002A1776"/>
    <w:rsid w:val="002A184E"/>
    <w:rsid w:val="002A1C95"/>
    <w:rsid w:val="002A2322"/>
    <w:rsid w:val="002A2369"/>
    <w:rsid w:val="002A2711"/>
    <w:rsid w:val="002A2990"/>
    <w:rsid w:val="002A2A53"/>
    <w:rsid w:val="002A303D"/>
    <w:rsid w:val="002A313D"/>
    <w:rsid w:val="002A3A80"/>
    <w:rsid w:val="002A3EDA"/>
    <w:rsid w:val="002A41D7"/>
    <w:rsid w:val="002A4800"/>
    <w:rsid w:val="002A4C04"/>
    <w:rsid w:val="002A4CC2"/>
    <w:rsid w:val="002A4FF6"/>
    <w:rsid w:val="002A5A72"/>
    <w:rsid w:val="002A61C2"/>
    <w:rsid w:val="002A6260"/>
    <w:rsid w:val="002A693A"/>
    <w:rsid w:val="002A7433"/>
    <w:rsid w:val="002A7D9B"/>
    <w:rsid w:val="002B0254"/>
    <w:rsid w:val="002B0663"/>
    <w:rsid w:val="002B0A88"/>
    <w:rsid w:val="002B17F9"/>
    <w:rsid w:val="002B18FF"/>
    <w:rsid w:val="002B1940"/>
    <w:rsid w:val="002B1D59"/>
    <w:rsid w:val="002B252C"/>
    <w:rsid w:val="002B2793"/>
    <w:rsid w:val="002B2D7F"/>
    <w:rsid w:val="002B2D96"/>
    <w:rsid w:val="002B2E21"/>
    <w:rsid w:val="002B2E48"/>
    <w:rsid w:val="002B328A"/>
    <w:rsid w:val="002B351A"/>
    <w:rsid w:val="002B368C"/>
    <w:rsid w:val="002B3FBA"/>
    <w:rsid w:val="002B640B"/>
    <w:rsid w:val="002B68BE"/>
    <w:rsid w:val="002B6ACD"/>
    <w:rsid w:val="002B6C25"/>
    <w:rsid w:val="002B75EE"/>
    <w:rsid w:val="002B7644"/>
    <w:rsid w:val="002B7A1E"/>
    <w:rsid w:val="002B7B7F"/>
    <w:rsid w:val="002B7D79"/>
    <w:rsid w:val="002C019A"/>
    <w:rsid w:val="002C02B0"/>
    <w:rsid w:val="002C0B61"/>
    <w:rsid w:val="002C0DCE"/>
    <w:rsid w:val="002C13CE"/>
    <w:rsid w:val="002C146C"/>
    <w:rsid w:val="002C2160"/>
    <w:rsid w:val="002C27AC"/>
    <w:rsid w:val="002C29B3"/>
    <w:rsid w:val="002C2B8B"/>
    <w:rsid w:val="002C2BEE"/>
    <w:rsid w:val="002C3038"/>
    <w:rsid w:val="002C3066"/>
    <w:rsid w:val="002C3540"/>
    <w:rsid w:val="002C38DD"/>
    <w:rsid w:val="002C4169"/>
    <w:rsid w:val="002C4416"/>
    <w:rsid w:val="002C44E0"/>
    <w:rsid w:val="002C4520"/>
    <w:rsid w:val="002C491A"/>
    <w:rsid w:val="002C4AA4"/>
    <w:rsid w:val="002C52BB"/>
    <w:rsid w:val="002C52CD"/>
    <w:rsid w:val="002C539F"/>
    <w:rsid w:val="002C5B50"/>
    <w:rsid w:val="002C6327"/>
    <w:rsid w:val="002C678B"/>
    <w:rsid w:val="002C6FEC"/>
    <w:rsid w:val="002C6FF5"/>
    <w:rsid w:val="002C73D3"/>
    <w:rsid w:val="002C7718"/>
    <w:rsid w:val="002C78BE"/>
    <w:rsid w:val="002C7C48"/>
    <w:rsid w:val="002D0A10"/>
    <w:rsid w:val="002D0C64"/>
    <w:rsid w:val="002D0E3E"/>
    <w:rsid w:val="002D1179"/>
    <w:rsid w:val="002D19FC"/>
    <w:rsid w:val="002D1B65"/>
    <w:rsid w:val="002D1D4C"/>
    <w:rsid w:val="002D1D98"/>
    <w:rsid w:val="002D1E0D"/>
    <w:rsid w:val="002D1F4C"/>
    <w:rsid w:val="002D234E"/>
    <w:rsid w:val="002D2477"/>
    <w:rsid w:val="002D2E76"/>
    <w:rsid w:val="002D3E3A"/>
    <w:rsid w:val="002D44ED"/>
    <w:rsid w:val="002D4FEC"/>
    <w:rsid w:val="002D55AE"/>
    <w:rsid w:val="002D55C5"/>
    <w:rsid w:val="002D567F"/>
    <w:rsid w:val="002D60B1"/>
    <w:rsid w:val="002D60B5"/>
    <w:rsid w:val="002D625F"/>
    <w:rsid w:val="002D67EA"/>
    <w:rsid w:val="002D69A7"/>
    <w:rsid w:val="002D73AF"/>
    <w:rsid w:val="002D76A9"/>
    <w:rsid w:val="002D7C96"/>
    <w:rsid w:val="002E01A1"/>
    <w:rsid w:val="002E0C2C"/>
    <w:rsid w:val="002E0D07"/>
    <w:rsid w:val="002E0E39"/>
    <w:rsid w:val="002E12DC"/>
    <w:rsid w:val="002E1DF5"/>
    <w:rsid w:val="002E1F9F"/>
    <w:rsid w:val="002E2C71"/>
    <w:rsid w:val="002E3050"/>
    <w:rsid w:val="002E3443"/>
    <w:rsid w:val="002E3D1A"/>
    <w:rsid w:val="002E428D"/>
    <w:rsid w:val="002E4443"/>
    <w:rsid w:val="002E4863"/>
    <w:rsid w:val="002E50AE"/>
    <w:rsid w:val="002E51AE"/>
    <w:rsid w:val="002E543D"/>
    <w:rsid w:val="002E5474"/>
    <w:rsid w:val="002E55AD"/>
    <w:rsid w:val="002E5837"/>
    <w:rsid w:val="002E5882"/>
    <w:rsid w:val="002E59D5"/>
    <w:rsid w:val="002E5EB9"/>
    <w:rsid w:val="002E60FE"/>
    <w:rsid w:val="002E6660"/>
    <w:rsid w:val="002E6F8B"/>
    <w:rsid w:val="002E70D8"/>
    <w:rsid w:val="002E7B13"/>
    <w:rsid w:val="002F0297"/>
    <w:rsid w:val="002F06E2"/>
    <w:rsid w:val="002F0983"/>
    <w:rsid w:val="002F13CE"/>
    <w:rsid w:val="002F1844"/>
    <w:rsid w:val="002F1F66"/>
    <w:rsid w:val="002F2D5E"/>
    <w:rsid w:val="002F3598"/>
    <w:rsid w:val="002F38BF"/>
    <w:rsid w:val="002F3C25"/>
    <w:rsid w:val="002F3C75"/>
    <w:rsid w:val="002F3EF5"/>
    <w:rsid w:val="002F4523"/>
    <w:rsid w:val="002F4730"/>
    <w:rsid w:val="002F47C4"/>
    <w:rsid w:val="002F4A9A"/>
    <w:rsid w:val="002F4B71"/>
    <w:rsid w:val="002F4C62"/>
    <w:rsid w:val="002F512F"/>
    <w:rsid w:val="002F5698"/>
    <w:rsid w:val="002F6020"/>
    <w:rsid w:val="002F6129"/>
    <w:rsid w:val="002F7268"/>
    <w:rsid w:val="002F7418"/>
    <w:rsid w:val="002F7DA3"/>
    <w:rsid w:val="002F7E42"/>
    <w:rsid w:val="0030033D"/>
    <w:rsid w:val="0030058A"/>
    <w:rsid w:val="0030088B"/>
    <w:rsid w:val="00300A39"/>
    <w:rsid w:val="00300E3B"/>
    <w:rsid w:val="00300F53"/>
    <w:rsid w:val="0030105C"/>
    <w:rsid w:val="0030153E"/>
    <w:rsid w:val="00302015"/>
    <w:rsid w:val="00302264"/>
    <w:rsid w:val="003027B9"/>
    <w:rsid w:val="00302E0C"/>
    <w:rsid w:val="00302F46"/>
    <w:rsid w:val="00303235"/>
    <w:rsid w:val="00303237"/>
    <w:rsid w:val="003034B0"/>
    <w:rsid w:val="0030379B"/>
    <w:rsid w:val="00304339"/>
    <w:rsid w:val="00304A6A"/>
    <w:rsid w:val="00304BA3"/>
    <w:rsid w:val="003055EA"/>
    <w:rsid w:val="003057CA"/>
    <w:rsid w:val="003059D1"/>
    <w:rsid w:val="003066B8"/>
    <w:rsid w:val="00306986"/>
    <w:rsid w:val="00307675"/>
    <w:rsid w:val="00307B6A"/>
    <w:rsid w:val="00307CBA"/>
    <w:rsid w:val="00307FF6"/>
    <w:rsid w:val="00310052"/>
    <w:rsid w:val="00310256"/>
    <w:rsid w:val="0031029C"/>
    <w:rsid w:val="0031079F"/>
    <w:rsid w:val="00310A1D"/>
    <w:rsid w:val="00311080"/>
    <w:rsid w:val="0031121A"/>
    <w:rsid w:val="00311598"/>
    <w:rsid w:val="00311703"/>
    <w:rsid w:val="003118CB"/>
    <w:rsid w:val="00311A3B"/>
    <w:rsid w:val="003126E6"/>
    <w:rsid w:val="00312894"/>
    <w:rsid w:val="00312CC0"/>
    <w:rsid w:val="00313111"/>
    <w:rsid w:val="003136B0"/>
    <w:rsid w:val="0031371B"/>
    <w:rsid w:val="003138E1"/>
    <w:rsid w:val="00313CE4"/>
    <w:rsid w:val="00314441"/>
    <w:rsid w:val="003158ED"/>
    <w:rsid w:val="00315A4F"/>
    <w:rsid w:val="00316E85"/>
    <w:rsid w:val="00316FAF"/>
    <w:rsid w:val="0031FA94"/>
    <w:rsid w:val="003201AE"/>
    <w:rsid w:val="00320488"/>
    <w:rsid w:val="003204DB"/>
    <w:rsid w:val="00320746"/>
    <w:rsid w:val="00321472"/>
    <w:rsid w:val="003217E0"/>
    <w:rsid w:val="00321BC6"/>
    <w:rsid w:val="00323064"/>
    <w:rsid w:val="00323832"/>
    <w:rsid w:val="00323E10"/>
    <w:rsid w:val="00323F2B"/>
    <w:rsid w:val="00323F47"/>
    <w:rsid w:val="0032427E"/>
    <w:rsid w:val="00324AF4"/>
    <w:rsid w:val="00324B43"/>
    <w:rsid w:val="00325213"/>
    <w:rsid w:val="00325437"/>
    <w:rsid w:val="00325514"/>
    <w:rsid w:val="00325753"/>
    <w:rsid w:val="0032597B"/>
    <w:rsid w:val="0032615B"/>
    <w:rsid w:val="00327027"/>
    <w:rsid w:val="00327142"/>
    <w:rsid w:val="003273EC"/>
    <w:rsid w:val="00327558"/>
    <w:rsid w:val="003277E3"/>
    <w:rsid w:val="0032F5C0"/>
    <w:rsid w:val="0033019D"/>
    <w:rsid w:val="00330A30"/>
    <w:rsid w:val="00330B65"/>
    <w:rsid w:val="003315DD"/>
    <w:rsid w:val="003317E0"/>
    <w:rsid w:val="003327A6"/>
    <w:rsid w:val="00332A1C"/>
    <w:rsid w:val="00332B7F"/>
    <w:rsid w:val="00332D1A"/>
    <w:rsid w:val="0033322B"/>
    <w:rsid w:val="00333253"/>
    <w:rsid w:val="0033384B"/>
    <w:rsid w:val="0033461F"/>
    <w:rsid w:val="00334ACF"/>
    <w:rsid w:val="00335953"/>
    <w:rsid w:val="00335E8E"/>
    <w:rsid w:val="003360EB"/>
    <w:rsid w:val="00336200"/>
    <w:rsid w:val="0033634C"/>
    <w:rsid w:val="0033645D"/>
    <w:rsid w:val="0033673E"/>
    <w:rsid w:val="003367C9"/>
    <w:rsid w:val="00337AE1"/>
    <w:rsid w:val="0034032F"/>
    <w:rsid w:val="0034084C"/>
    <w:rsid w:val="00340CDD"/>
    <w:rsid w:val="00340F1A"/>
    <w:rsid w:val="00341074"/>
    <w:rsid w:val="003415D3"/>
    <w:rsid w:val="00341911"/>
    <w:rsid w:val="00341931"/>
    <w:rsid w:val="00341F36"/>
    <w:rsid w:val="0034228D"/>
    <w:rsid w:val="003427D3"/>
    <w:rsid w:val="00342815"/>
    <w:rsid w:val="00342F28"/>
    <w:rsid w:val="00343363"/>
    <w:rsid w:val="00343454"/>
    <w:rsid w:val="00343782"/>
    <w:rsid w:val="0034385D"/>
    <w:rsid w:val="0034390D"/>
    <w:rsid w:val="00343BC6"/>
    <w:rsid w:val="00343D82"/>
    <w:rsid w:val="00343E23"/>
    <w:rsid w:val="00343ED6"/>
    <w:rsid w:val="00343F36"/>
    <w:rsid w:val="00344078"/>
    <w:rsid w:val="003445F5"/>
    <w:rsid w:val="00344898"/>
    <w:rsid w:val="0034558D"/>
    <w:rsid w:val="00346069"/>
    <w:rsid w:val="00346110"/>
    <w:rsid w:val="00346669"/>
    <w:rsid w:val="0034697B"/>
    <w:rsid w:val="00346DC5"/>
    <w:rsid w:val="00347F09"/>
    <w:rsid w:val="0035002B"/>
    <w:rsid w:val="003510C9"/>
    <w:rsid w:val="0035120C"/>
    <w:rsid w:val="0035127F"/>
    <w:rsid w:val="003519C2"/>
    <w:rsid w:val="00351B0E"/>
    <w:rsid w:val="003523DF"/>
    <w:rsid w:val="0035262F"/>
    <w:rsid w:val="00352A91"/>
    <w:rsid w:val="00352B7C"/>
    <w:rsid w:val="00352D0B"/>
    <w:rsid w:val="00352ED4"/>
    <w:rsid w:val="0035337A"/>
    <w:rsid w:val="00353624"/>
    <w:rsid w:val="0035380D"/>
    <w:rsid w:val="00353D46"/>
    <w:rsid w:val="00353ED0"/>
    <w:rsid w:val="003542A1"/>
    <w:rsid w:val="003545E5"/>
    <w:rsid w:val="00354A85"/>
    <w:rsid w:val="00354B19"/>
    <w:rsid w:val="00354B3F"/>
    <w:rsid w:val="00355013"/>
    <w:rsid w:val="00355077"/>
    <w:rsid w:val="003554F5"/>
    <w:rsid w:val="0035612D"/>
    <w:rsid w:val="00356390"/>
    <w:rsid w:val="003564F3"/>
    <w:rsid w:val="003566FC"/>
    <w:rsid w:val="00356A19"/>
    <w:rsid w:val="00356A74"/>
    <w:rsid w:val="003577C2"/>
    <w:rsid w:val="00357932"/>
    <w:rsid w:val="0035799A"/>
    <w:rsid w:val="003604FE"/>
    <w:rsid w:val="00360AF7"/>
    <w:rsid w:val="00360CBA"/>
    <w:rsid w:val="00360CFE"/>
    <w:rsid w:val="00361166"/>
    <w:rsid w:val="003612CF"/>
    <w:rsid w:val="00361820"/>
    <w:rsid w:val="00362F30"/>
    <w:rsid w:val="0036374A"/>
    <w:rsid w:val="00363888"/>
    <w:rsid w:val="003639B6"/>
    <w:rsid w:val="00363AFF"/>
    <w:rsid w:val="00363D21"/>
    <w:rsid w:val="00364106"/>
    <w:rsid w:val="003645E6"/>
    <w:rsid w:val="00364667"/>
    <w:rsid w:val="00364EA0"/>
    <w:rsid w:val="00365302"/>
    <w:rsid w:val="00365658"/>
    <w:rsid w:val="00365A1D"/>
    <w:rsid w:val="00365E80"/>
    <w:rsid w:val="003660F7"/>
    <w:rsid w:val="00366C23"/>
    <w:rsid w:val="003671C5"/>
    <w:rsid w:val="003673C3"/>
    <w:rsid w:val="0036793C"/>
    <w:rsid w:val="003701E7"/>
    <w:rsid w:val="00370C12"/>
    <w:rsid w:val="00370F06"/>
    <w:rsid w:val="00371615"/>
    <w:rsid w:val="00371730"/>
    <w:rsid w:val="00371CE5"/>
    <w:rsid w:val="00371FDB"/>
    <w:rsid w:val="00372811"/>
    <w:rsid w:val="00372E3F"/>
    <w:rsid w:val="00372F3B"/>
    <w:rsid w:val="00373035"/>
    <w:rsid w:val="00373420"/>
    <w:rsid w:val="00373E39"/>
    <w:rsid w:val="00373F5E"/>
    <w:rsid w:val="00374215"/>
    <w:rsid w:val="0037508A"/>
    <w:rsid w:val="00375341"/>
    <w:rsid w:val="003756B5"/>
    <w:rsid w:val="00376444"/>
    <w:rsid w:val="003764FB"/>
    <w:rsid w:val="00376B16"/>
    <w:rsid w:val="00376BE4"/>
    <w:rsid w:val="00376E26"/>
    <w:rsid w:val="0037730D"/>
    <w:rsid w:val="003775D0"/>
    <w:rsid w:val="00377658"/>
    <w:rsid w:val="0038028B"/>
    <w:rsid w:val="003802AC"/>
    <w:rsid w:val="003805C0"/>
    <w:rsid w:val="00380AFF"/>
    <w:rsid w:val="00381194"/>
    <w:rsid w:val="0038147F"/>
    <w:rsid w:val="00381C9C"/>
    <w:rsid w:val="00382507"/>
    <w:rsid w:val="003825CD"/>
    <w:rsid w:val="003828C0"/>
    <w:rsid w:val="00382EE1"/>
    <w:rsid w:val="0038367D"/>
    <w:rsid w:val="00383F7D"/>
    <w:rsid w:val="0038433C"/>
    <w:rsid w:val="00384434"/>
    <w:rsid w:val="0038454C"/>
    <w:rsid w:val="00384A9B"/>
    <w:rsid w:val="00385263"/>
    <w:rsid w:val="003856D1"/>
    <w:rsid w:val="00385C77"/>
    <w:rsid w:val="0038625F"/>
    <w:rsid w:val="0038678C"/>
    <w:rsid w:val="003869D3"/>
    <w:rsid w:val="00386BAB"/>
    <w:rsid w:val="00386C14"/>
    <w:rsid w:val="00386C6E"/>
    <w:rsid w:val="003871E3"/>
    <w:rsid w:val="00387276"/>
    <w:rsid w:val="0038756D"/>
    <w:rsid w:val="00387754"/>
    <w:rsid w:val="00387C41"/>
    <w:rsid w:val="00387D0F"/>
    <w:rsid w:val="00387FDD"/>
    <w:rsid w:val="00390419"/>
    <w:rsid w:val="00390B96"/>
    <w:rsid w:val="00391108"/>
    <w:rsid w:val="003912A4"/>
    <w:rsid w:val="003915CD"/>
    <w:rsid w:val="00391882"/>
    <w:rsid w:val="00391C8B"/>
    <w:rsid w:val="00391CA5"/>
    <w:rsid w:val="00392605"/>
    <w:rsid w:val="00392913"/>
    <w:rsid w:val="00392A59"/>
    <w:rsid w:val="003933B6"/>
    <w:rsid w:val="003933C3"/>
    <w:rsid w:val="00393646"/>
    <w:rsid w:val="00393813"/>
    <w:rsid w:val="00393978"/>
    <w:rsid w:val="00393DA7"/>
    <w:rsid w:val="0039403B"/>
    <w:rsid w:val="0039413C"/>
    <w:rsid w:val="00395951"/>
    <w:rsid w:val="00395959"/>
    <w:rsid w:val="00395B91"/>
    <w:rsid w:val="00395D07"/>
    <w:rsid w:val="00396442"/>
    <w:rsid w:val="003965D7"/>
    <w:rsid w:val="003969FA"/>
    <w:rsid w:val="00396BE7"/>
    <w:rsid w:val="00396CDE"/>
    <w:rsid w:val="00396D16"/>
    <w:rsid w:val="003A032A"/>
    <w:rsid w:val="003A0D1B"/>
    <w:rsid w:val="003A0E46"/>
    <w:rsid w:val="003A0F1E"/>
    <w:rsid w:val="003A12FE"/>
    <w:rsid w:val="003A1343"/>
    <w:rsid w:val="003A13FE"/>
    <w:rsid w:val="003A1FEA"/>
    <w:rsid w:val="003A2AFC"/>
    <w:rsid w:val="003A2C89"/>
    <w:rsid w:val="003A3090"/>
    <w:rsid w:val="003A30F6"/>
    <w:rsid w:val="003A34E6"/>
    <w:rsid w:val="003A365C"/>
    <w:rsid w:val="003A36AD"/>
    <w:rsid w:val="003A379D"/>
    <w:rsid w:val="003A3F44"/>
    <w:rsid w:val="003A3FC1"/>
    <w:rsid w:val="003A4FE9"/>
    <w:rsid w:val="003A55AA"/>
    <w:rsid w:val="003A57A7"/>
    <w:rsid w:val="003A5BA8"/>
    <w:rsid w:val="003A626F"/>
    <w:rsid w:val="003A63BF"/>
    <w:rsid w:val="003A7494"/>
    <w:rsid w:val="003A7C60"/>
    <w:rsid w:val="003B08C1"/>
    <w:rsid w:val="003B0AD4"/>
    <w:rsid w:val="003B0D38"/>
    <w:rsid w:val="003B0EDD"/>
    <w:rsid w:val="003B1666"/>
    <w:rsid w:val="003B16A7"/>
    <w:rsid w:val="003B1CAD"/>
    <w:rsid w:val="003B1FB3"/>
    <w:rsid w:val="003B213F"/>
    <w:rsid w:val="003B21B3"/>
    <w:rsid w:val="003B247B"/>
    <w:rsid w:val="003B2572"/>
    <w:rsid w:val="003B25E8"/>
    <w:rsid w:val="003B28A6"/>
    <w:rsid w:val="003B28CA"/>
    <w:rsid w:val="003B29C1"/>
    <w:rsid w:val="003B2A25"/>
    <w:rsid w:val="003B2B46"/>
    <w:rsid w:val="003B2C94"/>
    <w:rsid w:val="003B3F47"/>
    <w:rsid w:val="003B4717"/>
    <w:rsid w:val="003B48AB"/>
    <w:rsid w:val="003B49C2"/>
    <w:rsid w:val="003B52FA"/>
    <w:rsid w:val="003B56AB"/>
    <w:rsid w:val="003B57B2"/>
    <w:rsid w:val="003B5BCE"/>
    <w:rsid w:val="003B622F"/>
    <w:rsid w:val="003B628B"/>
    <w:rsid w:val="003B68B4"/>
    <w:rsid w:val="003B69D7"/>
    <w:rsid w:val="003B6BDC"/>
    <w:rsid w:val="003B7648"/>
    <w:rsid w:val="003B79B3"/>
    <w:rsid w:val="003C0040"/>
    <w:rsid w:val="003C05A8"/>
    <w:rsid w:val="003C0852"/>
    <w:rsid w:val="003C0EE9"/>
    <w:rsid w:val="003C1081"/>
    <w:rsid w:val="003C20C9"/>
    <w:rsid w:val="003C2373"/>
    <w:rsid w:val="003C2A11"/>
    <w:rsid w:val="003C2BB7"/>
    <w:rsid w:val="003C33AA"/>
    <w:rsid w:val="003C33EE"/>
    <w:rsid w:val="003C347B"/>
    <w:rsid w:val="003C35DD"/>
    <w:rsid w:val="003C366F"/>
    <w:rsid w:val="003C3BD7"/>
    <w:rsid w:val="003C4ACA"/>
    <w:rsid w:val="003C5076"/>
    <w:rsid w:val="003C50CB"/>
    <w:rsid w:val="003C5A9A"/>
    <w:rsid w:val="003C5C31"/>
    <w:rsid w:val="003C60CC"/>
    <w:rsid w:val="003C7015"/>
    <w:rsid w:val="003C7053"/>
    <w:rsid w:val="003C7482"/>
    <w:rsid w:val="003C7B64"/>
    <w:rsid w:val="003D00FF"/>
    <w:rsid w:val="003D07F0"/>
    <w:rsid w:val="003D0892"/>
    <w:rsid w:val="003D0C7F"/>
    <w:rsid w:val="003D0E27"/>
    <w:rsid w:val="003D16F7"/>
    <w:rsid w:val="003D23D6"/>
    <w:rsid w:val="003D2863"/>
    <w:rsid w:val="003D2914"/>
    <w:rsid w:val="003D2B50"/>
    <w:rsid w:val="003D2F97"/>
    <w:rsid w:val="003D3301"/>
    <w:rsid w:val="003D35F7"/>
    <w:rsid w:val="003D4722"/>
    <w:rsid w:val="003D52A6"/>
    <w:rsid w:val="003D5AD5"/>
    <w:rsid w:val="003D62E6"/>
    <w:rsid w:val="003D62F7"/>
    <w:rsid w:val="003D63A8"/>
    <w:rsid w:val="003D63FD"/>
    <w:rsid w:val="003D6487"/>
    <w:rsid w:val="003D6D8A"/>
    <w:rsid w:val="003D6E37"/>
    <w:rsid w:val="003D796E"/>
    <w:rsid w:val="003D7B0F"/>
    <w:rsid w:val="003D7D3C"/>
    <w:rsid w:val="003D7E65"/>
    <w:rsid w:val="003D7EC0"/>
    <w:rsid w:val="003D8AF1"/>
    <w:rsid w:val="003E08E2"/>
    <w:rsid w:val="003E097E"/>
    <w:rsid w:val="003E0983"/>
    <w:rsid w:val="003E0A8B"/>
    <w:rsid w:val="003E0C3E"/>
    <w:rsid w:val="003E0DB3"/>
    <w:rsid w:val="003E0F14"/>
    <w:rsid w:val="003E10A5"/>
    <w:rsid w:val="003E1131"/>
    <w:rsid w:val="003E1157"/>
    <w:rsid w:val="003E169A"/>
    <w:rsid w:val="003E2604"/>
    <w:rsid w:val="003E2C58"/>
    <w:rsid w:val="003E2D9F"/>
    <w:rsid w:val="003E2DB5"/>
    <w:rsid w:val="003E3085"/>
    <w:rsid w:val="003E35F7"/>
    <w:rsid w:val="003E3F96"/>
    <w:rsid w:val="003E4717"/>
    <w:rsid w:val="003E4893"/>
    <w:rsid w:val="003E4ADE"/>
    <w:rsid w:val="003E4F93"/>
    <w:rsid w:val="003E5DAA"/>
    <w:rsid w:val="003E5EC0"/>
    <w:rsid w:val="003E60ED"/>
    <w:rsid w:val="003E6168"/>
    <w:rsid w:val="003E648E"/>
    <w:rsid w:val="003E6C3F"/>
    <w:rsid w:val="003E74D4"/>
    <w:rsid w:val="003E7DBB"/>
    <w:rsid w:val="003F04F4"/>
    <w:rsid w:val="003F0EE3"/>
    <w:rsid w:val="003F177D"/>
    <w:rsid w:val="003F233D"/>
    <w:rsid w:val="003F2347"/>
    <w:rsid w:val="003F2C16"/>
    <w:rsid w:val="003F2D70"/>
    <w:rsid w:val="003F3046"/>
    <w:rsid w:val="003F398F"/>
    <w:rsid w:val="003F3CC4"/>
    <w:rsid w:val="003F3D37"/>
    <w:rsid w:val="003F4148"/>
    <w:rsid w:val="003F4899"/>
    <w:rsid w:val="003F4B79"/>
    <w:rsid w:val="003F4B9B"/>
    <w:rsid w:val="003F5AB9"/>
    <w:rsid w:val="003F5B6B"/>
    <w:rsid w:val="003F5C41"/>
    <w:rsid w:val="003F613C"/>
    <w:rsid w:val="003F690D"/>
    <w:rsid w:val="003F6C65"/>
    <w:rsid w:val="003F6C79"/>
    <w:rsid w:val="003F6E00"/>
    <w:rsid w:val="003F6E65"/>
    <w:rsid w:val="003F6F46"/>
    <w:rsid w:val="003F74F1"/>
    <w:rsid w:val="003F788C"/>
    <w:rsid w:val="003F7E08"/>
    <w:rsid w:val="003F7EC8"/>
    <w:rsid w:val="00400292"/>
    <w:rsid w:val="004009ED"/>
    <w:rsid w:val="00400C81"/>
    <w:rsid w:val="00400E3C"/>
    <w:rsid w:val="0040116D"/>
    <w:rsid w:val="004012DD"/>
    <w:rsid w:val="004012E0"/>
    <w:rsid w:val="00401544"/>
    <w:rsid w:val="0040161B"/>
    <w:rsid w:val="00401787"/>
    <w:rsid w:val="00401E41"/>
    <w:rsid w:val="00402247"/>
    <w:rsid w:val="004027D2"/>
    <w:rsid w:val="0040319F"/>
    <w:rsid w:val="0040348C"/>
    <w:rsid w:val="00403887"/>
    <w:rsid w:val="0040390D"/>
    <w:rsid w:val="00403AEC"/>
    <w:rsid w:val="00403E1B"/>
    <w:rsid w:val="0040431F"/>
    <w:rsid w:val="0040451B"/>
    <w:rsid w:val="0040492B"/>
    <w:rsid w:val="004055B5"/>
    <w:rsid w:val="004056B9"/>
    <w:rsid w:val="00405819"/>
    <w:rsid w:val="00405A0B"/>
    <w:rsid w:val="0040692B"/>
    <w:rsid w:val="00406A7E"/>
    <w:rsid w:val="00406C7A"/>
    <w:rsid w:val="004073ED"/>
    <w:rsid w:val="00407409"/>
    <w:rsid w:val="00407BB1"/>
    <w:rsid w:val="00407C00"/>
    <w:rsid w:val="00407D8D"/>
    <w:rsid w:val="0040A2CB"/>
    <w:rsid w:val="00410AC5"/>
    <w:rsid w:val="00410B30"/>
    <w:rsid w:val="0041114B"/>
    <w:rsid w:val="00411EA7"/>
    <w:rsid w:val="00412667"/>
    <w:rsid w:val="00412A88"/>
    <w:rsid w:val="00413EB5"/>
    <w:rsid w:val="00413EE8"/>
    <w:rsid w:val="00415909"/>
    <w:rsid w:val="0041598B"/>
    <w:rsid w:val="00415AC9"/>
    <w:rsid w:val="00415F1D"/>
    <w:rsid w:val="00416214"/>
    <w:rsid w:val="0041655B"/>
    <w:rsid w:val="004166CE"/>
    <w:rsid w:val="00416FD9"/>
    <w:rsid w:val="00417320"/>
    <w:rsid w:val="0041736E"/>
    <w:rsid w:val="004205AA"/>
    <w:rsid w:val="004208F4"/>
    <w:rsid w:val="00420B24"/>
    <w:rsid w:val="00420F63"/>
    <w:rsid w:val="004216E8"/>
    <w:rsid w:val="0042173A"/>
    <w:rsid w:val="004217A6"/>
    <w:rsid w:val="00421866"/>
    <w:rsid w:val="00421F06"/>
    <w:rsid w:val="0042235D"/>
    <w:rsid w:val="0042236F"/>
    <w:rsid w:val="00422F00"/>
    <w:rsid w:val="00422F32"/>
    <w:rsid w:val="0042336D"/>
    <w:rsid w:val="0042369C"/>
    <w:rsid w:val="00423845"/>
    <w:rsid w:val="004238CD"/>
    <w:rsid w:val="00423EA6"/>
    <w:rsid w:val="004245AE"/>
    <w:rsid w:val="00424994"/>
    <w:rsid w:val="00424CD3"/>
    <w:rsid w:val="00424D47"/>
    <w:rsid w:val="00424FB2"/>
    <w:rsid w:val="00425580"/>
    <w:rsid w:val="00426051"/>
    <w:rsid w:val="004260F0"/>
    <w:rsid w:val="0042634F"/>
    <w:rsid w:val="00426CFF"/>
    <w:rsid w:val="00427069"/>
    <w:rsid w:val="00427543"/>
    <w:rsid w:val="0042A289"/>
    <w:rsid w:val="004302FD"/>
    <w:rsid w:val="00430320"/>
    <w:rsid w:val="00430EAF"/>
    <w:rsid w:val="00431185"/>
    <w:rsid w:val="00431463"/>
    <w:rsid w:val="004314B3"/>
    <w:rsid w:val="004316C5"/>
    <w:rsid w:val="0043274E"/>
    <w:rsid w:val="00432DA6"/>
    <w:rsid w:val="00432EE3"/>
    <w:rsid w:val="004334A5"/>
    <w:rsid w:val="00433E63"/>
    <w:rsid w:val="00433F06"/>
    <w:rsid w:val="004347D9"/>
    <w:rsid w:val="00434CB5"/>
    <w:rsid w:val="00434D4D"/>
    <w:rsid w:val="00435C4D"/>
    <w:rsid w:val="00435CB0"/>
    <w:rsid w:val="00436A56"/>
    <w:rsid w:val="00436D9E"/>
    <w:rsid w:val="00437B8C"/>
    <w:rsid w:val="00440105"/>
    <w:rsid w:val="00440A25"/>
    <w:rsid w:val="0044134D"/>
    <w:rsid w:val="004413CC"/>
    <w:rsid w:val="0044181C"/>
    <w:rsid w:val="00441EE5"/>
    <w:rsid w:val="00441FCC"/>
    <w:rsid w:val="00442B7C"/>
    <w:rsid w:val="00442C86"/>
    <w:rsid w:val="00442E06"/>
    <w:rsid w:val="0044410C"/>
    <w:rsid w:val="004443F5"/>
    <w:rsid w:val="00445B3D"/>
    <w:rsid w:val="00445D95"/>
    <w:rsid w:val="00446B1C"/>
    <w:rsid w:val="00446B8E"/>
    <w:rsid w:val="00447321"/>
    <w:rsid w:val="0044790F"/>
    <w:rsid w:val="00447E7B"/>
    <w:rsid w:val="0045018C"/>
    <w:rsid w:val="004503FB"/>
    <w:rsid w:val="0045081D"/>
    <w:rsid w:val="00450B0C"/>
    <w:rsid w:val="00451141"/>
    <w:rsid w:val="004514F7"/>
    <w:rsid w:val="00451843"/>
    <w:rsid w:val="0045189E"/>
    <w:rsid w:val="00451D55"/>
    <w:rsid w:val="00452464"/>
    <w:rsid w:val="004528B1"/>
    <w:rsid w:val="0045308D"/>
    <w:rsid w:val="0045327D"/>
    <w:rsid w:val="004532FF"/>
    <w:rsid w:val="0045345C"/>
    <w:rsid w:val="004534C6"/>
    <w:rsid w:val="00454481"/>
    <w:rsid w:val="004544BF"/>
    <w:rsid w:val="0045464B"/>
    <w:rsid w:val="00454666"/>
    <w:rsid w:val="004550C3"/>
    <w:rsid w:val="00455558"/>
    <w:rsid w:val="004557BE"/>
    <w:rsid w:val="00455868"/>
    <w:rsid w:val="00455990"/>
    <w:rsid w:val="00455B93"/>
    <w:rsid w:val="00455C74"/>
    <w:rsid w:val="0045607F"/>
    <w:rsid w:val="00456166"/>
    <w:rsid w:val="00456ACF"/>
    <w:rsid w:val="00456CCD"/>
    <w:rsid w:val="0045746B"/>
    <w:rsid w:val="0045761A"/>
    <w:rsid w:val="004578A9"/>
    <w:rsid w:val="00457A36"/>
    <w:rsid w:val="00457E5C"/>
    <w:rsid w:val="0045A72C"/>
    <w:rsid w:val="00460557"/>
    <w:rsid w:val="00460914"/>
    <w:rsid w:val="00460B1D"/>
    <w:rsid w:val="004610CE"/>
    <w:rsid w:val="00461436"/>
    <w:rsid w:val="00461B7D"/>
    <w:rsid w:val="00461BA0"/>
    <w:rsid w:val="00461E40"/>
    <w:rsid w:val="00461EC6"/>
    <w:rsid w:val="00461F20"/>
    <w:rsid w:val="0046249F"/>
    <w:rsid w:val="00462D39"/>
    <w:rsid w:val="00462E87"/>
    <w:rsid w:val="00463968"/>
    <w:rsid w:val="00463DD9"/>
    <w:rsid w:val="00464217"/>
    <w:rsid w:val="004644A7"/>
    <w:rsid w:val="004648C6"/>
    <w:rsid w:val="00465614"/>
    <w:rsid w:val="00465647"/>
    <w:rsid w:val="004659DC"/>
    <w:rsid w:val="00466235"/>
    <w:rsid w:val="004662BD"/>
    <w:rsid w:val="00466B4A"/>
    <w:rsid w:val="00467AA4"/>
    <w:rsid w:val="00467D8B"/>
    <w:rsid w:val="004705EB"/>
    <w:rsid w:val="00470EE4"/>
    <w:rsid w:val="00471709"/>
    <w:rsid w:val="004721A2"/>
    <w:rsid w:val="00472DDC"/>
    <w:rsid w:val="004735B7"/>
    <w:rsid w:val="00474222"/>
    <w:rsid w:val="00474275"/>
    <w:rsid w:val="004746E3"/>
    <w:rsid w:val="0047483A"/>
    <w:rsid w:val="00474969"/>
    <w:rsid w:val="00474D6B"/>
    <w:rsid w:val="00474DB1"/>
    <w:rsid w:val="00475127"/>
    <w:rsid w:val="00475421"/>
    <w:rsid w:val="00475C57"/>
    <w:rsid w:val="00475D4E"/>
    <w:rsid w:val="00476A9E"/>
    <w:rsid w:val="00476CC5"/>
    <w:rsid w:val="00476E33"/>
    <w:rsid w:val="00477927"/>
    <w:rsid w:val="0047798D"/>
    <w:rsid w:val="00477DB5"/>
    <w:rsid w:val="0048018E"/>
    <w:rsid w:val="0048049E"/>
    <w:rsid w:val="00480775"/>
    <w:rsid w:val="00480ECB"/>
    <w:rsid w:val="0048113A"/>
    <w:rsid w:val="0048124D"/>
    <w:rsid w:val="004814CB"/>
    <w:rsid w:val="0048178D"/>
    <w:rsid w:val="00481B0C"/>
    <w:rsid w:val="00482159"/>
    <w:rsid w:val="00482755"/>
    <w:rsid w:val="00482794"/>
    <w:rsid w:val="004827DE"/>
    <w:rsid w:val="00483348"/>
    <w:rsid w:val="00483928"/>
    <w:rsid w:val="00483D22"/>
    <w:rsid w:val="0048400B"/>
    <w:rsid w:val="004843DD"/>
    <w:rsid w:val="0048455C"/>
    <w:rsid w:val="00484FE2"/>
    <w:rsid w:val="00485243"/>
    <w:rsid w:val="00485302"/>
    <w:rsid w:val="004857C2"/>
    <w:rsid w:val="00485AF1"/>
    <w:rsid w:val="00485CC6"/>
    <w:rsid w:val="00486941"/>
    <w:rsid w:val="00486CB1"/>
    <w:rsid w:val="00486CE4"/>
    <w:rsid w:val="00486ECE"/>
    <w:rsid w:val="0048704E"/>
    <w:rsid w:val="00487131"/>
    <w:rsid w:val="00487541"/>
    <w:rsid w:val="0048EC0C"/>
    <w:rsid w:val="00490C2B"/>
    <w:rsid w:val="00491075"/>
    <w:rsid w:val="004913D4"/>
    <w:rsid w:val="00491477"/>
    <w:rsid w:val="004916F3"/>
    <w:rsid w:val="00491B00"/>
    <w:rsid w:val="00491CCE"/>
    <w:rsid w:val="00491E82"/>
    <w:rsid w:val="00491FB7"/>
    <w:rsid w:val="00492C5E"/>
    <w:rsid w:val="004930A8"/>
    <w:rsid w:val="004934BA"/>
    <w:rsid w:val="00493D83"/>
    <w:rsid w:val="00493EAF"/>
    <w:rsid w:val="00494430"/>
    <w:rsid w:val="0049473B"/>
    <w:rsid w:val="0049473D"/>
    <w:rsid w:val="00494813"/>
    <w:rsid w:val="004950F6"/>
    <w:rsid w:val="004953E3"/>
    <w:rsid w:val="00495F1A"/>
    <w:rsid w:val="00496019"/>
    <w:rsid w:val="00496071"/>
    <w:rsid w:val="004960C5"/>
    <w:rsid w:val="00496637"/>
    <w:rsid w:val="00496826"/>
    <w:rsid w:val="0049769A"/>
    <w:rsid w:val="004977A4"/>
    <w:rsid w:val="00497AF1"/>
    <w:rsid w:val="004A04A1"/>
    <w:rsid w:val="004A06F1"/>
    <w:rsid w:val="004A09B2"/>
    <w:rsid w:val="004A0A37"/>
    <w:rsid w:val="004A0B94"/>
    <w:rsid w:val="004A0BF7"/>
    <w:rsid w:val="004A1D02"/>
    <w:rsid w:val="004A1FBF"/>
    <w:rsid w:val="004A2316"/>
    <w:rsid w:val="004A233F"/>
    <w:rsid w:val="004A260F"/>
    <w:rsid w:val="004A279C"/>
    <w:rsid w:val="004A2B75"/>
    <w:rsid w:val="004A318C"/>
    <w:rsid w:val="004A39F3"/>
    <w:rsid w:val="004A3BA4"/>
    <w:rsid w:val="004A3FFD"/>
    <w:rsid w:val="004A4DE7"/>
    <w:rsid w:val="004A5063"/>
    <w:rsid w:val="004A50EA"/>
    <w:rsid w:val="004A5271"/>
    <w:rsid w:val="004A531C"/>
    <w:rsid w:val="004A5481"/>
    <w:rsid w:val="004A54A4"/>
    <w:rsid w:val="004A5567"/>
    <w:rsid w:val="004A5587"/>
    <w:rsid w:val="004A5989"/>
    <w:rsid w:val="004A5AA8"/>
    <w:rsid w:val="004A5C81"/>
    <w:rsid w:val="004A6076"/>
    <w:rsid w:val="004A60CE"/>
    <w:rsid w:val="004A6326"/>
    <w:rsid w:val="004A6C9E"/>
    <w:rsid w:val="004A76F7"/>
    <w:rsid w:val="004A7847"/>
    <w:rsid w:val="004B06DD"/>
    <w:rsid w:val="004B0C42"/>
    <w:rsid w:val="004B0F33"/>
    <w:rsid w:val="004B1092"/>
    <w:rsid w:val="004B13CE"/>
    <w:rsid w:val="004B1D99"/>
    <w:rsid w:val="004B2E73"/>
    <w:rsid w:val="004B316E"/>
    <w:rsid w:val="004B3C27"/>
    <w:rsid w:val="004B3C79"/>
    <w:rsid w:val="004B426B"/>
    <w:rsid w:val="004B522C"/>
    <w:rsid w:val="004B5B97"/>
    <w:rsid w:val="004B5C56"/>
    <w:rsid w:val="004B6471"/>
    <w:rsid w:val="004B696B"/>
    <w:rsid w:val="004B702F"/>
    <w:rsid w:val="004B7772"/>
    <w:rsid w:val="004B7C17"/>
    <w:rsid w:val="004B7F3E"/>
    <w:rsid w:val="004C01D1"/>
    <w:rsid w:val="004C09AE"/>
    <w:rsid w:val="004C0EAA"/>
    <w:rsid w:val="004C196D"/>
    <w:rsid w:val="004C21AC"/>
    <w:rsid w:val="004C21DA"/>
    <w:rsid w:val="004C227F"/>
    <w:rsid w:val="004C2867"/>
    <w:rsid w:val="004C335B"/>
    <w:rsid w:val="004C37E4"/>
    <w:rsid w:val="004C4126"/>
    <w:rsid w:val="004C42A8"/>
    <w:rsid w:val="004C4398"/>
    <w:rsid w:val="004C454C"/>
    <w:rsid w:val="004C4895"/>
    <w:rsid w:val="004C4A64"/>
    <w:rsid w:val="004C57A4"/>
    <w:rsid w:val="004C6D4D"/>
    <w:rsid w:val="004C712D"/>
    <w:rsid w:val="004C72B6"/>
    <w:rsid w:val="004C7432"/>
    <w:rsid w:val="004C7474"/>
    <w:rsid w:val="004C7813"/>
    <w:rsid w:val="004C785F"/>
    <w:rsid w:val="004C7C01"/>
    <w:rsid w:val="004D026A"/>
    <w:rsid w:val="004D04A8"/>
    <w:rsid w:val="004D08E8"/>
    <w:rsid w:val="004D0AA5"/>
    <w:rsid w:val="004D1208"/>
    <w:rsid w:val="004D122C"/>
    <w:rsid w:val="004D194F"/>
    <w:rsid w:val="004D252F"/>
    <w:rsid w:val="004D27CE"/>
    <w:rsid w:val="004D29D8"/>
    <w:rsid w:val="004D3200"/>
    <w:rsid w:val="004D338F"/>
    <w:rsid w:val="004D361D"/>
    <w:rsid w:val="004D3848"/>
    <w:rsid w:val="004D39BC"/>
    <w:rsid w:val="004D3B12"/>
    <w:rsid w:val="004D3BF8"/>
    <w:rsid w:val="004D3CCD"/>
    <w:rsid w:val="004D3D5A"/>
    <w:rsid w:val="004D4FE3"/>
    <w:rsid w:val="004D510D"/>
    <w:rsid w:val="004D51A4"/>
    <w:rsid w:val="004D57D8"/>
    <w:rsid w:val="004D5E84"/>
    <w:rsid w:val="004D5EB2"/>
    <w:rsid w:val="004D5F7D"/>
    <w:rsid w:val="004D5FE1"/>
    <w:rsid w:val="004D6033"/>
    <w:rsid w:val="004D6808"/>
    <w:rsid w:val="004D6A4E"/>
    <w:rsid w:val="004D6E75"/>
    <w:rsid w:val="004D6F53"/>
    <w:rsid w:val="004D7CB2"/>
    <w:rsid w:val="004E0481"/>
    <w:rsid w:val="004E07DF"/>
    <w:rsid w:val="004E0988"/>
    <w:rsid w:val="004E0A21"/>
    <w:rsid w:val="004E0A85"/>
    <w:rsid w:val="004E0F9C"/>
    <w:rsid w:val="004E1283"/>
    <w:rsid w:val="004E1764"/>
    <w:rsid w:val="004E17F2"/>
    <w:rsid w:val="004E1B44"/>
    <w:rsid w:val="004E244D"/>
    <w:rsid w:val="004E3AFD"/>
    <w:rsid w:val="004E3B0C"/>
    <w:rsid w:val="004E3B6A"/>
    <w:rsid w:val="004E444B"/>
    <w:rsid w:val="004E4763"/>
    <w:rsid w:val="004E4A6E"/>
    <w:rsid w:val="004E5D5E"/>
    <w:rsid w:val="004E5E22"/>
    <w:rsid w:val="004E6E13"/>
    <w:rsid w:val="004E7AF6"/>
    <w:rsid w:val="004E7DD3"/>
    <w:rsid w:val="004F0000"/>
    <w:rsid w:val="004F0032"/>
    <w:rsid w:val="004F03AD"/>
    <w:rsid w:val="004F0477"/>
    <w:rsid w:val="004F0EE2"/>
    <w:rsid w:val="004F167C"/>
    <w:rsid w:val="004F1B8A"/>
    <w:rsid w:val="004F1EB8"/>
    <w:rsid w:val="004F1EFB"/>
    <w:rsid w:val="004F2236"/>
    <w:rsid w:val="004F26BC"/>
    <w:rsid w:val="004F2897"/>
    <w:rsid w:val="004F2AAC"/>
    <w:rsid w:val="004F2CA7"/>
    <w:rsid w:val="004F3132"/>
    <w:rsid w:val="004F33FA"/>
    <w:rsid w:val="004F3C14"/>
    <w:rsid w:val="004F43EB"/>
    <w:rsid w:val="004F535B"/>
    <w:rsid w:val="004F608B"/>
    <w:rsid w:val="004F6656"/>
    <w:rsid w:val="004F6915"/>
    <w:rsid w:val="004F69BA"/>
    <w:rsid w:val="004F6C7F"/>
    <w:rsid w:val="004F6E1E"/>
    <w:rsid w:val="004F7755"/>
    <w:rsid w:val="00500EAE"/>
    <w:rsid w:val="005011E3"/>
    <w:rsid w:val="0050174B"/>
    <w:rsid w:val="00501B72"/>
    <w:rsid w:val="00501EE2"/>
    <w:rsid w:val="00502510"/>
    <w:rsid w:val="00502C99"/>
    <w:rsid w:val="00502EAD"/>
    <w:rsid w:val="0050302E"/>
    <w:rsid w:val="00503254"/>
    <w:rsid w:val="00503384"/>
    <w:rsid w:val="00503517"/>
    <w:rsid w:val="00503635"/>
    <w:rsid w:val="0050370F"/>
    <w:rsid w:val="005037ED"/>
    <w:rsid w:val="00503CD8"/>
    <w:rsid w:val="0050410A"/>
    <w:rsid w:val="0050472B"/>
    <w:rsid w:val="005047F3"/>
    <w:rsid w:val="00504860"/>
    <w:rsid w:val="00504FB1"/>
    <w:rsid w:val="0050523C"/>
    <w:rsid w:val="00505951"/>
    <w:rsid w:val="00505A11"/>
    <w:rsid w:val="00505DC6"/>
    <w:rsid w:val="0050619D"/>
    <w:rsid w:val="005062D3"/>
    <w:rsid w:val="005064C0"/>
    <w:rsid w:val="0050696C"/>
    <w:rsid w:val="00506C93"/>
    <w:rsid w:val="005073F1"/>
    <w:rsid w:val="005077E9"/>
    <w:rsid w:val="005078D8"/>
    <w:rsid w:val="005079C7"/>
    <w:rsid w:val="0050EA7F"/>
    <w:rsid w:val="00510C5D"/>
    <w:rsid w:val="00510D80"/>
    <w:rsid w:val="00511153"/>
    <w:rsid w:val="005115A4"/>
    <w:rsid w:val="00511E0A"/>
    <w:rsid w:val="00512352"/>
    <w:rsid w:val="00513180"/>
    <w:rsid w:val="00513BFD"/>
    <w:rsid w:val="00513FA6"/>
    <w:rsid w:val="00513FEC"/>
    <w:rsid w:val="0051407B"/>
    <w:rsid w:val="00514177"/>
    <w:rsid w:val="0051425F"/>
    <w:rsid w:val="00514321"/>
    <w:rsid w:val="00514572"/>
    <w:rsid w:val="0051459F"/>
    <w:rsid w:val="0051519C"/>
    <w:rsid w:val="00515557"/>
    <w:rsid w:val="005158EA"/>
    <w:rsid w:val="00515CC8"/>
    <w:rsid w:val="005163E4"/>
    <w:rsid w:val="00516502"/>
    <w:rsid w:val="0051655F"/>
    <w:rsid w:val="005166CC"/>
    <w:rsid w:val="00516B18"/>
    <w:rsid w:val="00516FD9"/>
    <w:rsid w:val="005171A2"/>
    <w:rsid w:val="005175F4"/>
    <w:rsid w:val="00517772"/>
    <w:rsid w:val="005177B1"/>
    <w:rsid w:val="005178C4"/>
    <w:rsid w:val="00517E12"/>
    <w:rsid w:val="00517F77"/>
    <w:rsid w:val="00517FA9"/>
    <w:rsid w:val="00520334"/>
    <w:rsid w:val="00520558"/>
    <w:rsid w:val="005209A4"/>
    <w:rsid w:val="00520AE1"/>
    <w:rsid w:val="00520CE2"/>
    <w:rsid w:val="0052114B"/>
    <w:rsid w:val="0052144A"/>
    <w:rsid w:val="00521530"/>
    <w:rsid w:val="005215CE"/>
    <w:rsid w:val="00521637"/>
    <w:rsid w:val="00521737"/>
    <w:rsid w:val="0052173F"/>
    <w:rsid w:val="005227F0"/>
    <w:rsid w:val="00522B2F"/>
    <w:rsid w:val="0052342D"/>
    <w:rsid w:val="00523471"/>
    <w:rsid w:val="005236D7"/>
    <w:rsid w:val="00523EB0"/>
    <w:rsid w:val="00523F61"/>
    <w:rsid w:val="00524DA7"/>
    <w:rsid w:val="0052577C"/>
    <w:rsid w:val="00525C8E"/>
    <w:rsid w:val="00525C91"/>
    <w:rsid w:val="0052602E"/>
    <w:rsid w:val="00526456"/>
    <w:rsid w:val="005266F9"/>
    <w:rsid w:val="00526929"/>
    <w:rsid w:val="00526F3A"/>
    <w:rsid w:val="00526FEE"/>
    <w:rsid w:val="00527428"/>
    <w:rsid w:val="00527CB0"/>
    <w:rsid w:val="00527E98"/>
    <w:rsid w:val="0053189F"/>
    <w:rsid w:val="005319C9"/>
    <w:rsid w:val="00531A8F"/>
    <w:rsid w:val="00531CD2"/>
    <w:rsid w:val="00532192"/>
    <w:rsid w:val="00532373"/>
    <w:rsid w:val="00532770"/>
    <w:rsid w:val="0053304F"/>
    <w:rsid w:val="005335E4"/>
    <w:rsid w:val="0053370E"/>
    <w:rsid w:val="005339B9"/>
    <w:rsid w:val="00533B25"/>
    <w:rsid w:val="00533D12"/>
    <w:rsid w:val="00533E21"/>
    <w:rsid w:val="00534119"/>
    <w:rsid w:val="00534258"/>
    <w:rsid w:val="0053458E"/>
    <w:rsid w:val="00534AD3"/>
    <w:rsid w:val="00534C7E"/>
    <w:rsid w:val="005350EA"/>
    <w:rsid w:val="00535838"/>
    <w:rsid w:val="00536120"/>
    <w:rsid w:val="005367E6"/>
    <w:rsid w:val="0053731F"/>
    <w:rsid w:val="005373E9"/>
    <w:rsid w:val="00538A4E"/>
    <w:rsid w:val="00540003"/>
    <w:rsid w:val="005405D1"/>
    <w:rsid w:val="005409E2"/>
    <w:rsid w:val="00540CF3"/>
    <w:rsid w:val="00541168"/>
    <w:rsid w:val="0054122B"/>
    <w:rsid w:val="00541468"/>
    <w:rsid w:val="0054187F"/>
    <w:rsid w:val="00541909"/>
    <w:rsid w:val="0054252F"/>
    <w:rsid w:val="0054299C"/>
    <w:rsid w:val="00542D2B"/>
    <w:rsid w:val="00542DC9"/>
    <w:rsid w:val="00542E38"/>
    <w:rsid w:val="00542F39"/>
    <w:rsid w:val="005430CA"/>
    <w:rsid w:val="005436EA"/>
    <w:rsid w:val="00543A68"/>
    <w:rsid w:val="00543B44"/>
    <w:rsid w:val="00543CCB"/>
    <w:rsid w:val="00544111"/>
    <w:rsid w:val="00544737"/>
    <w:rsid w:val="00545655"/>
    <w:rsid w:val="00545731"/>
    <w:rsid w:val="00545CFC"/>
    <w:rsid w:val="00546548"/>
    <w:rsid w:val="00546852"/>
    <w:rsid w:val="00546908"/>
    <w:rsid w:val="00546CEA"/>
    <w:rsid w:val="00546EFA"/>
    <w:rsid w:val="00546F24"/>
    <w:rsid w:val="0054759C"/>
    <w:rsid w:val="00547B48"/>
    <w:rsid w:val="00550310"/>
    <w:rsid w:val="00550344"/>
    <w:rsid w:val="00550BF2"/>
    <w:rsid w:val="00551976"/>
    <w:rsid w:val="0055223A"/>
    <w:rsid w:val="0055289D"/>
    <w:rsid w:val="005528F9"/>
    <w:rsid w:val="0055299E"/>
    <w:rsid w:val="00553124"/>
    <w:rsid w:val="005535F3"/>
    <w:rsid w:val="005536B1"/>
    <w:rsid w:val="0055393D"/>
    <w:rsid w:val="00553CA9"/>
    <w:rsid w:val="00553CCC"/>
    <w:rsid w:val="00553CF0"/>
    <w:rsid w:val="00553DED"/>
    <w:rsid w:val="005540AB"/>
    <w:rsid w:val="00554195"/>
    <w:rsid w:val="00554EA8"/>
    <w:rsid w:val="005551C8"/>
    <w:rsid w:val="0055525A"/>
    <w:rsid w:val="00555278"/>
    <w:rsid w:val="00555871"/>
    <w:rsid w:val="00556055"/>
    <w:rsid w:val="00556642"/>
    <w:rsid w:val="0055678D"/>
    <w:rsid w:val="00556818"/>
    <w:rsid w:val="00556C77"/>
    <w:rsid w:val="00556D63"/>
    <w:rsid w:val="005571B4"/>
    <w:rsid w:val="005573C7"/>
    <w:rsid w:val="00557536"/>
    <w:rsid w:val="00557BB7"/>
    <w:rsid w:val="00557F63"/>
    <w:rsid w:val="005601D5"/>
    <w:rsid w:val="005616DA"/>
    <w:rsid w:val="00561AD4"/>
    <w:rsid w:val="00561BBB"/>
    <w:rsid w:val="00561D6A"/>
    <w:rsid w:val="005621F6"/>
    <w:rsid w:val="005624F1"/>
    <w:rsid w:val="00562822"/>
    <w:rsid w:val="00562DB8"/>
    <w:rsid w:val="00562F5F"/>
    <w:rsid w:val="0056315F"/>
    <w:rsid w:val="00563A7F"/>
    <w:rsid w:val="00563E3D"/>
    <w:rsid w:val="00563EEE"/>
    <w:rsid w:val="00563F8B"/>
    <w:rsid w:val="005645E3"/>
    <w:rsid w:val="00564785"/>
    <w:rsid w:val="00564DF9"/>
    <w:rsid w:val="00564E15"/>
    <w:rsid w:val="005651B5"/>
    <w:rsid w:val="00565D04"/>
    <w:rsid w:val="00565F56"/>
    <w:rsid w:val="00566206"/>
    <w:rsid w:val="0056638C"/>
    <w:rsid w:val="0056641A"/>
    <w:rsid w:val="00566E1F"/>
    <w:rsid w:val="0056758D"/>
    <w:rsid w:val="00567D8C"/>
    <w:rsid w:val="00570EDE"/>
    <w:rsid w:val="00570FC0"/>
    <w:rsid w:val="00571052"/>
    <w:rsid w:val="0057188B"/>
    <w:rsid w:val="00571B95"/>
    <w:rsid w:val="00572122"/>
    <w:rsid w:val="005723F6"/>
    <w:rsid w:val="005726FB"/>
    <w:rsid w:val="0057389D"/>
    <w:rsid w:val="005738B4"/>
    <w:rsid w:val="00573CB1"/>
    <w:rsid w:val="00574193"/>
    <w:rsid w:val="00574216"/>
    <w:rsid w:val="0057426A"/>
    <w:rsid w:val="00574F44"/>
    <w:rsid w:val="00575554"/>
    <w:rsid w:val="0057577C"/>
    <w:rsid w:val="00575CFA"/>
    <w:rsid w:val="00576BE5"/>
    <w:rsid w:val="00576EDC"/>
    <w:rsid w:val="00577E6D"/>
    <w:rsid w:val="0058018E"/>
    <w:rsid w:val="00580E75"/>
    <w:rsid w:val="00580F76"/>
    <w:rsid w:val="00581349"/>
    <w:rsid w:val="00581830"/>
    <w:rsid w:val="0058220B"/>
    <w:rsid w:val="005826C2"/>
    <w:rsid w:val="0058276D"/>
    <w:rsid w:val="00582C18"/>
    <w:rsid w:val="0058378A"/>
    <w:rsid w:val="005838BB"/>
    <w:rsid w:val="00583C8E"/>
    <w:rsid w:val="005847ED"/>
    <w:rsid w:val="00584836"/>
    <w:rsid w:val="00584A3D"/>
    <w:rsid w:val="00584D6D"/>
    <w:rsid w:val="00585019"/>
    <w:rsid w:val="00585C87"/>
    <w:rsid w:val="00586A37"/>
    <w:rsid w:val="00586D54"/>
    <w:rsid w:val="00586E7A"/>
    <w:rsid w:val="00590173"/>
    <w:rsid w:val="00590376"/>
    <w:rsid w:val="00590777"/>
    <w:rsid w:val="00590E4C"/>
    <w:rsid w:val="00591E20"/>
    <w:rsid w:val="005937B7"/>
    <w:rsid w:val="0059386E"/>
    <w:rsid w:val="00593BFA"/>
    <w:rsid w:val="00593E9C"/>
    <w:rsid w:val="0059407F"/>
    <w:rsid w:val="00594B25"/>
    <w:rsid w:val="00594D39"/>
    <w:rsid w:val="00594E78"/>
    <w:rsid w:val="00595E2B"/>
    <w:rsid w:val="0059607E"/>
    <w:rsid w:val="00596393"/>
    <w:rsid w:val="00597263"/>
    <w:rsid w:val="00597428"/>
    <w:rsid w:val="005A00CA"/>
    <w:rsid w:val="005A0508"/>
    <w:rsid w:val="005A05A4"/>
    <w:rsid w:val="005A0C38"/>
    <w:rsid w:val="005A0FBC"/>
    <w:rsid w:val="005A1073"/>
    <w:rsid w:val="005A10E6"/>
    <w:rsid w:val="005A18DB"/>
    <w:rsid w:val="005A1C03"/>
    <w:rsid w:val="005A1DB9"/>
    <w:rsid w:val="005A2087"/>
    <w:rsid w:val="005A267A"/>
    <w:rsid w:val="005A2DE1"/>
    <w:rsid w:val="005A2F89"/>
    <w:rsid w:val="005A2F8B"/>
    <w:rsid w:val="005A31C1"/>
    <w:rsid w:val="005A3338"/>
    <w:rsid w:val="005A34A6"/>
    <w:rsid w:val="005A383A"/>
    <w:rsid w:val="005A3EBB"/>
    <w:rsid w:val="005A40A6"/>
    <w:rsid w:val="005A43CB"/>
    <w:rsid w:val="005A456E"/>
    <w:rsid w:val="005A4660"/>
    <w:rsid w:val="005A4B4C"/>
    <w:rsid w:val="005A4FDB"/>
    <w:rsid w:val="005A53A3"/>
    <w:rsid w:val="005A5607"/>
    <w:rsid w:val="005A5FC0"/>
    <w:rsid w:val="005A6760"/>
    <w:rsid w:val="005A6EE1"/>
    <w:rsid w:val="005A75B1"/>
    <w:rsid w:val="005A7A6F"/>
    <w:rsid w:val="005A7BE5"/>
    <w:rsid w:val="005A7DDB"/>
    <w:rsid w:val="005A7DE4"/>
    <w:rsid w:val="005A7E45"/>
    <w:rsid w:val="005B065A"/>
    <w:rsid w:val="005B0920"/>
    <w:rsid w:val="005B0ED8"/>
    <w:rsid w:val="005B0FAD"/>
    <w:rsid w:val="005B129A"/>
    <w:rsid w:val="005B1CE4"/>
    <w:rsid w:val="005B1E2D"/>
    <w:rsid w:val="005B2156"/>
    <w:rsid w:val="005B216E"/>
    <w:rsid w:val="005B2208"/>
    <w:rsid w:val="005B241E"/>
    <w:rsid w:val="005B3636"/>
    <w:rsid w:val="005B3639"/>
    <w:rsid w:val="005B3882"/>
    <w:rsid w:val="005B3D19"/>
    <w:rsid w:val="005B3E2E"/>
    <w:rsid w:val="005B3FC6"/>
    <w:rsid w:val="005B40A9"/>
    <w:rsid w:val="005B448E"/>
    <w:rsid w:val="005B49C3"/>
    <w:rsid w:val="005B4BB0"/>
    <w:rsid w:val="005B511C"/>
    <w:rsid w:val="005B518D"/>
    <w:rsid w:val="005B5261"/>
    <w:rsid w:val="005B527C"/>
    <w:rsid w:val="005B53EF"/>
    <w:rsid w:val="005B53F9"/>
    <w:rsid w:val="005B5475"/>
    <w:rsid w:val="005B5616"/>
    <w:rsid w:val="005B57F1"/>
    <w:rsid w:val="005B5E0A"/>
    <w:rsid w:val="005B5FF8"/>
    <w:rsid w:val="005B65BD"/>
    <w:rsid w:val="005B6CBB"/>
    <w:rsid w:val="005B6E3A"/>
    <w:rsid w:val="005B6F8F"/>
    <w:rsid w:val="005B731F"/>
    <w:rsid w:val="005B733A"/>
    <w:rsid w:val="005B7A10"/>
    <w:rsid w:val="005B7E23"/>
    <w:rsid w:val="005C0BD9"/>
    <w:rsid w:val="005C0E2B"/>
    <w:rsid w:val="005C1682"/>
    <w:rsid w:val="005C1978"/>
    <w:rsid w:val="005C1ED5"/>
    <w:rsid w:val="005C267C"/>
    <w:rsid w:val="005C2826"/>
    <w:rsid w:val="005C299A"/>
    <w:rsid w:val="005C29FD"/>
    <w:rsid w:val="005C2EED"/>
    <w:rsid w:val="005C31AA"/>
    <w:rsid w:val="005C3714"/>
    <w:rsid w:val="005C39FF"/>
    <w:rsid w:val="005C3C06"/>
    <w:rsid w:val="005C3E8A"/>
    <w:rsid w:val="005C3EBB"/>
    <w:rsid w:val="005C53B1"/>
    <w:rsid w:val="005C53B4"/>
    <w:rsid w:val="005C573B"/>
    <w:rsid w:val="005C57A9"/>
    <w:rsid w:val="005C582F"/>
    <w:rsid w:val="005C5C95"/>
    <w:rsid w:val="005C5EF8"/>
    <w:rsid w:val="005C67E8"/>
    <w:rsid w:val="005C7204"/>
    <w:rsid w:val="005C7776"/>
    <w:rsid w:val="005C7B60"/>
    <w:rsid w:val="005D005D"/>
    <w:rsid w:val="005D06AF"/>
    <w:rsid w:val="005D089D"/>
    <w:rsid w:val="005D0F59"/>
    <w:rsid w:val="005D16D5"/>
    <w:rsid w:val="005D1A61"/>
    <w:rsid w:val="005D1D5A"/>
    <w:rsid w:val="005D1D9D"/>
    <w:rsid w:val="005D1FE2"/>
    <w:rsid w:val="005D2170"/>
    <w:rsid w:val="005D2269"/>
    <w:rsid w:val="005D33F1"/>
    <w:rsid w:val="005D3407"/>
    <w:rsid w:val="005D4440"/>
    <w:rsid w:val="005D4652"/>
    <w:rsid w:val="005D4A57"/>
    <w:rsid w:val="005D4D35"/>
    <w:rsid w:val="005D4E36"/>
    <w:rsid w:val="005D4E64"/>
    <w:rsid w:val="005D53A0"/>
    <w:rsid w:val="005D544D"/>
    <w:rsid w:val="005D57AE"/>
    <w:rsid w:val="005D6143"/>
    <w:rsid w:val="005D6659"/>
    <w:rsid w:val="005D6B5A"/>
    <w:rsid w:val="005D6F7F"/>
    <w:rsid w:val="005D7176"/>
    <w:rsid w:val="005D72E9"/>
    <w:rsid w:val="005D743F"/>
    <w:rsid w:val="005D79FA"/>
    <w:rsid w:val="005D7A73"/>
    <w:rsid w:val="005D7D18"/>
    <w:rsid w:val="005E0189"/>
    <w:rsid w:val="005E0228"/>
    <w:rsid w:val="005E0751"/>
    <w:rsid w:val="005E087B"/>
    <w:rsid w:val="005E0FFE"/>
    <w:rsid w:val="005E179C"/>
    <w:rsid w:val="005E188E"/>
    <w:rsid w:val="005E18E4"/>
    <w:rsid w:val="005E1BB3"/>
    <w:rsid w:val="005E1F2B"/>
    <w:rsid w:val="005E224D"/>
    <w:rsid w:val="005E22AD"/>
    <w:rsid w:val="005E2500"/>
    <w:rsid w:val="005E2649"/>
    <w:rsid w:val="005E2803"/>
    <w:rsid w:val="005E2A3D"/>
    <w:rsid w:val="005E33E7"/>
    <w:rsid w:val="005E37FB"/>
    <w:rsid w:val="005E41AC"/>
    <w:rsid w:val="005E4770"/>
    <w:rsid w:val="005E4800"/>
    <w:rsid w:val="005E4A5D"/>
    <w:rsid w:val="005E4EB3"/>
    <w:rsid w:val="005E4F08"/>
    <w:rsid w:val="005E52E3"/>
    <w:rsid w:val="005E55B6"/>
    <w:rsid w:val="005E5674"/>
    <w:rsid w:val="005E5818"/>
    <w:rsid w:val="005E586A"/>
    <w:rsid w:val="005E594A"/>
    <w:rsid w:val="005E5ADF"/>
    <w:rsid w:val="005E5E2A"/>
    <w:rsid w:val="005E5FC4"/>
    <w:rsid w:val="005E624B"/>
    <w:rsid w:val="005E6E37"/>
    <w:rsid w:val="005E714F"/>
    <w:rsid w:val="005E7CD3"/>
    <w:rsid w:val="005F05B6"/>
    <w:rsid w:val="005F07C6"/>
    <w:rsid w:val="005F0C28"/>
    <w:rsid w:val="005F1C0A"/>
    <w:rsid w:val="005F20AB"/>
    <w:rsid w:val="005F3FEB"/>
    <w:rsid w:val="005F494B"/>
    <w:rsid w:val="005F49CF"/>
    <w:rsid w:val="005F4CDE"/>
    <w:rsid w:val="005F56A2"/>
    <w:rsid w:val="005F56C2"/>
    <w:rsid w:val="005F5B1E"/>
    <w:rsid w:val="005F5E5C"/>
    <w:rsid w:val="005F5ED7"/>
    <w:rsid w:val="005F6A50"/>
    <w:rsid w:val="005F6A78"/>
    <w:rsid w:val="005F6EA6"/>
    <w:rsid w:val="005F7C16"/>
    <w:rsid w:val="005F7CDF"/>
    <w:rsid w:val="005F7D77"/>
    <w:rsid w:val="006000F8"/>
    <w:rsid w:val="006008ED"/>
    <w:rsid w:val="00600BFC"/>
    <w:rsid w:val="00601DCD"/>
    <w:rsid w:val="00601E48"/>
    <w:rsid w:val="00601EAE"/>
    <w:rsid w:val="006028FA"/>
    <w:rsid w:val="00602B2E"/>
    <w:rsid w:val="00602EA6"/>
    <w:rsid w:val="00603510"/>
    <w:rsid w:val="00603701"/>
    <w:rsid w:val="00603811"/>
    <w:rsid w:val="00603AB4"/>
    <w:rsid w:val="00603CC4"/>
    <w:rsid w:val="00603E10"/>
    <w:rsid w:val="006042EA"/>
    <w:rsid w:val="00604830"/>
    <w:rsid w:val="00604845"/>
    <w:rsid w:val="00604B02"/>
    <w:rsid w:val="00604B14"/>
    <w:rsid w:val="00604C45"/>
    <w:rsid w:val="006050E0"/>
    <w:rsid w:val="00605C9D"/>
    <w:rsid w:val="00606172"/>
    <w:rsid w:val="006067D1"/>
    <w:rsid w:val="006078C6"/>
    <w:rsid w:val="00607E9C"/>
    <w:rsid w:val="00607ED4"/>
    <w:rsid w:val="00607FEF"/>
    <w:rsid w:val="00610145"/>
    <w:rsid w:val="006103C9"/>
    <w:rsid w:val="0061080E"/>
    <w:rsid w:val="006108F9"/>
    <w:rsid w:val="00610A77"/>
    <w:rsid w:val="00610FE4"/>
    <w:rsid w:val="00611A6E"/>
    <w:rsid w:val="00611B97"/>
    <w:rsid w:val="006126DC"/>
    <w:rsid w:val="00612EB7"/>
    <w:rsid w:val="00612F57"/>
    <w:rsid w:val="00613495"/>
    <w:rsid w:val="006139DE"/>
    <w:rsid w:val="006140A1"/>
    <w:rsid w:val="00615024"/>
    <w:rsid w:val="00615051"/>
    <w:rsid w:val="00615BB6"/>
    <w:rsid w:val="006169F6"/>
    <w:rsid w:val="00616E5F"/>
    <w:rsid w:val="00617023"/>
    <w:rsid w:val="0061719C"/>
    <w:rsid w:val="006176B5"/>
    <w:rsid w:val="00617CBB"/>
    <w:rsid w:val="00617ED3"/>
    <w:rsid w:val="0061FCD6"/>
    <w:rsid w:val="006200C7"/>
    <w:rsid w:val="0062088A"/>
    <w:rsid w:val="0062093B"/>
    <w:rsid w:val="0062095C"/>
    <w:rsid w:val="0062138E"/>
    <w:rsid w:val="0062152F"/>
    <w:rsid w:val="00621694"/>
    <w:rsid w:val="00621992"/>
    <w:rsid w:val="00621D6D"/>
    <w:rsid w:val="00622725"/>
    <w:rsid w:val="00622893"/>
    <w:rsid w:val="00622DB7"/>
    <w:rsid w:val="006231C3"/>
    <w:rsid w:val="006232BD"/>
    <w:rsid w:val="00624317"/>
    <w:rsid w:val="006244BA"/>
    <w:rsid w:val="00625580"/>
    <w:rsid w:val="006257EA"/>
    <w:rsid w:val="00626064"/>
    <w:rsid w:val="0062643F"/>
    <w:rsid w:val="0062678C"/>
    <w:rsid w:val="00626794"/>
    <w:rsid w:val="006267A1"/>
    <w:rsid w:val="006268C9"/>
    <w:rsid w:val="006277E0"/>
    <w:rsid w:val="00627A29"/>
    <w:rsid w:val="00627A90"/>
    <w:rsid w:val="0063059A"/>
    <w:rsid w:val="00631570"/>
    <w:rsid w:val="006318ED"/>
    <w:rsid w:val="006327AC"/>
    <w:rsid w:val="00632F2D"/>
    <w:rsid w:val="00633B86"/>
    <w:rsid w:val="0063465E"/>
    <w:rsid w:val="00634994"/>
    <w:rsid w:val="00635686"/>
    <w:rsid w:val="00635C6B"/>
    <w:rsid w:val="00636276"/>
    <w:rsid w:val="00636311"/>
    <w:rsid w:val="00636542"/>
    <w:rsid w:val="00636930"/>
    <w:rsid w:val="00636A66"/>
    <w:rsid w:val="00636FEB"/>
    <w:rsid w:val="0063708A"/>
    <w:rsid w:val="00637284"/>
    <w:rsid w:val="00637325"/>
    <w:rsid w:val="00637386"/>
    <w:rsid w:val="006374ED"/>
    <w:rsid w:val="00637647"/>
    <w:rsid w:val="006377B7"/>
    <w:rsid w:val="006377DB"/>
    <w:rsid w:val="00637A71"/>
    <w:rsid w:val="00641020"/>
    <w:rsid w:val="0064103F"/>
    <w:rsid w:val="006410F0"/>
    <w:rsid w:val="00641261"/>
    <w:rsid w:val="00641BE5"/>
    <w:rsid w:val="00642211"/>
    <w:rsid w:val="006428FF"/>
    <w:rsid w:val="00642A31"/>
    <w:rsid w:val="00642F4C"/>
    <w:rsid w:val="00643324"/>
    <w:rsid w:val="00643955"/>
    <w:rsid w:val="00643CBF"/>
    <w:rsid w:val="00643E17"/>
    <w:rsid w:val="0064417C"/>
    <w:rsid w:val="00644465"/>
    <w:rsid w:val="006452CF"/>
    <w:rsid w:val="00645388"/>
    <w:rsid w:val="006454A4"/>
    <w:rsid w:val="00645978"/>
    <w:rsid w:val="00645B6D"/>
    <w:rsid w:val="00645BE3"/>
    <w:rsid w:val="006463CF"/>
    <w:rsid w:val="006466DC"/>
    <w:rsid w:val="006469FC"/>
    <w:rsid w:val="00646ADC"/>
    <w:rsid w:val="00646BA8"/>
    <w:rsid w:val="00646F3B"/>
    <w:rsid w:val="006476FA"/>
    <w:rsid w:val="006477E3"/>
    <w:rsid w:val="00647842"/>
    <w:rsid w:val="006479B1"/>
    <w:rsid w:val="006479C8"/>
    <w:rsid w:val="00647FA2"/>
    <w:rsid w:val="00650817"/>
    <w:rsid w:val="006513EA"/>
    <w:rsid w:val="00651F14"/>
    <w:rsid w:val="00652340"/>
    <w:rsid w:val="00652B51"/>
    <w:rsid w:val="00652DAF"/>
    <w:rsid w:val="00652EBB"/>
    <w:rsid w:val="00652F08"/>
    <w:rsid w:val="00653250"/>
    <w:rsid w:val="0065372D"/>
    <w:rsid w:val="0065380D"/>
    <w:rsid w:val="00653B8E"/>
    <w:rsid w:val="006548A7"/>
    <w:rsid w:val="006553EB"/>
    <w:rsid w:val="00655A22"/>
    <w:rsid w:val="006564F5"/>
    <w:rsid w:val="006576B6"/>
    <w:rsid w:val="0065773E"/>
    <w:rsid w:val="006608FC"/>
    <w:rsid w:val="00660DED"/>
    <w:rsid w:val="00660F6F"/>
    <w:rsid w:val="006614C4"/>
    <w:rsid w:val="00661E46"/>
    <w:rsid w:val="006627B0"/>
    <w:rsid w:val="00662E45"/>
    <w:rsid w:val="00663204"/>
    <w:rsid w:val="0066349E"/>
    <w:rsid w:val="00663918"/>
    <w:rsid w:val="00663E46"/>
    <w:rsid w:val="006642C9"/>
    <w:rsid w:val="006642E0"/>
    <w:rsid w:val="006645E1"/>
    <w:rsid w:val="00664C5B"/>
    <w:rsid w:val="0066500E"/>
    <w:rsid w:val="00665F0A"/>
    <w:rsid w:val="0066618B"/>
    <w:rsid w:val="0066653C"/>
    <w:rsid w:val="006666BF"/>
    <w:rsid w:val="006666E6"/>
    <w:rsid w:val="00666880"/>
    <w:rsid w:val="00666C3E"/>
    <w:rsid w:val="00666E62"/>
    <w:rsid w:val="00667505"/>
    <w:rsid w:val="00667B77"/>
    <w:rsid w:val="00667D64"/>
    <w:rsid w:val="0067023B"/>
    <w:rsid w:val="00670F25"/>
    <w:rsid w:val="0067115E"/>
    <w:rsid w:val="00671235"/>
    <w:rsid w:val="006715F5"/>
    <w:rsid w:val="00671747"/>
    <w:rsid w:val="006722FA"/>
    <w:rsid w:val="00672408"/>
    <w:rsid w:val="00672911"/>
    <w:rsid w:val="00672BB3"/>
    <w:rsid w:val="00672CD8"/>
    <w:rsid w:val="0067325F"/>
    <w:rsid w:val="0067361C"/>
    <w:rsid w:val="00673880"/>
    <w:rsid w:val="00673AFF"/>
    <w:rsid w:val="00673F77"/>
    <w:rsid w:val="00674228"/>
    <w:rsid w:val="0067456F"/>
    <w:rsid w:val="00674F1F"/>
    <w:rsid w:val="00675075"/>
    <w:rsid w:val="006755C3"/>
    <w:rsid w:val="00675E46"/>
    <w:rsid w:val="00675E51"/>
    <w:rsid w:val="006762EB"/>
    <w:rsid w:val="00676607"/>
    <w:rsid w:val="00676C4C"/>
    <w:rsid w:val="0067700C"/>
    <w:rsid w:val="00677D4A"/>
    <w:rsid w:val="00680001"/>
    <w:rsid w:val="0068005B"/>
    <w:rsid w:val="00680200"/>
    <w:rsid w:val="00680F8D"/>
    <w:rsid w:val="00681BF9"/>
    <w:rsid w:val="00681F7F"/>
    <w:rsid w:val="00682081"/>
    <w:rsid w:val="00682F85"/>
    <w:rsid w:val="00683703"/>
    <w:rsid w:val="00683CBE"/>
    <w:rsid w:val="00683E1C"/>
    <w:rsid w:val="006851F6"/>
    <w:rsid w:val="0068526A"/>
    <w:rsid w:val="006852B8"/>
    <w:rsid w:val="00685309"/>
    <w:rsid w:val="00685541"/>
    <w:rsid w:val="00685932"/>
    <w:rsid w:val="00685AB3"/>
    <w:rsid w:val="00685EB0"/>
    <w:rsid w:val="00686035"/>
    <w:rsid w:val="00686472"/>
    <w:rsid w:val="006870F4"/>
    <w:rsid w:val="0068792A"/>
    <w:rsid w:val="00687F24"/>
    <w:rsid w:val="00687F3D"/>
    <w:rsid w:val="0069017A"/>
    <w:rsid w:val="006904EA"/>
    <w:rsid w:val="00690721"/>
    <w:rsid w:val="006908BF"/>
    <w:rsid w:val="006911A5"/>
    <w:rsid w:val="00691A3F"/>
    <w:rsid w:val="00691B1C"/>
    <w:rsid w:val="00691C35"/>
    <w:rsid w:val="00691F6D"/>
    <w:rsid w:val="00692121"/>
    <w:rsid w:val="00692326"/>
    <w:rsid w:val="006933CB"/>
    <w:rsid w:val="006934A8"/>
    <w:rsid w:val="00693A06"/>
    <w:rsid w:val="00693C29"/>
    <w:rsid w:val="00693E5E"/>
    <w:rsid w:val="0069439B"/>
    <w:rsid w:val="006949BB"/>
    <w:rsid w:val="00694A5A"/>
    <w:rsid w:val="00694D93"/>
    <w:rsid w:val="00694D94"/>
    <w:rsid w:val="006957A4"/>
    <w:rsid w:val="00696453"/>
    <w:rsid w:val="00696455"/>
    <w:rsid w:val="006964DE"/>
    <w:rsid w:val="00696539"/>
    <w:rsid w:val="00696772"/>
    <w:rsid w:val="00696A38"/>
    <w:rsid w:val="00696BEB"/>
    <w:rsid w:val="00696D03"/>
    <w:rsid w:val="00696EAC"/>
    <w:rsid w:val="00696F2B"/>
    <w:rsid w:val="00697039"/>
    <w:rsid w:val="00697543"/>
    <w:rsid w:val="006A0226"/>
    <w:rsid w:val="006A0228"/>
    <w:rsid w:val="006A0C50"/>
    <w:rsid w:val="006A0E6D"/>
    <w:rsid w:val="006A1A18"/>
    <w:rsid w:val="006A1D66"/>
    <w:rsid w:val="006A265D"/>
    <w:rsid w:val="006A333D"/>
    <w:rsid w:val="006A354B"/>
    <w:rsid w:val="006A3851"/>
    <w:rsid w:val="006A38B1"/>
    <w:rsid w:val="006A3D6F"/>
    <w:rsid w:val="006A4182"/>
    <w:rsid w:val="006A482D"/>
    <w:rsid w:val="006A48C2"/>
    <w:rsid w:val="006A4ABD"/>
    <w:rsid w:val="006A4BA2"/>
    <w:rsid w:val="006A4D0F"/>
    <w:rsid w:val="006A4F9C"/>
    <w:rsid w:val="006A5164"/>
    <w:rsid w:val="006A5339"/>
    <w:rsid w:val="006A5646"/>
    <w:rsid w:val="006A57EF"/>
    <w:rsid w:val="006A591E"/>
    <w:rsid w:val="006A60BD"/>
    <w:rsid w:val="006A657C"/>
    <w:rsid w:val="006A664D"/>
    <w:rsid w:val="006A6D6C"/>
    <w:rsid w:val="006A78E1"/>
    <w:rsid w:val="006A7A19"/>
    <w:rsid w:val="006A7B88"/>
    <w:rsid w:val="006A7D52"/>
    <w:rsid w:val="006A7E75"/>
    <w:rsid w:val="006B0099"/>
    <w:rsid w:val="006B01DE"/>
    <w:rsid w:val="006B04F0"/>
    <w:rsid w:val="006B090F"/>
    <w:rsid w:val="006B0928"/>
    <w:rsid w:val="006B0FF9"/>
    <w:rsid w:val="006B10F5"/>
    <w:rsid w:val="006B1303"/>
    <w:rsid w:val="006B16C8"/>
    <w:rsid w:val="006B1C8A"/>
    <w:rsid w:val="006B1EF7"/>
    <w:rsid w:val="006B2267"/>
    <w:rsid w:val="006B27EA"/>
    <w:rsid w:val="006B28CE"/>
    <w:rsid w:val="006B2B44"/>
    <w:rsid w:val="006B2D91"/>
    <w:rsid w:val="006B2F2B"/>
    <w:rsid w:val="006B327E"/>
    <w:rsid w:val="006B32E9"/>
    <w:rsid w:val="006B355F"/>
    <w:rsid w:val="006B3996"/>
    <w:rsid w:val="006B3A68"/>
    <w:rsid w:val="006B4749"/>
    <w:rsid w:val="006B4931"/>
    <w:rsid w:val="006B4A26"/>
    <w:rsid w:val="006B4EAA"/>
    <w:rsid w:val="006B5483"/>
    <w:rsid w:val="006B570B"/>
    <w:rsid w:val="006B6185"/>
    <w:rsid w:val="006B70A2"/>
    <w:rsid w:val="006B7513"/>
    <w:rsid w:val="006B7AD1"/>
    <w:rsid w:val="006B7B9B"/>
    <w:rsid w:val="006C01EC"/>
    <w:rsid w:val="006C023A"/>
    <w:rsid w:val="006C19F3"/>
    <w:rsid w:val="006C1A3D"/>
    <w:rsid w:val="006C1FF2"/>
    <w:rsid w:val="006C2112"/>
    <w:rsid w:val="006C2165"/>
    <w:rsid w:val="006C275B"/>
    <w:rsid w:val="006C2763"/>
    <w:rsid w:val="006C2848"/>
    <w:rsid w:val="006C2FA2"/>
    <w:rsid w:val="006C35D7"/>
    <w:rsid w:val="006C36CA"/>
    <w:rsid w:val="006C3A5A"/>
    <w:rsid w:val="006C3E6E"/>
    <w:rsid w:val="006C3EAB"/>
    <w:rsid w:val="006C4624"/>
    <w:rsid w:val="006C477F"/>
    <w:rsid w:val="006C536A"/>
    <w:rsid w:val="006C53C1"/>
    <w:rsid w:val="006C5762"/>
    <w:rsid w:val="006C57B2"/>
    <w:rsid w:val="006C5CF7"/>
    <w:rsid w:val="006C6246"/>
    <w:rsid w:val="006C633A"/>
    <w:rsid w:val="006C63C9"/>
    <w:rsid w:val="006C6658"/>
    <w:rsid w:val="006C697D"/>
    <w:rsid w:val="006C697E"/>
    <w:rsid w:val="006C69CA"/>
    <w:rsid w:val="006C6C0D"/>
    <w:rsid w:val="006C7C37"/>
    <w:rsid w:val="006D04B2"/>
    <w:rsid w:val="006D0671"/>
    <w:rsid w:val="006D06C7"/>
    <w:rsid w:val="006D08C1"/>
    <w:rsid w:val="006D08E2"/>
    <w:rsid w:val="006D0B12"/>
    <w:rsid w:val="006D20E0"/>
    <w:rsid w:val="006D213D"/>
    <w:rsid w:val="006D2253"/>
    <w:rsid w:val="006D249F"/>
    <w:rsid w:val="006D2907"/>
    <w:rsid w:val="006D2EFE"/>
    <w:rsid w:val="006D2FE7"/>
    <w:rsid w:val="006D31A7"/>
    <w:rsid w:val="006D3DA4"/>
    <w:rsid w:val="006D4148"/>
    <w:rsid w:val="006D4DD8"/>
    <w:rsid w:val="006D512E"/>
    <w:rsid w:val="006D5389"/>
    <w:rsid w:val="006D5394"/>
    <w:rsid w:val="006D545A"/>
    <w:rsid w:val="006D6EEF"/>
    <w:rsid w:val="006D7A1A"/>
    <w:rsid w:val="006D7F59"/>
    <w:rsid w:val="006DEC04"/>
    <w:rsid w:val="006E0216"/>
    <w:rsid w:val="006E0801"/>
    <w:rsid w:val="006E0ED4"/>
    <w:rsid w:val="006E1CC3"/>
    <w:rsid w:val="006E20ED"/>
    <w:rsid w:val="006E28B0"/>
    <w:rsid w:val="006E3401"/>
    <w:rsid w:val="006E3798"/>
    <w:rsid w:val="006E39EE"/>
    <w:rsid w:val="006E45DA"/>
    <w:rsid w:val="006E4681"/>
    <w:rsid w:val="006E4A5D"/>
    <w:rsid w:val="006E4C9E"/>
    <w:rsid w:val="006E4D6F"/>
    <w:rsid w:val="006E5015"/>
    <w:rsid w:val="006E5261"/>
    <w:rsid w:val="006E5573"/>
    <w:rsid w:val="006E5C02"/>
    <w:rsid w:val="006E5D90"/>
    <w:rsid w:val="006E6031"/>
    <w:rsid w:val="006E7308"/>
    <w:rsid w:val="006E7588"/>
    <w:rsid w:val="006F033F"/>
    <w:rsid w:val="006F041B"/>
    <w:rsid w:val="006F0529"/>
    <w:rsid w:val="006F0FCD"/>
    <w:rsid w:val="006F10E6"/>
    <w:rsid w:val="006F128C"/>
    <w:rsid w:val="006F14A6"/>
    <w:rsid w:val="006F1A0E"/>
    <w:rsid w:val="006F2C60"/>
    <w:rsid w:val="006F30E4"/>
    <w:rsid w:val="006F315F"/>
    <w:rsid w:val="006F369F"/>
    <w:rsid w:val="006F40B5"/>
    <w:rsid w:val="006F4226"/>
    <w:rsid w:val="006F44EF"/>
    <w:rsid w:val="006F4665"/>
    <w:rsid w:val="006F4BC7"/>
    <w:rsid w:val="006F4F7D"/>
    <w:rsid w:val="006F4FF5"/>
    <w:rsid w:val="006F5EF0"/>
    <w:rsid w:val="006F61D5"/>
    <w:rsid w:val="006F6396"/>
    <w:rsid w:val="006F6557"/>
    <w:rsid w:val="006F6B59"/>
    <w:rsid w:val="006F73A8"/>
    <w:rsid w:val="007000A0"/>
    <w:rsid w:val="007001A8"/>
    <w:rsid w:val="0070024B"/>
    <w:rsid w:val="00700254"/>
    <w:rsid w:val="00700B7B"/>
    <w:rsid w:val="0070111F"/>
    <w:rsid w:val="00701B05"/>
    <w:rsid w:val="00701DDB"/>
    <w:rsid w:val="007028C1"/>
    <w:rsid w:val="007028C5"/>
    <w:rsid w:val="00702D72"/>
    <w:rsid w:val="00703FE2"/>
    <w:rsid w:val="0070467F"/>
    <w:rsid w:val="0070498E"/>
    <w:rsid w:val="00705301"/>
    <w:rsid w:val="0070557F"/>
    <w:rsid w:val="007064E9"/>
    <w:rsid w:val="00706F60"/>
    <w:rsid w:val="007076DF"/>
    <w:rsid w:val="0070798A"/>
    <w:rsid w:val="00707CDE"/>
    <w:rsid w:val="00710707"/>
    <w:rsid w:val="0071077D"/>
    <w:rsid w:val="0071091D"/>
    <w:rsid w:val="00710AC5"/>
    <w:rsid w:val="00711134"/>
    <w:rsid w:val="00711293"/>
    <w:rsid w:val="007113A4"/>
    <w:rsid w:val="00711537"/>
    <w:rsid w:val="00711C6B"/>
    <w:rsid w:val="00712204"/>
    <w:rsid w:val="007125F1"/>
    <w:rsid w:val="00712CBD"/>
    <w:rsid w:val="0071302A"/>
    <w:rsid w:val="007139A4"/>
    <w:rsid w:val="007139E1"/>
    <w:rsid w:val="00713A16"/>
    <w:rsid w:val="00713EC8"/>
    <w:rsid w:val="007145EB"/>
    <w:rsid w:val="00714DDD"/>
    <w:rsid w:val="0071500C"/>
    <w:rsid w:val="00715027"/>
    <w:rsid w:val="00715762"/>
    <w:rsid w:val="0071581F"/>
    <w:rsid w:val="00715F05"/>
    <w:rsid w:val="00715F8E"/>
    <w:rsid w:val="00716001"/>
    <w:rsid w:val="007160DA"/>
    <w:rsid w:val="00716C5E"/>
    <w:rsid w:val="007171C2"/>
    <w:rsid w:val="007172D0"/>
    <w:rsid w:val="0071CB13"/>
    <w:rsid w:val="00720213"/>
    <w:rsid w:val="007205C1"/>
    <w:rsid w:val="00720999"/>
    <w:rsid w:val="00720AD9"/>
    <w:rsid w:val="00720D82"/>
    <w:rsid w:val="0072117C"/>
    <w:rsid w:val="007216AE"/>
    <w:rsid w:val="007217DF"/>
    <w:rsid w:val="00721904"/>
    <w:rsid w:val="00721C05"/>
    <w:rsid w:val="0072214F"/>
    <w:rsid w:val="0072230D"/>
    <w:rsid w:val="00722518"/>
    <w:rsid w:val="007229F4"/>
    <w:rsid w:val="00722A29"/>
    <w:rsid w:val="00723718"/>
    <w:rsid w:val="0072388E"/>
    <w:rsid w:val="00723F01"/>
    <w:rsid w:val="007244C0"/>
    <w:rsid w:val="00724F7B"/>
    <w:rsid w:val="0072560D"/>
    <w:rsid w:val="00725874"/>
    <w:rsid w:val="00725879"/>
    <w:rsid w:val="007259D7"/>
    <w:rsid w:val="00725E06"/>
    <w:rsid w:val="0072626C"/>
    <w:rsid w:val="007266CE"/>
    <w:rsid w:val="00726E68"/>
    <w:rsid w:val="00727276"/>
    <w:rsid w:val="007272E1"/>
    <w:rsid w:val="007273FA"/>
    <w:rsid w:val="0072762E"/>
    <w:rsid w:val="007277A0"/>
    <w:rsid w:val="00727C21"/>
    <w:rsid w:val="00730536"/>
    <w:rsid w:val="0073089A"/>
    <w:rsid w:val="0073130C"/>
    <w:rsid w:val="007313C3"/>
    <w:rsid w:val="00732169"/>
    <w:rsid w:val="0073222D"/>
    <w:rsid w:val="00732295"/>
    <w:rsid w:val="0073257C"/>
    <w:rsid w:val="00732EBC"/>
    <w:rsid w:val="00733606"/>
    <w:rsid w:val="00733A4A"/>
    <w:rsid w:val="00733B31"/>
    <w:rsid w:val="00733B56"/>
    <w:rsid w:val="00733D9C"/>
    <w:rsid w:val="00734111"/>
    <w:rsid w:val="0073446C"/>
    <w:rsid w:val="00734E54"/>
    <w:rsid w:val="007353BB"/>
    <w:rsid w:val="00735987"/>
    <w:rsid w:val="007361E2"/>
    <w:rsid w:val="0073666D"/>
    <w:rsid w:val="00736FA3"/>
    <w:rsid w:val="007370F9"/>
    <w:rsid w:val="00737353"/>
    <w:rsid w:val="00737593"/>
    <w:rsid w:val="00737917"/>
    <w:rsid w:val="00740095"/>
    <w:rsid w:val="007408E3"/>
    <w:rsid w:val="00740B42"/>
    <w:rsid w:val="00740BAD"/>
    <w:rsid w:val="00740C72"/>
    <w:rsid w:val="00740DB5"/>
    <w:rsid w:val="00740FA2"/>
    <w:rsid w:val="0074134E"/>
    <w:rsid w:val="0074211D"/>
    <w:rsid w:val="00742232"/>
    <w:rsid w:val="0074267F"/>
    <w:rsid w:val="007430B5"/>
    <w:rsid w:val="007430F8"/>
    <w:rsid w:val="00743161"/>
    <w:rsid w:val="0074411E"/>
    <w:rsid w:val="0074426D"/>
    <w:rsid w:val="00744312"/>
    <w:rsid w:val="007448F1"/>
    <w:rsid w:val="00744F47"/>
    <w:rsid w:val="0074532D"/>
    <w:rsid w:val="00745BD4"/>
    <w:rsid w:val="00745D44"/>
    <w:rsid w:val="00745D48"/>
    <w:rsid w:val="0074612C"/>
    <w:rsid w:val="00746FC5"/>
    <w:rsid w:val="007476B3"/>
    <w:rsid w:val="00747859"/>
    <w:rsid w:val="00747A18"/>
    <w:rsid w:val="00747EA5"/>
    <w:rsid w:val="00750262"/>
    <w:rsid w:val="00750829"/>
    <w:rsid w:val="0075172A"/>
    <w:rsid w:val="00751EA4"/>
    <w:rsid w:val="00751EFC"/>
    <w:rsid w:val="00752083"/>
    <w:rsid w:val="0075209B"/>
    <w:rsid w:val="00752316"/>
    <w:rsid w:val="00752488"/>
    <w:rsid w:val="00752760"/>
    <w:rsid w:val="0075288C"/>
    <w:rsid w:val="007539BB"/>
    <w:rsid w:val="00753A75"/>
    <w:rsid w:val="00753C66"/>
    <w:rsid w:val="00754044"/>
    <w:rsid w:val="00754EE8"/>
    <w:rsid w:val="00755418"/>
    <w:rsid w:val="00755484"/>
    <w:rsid w:val="00755741"/>
    <w:rsid w:val="00755C78"/>
    <w:rsid w:val="00756176"/>
    <w:rsid w:val="0075621E"/>
    <w:rsid w:val="0075641F"/>
    <w:rsid w:val="007564F4"/>
    <w:rsid w:val="00756705"/>
    <w:rsid w:val="00756793"/>
    <w:rsid w:val="00756B73"/>
    <w:rsid w:val="00756F2F"/>
    <w:rsid w:val="00756F62"/>
    <w:rsid w:val="007572A4"/>
    <w:rsid w:val="00757988"/>
    <w:rsid w:val="00757EAD"/>
    <w:rsid w:val="0076006C"/>
    <w:rsid w:val="0076039B"/>
    <w:rsid w:val="007604AD"/>
    <w:rsid w:val="0076087E"/>
    <w:rsid w:val="007608C2"/>
    <w:rsid w:val="00760D76"/>
    <w:rsid w:val="007617B6"/>
    <w:rsid w:val="00761806"/>
    <w:rsid w:val="007619DE"/>
    <w:rsid w:val="00761D31"/>
    <w:rsid w:val="00762144"/>
    <w:rsid w:val="00762740"/>
    <w:rsid w:val="0076291E"/>
    <w:rsid w:val="00763650"/>
    <w:rsid w:val="0076398B"/>
    <w:rsid w:val="00763E2A"/>
    <w:rsid w:val="007649A2"/>
    <w:rsid w:val="00765249"/>
    <w:rsid w:val="0076546C"/>
    <w:rsid w:val="0076570E"/>
    <w:rsid w:val="00765D59"/>
    <w:rsid w:val="00765DEA"/>
    <w:rsid w:val="00766063"/>
    <w:rsid w:val="00766349"/>
    <w:rsid w:val="0076637F"/>
    <w:rsid w:val="007663E1"/>
    <w:rsid w:val="00766499"/>
    <w:rsid w:val="00766B90"/>
    <w:rsid w:val="00766EB2"/>
    <w:rsid w:val="0076766A"/>
    <w:rsid w:val="00767756"/>
    <w:rsid w:val="0076792C"/>
    <w:rsid w:val="007701C0"/>
    <w:rsid w:val="0077040E"/>
    <w:rsid w:val="0077047C"/>
    <w:rsid w:val="007705F8"/>
    <w:rsid w:val="007706F9"/>
    <w:rsid w:val="00770780"/>
    <w:rsid w:val="00770865"/>
    <w:rsid w:val="00770C22"/>
    <w:rsid w:val="00770F29"/>
    <w:rsid w:val="00770FE4"/>
    <w:rsid w:val="0077100C"/>
    <w:rsid w:val="007716AA"/>
    <w:rsid w:val="00771A19"/>
    <w:rsid w:val="00771A36"/>
    <w:rsid w:val="00771A56"/>
    <w:rsid w:val="00771EA8"/>
    <w:rsid w:val="00771F45"/>
    <w:rsid w:val="00771FD6"/>
    <w:rsid w:val="0077201F"/>
    <w:rsid w:val="007724EC"/>
    <w:rsid w:val="007726F1"/>
    <w:rsid w:val="00772759"/>
    <w:rsid w:val="0077340F"/>
    <w:rsid w:val="00773441"/>
    <w:rsid w:val="00773C3A"/>
    <w:rsid w:val="00774397"/>
    <w:rsid w:val="00774849"/>
    <w:rsid w:val="007755A8"/>
    <w:rsid w:val="007756CA"/>
    <w:rsid w:val="00775953"/>
    <w:rsid w:val="00776091"/>
    <w:rsid w:val="0077651D"/>
    <w:rsid w:val="00776A0E"/>
    <w:rsid w:val="00776AC8"/>
    <w:rsid w:val="00776D68"/>
    <w:rsid w:val="00776E10"/>
    <w:rsid w:val="00776F5B"/>
    <w:rsid w:val="00777864"/>
    <w:rsid w:val="007779BC"/>
    <w:rsid w:val="0078019F"/>
    <w:rsid w:val="007801A5"/>
    <w:rsid w:val="007801C3"/>
    <w:rsid w:val="0078026A"/>
    <w:rsid w:val="00780B68"/>
    <w:rsid w:val="00781164"/>
    <w:rsid w:val="00781454"/>
    <w:rsid w:val="0078148C"/>
    <w:rsid w:val="00781580"/>
    <w:rsid w:val="00781777"/>
    <w:rsid w:val="00781C3F"/>
    <w:rsid w:val="00781EB2"/>
    <w:rsid w:val="007826A8"/>
    <w:rsid w:val="0078290D"/>
    <w:rsid w:val="00782AF0"/>
    <w:rsid w:val="007834D3"/>
    <w:rsid w:val="0078350C"/>
    <w:rsid w:val="00783762"/>
    <w:rsid w:val="007837DB"/>
    <w:rsid w:val="00784063"/>
    <w:rsid w:val="00784547"/>
    <w:rsid w:val="007847EA"/>
    <w:rsid w:val="00784A31"/>
    <w:rsid w:val="007852E3"/>
    <w:rsid w:val="00785957"/>
    <w:rsid w:val="00785CA0"/>
    <w:rsid w:val="00786019"/>
    <w:rsid w:val="00786062"/>
    <w:rsid w:val="00786758"/>
    <w:rsid w:val="00786B5F"/>
    <w:rsid w:val="00786B61"/>
    <w:rsid w:val="00787315"/>
    <w:rsid w:val="007877EA"/>
    <w:rsid w:val="00787824"/>
    <w:rsid w:val="0078EAA3"/>
    <w:rsid w:val="00790053"/>
    <w:rsid w:val="00790130"/>
    <w:rsid w:val="00790493"/>
    <w:rsid w:val="00791314"/>
    <w:rsid w:val="007913B8"/>
    <w:rsid w:val="007914AC"/>
    <w:rsid w:val="00791505"/>
    <w:rsid w:val="0079177A"/>
    <w:rsid w:val="00791DA7"/>
    <w:rsid w:val="00791E7B"/>
    <w:rsid w:val="00791F4E"/>
    <w:rsid w:val="00792B81"/>
    <w:rsid w:val="00792C6A"/>
    <w:rsid w:val="00792FBA"/>
    <w:rsid w:val="00793247"/>
    <w:rsid w:val="00793BB5"/>
    <w:rsid w:val="00794168"/>
    <w:rsid w:val="00794DB3"/>
    <w:rsid w:val="00794F6A"/>
    <w:rsid w:val="00794F89"/>
    <w:rsid w:val="00795142"/>
    <w:rsid w:val="007954C8"/>
    <w:rsid w:val="007955F5"/>
    <w:rsid w:val="00795E6E"/>
    <w:rsid w:val="00796B17"/>
    <w:rsid w:val="00796D39"/>
    <w:rsid w:val="00796E02"/>
    <w:rsid w:val="007971D3"/>
    <w:rsid w:val="00797345"/>
    <w:rsid w:val="007977D5"/>
    <w:rsid w:val="00797DEA"/>
    <w:rsid w:val="007A00F0"/>
    <w:rsid w:val="007A0684"/>
    <w:rsid w:val="007A06AC"/>
    <w:rsid w:val="007A079E"/>
    <w:rsid w:val="007A0874"/>
    <w:rsid w:val="007A09C4"/>
    <w:rsid w:val="007A0DA1"/>
    <w:rsid w:val="007A106C"/>
    <w:rsid w:val="007A1937"/>
    <w:rsid w:val="007A1E67"/>
    <w:rsid w:val="007A2275"/>
    <w:rsid w:val="007A2349"/>
    <w:rsid w:val="007A23D0"/>
    <w:rsid w:val="007A2541"/>
    <w:rsid w:val="007A2936"/>
    <w:rsid w:val="007A29ED"/>
    <w:rsid w:val="007A2B40"/>
    <w:rsid w:val="007A3088"/>
    <w:rsid w:val="007A3503"/>
    <w:rsid w:val="007A38DB"/>
    <w:rsid w:val="007A3DCE"/>
    <w:rsid w:val="007A42D8"/>
    <w:rsid w:val="007A46C5"/>
    <w:rsid w:val="007A4A44"/>
    <w:rsid w:val="007A4B42"/>
    <w:rsid w:val="007A4DA8"/>
    <w:rsid w:val="007A58F4"/>
    <w:rsid w:val="007A66E9"/>
    <w:rsid w:val="007A671E"/>
    <w:rsid w:val="007A691B"/>
    <w:rsid w:val="007A6EA6"/>
    <w:rsid w:val="007A78D0"/>
    <w:rsid w:val="007B098A"/>
    <w:rsid w:val="007B1105"/>
    <w:rsid w:val="007B11C7"/>
    <w:rsid w:val="007B1B26"/>
    <w:rsid w:val="007B20E6"/>
    <w:rsid w:val="007B2150"/>
    <w:rsid w:val="007B27BA"/>
    <w:rsid w:val="007B2C5B"/>
    <w:rsid w:val="007B3A84"/>
    <w:rsid w:val="007B3C9A"/>
    <w:rsid w:val="007B3E90"/>
    <w:rsid w:val="007B40C8"/>
    <w:rsid w:val="007B415E"/>
    <w:rsid w:val="007B4642"/>
    <w:rsid w:val="007B4E95"/>
    <w:rsid w:val="007B627D"/>
    <w:rsid w:val="007B6412"/>
    <w:rsid w:val="007B6664"/>
    <w:rsid w:val="007B6AE1"/>
    <w:rsid w:val="007B6EFE"/>
    <w:rsid w:val="007B78DB"/>
    <w:rsid w:val="007B798A"/>
    <w:rsid w:val="007C0BB7"/>
    <w:rsid w:val="007C0BC5"/>
    <w:rsid w:val="007C106C"/>
    <w:rsid w:val="007C1299"/>
    <w:rsid w:val="007C12BB"/>
    <w:rsid w:val="007C1760"/>
    <w:rsid w:val="007C194B"/>
    <w:rsid w:val="007C2ED2"/>
    <w:rsid w:val="007C30EF"/>
    <w:rsid w:val="007C34C1"/>
    <w:rsid w:val="007C3B39"/>
    <w:rsid w:val="007C3D1D"/>
    <w:rsid w:val="007C3D87"/>
    <w:rsid w:val="007C516B"/>
    <w:rsid w:val="007C527D"/>
    <w:rsid w:val="007C5552"/>
    <w:rsid w:val="007C5908"/>
    <w:rsid w:val="007C6221"/>
    <w:rsid w:val="007C67A0"/>
    <w:rsid w:val="007C69F0"/>
    <w:rsid w:val="007C6C76"/>
    <w:rsid w:val="007C6D5E"/>
    <w:rsid w:val="007C702C"/>
    <w:rsid w:val="007C729E"/>
    <w:rsid w:val="007C76A5"/>
    <w:rsid w:val="007C7AFF"/>
    <w:rsid w:val="007D0371"/>
    <w:rsid w:val="007D041A"/>
    <w:rsid w:val="007D0E09"/>
    <w:rsid w:val="007D0EE5"/>
    <w:rsid w:val="007D0FE3"/>
    <w:rsid w:val="007D12FC"/>
    <w:rsid w:val="007D15A6"/>
    <w:rsid w:val="007D1720"/>
    <w:rsid w:val="007D1D8C"/>
    <w:rsid w:val="007D2B4E"/>
    <w:rsid w:val="007D33ED"/>
    <w:rsid w:val="007D34C0"/>
    <w:rsid w:val="007D38CE"/>
    <w:rsid w:val="007D4091"/>
    <w:rsid w:val="007D42B8"/>
    <w:rsid w:val="007D44BC"/>
    <w:rsid w:val="007D4C8E"/>
    <w:rsid w:val="007D4FA2"/>
    <w:rsid w:val="007D51F2"/>
    <w:rsid w:val="007D54A9"/>
    <w:rsid w:val="007D5765"/>
    <w:rsid w:val="007D5CCD"/>
    <w:rsid w:val="007D6017"/>
    <w:rsid w:val="007D67DE"/>
    <w:rsid w:val="007D6A32"/>
    <w:rsid w:val="007D6C01"/>
    <w:rsid w:val="007D7771"/>
    <w:rsid w:val="007D790C"/>
    <w:rsid w:val="007D79F6"/>
    <w:rsid w:val="007D7B01"/>
    <w:rsid w:val="007E0425"/>
    <w:rsid w:val="007E085D"/>
    <w:rsid w:val="007E0862"/>
    <w:rsid w:val="007E0901"/>
    <w:rsid w:val="007E0CD0"/>
    <w:rsid w:val="007E0E52"/>
    <w:rsid w:val="007E10D3"/>
    <w:rsid w:val="007E145A"/>
    <w:rsid w:val="007E1708"/>
    <w:rsid w:val="007E1AB2"/>
    <w:rsid w:val="007E2103"/>
    <w:rsid w:val="007E224D"/>
    <w:rsid w:val="007E26D6"/>
    <w:rsid w:val="007E2B99"/>
    <w:rsid w:val="007E2D7E"/>
    <w:rsid w:val="007E33E2"/>
    <w:rsid w:val="007E36D9"/>
    <w:rsid w:val="007E3AD9"/>
    <w:rsid w:val="007E3B1B"/>
    <w:rsid w:val="007E40C9"/>
    <w:rsid w:val="007E4327"/>
    <w:rsid w:val="007E4508"/>
    <w:rsid w:val="007E491E"/>
    <w:rsid w:val="007E49B9"/>
    <w:rsid w:val="007E4B9D"/>
    <w:rsid w:val="007E4DA9"/>
    <w:rsid w:val="007E4FFF"/>
    <w:rsid w:val="007E5A30"/>
    <w:rsid w:val="007E62F0"/>
    <w:rsid w:val="007E64FC"/>
    <w:rsid w:val="007E663B"/>
    <w:rsid w:val="007E6656"/>
    <w:rsid w:val="007E66FA"/>
    <w:rsid w:val="007E6C84"/>
    <w:rsid w:val="007E6FD7"/>
    <w:rsid w:val="007E7021"/>
    <w:rsid w:val="007E7442"/>
    <w:rsid w:val="007E7686"/>
    <w:rsid w:val="007E7A05"/>
    <w:rsid w:val="007F05E2"/>
    <w:rsid w:val="007F0B6B"/>
    <w:rsid w:val="007F1436"/>
    <w:rsid w:val="007F1D39"/>
    <w:rsid w:val="007F1E00"/>
    <w:rsid w:val="007F20A6"/>
    <w:rsid w:val="007F218B"/>
    <w:rsid w:val="007F23D1"/>
    <w:rsid w:val="007F3005"/>
    <w:rsid w:val="007F31B1"/>
    <w:rsid w:val="007F3373"/>
    <w:rsid w:val="007F3551"/>
    <w:rsid w:val="007F38C8"/>
    <w:rsid w:val="007F3EE9"/>
    <w:rsid w:val="007F3F0E"/>
    <w:rsid w:val="007F48E5"/>
    <w:rsid w:val="007F496B"/>
    <w:rsid w:val="007F505B"/>
    <w:rsid w:val="007F5150"/>
    <w:rsid w:val="007F53C8"/>
    <w:rsid w:val="007F5403"/>
    <w:rsid w:val="007F54B6"/>
    <w:rsid w:val="007F598E"/>
    <w:rsid w:val="007F5B10"/>
    <w:rsid w:val="007F5C86"/>
    <w:rsid w:val="007F674A"/>
    <w:rsid w:val="007F72D0"/>
    <w:rsid w:val="007F7750"/>
    <w:rsid w:val="008006A4"/>
    <w:rsid w:val="00801108"/>
    <w:rsid w:val="0080129C"/>
    <w:rsid w:val="008013C9"/>
    <w:rsid w:val="0080168D"/>
    <w:rsid w:val="008017CB"/>
    <w:rsid w:val="00801C1B"/>
    <w:rsid w:val="00801EFD"/>
    <w:rsid w:val="00801FA1"/>
    <w:rsid w:val="00802163"/>
    <w:rsid w:val="00802770"/>
    <w:rsid w:val="008028AC"/>
    <w:rsid w:val="00802912"/>
    <w:rsid w:val="0080294E"/>
    <w:rsid w:val="00802FC7"/>
    <w:rsid w:val="008032F6"/>
    <w:rsid w:val="008039A2"/>
    <w:rsid w:val="00803DDD"/>
    <w:rsid w:val="00803DDF"/>
    <w:rsid w:val="0080428D"/>
    <w:rsid w:val="00804671"/>
    <w:rsid w:val="00804D0E"/>
    <w:rsid w:val="00805532"/>
    <w:rsid w:val="008057CA"/>
    <w:rsid w:val="00805BE8"/>
    <w:rsid w:val="008062B9"/>
    <w:rsid w:val="0080631E"/>
    <w:rsid w:val="00806635"/>
    <w:rsid w:val="00806896"/>
    <w:rsid w:val="0080780A"/>
    <w:rsid w:val="0080782E"/>
    <w:rsid w:val="00807A67"/>
    <w:rsid w:val="00807BB7"/>
    <w:rsid w:val="00807D7C"/>
    <w:rsid w:val="00807F43"/>
    <w:rsid w:val="0080A5A0"/>
    <w:rsid w:val="0081036C"/>
    <w:rsid w:val="008106B0"/>
    <w:rsid w:val="008113E2"/>
    <w:rsid w:val="008114DD"/>
    <w:rsid w:val="00811A8A"/>
    <w:rsid w:val="00812354"/>
    <w:rsid w:val="00812929"/>
    <w:rsid w:val="008133A4"/>
    <w:rsid w:val="00813CAA"/>
    <w:rsid w:val="00813CB0"/>
    <w:rsid w:val="00815257"/>
    <w:rsid w:val="008153C5"/>
    <w:rsid w:val="008153C8"/>
    <w:rsid w:val="0081575D"/>
    <w:rsid w:val="00815CDC"/>
    <w:rsid w:val="00815FE5"/>
    <w:rsid w:val="00816066"/>
    <w:rsid w:val="0081632D"/>
    <w:rsid w:val="0081657C"/>
    <w:rsid w:val="00816621"/>
    <w:rsid w:val="0081663E"/>
    <w:rsid w:val="00816879"/>
    <w:rsid w:val="00816AF3"/>
    <w:rsid w:val="00816E62"/>
    <w:rsid w:val="0081748D"/>
    <w:rsid w:val="00817AA0"/>
    <w:rsid w:val="00817D28"/>
    <w:rsid w:val="00817DE0"/>
    <w:rsid w:val="0082004E"/>
    <w:rsid w:val="0082014B"/>
    <w:rsid w:val="008202B9"/>
    <w:rsid w:val="008206EB"/>
    <w:rsid w:val="00820FBD"/>
    <w:rsid w:val="00821668"/>
    <w:rsid w:val="00821DDC"/>
    <w:rsid w:val="00821DF7"/>
    <w:rsid w:val="00821EB4"/>
    <w:rsid w:val="00822071"/>
    <w:rsid w:val="00822319"/>
    <w:rsid w:val="00822B6D"/>
    <w:rsid w:val="00822FC7"/>
    <w:rsid w:val="008230C1"/>
    <w:rsid w:val="008230F0"/>
    <w:rsid w:val="00823C00"/>
    <w:rsid w:val="00824079"/>
    <w:rsid w:val="00824484"/>
    <w:rsid w:val="00824E69"/>
    <w:rsid w:val="00824EFA"/>
    <w:rsid w:val="008250CE"/>
    <w:rsid w:val="008252F4"/>
    <w:rsid w:val="00825341"/>
    <w:rsid w:val="0082537B"/>
    <w:rsid w:val="008253FA"/>
    <w:rsid w:val="0082541D"/>
    <w:rsid w:val="0082582E"/>
    <w:rsid w:val="00825A20"/>
    <w:rsid w:val="00825AD2"/>
    <w:rsid w:val="00825BBD"/>
    <w:rsid w:val="00825E40"/>
    <w:rsid w:val="00825FF2"/>
    <w:rsid w:val="0082686D"/>
    <w:rsid w:val="00826BC2"/>
    <w:rsid w:val="00827385"/>
    <w:rsid w:val="008273CA"/>
    <w:rsid w:val="00827BD3"/>
    <w:rsid w:val="00827E68"/>
    <w:rsid w:val="0083032D"/>
    <w:rsid w:val="00830351"/>
    <w:rsid w:val="008305A4"/>
    <w:rsid w:val="008306E4"/>
    <w:rsid w:val="008311F5"/>
    <w:rsid w:val="00831293"/>
    <w:rsid w:val="00831D74"/>
    <w:rsid w:val="00831E86"/>
    <w:rsid w:val="00831EAE"/>
    <w:rsid w:val="0083221C"/>
    <w:rsid w:val="00832339"/>
    <w:rsid w:val="0083254A"/>
    <w:rsid w:val="008326DB"/>
    <w:rsid w:val="00832BDA"/>
    <w:rsid w:val="00832EFF"/>
    <w:rsid w:val="00833072"/>
    <w:rsid w:val="00833093"/>
    <w:rsid w:val="008330E7"/>
    <w:rsid w:val="0083369F"/>
    <w:rsid w:val="008336E3"/>
    <w:rsid w:val="00833710"/>
    <w:rsid w:val="008337CA"/>
    <w:rsid w:val="008339D6"/>
    <w:rsid w:val="00833AE2"/>
    <w:rsid w:val="00833BDF"/>
    <w:rsid w:val="00833D7A"/>
    <w:rsid w:val="00833EDB"/>
    <w:rsid w:val="00834410"/>
    <w:rsid w:val="008345A0"/>
    <w:rsid w:val="008345D4"/>
    <w:rsid w:val="00834701"/>
    <w:rsid w:val="008349E6"/>
    <w:rsid w:val="00835097"/>
    <w:rsid w:val="0083519D"/>
    <w:rsid w:val="008353A9"/>
    <w:rsid w:val="00835A31"/>
    <w:rsid w:val="00835FEA"/>
    <w:rsid w:val="008361C8"/>
    <w:rsid w:val="008362D3"/>
    <w:rsid w:val="00837AFE"/>
    <w:rsid w:val="00837C45"/>
    <w:rsid w:val="0083C305"/>
    <w:rsid w:val="008406F9"/>
    <w:rsid w:val="00840DEE"/>
    <w:rsid w:val="0084107F"/>
    <w:rsid w:val="008416BA"/>
    <w:rsid w:val="008419E4"/>
    <w:rsid w:val="00841A03"/>
    <w:rsid w:val="00841A95"/>
    <w:rsid w:val="00842223"/>
    <w:rsid w:val="00842E16"/>
    <w:rsid w:val="00842E64"/>
    <w:rsid w:val="008438C8"/>
    <w:rsid w:val="00843903"/>
    <w:rsid w:val="0084392F"/>
    <w:rsid w:val="008442D9"/>
    <w:rsid w:val="00844625"/>
    <w:rsid w:val="0084485E"/>
    <w:rsid w:val="00844FFB"/>
    <w:rsid w:val="00845083"/>
    <w:rsid w:val="008450E0"/>
    <w:rsid w:val="00845450"/>
    <w:rsid w:val="008459F0"/>
    <w:rsid w:val="00845B6E"/>
    <w:rsid w:val="008460D8"/>
    <w:rsid w:val="00846886"/>
    <w:rsid w:val="00846E30"/>
    <w:rsid w:val="00846FF2"/>
    <w:rsid w:val="00847167"/>
    <w:rsid w:val="008474C5"/>
    <w:rsid w:val="008476D4"/>
    <w:rsid w:val="008477A7"/>
    <w:rsid w:val="0085009B"/>
    <w:rsid w:val="00850466"/>
    <w:rsid w:val="00850BC9"/>
    <w:rsid w:val="0085126D"/>
    <w:rsid w:val="00851826"/>
    <w:rsid w:val="00851FC7"/>
    <w:rsid w:val="00852A79"/>
    <w:rsid w:val="00852D97"/>
    <w:rsid w:val="00852ED8"/>
    <w:rsid w:val="00852EDB"/>
    <w:rsid w:val="0085370B"/>
    <w:rsid w:val="00854005"/>
    <w:rsid w:val="0085402E"/>
    <w:rsid w:val="00854061"/>
    <w:rsid w:val="008542C5"/>
    <w:rsid w:val="008546D9"/>
    <w:rsid w:val="0085489A"/>
    <w:rsid w:val="00855AB2"/>
    <w:rsid w:val="00855B00"/>
    <w:rsid w:val="00856012"/>
    <w:rsid w:val="00856264"/>
    <w:rsid w:val="0085643F"/>
    <w:rsid w:val="00856859"/>
    <w:rsid w:val="00856E9D"/>
    <w:rsid w:val="00857747"/>
    <w:rsid w:val="00857F49"/>
    <w:rsid w:val="00860344"/>
    <w:rsid w:val="0086041A"/>
    <w:rsid w:val="00861245"/>
    <w:rsid w:val="008613D5"/>
    <w:rsid w:val="00861BB6"/>
    <w:rsid w:val="00862436"/>
    <w:rsid w:val="00863834"/>
    <w:rsid w:val="00863FF2"/>
    <w:rsid w:val="00864226"/>
    <w:rsid w:val="00864507"/>
    <w:rsid w:val="008647AC"/>
    <w:rsid w:val="0086493D"/>
    <w:rsid w:val="00864A8D"/>
    <w:rsid w:val="00864B0E"/>
    <w:rsid w:val="0086582D"/>
    <w:rsid w:val="00865E16"/>
    <w:rsid w:val="00865E55"/>
    <w:rsid w:val="00865F84"/>
    <w:rsid w:val="0086659C"/>
    <w:rsid w:val="0086678A"/>
    <w:rsid w:val="00867D04"/>
    <w:rsid w:val="00867F11"/>
    <w:rsid w:val="00867F47"/>
    <w:rsid w:val="008700D4"/>
    <w:rsid w:val="008704D5"/>
    <w:rsid w:val="00870A1A"/>
    <w:rsid w:val="0087123D"/>
    <w:rsid w:val="00871264"/>
    <w:rsid w:val="00871300"/>
    <w:rsid w:val="00871367"/>
    <w:rsid w:val="0087163C"/>
    <w:rsid w:val="00871768"/>
    <w:rsid w:val="00871B8A"/>
    <w:rsid w:val="00871E87"/>
    <w:rsid w:val="00871F90"/>
    <w:rsid w:val="00872112"/>
    <w:rsid w:val="008722C5"/>
    <w:rsid w:val="00872396"/>
    <w:rsid w:val="008729A8"/>
    <w:rsid w:val="00872E7D"/>
    <w:rsid w:val="00873DB3"/>
    <w:rsid w:val="0087410A"/>
    <w:rsid w:val="0087424A"/>
    <w:rsid w:val="008744CC"/>
    <w:rsid w:val="00874BD0"/>
    <w:rsid w:val="00874F26"/>
    <w:rsid w:val="00875880"/>
    <w:rsid w:val="0087625E"/>
    <w:rsid w:val="0087640F"/>
    <w:rsid w:val="00876496"/>
    <w:rsid w:val="00876B97"/>
    <w:rsid w:val="008771B0"/>
    <w:rsid w:val="0087729E"/>
    <w:rsid w:val="00877585"/>
    <w:rsid w:val="00877749"/>
    <w:rsid w:val="0087781D"/>
    <w:rsid w:val="00880780"/>
    <w:rsid w:val="008809F1"/>
    <w:rsid w:val="00880BE6"/>
    <w:rsid w:val="00880D2F"/>
    <w:rsid w:val="00880EAA"/>
    <w:rsid w:val="00881092"/>
    <w:rsid w:val="008814ED"/>
    <w:rsid w:val="0088160F"/>
    <w:rsid w:val="008818C7"/>
    <w:rsid w:val="00881D55"/>
    <w:rsid w:val="00881DF5"/>
    <w:rsid w:val="0088224D"/>
    <w:rsid w:val="00882E1F"/>
    <w:rsid w:val="00882EB3"/>
    <w:rsid w:val="008835B5"/>
    <w:rsid w:val="008838B8"/>
    <w:rsid w:val="0088391A"/>
    <w:rsid w:val="00884C43"/>
    <w:rsid w:val="00884C6D"/>
    <w:rsid w:val="00884E17"/>
    <w:rsid w:val="00884E5F"/>
    <w:rsid w:val="0088501F"/>
    <w:rsid w:val="00885677"/>
    <w:rsid w:val="00885BAD"/>
    <w:rsid w:val="00885ED5"/>
    <w:rsid w:val="00886512"/>
    <w:rsid w:val="0088669A"/>
    <w:rsid w:val="0088681B"/>
    <w:rsid w:val="0088682B"/>
    <w:rsid w:val="00886AFF"/>
    <w:rsid w:val="0088726C"/>
    <w:rsid w:val="008878EC"/>
    <w:rsid w:val="00887BFB"/>
    <w:rsid w:val="00887ED6"/>
    <w:rsid w:val="00890223"/>
    <w:rsid w:val="00890E93"/>
    <w:rsid w:val="008911DB"/>
    <w:rsid w:val="00891500"/>
    <w:rsid w:val="00891597"/>
    <w:rsid w:val="0089185C"/>
    <w:rsid w:val="00891DAF"/>
    <w:rsid w:val="008928BE"/>
    <w:rsid w:val="00892D76"/>
    <w:rsid w:val="00892FA8"/>
    <w:rsid w:val="00893892"/>
    <w:rsid w:val="00893ED9"/>
    <w:rsid w:val="008942B6"/>
    <w:rsid w:val="008945D3"/>
    <w:rsid w:val="00894625"/>
    <w:rsid w:val="00894911"/>
    <w:rsid w:val="00894C2D"/>
    <w:rsid w:val="00895487"/>
    <w:rsid w:val="008958A2"/>
    <w:rsid w:val="00895E57"/>
    <w:rsid w:val="00895EA5"/>
    <w:rsid w:val="008960D7"/>
    <w:rsid w:val="008966CE"/>
    <w:rsid w:val="00896C5D"/>
    <w:rsid w:val="00896D64"/>
    <w:rsid w:val="00896F13"/>
    <w:rsid w:val="008977C5"/>
    <w:rsid w:val="00897EE8"/>
    <w:rsid w:val="00897F78"/>
    <w:rsid w:val="00897F97"/>
    <w:rsid w:val="00899573"/>
    <w:rsid w:val="008A0190"/>
    <w:rsid w:val="008A0602"/>
    <w:rsid w:val="008A06FA"/>
    <w:rsid w:val="008A0E5E"/>
    <w:rsid w:val="008A0EE1"/>
    <w:rsid w:val="008A1044"/>
    <w:rsid w:val="008A13E1"/>
    <w:rsid w:val="008A1EC6"/>
    <w:rsid w:val="008A21BC"/>
    <w:rsid w:val="008A23E6"/>
    <w:rsid w:val="008A27D2"/>
    <w:rsid w:val="008A3B46"/>
    <w:rsid w:val="008A3D3E"/>
    <w:rsid w:val="008A3F8B"/>
    <w:rsid w:val="008A42B0"/>
    <w:rsid w:val="008A43B6"/>
    <w:rsid w:val="008A43E2"/>
    <w:rsid w:val="008A599F"/>
    <w:rsid w:val="008A59CC"/>
    <w:rsid w:val="008A62A2"/>
    <w:rsid w:val="008A6301"/>
    <w:rsid w:val="008A63A6"/>
    <w:rsid w:val="008A6911"/>
    <w:rsid w:val="008A6938"/>
    <w:rsid w:val="008A6B6B"/>
    <w:rsid w:val="008A6B78"/>
    <w:rsid w:val="008A6BFE"/>
    <w:rsid w:val="008A6C87"/>
    <w:rsid w:val="008A6DB2"/>
    <w:rsid w:val="008A7B6D"/>
    <w:rsid w:val="008A7C81"/>
    <w:rsid w:val="008A7DCE"/>
    <w:rsid w:val="008A7F12"/>
    <w:rsid w:val="008A7FE2"/>
    <w:rsid w:val="008B087F"/>
    <w:rsid w:val="008B0EEA"/>
    <w:rsid w:val="008B0FFF"/>
    <w:rsid w:val="008B186D"/>
    <w:rsid w:val="008B1B5E"/>
    <w:rsid w:val="008B1D7B"/>
    <w:rsid w:val="008B2292"/>
    <w:rsid w:val="008B2780"/>
    <w:rsid w:val="008B3091"/>
    <w:rsid w:val="008B30BC"/>
    <w:rsid w:val="008B3279"/>
    <w:rsid w:val="008B33DB"/>
    <w:rsid w:val="008B37D1"/>
    <w:rsid w:val="008B406B"/>
    <w:rsid w:val="008B40D3"/>
    <w:rsid w:val="008B4170"/>
    <w:rsid w:val="008B45A5"/>
    <w:rsid w:val="008B480A"/>
    <w:rsid w:val="008B4AD4"/>
    <w:rsid w:val="008B4E55"/>
    <w:rsid w:val="008B4FEE"/>
    <w:rsid w:val="008B510B"/>
    <w:rsid w:val="008B521C"/>
    <w:rsid w:val="008B5B44"/>
    <w:rsid w:val="008B5B5F"/>
    <w:rsid w:val="008B5DC7"/>
    <w:rsid w:val="008B6003"/>
    <w:rsid w:val="008B6A1D"/>
    <w:rsid w:val="008B6CCE"/>
    <w:rsid w:val="008B7703"/>
    <w:rsid w:val="008B7AB7"/>
    <w:rsid w:val="008C03B9"/>
    <w:rsid w:val="008C07FA"/>
    <w:rsid w:val="008C0BB0"/>
    <w:rsid w:val="008C1277"/>
    <w:rsid w:val="008C15CB"/>
    <w:rsid w:val="008C164A"/>
    <w:rsid w:val="008C1773"/>
    <w:rsid w:val="008C1948"/>
    <w:rsid w:val="008C1BFC"/>
    <w:rsid w:val="008C1C10"/>
    <w:rsid w:val="008C1ECC"/>
    <w:rsid w:val="008C28DB"/>
    <w:rsid w:val="008C2936"/>
    <w:rsid w:val="008C2ADC"/>
    <w:rsid w:val="008C2BB9"/>
    <w:rsid w:val="008C2CD0"/>
    <w:rsid w:val="008C3274"/>
    <w:rsid w:val="008C345A"/>
    <w:rsid w:val="008C3493"/>
    <w:rsid w:val="008C399A"/>
    <w:rsid w:val="008C3C7B"/>
    <w:rsid w:val="008C3F67"/>
    <w:rsid w:val="008C4052"/>
    <w:rsid w:val="008C43AF"/>
    <w:rsid w:val="008C4EC3"/>
    <w:rsid w:val="008C5377"/>
    <w:rsid w:val="008C592F"/>
    <w:rsid w:val="008C6347"/>
    <w:rsid w:val="008C6442"/>
    <w:rsid w:val="008C6741"/>
    <w:rsid w:val="008C69E3"/>
    <w:rsid w:val="008C712B"/>
    <w:rsid w:val="008C72DB"/>
    <w:rsid w:val="008C73EE"/>
    <w:rsid w:val="008C783E"/>
    <w:rsid w:val="008C79D5"/>
    <w:rsid w:val="008C7C29"/>
    <w:rsid w:val="008C7CCF"/>
    <w:rsid w:val="008C7F6B"/>
    <w:rsid w:val="008D0013"/>
    <w:rsid w:val="008D013D"/>
    <w:rsid w:val="008D0B74"/>
    <w:rsid w:val="008D0C80"/>
    <w:rsid w:val="008D139C"/>
    <w:rsid w:val="008D13B9"/>
    <w:rsid w:val="008D1CDD"/>
    <w:rsid w:val="008D20DE"/>
    <w:rsid w:val="008D2249"/>
    <w:rsid w:val="008D231F"/>
    <w:rsid w:val="008D24F9"/>
    <w:rsid w:val="008D2A9D"/>
    <w:rsid w:val="008D2CE9"/>
    <w:rsid w:val="008D47CF"/>
    <w:rsid w:val="008D47D7"/>
    <w:rsid w:val="008D59B2"/>
    <w:rsid w:val="008D5BD8"/>
    <w:rsid w:val="008D6C83"/>
    <w:rsid w:val="008D6E1E"/>
    <w:rsid w:val="008D72DC"/>
    <w:rsid w:val="008D7E4D"/>
    <w:rsid w:val="008D7EE4"/>
    <w:rsid w:val="008E04E1"/>
    <w:rsid w:val="008E0E4C"/>
    <w:rsid w:val="008E183B"/>
    <w:rsid w:val="008E1A74"/>
    <w:rsid w:val="008E260D"/>
    <w:rsid w:val="008E27D0"/>
    <w:rsid w:val="008E2C6B"/>
    <w:rsid w:val="008E2EE8"/>
    <w:rsid w:val="008E319D"/>
    <w:rsid w:val="008E3730"/>
    <w:rsid w:val="008E412F"/>
    <w:rsid w:val="008E5038"/>
    <w:rsid w:val="008E5428"/>
    <w:rsid w:val="008E5480"/>
    <w:rsid w:val="008E56D9"/>
    <w:rsid w:val="008E5BB7"/>
    <w:rsid w:val="008E626D"/>
    <w:rsid w:val="008E6667"/>
    <w:rsid w:val="008E730F"/>
    <w:rsid w:val="008E7535"/>
    <w:rsid w:val="008E771E"/>
    <w:rsid w:val="008E77F6"/>
    <w:rsid w:val="008E781E"/>
    <w:rsid w:val="008E7A6A"/>
    <w:rsid w:val="008F0193"/>
    <w:rsid w:val="008F01B6"/>
    <w:rsid w:val="008F034F"/>
    <w:rsid w:val="008F0358"/>
    <w:rsid w:val="008F06B6"/>
    <w:rsid w:val="008F07DC"/>
    <w:rsid w:val="008F090D"/>
    <w:rsid w:val="008F0F0C"/>
    <w:rsid w:val="008F129B"/>
    <w:rsid w:val="008F1915"/>
    <w:rsid w:val="008F20AA"/>
    <w:rsid w:val="008F2766"/>
    <w:rsid w:val="008F32E7"/>
    <w:rsid w:val="008F3691"/>
    <w:rsid w:val="008F3763"/>
    <w:rsid w:val="008F4001"/>
    <w:rsid w:val="008F400E"/>
    <w:rsid w:val="008F43ED"/>
    <w:rsid w:val="008F4900"/>
    <w:rsid w:val="008F497B"/>
    <w:rsid w:val="008F4E6B"/>
    <w:rsid w:val="008F5E50"/>
    <w:rsid w:val="008F65E5"/>
    <w:rsid w:val="008F6B6A"/>
    <w:rsid w:val="008F6BA1"/>
    <w:rsid w:val="008F6D4A"/>
    <w:rsid w:val="008F706C"/>
    <w:rsid w:val="008F7B80"/>
    <w:rsid w:val="008F7E63"/>
    <w:rsid w:val="008F7EE5"/>
    <w:rsid w:val="00900276"/>
    <w:rsid w:val="009002F6"/>
    <w:rsid w:val="0090031E"/>
    <w:rsid w:val="0090042F"/>
    <w:rsid w:val="009009CA"/>
    <w:rsid w:val="00900F85"/>
    <w:rsid w:val="00901642"/>
    <w:rsid w:val="0090194E"/>
    <w:rsid w:val="00901A19"/>
    <w:rsid w:val="00901C08"/>
    <w:rsid w:val="009022F0"/>
    <w:rsid w:val="00902456"/>
    <w:rsid w:val="0090255D"/>
    <w:rsid w:val="00902EB0"/>
    <w:rsid w:val="00904ADC"/>
    <w:rsid w:val="00904ED5"/>
    <w:rsid w:val="009050CC"/>
    <w:rsid w:val="009051C0"/>
    <w:rsid w:val="009056FC"/>
    <w:rsid w:val="00905775"/>
    <w:rsid w:val="00906120"/>
    <w:rsid w:val="00906557"/>
    <w:rsid w:val="0090673F"/>
    <w:rsid w:val="009067AE"/>
    <w:rsid w:val="009067CA"/>
    <w:rsid w:val="00906EA1"/>
    <w:rsid w:val="00907547"/>
    <w:rsid w:val="0090784B"/>
    <w:rsid w:val="00907A61"/>
    <w:rsid w:val="00907BA8"/>
    <w:rsid w:val="0091000F"/>
    <w:rsid w:val="0091010C"/>
    <w:rsid w:val="009102B7"/>
    <w:rsid w:val="009103E3"/>
    <w:rsid w:val="00910433"/>
    <w:rsid w:val="00910D62"/>
    <w:rsid w:val="00910E0E"/>
    <w:rsid w:val="00910E31"/>
    <w:rsid w:val="00910F84"/>
    <w:rsid w:val="00911261"/>
    <w:rsid w:val="00911E7A"/>
    <w:rsid w:val="00912530"/>
    <w:rsid w:val="00912665"/>
    <w:rsid w:val="00912823"/>
    <w:rsid w:val="0091298D"/>
    <w:rsid w:val="00912AFF"/>
    <w:rsid w:val="00912B43"/>
    <w:rsid w:val="00912E46"/>
    <w:rsid w:val="0091325A"/>
    <w:rsid w:val="0091378F"/>
    <w:rsid w:val="00913CAD"/>
    <w:rsid w:val="00913DC6"/>
    <w:rsid w:val="009143C7"/>
    <w:rsid w:val="0091467E"/>
    <w:rsid w:val="00914D6D"/>
    <w:rsid w:val="009155A3"/>
    <w:rsid w:val="00915638"/>
    <w:rsid w:val="009158FF"/>
    <w:rsid w:val="00915B16"/>
    <w:rsid w:val="00915BC5"/>
    <w:rsid w:val="00915FC4"/>
    <w:rsid w:val="009164AB"/>
    <w:rsid w:val="00916567"/>
    <w:rsid w:val="00916822"/>
    <w:rsid w:val="00916925"/>
    <w:rsid w:val="00916FDC"/>
    <w:rsid w:val="00917A46"/>
    <w:rsid w:val="00917EC7"/>
    <w:rsid w:val="00920379"/>
    <w:rsid w:val="0092046C"/>
    <w:rsid w:val="009206CC"/>
    <w:rsid w:val="00920834"/>
    <w:rsid w:val="009209A4"/>
    <w:rsid w:val="00920B48"/>
    <w:rsid w:val="00920C6D"/>
    <w:rsid w:val="00921493"/>
    <w:rsid w:val="00921611"/>
    <w:rsid w:val="00921811"/>
    <w:rsid w:val="00921950"/>
    <w:rsid w:val="00921AD1"/>
    <w:rsid w:val="00921C41"/>
    <w:rsid w:val="0092285E"/>
    <w:rsid w:val="00922B05"/>
    <w:rsid w:val="00923555"/>
    <w:rsid w:val="00923CE2"/>
    <w:rsid w:val="00924448"/>
    <w:rsid w:val="0092458D"/>
    <w:rsid w:val="00924886"/>
    <w:rsid w:val="009248C1"/>
    <w:rsid w:val="0092522A"/>
    <w:rsid w:val="009256BC"/>
    <w:rsid w:val="00925C79"/>
    <w:rsid w:val="00926100"/>
    <w:rsid w:val="0092633B"/>
    <w:rsid w:val="009263D2"/>
    <w:rsid w:val="00926F5C"/>
    <w:rsid w:val="00926FBC"/>
    <w:rsid w:val="00927162"/>
    <w:rsid w:val="0092737B"/>
    <w:rsid w:val="0092749E"/>
    <w:rsid w:val="00927942"/>
    <w:rsid w:val="0092799F"/>
    <w:rsid w:val="00927BE7"/>
    <w:rsid w:val="00927D72"/>
    <w:rsid w:val="00930A5B"/>
    <w:rsid w:val="00930FC1"/>
    <w:rsid w:val="00931366"/>
    <w:rsid w:val="009313ED"/>
    <w:rsid w:val="0093153C"/>
    <w:rsid w:val="00931705"/>
    <w:rsid w:val="00931B2F"/>
    <w:rsid w:val="00931D36"/>
    <w:rsid w:val="009326E8"/>
    <w:rsid w:val="00932A15"/>
    <w:rsid w:val="00932A3B"/>
    <w:rsid w:val="00932C38"/>
    <w:rsid w:val="00932D05"/>
    <w:rsid w:val="00932EC9"/>
    <w:rsid w:val="009333BD"/>
    <w:rsid w:val="0093378F"/>
    <w:rsid w:val="0093380B"/>
    <w:rsid w:val="0093387A"/>
    <w:rsid w:val="009339F0"/>
    <w:rsid w:val="00933D39"/>
    <w:rsid w:val="00933D8B"/>
    <w:rsid w:val="00933F53"/>
    <w:rsid w:val="00934AB1"/>
    <w:rsid w:val="00934AE1"/>
    <w:rsid w:val="00934F2B"/>
    <w:rsid w:val="00935693"/>
    <w:rsid w:val="00935D67"/>
    <w:rsid w:val="00936420"/>
    <w:rsid w:val="00937720"/>
    <w:rsid w:val="00937C9A"/>
    <w:rsid w:val="00940A35"/>
    <w:rsid w:val="00940EE6"/>
    <w:rsid w:val="00941147"/>
    <w:rsid w:val="009412EE"/>
    <w:rsid w:val="00941480"/>
    <w:rsid w:val="0094184C"/>
    <w:rsid w:val="0094195B"/>
    <w:rsid w:val="00941C70"/>
    <w:rsid w:val="00941E20"/>
    <w:rsid w:val="0094214E"/>
    <w:rsid w:val="0094292A"/>
    <w:rsid w:val="0094295A"/>
    <w:rsid w:val="00943144"/>
    <w:rsid w:val="0094369B"/>
    <w:rsid w:val="009439DF"/>
    <w:rsid w:val="00943AA7"/>
    <w:rsid w:val="00943E89"/>
    <w:rsid w:val="00944217"/>
    <w:rsid w:val="00944852"/>
    <w:rsid w:val="00944F9D"/>
    <w:rsid w:val="0094544C"/>
    <w:rsid w:val="009465DC"/>
    <w:rsid w:val="00946638"/>
    <w:rsid w:val="0094679D"/>
    <w:rsid w:val="009467F0"/>
    <w:rsid w:val="00946A56"/>
    <w:rsid w:val="00946DC7"/>
    <w:rsid w:val="0094700D"/>
    <w:rsid w:val="00947060"/>
    <w:rsid w:val="009473A4"/>
    <w:rsid w:val="009508D8"/>
    <w:rsid w:val="009508DA"/>
    <w:rsid w:val="00950DC0"/>
    <w:rsid w:val="00950E9B"/>
    <w:rsid w:val="009510C8"/>
    <w:rsid w:val="00951748"/>
    <w:rsid w:val="009519A9"/>
    <w:rsid w:val="00951C8A"/>
    <w:rsid w:val="00951D51"/>
    <w:rsid w:val="00951DDD"/>
    <w:rsid w:val="00952005"/>
    <w:rsid w:val="00952646"/>
    <w:rsid w:val="009526A7"/>
    <w:rsid w:val="009526EC"/>
    <w:rsid w:val="0095273D"/>
    <w:rsid w:val="00952AF6"/>
    <w:rsid w:val="00952E75"/>
    <w:rsid w:val="0095351F"/>
    <w:rsid w:val="009535E3"/>
    <w:rsid w:val="00953780"/>
    <w:rsid w:val="00954049"/>
    <w:rsid w:val="009544A3"/>
    <w:rsid w:val="0095471E"/>
    <w:rsid w:val="00954910"/>
    <w:rsid w:val="00954987"/>
    <w:rsid w:val="00954A3B"/>
    <w:rsid w:val="0095532B"/>
    <w:rsid w:val="00955407"/>
    <w:rsid w:val="00955504"/>
    <w:rsid w:val="009555F5"/>
    <w:rsid w:val="00955712"/>
    <w:rsid w:val="00955A7F"/>
    <w:rsid w:val="00955CE5"/>
    <w:rsid w:val="00955DF6"/>
    <w:rsid w:val="00955F0A"/>
    <w:rsid w:val="00956004"/>
    <w:rsid w:val="0095630A"/>
    <w:rsid w:val="009564BD"/>
    <w:rsid w:val="0095659C"/>
    <w:rsid w:val="009568EC"/>
    <w:rsid w:val="00956C73"/>
    <w:rsid w:val="00956CEF"/>
    <w:rsid w:val="00957035"/>
    <w:rsid w:val="00957719"/>
    <w:rsid w:val="00957858"/>
    <w:rsid w:val="00957D2B"/>
    <w:rsid w:val="0096000E"/>
    <w:rsid w:val="009600B9"/>
    <w:rsid w:val="0096069D"/>
    <w:rsid w:val="00960752"/>
    <w:rsid w:val="0096096D"/>
    <w:rsid w:val="0096099C"/>
    <w:rsid w:val="00960C21"/>
    <w:rsid w:val="00961163"/>
    <w:rsid w:val="00961412"/>
    <w:rsid w:val="00961B4D"/>
    <w:rsid w:val="00962214"/>
    <w:rsid w:val="00962444"/>
    <w:rsid w:val="00962C0A"/>
    <w:rsid w:val="0096315F"/>
    <w:rsid w:val="0096342F"/>
    <w:rsid w:val="009640A1"/>
    <w:rsid w:val="009642F1"/>
    <w:rsid w:val="009648BE"/>
    <w:rsid w:val="009648D9"/>
    <w:rsid w:val="00964A36"/>
    <w:rsid w:val="00965478"/>
    <w:rsid w:val="00965EB2"/>
    <w:rsid w:val="00966699"/>
    <w:rsid w:val="00966960"/>
    <w:rsid w:val="00967101"/>
    <w:rsid w:val="00967B20"/>
    <w:rsid w:val="00967C44"/>
    <w:rsid w:val="00967D02"/>
    <w:rsid w:val="00967E2A"/>
    <w:rsid w:val="00970750"/>
    <w:rsid w:val="00970B7B"/>
    <w:rsid w:val="0097228F"/>
    <w:rsid w:val="00972514"/>
    <w:rsid w:val="009725AB"/>
    <w:rsid w:val="00973C7C"/>
    <w:rsid w:val="0097406D"/>
    <w:rsid w:val="009741F8"/>
    <w:rsid w:val="00974741"/>
    <w:rsid w:val="0097489A"/>
    <w:rsid w:val="00975494"/>
    <w:rsid w:val="0097571E"/>
    <w:rsid w:val="009759F9"/>
    <w:rsid w:val="009760DB"/>
    <w:rsid w:val="0097618E"/>
    <w:rsid w:val="00976B0C"/>
    <w:rsid w:val="009772E8"/>
    <w:rsid w:val="009772F9"/>
    <w:rsid w:val="00977D94"/>
    <w:rsid w:val="0098054F"/>
    <w:rsid w:val="009808E0"/>
    <w:rsid w:val="00980974"/>
    <w:rsid w:val="00980CCA"/>
    <w:rsid w:val="00980D84"/>
    <w:rsid w:val="00980E48"/>
    <w:rsid w:val="0098128D"/>
    <w:rsid w:val="009816D6"/>
    <w:rsid w:val="009816EA"/>
    <w:rsid w:val="009819AF"/>
    <w:rsid w:val="00981ED3"/>
    <w:rsid w:val="00981F05"/>
    <w:rsid w:val="00983334"/>
    <w:rsid w:val="009839D9"/>
    <w:rsid w:val="00984145"/>
    <w:rsid w:val="0098483C"/>
    <w:rsid w:val="00984ABD"/>
    <w:rsid w:val="00984FEC"/>
    <w:rsid w:val="00985101"/>
    <w:rsid w:val="00985441"/>
    <w:rsid w:val="009857C4"/>
    <w:rsid w:val="00985B6A"/>
    <w:rsid w:val="00986C1B"/>
    <w:rsid w:val="009871C7"/>
    <w:rsid w:val="00987A59"/>
    <w:rsid w:val="00987BFE"/>
    <w:rsid w:val="00987C05"/>
    <w:rsid w:val="0099015B"/>
    <w:rsid w:val="00990445"/>
    <w:rsid w:val="009905DF"/>
    <w:rsid w:val="00990E5C"/>
    <w:rsid w:val="00991AAD"/>
    <w:rsid w:val="00991DCA"/>
    <w:rsid w:val="00993B74"/>
    <w:rsid w:val="00993CA2"/>
    <w:rsid w:val="00993D81"/>
    <w:rsid w:val="00993F0D"/>
    <w:rsid w:val="0099494D"/>
    <w:rsid w:val="00994B87"/>
    <w:rsid w:val="00994EE2"/>
    <w:rsid w:val="00995031"/>
    <w:rsid w:val="00995236"/>
    <w:rsid w:val="00995622"/>
    <w:rsid w:val="0099599D"/>
    <w:rsid w:val="00996278"/>
    <w:rsid w:val="00996633"/>
    <w:rsid w:val="00996F86"/>
    <w:rsid w:val="009971B8"/>
    <w:rsid w:val="00997443"/>
    <w:rsid w:val="00997689"/>
    <w:rsid w:val="00997AB2"/>
    <w:rsid w:val="009A02FC"/>
    <w:rsid w:val="009A037F"/>
    <w:rsid w:val="009A050D"/>
    <w:rsid w:val="009A0524"/>
    <w:rsid w:val="009A075D"/>
    <w:rsid w:val="009A19F6"/>
    <w:rsid w:val="009A2034"/>
    <w:rsid w:val="009A291F"/>
    <w:rsid w:val="009A2C7C"/>
    <w:rsid w:val="009A3077"/>
    <w:rsid w:val="009A3404"/>
    <w:rsid w:val="009A35AE"/>
    <w:rsid w:val="009A3862"/>
    <w:rsid w:val="009A3AD8"/>
    <w:rsid w:val="009A3FED"/>
    <w:rsid w:val="009A49D1"/>
    <w:rsid w:val="009A4E28"/>
    <w:rsid w:val="009A4F49"/>
    <w:rsid w:val="009A544E"/>
    <w:rsid w:val="009A545B"/>
    <w:rsid w:val="009A54A3"/>
    <w:rsid w:val="009A551F"/>
    <w:rsid w:val="009A55CA"/>
    <w:rsid w:val="009A5ED6"/>
    <w:rsid w:val="009A61E2"/>
    <w:rsid w:val="009A63D2"/>
    <w:rsid w:val="009A667D"/>
    <w:rsid w:val="009A6BBE"/>
    <w:rsid w:val="009A701F"/>
    <w:rsid w:val="009A730A"/>
    <w:rsid w:val="009A7673"/>
    <w:rsid w:val="009A7B8B"/>
    <w:rsid w:val="009A7D8B"/>
    <w:rsid w:val="009A7F54"/>
    <w:rsid w:val="009A7FDB"/>
    <w:rsid w:val="009B0004"/>
    <w:rsid w:val="009B004C"/>
    <w:rsid w:val="009B091C"/>
    <w:rsid w:val="009B0A54"/>
    <w:rsid w:val="009B0D10"/>
    <w:rsid w:val="009B102F"/>
    <w:rsid w:val="009B27C5"/>
    <w:rsid w:val="009B29CD"/>
    <w:rsid w:val="009B2C53"/>
    <w:rsid w:val="009B312B"/>
    <w:rsid w:val="009B320C"/>
    <w:rsid w:val="009B368F"/>
    <w:rsid w:val="009B3A59"/>
    <w:rsid w:val="009B3D43"/>
    <w:rsid w:val="009B3E49"/>
    <w:rsid w:val="009B4AF0"/>
    <w:rsid w:val="009B5373"/>
    <w:rsid w:val="009B551F"/>
    <w:rsid w:val="009B55B3"/>
    <w:rsid w:val="009B5742"/>
    <w:rsid w:val="009B5F0E"/>
    <w:rsid w:val="009B6386"/>
    <w:rsid w:val="009B6630"/>
    <w:rsid w:val="009B6731"/>
    <w:rsid w:val="009B6A59"/>
    <w:rsid w:val="009B6CC1"/>
    <w:rsid w:val="009B7719"/>
    <w:rsid w:val="009B79D6"/>
    <w:rsid w:val="009B7BDC"/>
    <w:rsid w:val="009B7DA1"/>
    <w:rsid w:val="009C07BE"/>
    <w:rsid w:val="009C08EF"/>
    <w:rsid w:val="009C1A4D"/>
    <w:rsid w:val="009C1D34"/>
    <w:rsid w:val="009C1EA2"/>
    <w:rsid w:val="009C22BD"/>
    <w:rsid w:val="009C2D13"/>
    <w:rsid w:val="009C401B"/>
    <w:rsid w:val="009C4E52"/>
    <w:rsid w:val="009C552C"/>
    <w:rsid w:val="009C5E7E"/>
    <w:rsid w:val="009C651B"/>
    <w:rsid w:val="009C66D9"/>
    <w:rsid w:val="009C69E3"/>
    <w:rsid w:val="009C6F30"/>
    <w:rsid w:val="009C7267"/>
    <w:rsid w:val="009C7667"/>
    <w:rsid w:val="009C7933"/>
    <w:rsid w:val="009C7BE1"/>
    <w:rsid w:val="009D07E2"/>
    <w:rsid w:val="009D0950"/>
    <w:rsid w:val="009D0DDE"/>
    <w:rsid w:val="009D1575"/>
    <w:rsid w:val="009D1BDD"/>
    <w:rsid w:val="009D2319"/>
    <w:rsid w:val="009D25D3"/>
    <w:rsid w:val="009D2683"/>
    <w:rsid w:val="009D26CE"/>
    <w:rsid w:val="009D2764"/>
    <w:rsid w:val="009D28ED"/>
    <w:rsid w:val="009D2BF0"/>
    <w:rsid w:val="009D2CB6"/>
    <w:rsid w:val="009D2E25"/>
    <w:rsid w:val="009D3198"/>
    <w:rsid w:val="009D372C"/>
    <w:rsid w:val="009D391E"/>
    <w:rsid w:val="009D3980"/>
    <w:rsid w:val="009D3F3B"/>
    <w:rsid w:val="009D43A4"/>
    <w:rsid w:val="009D4531"/>
    <w:rsid w:val="009D4CC4"/>
    <w:rsid w:val="009D4F9A"/>
    <w:rsid w:val="009D544E"/>
    <w:rsid w:val="009D573F"/>
    <w:rsid w:val="009D5F2C"/>
    <w:rsid w:val="009D5F62"/>
    <w:rsid w:val="009D64FD"/>
    <w:rsid w:val="009D69A9"/>
    <w:rsid w:val="009D6D6A"/>
    <w:rsid w:val="009D74AF"/>
    <w:rsid w:val="009D7ABB"/>
    <w:rsid w:val="009D7CA8"/>
    <w:rsid w:val="009E0022"/>
    <w:rsid w:val="009E02A1"/>
    <w:rsid w:val="009E03DC"/>
    <w:rsid w:val="009E041C"/>
    <w:rsid w:val="009E06A3"/>
    <w:rsid w:val="009E0A88"/>
    <w:rsid w:val="009E1088"/>
    <w:rsid w:val="009E166D"/>
    <w:rsid w:val="009E19E4"/>
    <w:rsid w:val="009E1CD3"/>
    <w:rsid w:val="009E1D5B"/>
    <w:rsid w:val="009E1FDB"/>
    <w:rsid w:val="009E21BF"/>
    <w:rsid w:val="009E223B"/>
    <w:rsid w:val="009E2F0F"/>
    <w:rsid w:val="009E475C"/>
    <w:rsid w:val="009E4977"/>
    <w:rsid w:val="009E4C83"/>
    <w:rsid w:val="009E4EDC"/>
    <w:rsid w:val="009E5360"/>
    <w:rsid w:val="009E621F"/>
    <w:rsid w:val="009E655C"/>
    <w:rsid w:val="009E6D5D"/>
    <w:rsid w:val="009E760F"/>
    <w:rsid w:val="009E7B9E"/>
    <w:rsid w:val="009F0442"/>
    <w:rsid w:val="009F07B3"/>
    <w:rsid w:val="009F0C94"/>
    <w:rsid w:val="009F0D1D"/>
    <w:rsid w:val="009F0E06"/>
    <w:rsid w:val="009F0EE6"/>
    <w:rsid w:val="009F159C"/>
    <w:rsid w:val="009F1670"/>
    <w:rsid w:val="009F1DE2"/>
    <w:rsid w:val="009F1F36"/>
    <w:rsid w:val="009F22D2"/>
    <w:rsid w:val="009F2829"/>
    <w:rsid w:val="009F2A82"/>
    <w:rsid w:val="009F3352"/>
    <w:rsid w:val="009F367A"/>
    <w:rsid w:val="009F3704"/>
    <w:rsid w:val="009F37A7"/>
    <w:rsid w:val="009F3BE6"/>
    <w:rsid w:val="009F4224"/>
    <w:rsid w:val="009F43E0"/>
    <w:rsid w:val="009F4413"/>
    <w:rsid w:val="009F450D"/>
    <w:rsid w:val="009F4B03"/>
    <w:rsid w:val="009F5731"/>
    <w:rsid w:val="009F57ED"/>
    <w:rsid w:val="009F660D"/>
    <w:rsid w:val="009F6626"/>
    <w:rsid w:val="009F6739"/>
    <w:rsid w:val="009F6C79"/>
    <w:rsid w:val="009F73E3"/>
    <w:rsid w:val="009F7F21"/>
    <w:rsid w:val="00A001B4"/>
    <w:rsid w:val="00A00274"/>
    <w:rsid w:val="00A005AA"/>
    <w:rsid w:val="00A00862"/>
    <w:rsid w:val="00A00E10"/>
    <w:rsid w:val="00A010DB"/>
    <w:rsid w:val="00A015A1"/>
    <w:rsid w:val="00A0196E"/>
    <w:rsid w:val="00A01BB2"/>
    <w:rsid w:val="00A02279"/>
    <w:rsid w:val="00A02822"/>
    <w:rsid w:val="00A02A58"/>
    <w:rsid w:val="00A031CE"/>
    <w:rsid w:val="00A037E8"/>
    <w:rsid w:val="00A03885"/>
    <w:rsid w:val="00A03A25"/>
    <w:rsid w:val="00A03B0B"/>
    <w:rsid w:val="00A03C52"/>
    <w:rsid w:val="00A03C84"/>
    <w:rsid w:val="00A03DD2"/>
    <w:rsid w:val="00A0409F"/>
    <w:rsid w:val="00A041B1"/>
    <w:rsid w:val="00A04A75"/>
    <w:rsid w:val="00A05125"/>
    <w:rsid w:val="00A05C22"/>
    <w:rsid w:val="00A05CE7"/>
    <w:rsid w:val="00A05DDF"/>
    <w:rsid w:val="00A05EC7"/>
    <w:rsid w:val="00A060A9"/>
    <w:rsid w:val="00A060BE"/>
    <w:rsid w:val="00A0643D"/>
    <w:rsid w:val="00A0696F"/>
    <w:rsid w:val="00A07611"/>
    <w:rsid w:val="00A07755"/>
    <w:rsid w:val="00A07A8F"/>
    <w:rsid w:val="00A1068A"/>
    <w:rsid w:val="00A11167"/>
    <w:rsid w:val="00A11280"/>
    <w:rsid w:val="00A1161B"/>
    <w:rsid w:val="00A11871"/>
    <w:rsid w:val="00A118E3"/>
    <w:rsid w:val="00A1192F"/>
    <w:rsid w:val="00A11BD7"/>
    <w:rsid w:val="00A11E9C"/>
    <w:rsid w:val="00A122D2"/>
    <w:rsid w:val="00A12381"/>
    <w:rsid w:val="00A126EF"/>
    <w:rsid w:val="00A12A40"/>
    <w:rsid w:val="00A12AC0"/>
    <w:rsid w:val="00A12B5E"/>
    <w:rsid w:val="00A13051"/>
    <w:rsid w:val="00A1353A"/>
    <w:rsid w:val="00A14AC8"/>
    <w:rsid w:val="00A14DC1"/>
    <w:rsid w:val="00A15A0B"/>
    <w:rsid w:val="00A16EF6"/>
    <w:rsid w:val="00A171C4"/>
    <w:rsid w:val="00A1721B"/>
    <w:rsid w:val="00A17600"/>
    <w:rsid w:val="00A1765D"/>
    <w:rsid w:val="00A178E0"/>
    <w:rsid w:val="00A17A27"/>
    <w:rsid w:val="00A2061C"/>
    <w:rsid w:val="00A207C0"/>
    <w:rsid w:val="00A20AE2"/>
    <w:rsid w:val="00A210D5"/>
    <w:rsid w:val="00A21578"/>
    <w:rsid w:val="00A2189D"/>
    <w:rsid w:val="00A21E4D"/>
    <w:rsid w:val="00A2203C"/>
    <w:rsid w:val="00A22B05"/>
    <w:rsid w:val="00A22FC9"/>
    <w:rsid w:val="00A231AA"/>
    <w:rsid w:val="00A2383D"/>
    <w:rsid w:val="00A23EB4"/>
    <w:rsid w:val="00A242FB"/>
    <w:rsid w:val="00A244F3"/>
    <w:rsid w:val="00A247D4"/>
    <w:rsid w:val="00A247DE"/>
    <w:rsid w:val="00A2486A"/>
    <w:rsid w:val="00A24A0C"/>
    <w:rsid w:val="00A24D1D"/>
    <w:rsid w:val="00A25527"/>
    <w:rsid w:val="00A25915"/>
    <w:rsid w:val="00A2595E"/>
    <w:rsid w:val="00A25FBF"/>
    <w:rsid w:val="00A264D1"/>
    <w:rsid w:val="00A265C5"/>
    <w:rsid w:val="00A26B2A"/>
    <w:rsid w:val="00A26F79"/>
    <w:rsid w:val="00A276E0"/>
    <w:rsid w:val="00A27A08"/>
    <w:rsid w:val="00A3003C"/>
    <w:rsid w:val="00A3026F"/>
    <w:rsid w:val="00A30553"/>
    <w:rsid w:val="00A30E02"/>
    <w:rsid w:val="00A30F66"/>
    <w:rsid w:val="00A31B02"/>
    <w:rsid w:val="00A324D2"/>
    <w:rsid w:val="00A325F2"/>
    <w:rsid w:val="00A32673"/>
    <w:rsid w:val="00A336A0"/>
    <w:rsid w:val="00A336EF"/>
    <w:rsid w:val="00A3441E"/>
    <w:rsid w:val="00A34589"/>
    <w:rsid w:val="00A35018"/>
    <w:rsid w:val="00A35145"/>
    <w:rsid w:val="00A35159"/>
    <w:rsid w:val="00A35C65"/>
    <w:rsid w:val="00A35DCE"/>
    <w:rsid w:val="00A35F7F"/>
    <w:rsid w:val="00A363DC"/>
    <w:rsid w:val="00A3656A"/>
    <w:rsid w:val="00A36D9C"/>
    <w:rsid w:val="00A37B47"/>
    <w:rsid w:val="00A4019A"/>
    <w:rsid w:val="00A40387"/>
    <w:rsid w:val="00A404C1"/>
    <w:rsid w:val="00A4099F"/>
    <w:rsid w:val="00A40DE2"/>
    <w:rsid w:val="00A40E46"/>
    <w:rsid w:val="00A40E57"/>
    <w:rsid w:val="00A40F04"/>
    <w:rsid w:val="00A4129E"/>
    <w:rsid w:val="00A413DB"/>
    <w:rsid w:val="00A415F1"/>
    <w:rsid w:val="00A41CE3"/>
    <w:rsid w:val="00A420FB"/>
    <w:rsid w:val="00A42454"/>
    <w:rsid w:val="00A426FC"/>
    <w:rsid w:val="00A4291C"/>
    <w:rsid w:val="00A42989"/>
    <w:rsid w:val="00A42E25"/>
    <w:rsid w:val="00A448AC"/>
    <w:rsid w:val="00A44A75"/>
    <w:rsid w:val="00A44B20"/>
    <w:rsid w:val="00A45180"/>
    <w:rsid w:val="00A457BA"/>
    <w:rsid w:val="00A465B6"/>
    <w:rsid w:val="00A465DC"/>
    <w:rsid w:val="00A46B79"/>
    <w:rsid w:val="00A46CE5"/>
    <w:rsid w:val="00A4763E"/>
    <w:rsid w:val="00A47700"/>
    <w:rsid w:val="00A47865"/>
    <w:rsid w:val="00A50D8D"/>
    <w:rsid w:val="00A513FC"/>
    <w:rsid w:val="00A5140E"/>
    <w:rsid w:val="00A518C7"/>
    <w:rsid w:val="00A5215C"/>
    <w:rsid w:val="00A52190"/>
    <w:rsid w:val="00A5369E"/>
    <w:rsid w:val="00A53F7E"/>
    <w:rsid w:val="00A5440D"/>
    <w:rsid w:val="00A54904"/>
    <w:rsid w:val="00A54E5B"/>
    <w:rsid w:val="00A55183"/>
    <w:rsid w:val="00A551C5"/>
    <w:rsid w:val="00A55585"/>
    <w:rsid w:val="00A55697"/>
    <w:rsid w:val="00A55B46"/>
    <w:rsid w:val="00A55D51"/>
    <w:rsid w:val="00A55F6E"/>
    <w:rsid w:val="00A566D7"/>
    <w:rsid w:val="00A56804"/>
    <w:rsid w:val="00A56C5E"/>
    <w:rsid w:val="00A57483"/>
    <w:rsid w:val="00A5769F"/>
    <w:rsid w:val="00A57926"/>
    <w:rsid w:val="00A57B95"/>
    <w:rsid w:val="00A57BD0"/>
    <w:rsid w:val="00A609CC"/>
    <w:rsid w:val="00A609F6"/>
    <w:rsid w:val="00A60A38"/>
    <w:rsid w:val="00A60A94"/>
    <w:rsid w:val="00A61205"/>
    <w:rsid w:val="00A612B0"/>
    <w:rsid w:val="00A61918"/>
    <w:rsid w:val="00A61932"/>
    <w:rsid w:val="00A61CD1"/>
    <w:rsid w:val="00A61D78"/>
    <w:rsid w:val="00A628BC"/>
    <w:rsid w:val="00A62F5C"/>
    <w:rsid w:val="00A637F8"/>
    <w:rsid w:val="00A63D7F"/>
    <w:rsid w:val="00A63ECD"/>
    <w:rsid w:val="00A64186"/>
    <w:rsid w:val="00A64355"/>
    <w:rsid w:val="00A64364"/>
    <w:rsid w:val="00A64635"/>
    <w:rsid w:val="00A653BB"/>
    <w:rsid w:val="00A6541F"/>
    <w:rsid w:val="00A654EC"/>
    <w:rsid w:val="00A65611"/>
    <w:rsid w:val="00A658A5"/>
    <w:rsid w:val="00A658D0"/>
    <w:rsid w:val="00A65A57"/>
    <w:rsid w:val="00A65C3A"/>
    <w:rsid w:val="00A65E83"/>
    <w:rsid w:val="00A6614B"/>
    <w:rsid w:val="00A6654C"/>
    <w:rsid w:val="00A66573"/>
    <w:rsid w:val="00A666F2"/>
    <w:rsid w:val="00A669FA"/>
    <w:rsid w:val="00A67207"/>
    <w:rsid w:val="00A679E0"/>
    <w:rsid w:val="00A70241"/>
    <w:rsid w:val="00A703E8"/>
    <w:rsid w:val="00A70E7C"/>
    <w:rsid w:val="00A7110C"/>
    <w:rsid w:val="00A712AB"/>
    <w:rsid w:val="00A71367"/>
    <w:rsid w:val="00A7157D"/>
    <w:rsid w:val="00A7168D"/>
    <w:rsid w:val="00A71BCB"/>
    <w:rsid w:val="00A71C33"/>
    <w:rsid w:val="00A723C2"/>
    <w:rsid w:val="00A726E4"/>
    <w:rsid w:val="00A72E17"/>
    <w:rsid w:val="00A72EAB"/>
    <w:rsid w:val="00A7361D"/>
    <w:rsid w:val="00A73A5D"/>
    <w:rsid w:val="00A73CD9"/>
    <w:rsid w:val="00A74026"/>
    <w:rsid w:val="00A7406F"/>
    <w:rsid w:val="00A74CD7"/>
    <w:rsid w:val="00A74CE8"/>
    <w:rsid w:val="00A74F6F"/>
    <w:rsid w:val="00A7534A"/>
    <w:rsid w:val="00A75901"/>
    <w:rsid w:val="00A75B46"/>
    <w:rsid w:val="00A761CE"/>
    <w:rsid w:val="00A76238"/>
    <w:rsid w:val="00A7663C"/>
    <w:rsid w:val="00A768FE"/>
    <w:rsid w:val="00A76D5C"/>
    <w:rsid w:val="00A76DBD"/>
    <w:rsid w:val="00A76E42"/>
    <w:rsid w:val="00A772C9"/>
    <w:rsid w:val="00A773BF"/>
    <w:rsid w:val="00A774C5"/>
    <w:rsid w:val="00A77535"/>
    <w:rsid w:val="00A8040F"/>
    <w:rsid w:val="00A804C4"/>
    <w:rsid w:val="00A8054D"/>
    <w:rsid w:val="00A8065F"/>
    <w:rsid w:val="00A8090A"/>
    <w:rsid w:val="00A80C27"/>
    <w:rsid w:val="00A81C1E"/>
    <w:rsid w:val="00A81C6F"/>
    <w:rsid w:val="00A81F03"/>
    <w:rsid w:val="00A81FA7"/>
    <w:rsid w:val="00A82292"/>
    <w:rsid w:val="00A82489"/>
    <w:rsid w:val="00A824AD"/>
    <w:rsid w:val="00A8267F"/>
    <w:rsid w:val="00A827B2"/>
    <w:rsid w:val="00A82A7B"/>
    <w:rsid w:val="00A82B55"/>
    <w:rsid w:val="00A82EF1"/>
    <w:rsid w:val="00A82F8D"/>
    <w:rsid w:val="00A8392F"/>
    <w:rsid w:val="00A840EB"/>
    <w:rsid w:val="00A84222"/>
    <w:rsid w:val="00A848AB"/>
    <w:rsid w:val="00A84D62"/>
    <w:rsid w:val="00A857C7"/>
    <w:rsid w:val="00A85967"/>
    <w:rsid w:val="00A86198"/>
    <w:rsid w:val="00A86582"/>
    <w:rsid w:val="00A86A52"/>
    <w:rsid w:val="00A86A7A"/>
    <w:rsid w:val="00A86C3C"/>
    <w:rsid w:val="00A86F37"/>
    <w:rsid w:val="00A878F2"/>
    <w:rsid w:val="00A87E04"/>
    <w:rsid w:val="00A90056"/>
    <w:rsid w:val="00A90096"/>
    <w:rsid w:val="00A9028B"/>
    <w:rsid w:val="00A9031D"/>
    <w:rsid w:val="00A905C0"/>
    <w:rsid w:val="00A90BCE"/>
    <w:rsid w:val="00A90F34"/>
    <w:rsid w:val="00A91110"/>
    <w:rsid w:val="00A91257"/>
    <w:rsid w:val="00A91574"/>
    <w:rsid w:val="00A91656"/>
    <w:rsid w:val="00A9171F"/>
    <w:rsid w:val="00A91878"/>
    <w:rsid w:val="00A91C56"/>
    <w:rsid w:val="00A920D6"/>
    <w:rsid w:val="00A92AA4"/>
    <w:rsid w:val="00A92AF2"/>
    <w:rsid w:val="00A92D05"/>
    <w:rsid w:val="00A93299"/>
    <w:rsid w:val="00A93513"/>
    <w:rsid w:val="00A93E18"/>
    <w:rsid w:val="00A93F54"/>
    <w:rsid w:val="00A96772"/>
    <w:rsid w:val="00A9679C"/>
    <w:rsid w:val="00A9687A"/>
    <w:rsid w:val="00A96DDE"/>
    <w:rsid w:val="00A96EF4"/>
    <w:rsid w:val="00A970F8"/>
    <w:rsid w:val="00A971E9"/>
    <w:rsid w:val="00A97221"/>
    <w:rsid w:val="00A97321"/>
    <w:rsid w:val="00A9767B"/>
    <w:rsid w:val="00A97766"/>
    <w:rsid w:val="00AA114C"/>
    <w:rsid w:val="00AA146B"/>
    <w:rsid w:val="00AA1ECA"/>
    <w:rsid w:val="00AA1F41"/>
    <w:rsid w:val="00AA205F"/>
    <w:rsid w:val="00AA2224"/>
    <w:rsid w:val="00AA2234"/>
    <w:rsid w:val="00AA26A0"/>
    <w:rsid w:val="00AA2DBE"/>
    <w:rsid w:val="00AA2F6E"/>
    <w:rsid w:val="00AA333A"/>
    <w:rsid w:val="00AA3410"/>
    <w:rsid w:val="00AA34C8"/>
    <w:rsid w:val="00AA39CA"/>
    <w:rsid w:val="00AA3C06"/>
    <w:rsid w:val="00AA4F6B"/>
    <w:rsid w:val="00AA53C8"/>
    <w:rsid w:val="00AA54D5"/>
    <w:rsid w:val="00AA5585"/>
    <w:rsid w:val="00AA5AC1"/>
    <w:rsid w:val="00AA5D26"/>
    <w:rsid w:val="00AA622C"/>
    <w:rsid w:val="00AA6651"/>
    <w:rsid w:val="00AA6931"/>
    <w:rsid w:val="00AA760A"/>
    <w:rsid w:val="00AA79D3"/>
    <w:rsid w:val="00AA7C2B"/>
    <w:rsid w:val="00AA7DD1"/>
    <w:rsid w:val="00AA7E92"/>
    <w:rsid w:val="00AA7EE2"/>
    <w:rsid w:val="00AB045A"/>
    <w:rsid w:val="00AB06A3"/>
    <w:rsid w:val="00AB09E0"/>
    <w:rsid w:val="00AB150D"/>
    <w:rsid w:val="00AB15A4"/>
    <w:rsid w:val="00AB1671"/>
    <w:rsid w:val="00AB1772"/>
    <w:rsid w:val="00AB1A4E"/>
    <w:rsid w:val="00AB236B"/>
    <w:rsid w:val="00AB2522"/>
    <w:rsid w:val="00AB2DCE"/>
    <w:rsid w:val="00AB306D"/>
    <w:rsid w:val="00AB3114"/>
    <w:rsid w:val="00AB344E"/>
    <w:rsid w:val="00AB34D5"/>
    <w:rsid w:val="00AB352A"/>
    <w:rsid w:val="00AB3D60"/>
    <w:rsid w:val="00AB3EBA"/>
    <w:rsid w:val="00AB4379"/>
    <w:rsid w:val="00AB47F5"/>
    <w:rsid w:val="00AB4D77"/>
    <w:rsid w:val="00AB55DF"/>
    <w:rsid w:val="00AB57C6"/>
    <w:rsid w:val="00AB5FDB"/>
    <w:rsid w:val="00AB63DD"/>
    <w:rsid w:val="00AB6839"/>
    <w:rsid w:val="00AB6849"/>
    <w:rsid w:val="00AB6919"/>
    <w:rsid w:val="00AB74C2"/>
    <w:rsid w:val="00AB758D"/>
    <w:rsid w:val="00AB75B4"/>
    <w:rsid w:val="00AB7AFE"/>
    <w:rsid w:val="00AB7EED"/>
    <w:rsid w:val="00AC0ADB"/>
    <w:rsid w:val="00AC0D03"/>
    <w:rsid w:val="00AC140A"/>
    <w:rsid w:val="00AC1A05"/>
    <w:rsid w:val="00AC1BE1"/>
    <w:rsid w:val="00AC2599"/>
    <w:rsid w:val="00AC2EDF"/>
    <w:rsid w:val="00AC2EE3"/>
    <w:rsid w:val="00AC2FCA"/>
    <w:rsid w:val="00AC3273"/>
    <w:rsid w:val="00AC373F"/>
    <w:rsid w:val="00AC3748"/>
    <w:rsid w:val="00AC3B53"/>
    <w:rsid w:val="00AC3D89"/>
    <w:rsid w:val="00AC4087"/>
    <w:rsid w:val="00AC467C"/>
    <w:rsid w:val="00AC4967"/>
    <w:rsid w:val="00AC4AFE"/>
    <w:rsid w:val="00AC63EC"/>
    <w:rsid w:val="00AC65AB"/>
    <w:rsid w:val="00AC685E"/>
    <w:rsid w:val="00AC6A2C"/>
    <w:rsid w:val="00AC7919"/>
    <w:rsid w:val="00AC7DB3"/>
    <w:rsid w:val="00ACDA0D"/>
    <w:rsid w:val="00AD017A"/>
    <w:rsid w:val="00AD0A96"/>
    <w:rsid w:val="00AD1467"/>
    <w:rsid w:val="00AD156B"/>
    <w:rsid w:val="00AD1B5A"/>
    <w:rsid w:val="00AD1BF0"/>
    <w:rsid w:val="00AD1E74"/>
    <w:rsid w:val="00AD2576"/>
    <w:rsid w:val="00AD2B21"/>
    <w:rsid w:val="00AD3451"/>
    <w:rsid w:val="00AD371E"/>
    <w:rsid w:val="00AD38CE"/>
    <w:rsid w:val="00AD3B02"/>
    <w:rsid w:val="00AD3C53"/>
    <w:rsid w:val="00AD3EA0"/>
    <w:rsid w:val="00AD3F2B"/>
    <w:rsid w:val="00AD46AD"/>
    <w:rsid w:val="00AD486C"/>
    <w:rsid w:val="00AD504A"/>
    <w:rsid w:val="00AD54C1"/>
    <w:rsid w:val="00AD5616"/>
    <w:rsid w:val="00AD57B4"/>
    <w:rsid w:val="00AD667F"/>
    <w:rsid w:val="00AD66FD"/>
    <w:rsid w:val="00AD6C42"/>
    <w:rsid w:val="00AD6E59"/>
    <w:rsid w:val="00AD732D"/>
    <w:rsid w:val="00AD7418"/>
    <w:rsid w:val="00AD772C"/>
    <w:rsid w:val="00AD7A80"/>
    <w:rsid w:val="00AD7D33"/>
    <w:rsid w:val="00AD7FEF"/>
    <w:rsid w:val="00AE0019"/>
    <w:rsid w:val="00AE05A1"/>
    <w:rsid w:val="00AE0626"/>
    <w:rsid w:val="00AE0D34"/>
    <w:rsid w:val="00AE0E49"/>
    <w:rsid w:val="00AE0F53"/>
    <w:rsid w:val="00AE1188"/>
    <w:rsid w:val="00AE149A"/>
    <w:rsid w:val="00AE17CC"/>
    <w:rsid w:val="00AE1AE5"/>
    <w:rsid w:val="00AE1AED"/>
    <w:rsid w:val="00AE1CAD"/>
    <w:rsid w:val="00AE2015"/>
    <w:rsid w:val="00AE2198"/>
    <w:rsid w:val="00AE222D"/>
    <w:rsid w:val="00AE26FD"/>
    <w:rsid w:val="00AE3268"/>
    <w:rsid w:val="00AE33A1"/>
    <w:rsid w:val="00AE3B24"/>
    <w:rsid w:val="00AE3B9B"/>
    <w:rsid w:val="00AE51F4"/>
    <w:rsid w:val="00AE58F2"/>
    <w:rsid w:val="00AE5EA8"/>
    <w:rsid w:val="00AE5FE5"/>
    <w:rsid w:val="00AE616D"/>
    <w:rsid w:val="00AE64F0"/>
    <w:rsid w:val="00AE6917"/>
    <w:rsid w:val="00AE6F50"/>
    <w:rsid w:val="00AE757D"/>
    <w:rsid w:val="00AE79C6"/>
    <w:rsid w:val="00AE7B79"/>
    <w:rsid w:val="00AF005B"/>
    <w:rsid w:val="00AF03FD"/>
    <w:rsid w:val="00AF0410"/>
    <w:rsid w:val="00AF0421"/>
    <w:rsid w:val="00AF055B"/>
    <w:rsid w:val="00AF09C0"/>
    <w:rsid w:val="00AF12B9"/>
    <w:rsid w:val="00AF18B4"/>
    <w:rsid w:val="00AF1E12"/>
    <w:rsid w:val="00AF1E23"/>
    <w:rsid w:val="00AF1F14"/>
    <w:rsid w:val="00AF224C"/>
    <w:rsid w:val="00AF2406"/>
    <w:rsid w:val="00AF2DA9"/>
    <w:rsid w:val="00AF3355"/>
    <w:rsid w:val="00AF3C00"/>
    <w:rsid w:val="00AF4101"/>
    <w:rsid w:val="00AF41B6"/>
    <w:rsid w:val="00AF42EB"/>
    <w:rsid w:val="00AF46E6"/>
    <w:rsid w:val="00AF4B05"/>
    <w:rsid w:val="00AF4CB9"/>
    <w:rsid w:val="00AF51CE"/>
    <w:rsid w:val="00AF5544"/>
    <w:rsid w:val="00AF560E"/>
    <w:rsid w:val="00AF5619"/>
    <w:rsid w:val="00AF6C24"/>
    <w:rsid w:val="00AF6D2B"/>
    <w:rsid w:val="00AF723D"/>
    <w:rsid w:val="00AF764F"/>
    <w:rsid w:val="00AF7A4C"/>
    <w:rsid w:val="00B00BF7"/>
    <w:rsid w:val="00B00EFF"/>
    <w:rsid w:val="00B01ED6"/>
    <w:rsid w:val="00B0247E"/>
    <w:rsid w:val="00B028B7"/>
    <w:rsid w:val="00B03A0C"/>
    <w:rsid w:val="00B03BE7"/>
    <w:rsid w:val="00B03D20"/>
    <w:rsid w:val="00B041CA"/>
    <w:rsid w:val="00B047CB"/>
    <w:rsid w:val="00B047D1"/>
    <w:rsid w:val="00B04BF2"/>
    <w:rsid w:val="00B04CAD"/>
    <w:rsid w:val="00B054B6"/>
    <w:rsid w:val="00B060E0"/>
    <w:rsid w:val="00B06641"/>
    <w:rsid w:val="00B068DA"/>
    <w:rsid w:val="00B06AE4"/>
    <w:rsid w:val="00B06C8F"/>
    <w:rsid w:val="00B06D41"/>
    <w:rsid w:val="00B06D68"/>
    <w:rsid w:val="00B071DD"/>
    <w:rsid w:val="00B07FB2"/>
    <w:rsid w:val="00B10160"/>
    <w:rsid w:val="00B101A0"/>
    <w:rsid w:val="00B10B4E"/>
    <w:rsid w:val="00B11036"/>
    <w:rsid w:val="00B11752"/>
    <w:rsid w:val="00B11C4B"/>
    <w:rsid w:val="00B1201A"/>
    <w:rsid w:val="00B1213D"/>
    <w:rsid w:val="00B12840"/>
    <w:rsid w:val="00B12858"/>
    <w:rsid w:val="00B12A6E"/>
    <w:rsid w:val="00B12D44"/>
    <w:rsid w:val="00B136BE"/>
    <w:rsid w:val="00B13725"/>
    <w:rsid w:val="00B139F2"/>
    <w:rsid w:val="00B13B9D"/>
    <w:rsid w:val="00B13D2C"/>
    <w:rsid w:val="00B13DD6"/>
    <w:rsid w:val="00B14323"/>
    <w:rsid w:val="00B144D5"/>
    <w:rsid w:val="00B144FF"/>
    <w:rsid w:val="00B145D4"/>
    <w:rsid w:val="00B149B2"/>
    <w:rsid w:val="00B14C16"/>
    <w:rsid w:val="00B14C1B"/>
    <w:rsid w:val="00B14E9B"/>
    <w:rsid w:val="00B1542E"/>
    <w:rsid w:val="00B15F85"/>
    <w:rsid w:val="00B16135"/>
    <w:rsid w:val="00B1672A"/>
    <w:rsid w:val="00B16D04"/>
    <w:rsid w:val="00B16D06"/>
    <w:rsid w:val="00B16F9C"/>
    <w:rsid w:val="00B172A1"/>
    <w:rsid w:val="00B1768C"/>
    <w:rsid w:val="00B176DC"/>
    <w:rsid w:val="00B177D9"/>
    <w:rsid w:val="00B17A78"/>
    <w:rsid w:val="00B20733"/>
    <w:rsid w:val="00B2085F"/>
    <w:rsid w:val="00B20891"/>
    <w:rsid w:val="00B20D44"/>
    <w:rsid w:val="00B21047"/>
    <w:rsid w:val="00B21938"/>
    <w:rsid w:val="00B22308"/>
    <w:rsid w:val="00B22E87"/>
    <w:rsid w:val="00B236F8"/>
    <w:rsid w:val="00B23F51"/>
    <w:rsid w:val="00B243D6"/>
    <w:rsid w:val="00B2472A"/>
    <w:rsid w:val="00B24A30"/>
    <w:rsid w:val="00B24EE9"/>
    <w:rsid w:val="00B25167"/>
    <w:rsid w:val="00B2521C"/>
    <w:rsid w:val="00B25462"/>
    <w:rsid w:val="00B25621"/>
    <w:rsid w:val="00B25E11"/>
    <w:rsid w:val="00B26DBE"/>
    <w:rsid w:val="00B26FF4"/>
    <w:rsid w:val="00B2700D"/>
    <w:rsid w:val="00B27042"/>
    <w:rsid w:val="00B270FB"/>
    <w:rsid w:val="00B27EBB"/>
    <w:rsid w:val="00B30002"/>
    <w:rsid w:val="00B301C1"/>
    <w:rsid w:val="00B30670"/>
    <w:rsid w:val="00B30988"/>
    <w:rsid w:val="00B30DF9"/>
    <w:rsid w:val="00B317B3"/>
    <w:rsid w:val="00B31969"/>
    <w:rsid w:val="00B31EFE"/>
    <w:rsid w:val="00B324CB"/>
    <w:rsid w:val="00B32767"/>
    <w:rsid w:val="00B32871"/>
    <w:rsid w:val="00B32A45"/>
    <w:rsid w:val="00B3376A"/>
    <w:rsid w:val="00B33C39"/>
    <w:rsid w:val="00B33DA8"/>
    <w:rsid w:val="00B33E8E"/>
    <w:rsid w:val="00B3495A"/>
    <w:rsid w:val="00B349BE"/>
    <w:rsid w:val="00B34A07"/>
    <w:rsid w:val="00B34CB8"/>
    <w:rsid w:val="00B35067"/>
    <w:rsid w:val="00B35481"/>
    <w:rsid w:val="00B3548A"/>
    <w:rsid w:val="00B359F1"/>
    <w:rsid w:val="00B35C76"/>
    <w:rsid w:val="00B36472"/>
    <w:rsid w:val="00B364E2"/>
    <w:rsid w:val="00B3666A"/>
    <w:rsid w:val="00B3705A"/>
    <w:rsid w:val="00B374CE"/>
    <w:rsid w:val="00B37604"/>
    <w:rsid w:val="00B402D9"/>
    <w:rsid w:val="00B40B93"/>
    <w:rsid w:val="00B41197"/>
    <w:rsid w:val="00B41A00"/>
    <w:rsid w:val="00B41C65"/>
    <w:rsid w:val="00B41D78"/>
    <w:rsid w:val="00B4266A"/>
    <w:rsid w:val="00B42779"/>
    <w:rsid w:val="00B43167"/>
    <w:rsid w:val="00B43271"/>
    <w:rsid w:val="00B434CD"/>
    <w:rsid w:val="00B43BD9"/>
    <w:rsid w:val="00B43D1F"/>
    <w:rsid w:val="00B442BE"/>
    <w:rsid w:val="00B44404"/>
    <w:rsid w:val="00B444BF"/>
    <w:rsid w:val="00B449D7"/>
    <w:rsid w:val="00B44CDC"/>
    <w:rsid w:val="00B44E17"/>
    <w:rsid w:val="00B44E4A"/>
    <w:rsid w:val="00B450D2"/>
    <w:rsid w:val="00B4591C"/>
    <w:rsid w:val="00B45A23"/>
    <w:rsid w:val="00B467F3"/>
    <w:rsid w:val="00B46ACE"/>
    <w:rsid w:val="00B46B0D"/>
    <w:rsid w:val="00B46E2D"/>
    <w:rsid w:val="00B471C7"/>
    <w:rsid w:val="00B474AC"/>
    <w:rsid w:val="00B47597"/>
    <w:rsid w:val="00B476BA"/>
    <w:rsid w:val="00B47C11"/>
    <w:rsid w:val="00B47CAC"/>
    <w:rsid w:val="00B47EE3"/>
    <w:rsid w:val="00B50303"/>
    <w:rsid w:val="00B5095C"/>
    <w:rsid w:val="00B5098E"/>
    <w:rsid w:val="00B50C3E"/>
    <w:rsid w:val="00B51369"/>
    <w:rsid w:val="00B51927"/>
    <w:rsid w:val="00B51E7C"/>
    <w:rsid w:val="00B51FB4"/>
    <w:rsid w:val="00B52AB1"/>
    <w:rsid w:val="00B52B79"/>
    <w:rsid w:val="00B52C67"/>
    <w:rsid w:val="00B5312C"/>
    <w:rsid w:val="00B5329F"/>
    <w:rsid w:val="00B53320"/>
    <w:rsid w:val="00B533BB"/>
    <w:rsid w:val="00B534D6"/>
    <w:rsid w:val="00B5376A"/>
    <w:rsid w:val="00B5398B"/>
    <w:rsid w:val="00B53A97"/>
    <w:rsid w:val="00B53AA6"/>
    <w:rsid w:val="00B53AD2"/>
    <w:rsid w:val="00B54112"/>
    <w:rsid w:val="00B541F6"/>
    <w:rsid w:val="00B544E3"/>
    <w:rsid w:val="00B54B24"/>
    <w:rsid w:val="00B54CB5"/>
    <w:rsid w:val="00B55453"/>
    <w:rsid w:val="00B55478"/>
    <w:rsid w:val="00B55CF8"/>
    <w:rsid w:val="00B55E47"/>
    <w:rsid w:val="00B5661A"/>
    <w:rsid w:val="00B570DE"/>
    <w:rsid w:val="00B571B2"/>
    <w:rsid w:val="00B57309"/>
    <w:rsid w:val="00B604CA"/>
    <w:rsid w:val="00B60567"/>
    <w:rsid w:val="00B60AED"/>
    <w:rsid w:val="00B6148C"/>
    <w:rsid w:val="00B616E6"/>
    <w:rsid w:val="00B61F8C"/>
    <w:rsid w:val="00B62188"/>
    <w:rsid w:val="00B638DE"/>
    <w:rsid w:val="00B63934"/>
    <w:rsid w:val="00B63FC3"/>
    <w:rsid w:val="00B64961"/>
    <w:rsid w:val="00B64C4C"/>
    <w:rsid w:val="00B64C82"/>
    <w:rsid w:val="00B64F0D"/>
    <w:rsid w:val="00B64FAC"/>
    <w:rsid w:val="00B64FDD"/>
    <w:rsid w:val="00B65352"/>
    <w:rsid w:val="00B65687"/>
    <w:rsid w:val="00B659E8"/>
    <w:rsid w:val="00B65ACD"/>
    <w:rsid w:val="00B6653F"/>
    <w:rsid w:val="00B66882"/>
    <w:rsid w:val="00B66F5B"/>
    <w:rsid w:val="00B6737B"/>
    <w:rsid w:val="00B67404"/>
    <w:rsid w:val="00B675C5"/>
    <w:rsid w:val="00B6766B"/>
    <w:rsid w:val="00B6787B"/>
    <w:rsid w:val="00B67ADB"/>
    <w:rsid w:val="00B67B16"/>
    <w:rsid w:val="00B67B4C"/>
    <w:rsid w:val="00B67D55"/>
    <w:rsid w:val="00B7078C"/>
    <w:rsid w:val="00B70B38"/>
    <w:rsid w:val="00B70B6A"/>
    <w:rsid w:val="00B70DBE"/>
    <w:rsid w:val="00B710F8"/>
    <w:rsid w:val="00B71142"/>
    <w:rsid w:val="00B713EF"/>
    <w:rsid w:val="00B718D5"/>
    <w:rsid w:val="00B7265F"/>
    <w:rsid w:val="00B72700"/>
    <w:rsid w:val="00B72791"/>
    <w:rsid w:val="00B727C7"/>
    <w:rsid w:val="00B7361D"/>
    <w:rsid w:val="00B74167"/>
    <w:rsid w:val="00B74A05"/>
    <w:rsid w:val="00B74C5E"/>
    <w:rsid w:val="00B75553"/>
    <w:rsid w:val="00B75877"/>
    <w:rsid w:val="00B75D1E"/>
    <w:rsid w:val="00B75E05"/>
    <w:rsid w:val="00B75F7E"/>
    <w:rsid w:val="00B76391"/>
    <w:rsid w:val="00B763BD"/>
    <w:rsid w:val="00B7714E"/>
    <w:rsid w:val="00B772F6"/>
    <w:rsid w:val="00B80268"/>
    <w:rsid w:val="00B8027A"/>
    <w:rsid w:val="00B803B5"/>
    <w:rsid w:val="00B813FE"/>
    <w:rsid w:val="00B81414"/>
    <w:rsid w:val="00B81556"/>
    <w:rsid w:val="00B815DA"/>
    <w:rsid w:val="00B81FBB"/>
    <w:rsid w:val="00B82092"/>
    <w:rsid w:val="00B82266"/>
    <w:rsid w:val="00B82732"/>
    <w:rsid w:val="00B827AF"/>
    <w:rsid w:val="00B82A43"/>
    <w:rsid w:val="00B82F46"/>
    <w:rsid w:val="00B83672"/>
    <w:rsid w:val="00B83843"/>
    <w:rsid w:val="00B839E4"/>
    <w:rsid w:val="00B840BC"/>
    <w:rsid w:val="00B841DB"/>
    <w:rsid w:val="00B8450E"/>
    <w:rsid w:val="00B85209"/>
    <w:rsid w:val="00B858D3"/>
    <w:rsid w:val="00B859E5"/>
    <w:rsid w:val="00B85DC7"/>
    <w:rsid w:val="00B86287"/>
    <w:rsid w:val="00B868F1"/>
    <w:rsid w:val="00B8AEE5"/>
    <w:rsid w:val="00B90059"/>
    <w:rsid w:val="00B902DF"/>
    <w:rsid w:val="00B90B5B"/>
    <w:rsid w:val="00B90DC9"/>
    <w:rsid w:val="00B90F1B"/>
    <w:rsid w:val="00B916DD"/>
    <w:rsid w:val="00B92307"/>
    <w:rsid w:val="00B924CF"/>
    <w:rsid w:val="00B92613"/>
    <w:rsid w:val="00B9279E"/>
    <w:rsid w:val="00B92A0D"/>
    <w:rsid w:val="00B9315C"/>
    <w:rsid w:val="00B93F8D"/>
    <w:rsid w:val="00B940E7"/>
    <w:rsid w:val="00B9488E"/>
    <w:rsid w:val="00B95240"/>
    <w:rsid w:val="00B95CDD"/>
    <w:rsid w:val="00B9662D"/>
    <w:rsid w:val="00B96639"/>
    <w:rsid w:val="00B96BAB"/>
    <w:rsid w:val="00B97337"/>
    <w:rsid w:val="00B97385"/>
    <w:rsid w:val="00B973E2"/>
    <w:rsid w:val="00B975AE"/>
    <w:rsid w:val="00B975F9"/>
    <w:rsid w:val="00B97E16"/>
    <w:rsid w:val="00BA00D4"/>
    <w:rsid w:val="00BA0533"/>
    <w:rsid w:val="00BA0B69"/>
    <w:rsid w:val="00BA0D72"/>
    <w:rsid w:val="00BA0D97"/>
    <w:rsid w:val="00BA1C01"/>
    <w:rsid w:val="00BA28A3"/>
    <w:rsid w:val="00BA3943"/>
    <w:rsid w:val="00BA4C67"/>
    <w:rsid w:val="00BA4FD7"/>
    <w:rsid w:val="00BA5226"/>
    <w:rsid w:val="00BA5323"/>
    <w:rsid w:val="00BA5472"/>
    <w:rsid w:val="00BA5E3C"/>
    <w:rsid w:val="00BA690A"/>
    <w:rsid w:val="00BA6C9B"/>
    <w:rsid w:val="00BA7275"/>
    <w:rsid w:val="00BA78AE"/>
    <w:rsid w:val="00BA7A89"/>
    <w:rsid w:val="00BA7C1B"/>
    <w:rsid w:val="00BA7D5B"/>
    <w:rsid w:val="00BA7FCD"/>
    <w:rsid w:val="00BB06AB"/>
    <w:rsid w:val="00BB07C7"/>
    <w:rsid w:val="00BB0BFF"/>
    <w:rsid w:val="00BB11FD"/>
    <w:rsid w:val="00BB163D"/>
    <w:rsid w:val="00BB19E5"/>
    <w:rsid w:val="00BB2361"/>
    <w:rsid w:val="00BB2932"/>
    <w:rsid w:val="00BB295E"/>
    <w:rsid w:val="00BB2BDD"/>
    <w:rsid w:val="00BB300A"/>
    <w:rsid w:val="00BB4700"/>
    <w:rsid w:val="00BB4AAA"/>
    <w:rsid w:val="00BB4FCF"/>
    <w:rsid w:val="00BB5627"/>
    <w:rsid w:val="00BB57B3"/>
    <w:rsid w:val="00BB62AC"/>
    <w:rsid w:val="00BB66CA"/>
    <w:rsid w:val="00BB67BE"/>
    <w:rsid w:val="00BB6A0B"/>
    <w:rsid w:val="00BB6EAC"/>
    <w:rsid w:val="00BB72F3"/>
    <w:rsid w:val="00BB77AD"/>
    <w:rsid w:val="00BC0299"/>
    <w:rsid w:val="00BC032F"/>
    <w:rsid w:val="00BC05FD"/>
    <w:rsid w:val="00BC0A1A"/>
    <w:rsid w:val="00BC0A6E"/>
    <w:rsid w:val="00BC0FDF"/>
    <w:rsid w:val="00BC18E6"/>
    <w:rsid w:val="00BC1B4C"/>
    <w:rsid w:val="00BC1CC9"/>
    <w:rsid w:val="00BC230D"/>
    <w:rsid w:val="00BC231C"/>
    <w:rsid w:val="00BC2340"/>
    <w:rsid w:val="00BC2D8A"/>
    <w:rsid w:val="00BC369D"/>
    <w:rsid w:val="00BC390C"/>
    <w:rsid w:val="00BC3B22"/>
    <w:rsid w:val="00BC4874"/>
    <w:rsid w:val="00BC4A05"/>
    <w:rsid w:val="00BC4A4E"/>
    <w:rsid w:val="00BC5928"/>
    <w:rsid w:val="00BC59CC"/>
    <w:rsid w:val="00BC700F"/>
    <w:rsid w:val="00BC7AF7"/>
    <w:rsid w:val="00BC7BE1"/>
    <w:rsid w:val="00BD03EE"/>
    <w:rsid w:val="00BD1792"/>
    <w:rsid w:val="00BD1A63"/>
    <w:rsid w:val="00BD2422"/>
    <w:rsid w:val="00BD2432"/>
    <w:rsid w:val="00BD24C3"/>
    <w:rsid w:val="00BD2924"/>
    <w:rsid w:val="00BD2E97"/>
    <w:rsid w:val="00BD30C5"/>
    <w:rsid w:val="00BD3482"/>
    <w:rsid w:val="00BD391F"/>
    <w:rsid w:val="00BD3BED"/>
    <w:rsid w:val="00BD3C75"/>
    <w:rsid w:val="00BD41D1"/>
    <w:rsid w:val="00BD46F7"/>
    <w:rsid w:val="00BD4B8F"/>
    <w:rsid w:val="00BD4F3F"/>
    <w:rsid w:val="00BD530D"/>
    <w:rsid w:val="00BD53BF"/>
    <w:rsid w:val="00BD54CD"/>
    <w:rsid w:val="00BD54FA"/>
    <w:rsid w:val="00BD5551"/>
    <w:rsid w:val="00BD5928"/>
    <w:rsid w:val="00BD5B52"/>
    <w:rsid w:val="00BD6253"/>
    <w:rsid w:val="00BD6379"/>
    <w:rsid w:val="00BD64B3"/>
    <w:rsid w:val="00BD6A5B"/>
    <w:rsid w:val="00BD75B2"/>
    <w:rsid w:val="00BD7A34"/>
    <w:rsid w:val="00BE004F"/>
    <w:rsid w:val="00BE020F"/>
    <w:rsid w:val="00BE0256"/>
    <w:rsid w:val="00BE0AC9"/>
    <w:rsid w:val="00BE123C"/>
    <w:rsid w:val="00BE1482"/>
    <w:rsid w:val="00BE1765"/>
    <w:rsid w:val="00BE1769"/>
    <w:rsid w:val="00BE17AD"/>
    <w:rsid w:val="00BE18C9"/>
    <w:rsid w:val="00BE1D5F"/>
    <w:rsid w:val="00BE1F1B"/>
    <w:rsid w:val="00BE22D7"/>
    <w:rsid w:val="00BE3469"/>
    <w:rsid w:val="00BE3675"/>
    <w:rsid w:val="00BE4C70"/>
    <w:rsid w:val="00BE4E2F"/>
    <w:rsid w:val="00BE5109"/>
    <w:rsid w:val="00BE548D"/>
    <w:rsid w:val="00BE5492"/>
    <w:rsid w:val="00BE70DF"/>
    <w:rsid w:val="00BE7206"/>
    <w:rsid w:val="00BF008B"/>
    <w:rsid w:val="00BF0F83"/>
    <w:rsid w:val="00BF14C2"/>
    <w:rsid w:val="00BF15DF"/>
    <w:rsid w:val="00BF18D5"/>
    <w:rsid w:val="00BF1E97"/>
    <w:rsid w:val="00BF24FA"/>
    <w:rsid w:val="00BF2640"/>
    <w:rsid w:val="00BF285B"/>
    <w:rsid w:val="00BF2928"/>
    <w:rsid w:val="00BF2CC1"/>
    <w:rsid w:val="00BF2CE3"/>
    <w:rsid w:val="00BF2D5A"/>
    <w:rsid w:val="00BF2EC7"/>
    <w:rsid w:val="00BF2F82"/>
    <w:rsid w:val="00BF3515"/>
    <w:rsid w:val="00BF3569"/>
    <w:rsid w:val="00BF36A2"/>
    <w:rsid w:val="00BF37BE"/>
    <w:rsid w:val="00BF3A2E"/>
    <w:rsid w:val="00BF3C61"/>
    <w:rsid w:val="00BF3DCD"/>
    <w:rsid w:val="00BF3FE7"/>
    <w:rsid w:val="00BF4274"/>
    <w:rsid w:val="00BF430C"/>
    <w:rsid w:val="00BF4769"/>
    <w:rsid w:val="00BF4DE3"/>
    <w:rsid w:val="00BF551B"/>
    <w:rsid w:val="00BF588C"/>
    <w:rsid w:val="00BF6064"/>
    <w:rsid w:val="00BF6321"/>
    <w:rsid w:val="00BF66CE"/>
    <w:rsid w:val="00BF6880"/>
    <w:rsid w:val="00BF6DE8"/>
    <w:rsid w:val="00BF710C"/>
    <w:rsid w:val="00BF729D"/>
    <w:rsid w:val="00BF72C8"/>
    <w:rsid w:val="00BF7EDC"/>
    <w:rsid w:val="00C00FB0"/>
    <w:rsid w:val="00C012DD"/>
    <w:rsid w:val="00C015BC"/>
    <w:rsid w:val="00C01715"/>
    <w:rsid w:val="00C01C80"/>
    <w:rsid w:val="00C027B9"/>
    <w:rsid w:val="00C02DA5"/>
    <w:rsid w:val="00C037FA"/>
    <w:rsid w:val="00C0411B"/>
    <w:rsid w:val="00C049AF"/>
    <w:rsid w:val="00C05AAA"/>
    <w:rsid w:val="00C05C4A"/>
    <w:rsid w:val="00C061AB"/>
    <w:rsid w:val="00C062AA"/>
    <w:rsid w:val="00C063A6"/>
    <w:rsid w:val="00C064CB"/>
    <w:rsid w:val="00C06559"/>
    <w:rsid w:val="00C06925"/>
    <w:rsid w:val="00C06AF9"/>
    <w:rsid w:val="00C07441"/>
    <w:rsid w:val="00C0792B"/>
    <w:rsid w:val="00C07EC3"/>
    <w:rsid w:val="00C10203"/>
    <w:rsid w:val="00C1084D"/>
    <w:rsid w:val="00C11819"/>
    <w:rsid w:val="00C11ACE"/>
    <w:rsid w:val="00C124E9"/>
    <w:rsid w:val="00C132D3"/>
    <w:rsid w:val="00C13627"/>
    <w:rsid w:val="00C13635"/>
    <w:rsid w:val="00C13AFE"/>
    <w:rsid w:val="00C1410C"/>
    <w:rsid w:val="00C147A2"/>
    <w:rsid w:val="00C14938"/>
    <w:rsid w:val="00C14980"/>
    <w:rsid w:val="00C14C3A"/>
    <w:rsid w:val="00C1536F"/>
    <w:rsid w:val="00C175E1"/>
    <w:rsid w:val="00C20654"/>
    <w:rsid w:val="00C207BC"/>
    <w:rsid w:val="00C21156"/>
    <w:rsid w:val="00C217AC"/>
    <w:rsid w:val="00C217FC"/>
    <w:rsid w:val="00C2188B"/>
    <w:rsid w:val="00C219BC"/>
    <w:rsid w:val="00C21CAC"/>
    <w:rsid w:val="00C21F1B"/>
    <w:rsid w:val="00C22BDD"/>
    <w:rsid w:val="00C22C59"/>
    <w:rsid w:val="00C22C97"/>
    <w:rsid w:val="00C2321E"/>
    <w:rsid w:val="00C23A91"/>
    <w:rsid w:val="00C23D79"/>
    <w:rsid w:val="00C23E7E"/>
    <w:rsid w:val="00C23E85"/>
    <w:rsid w:val="00C23EA9"/>
    <w:rsid w:val="00C23EF5"/>
    <w:rsid w:val="00C240F2"/>
    <w:rsid w:val="00C2452F"/>
    <w:rsid w:val="00C24B7E"/>
    <w:rsid w:val="00C24BD4"/>
    <w:rsid w:val="00C251FA"/>
    <w:rsid w:val="00C25387"/>
    <w:rsid w:val="00C253CD"/>
    <w:rsid w:val="00C253E7"/>
    <w:rsid w:val="00C25710"/>
    <w:rsid w:val="00C25737"/>
    <w:rsid w:val="00C25C22"/>
    <w:rsid w:val="00C25CC0"/>
    <w:rsid w:val="00C26874"/>
    <w:rsid w:val="00C26D41"/>
    <w:rsid w:val="00C2708A"/>
    <w:rsid w:val="00C273EF"/>
    <w:rsid w:val="00C2794B"/>
    <w:rsid w:val="00C27AEC"/>
    <w:rsid w:val="00C27D8E"/>
    <w:rsid w:val="00C300F2"/>
    <w:rsid w:val="00C3076B"/>
    <w:rsid w:val="00C30776"/>
    <w:rsid w:val="00C3097A"/>
    <w:rsid w:val="00C30DC8"/>
    <w:rsid w:val="00C3135F"/>
    <w:rsid w:val="00C315A6"/>
    <w:rsid w:val="00C31D66"/>
    <w:rsid w:val="00C31E2D"/>
    <w:rsid w:val="00C31F38"/>
    <w:rsid w:val="00C32293"/>
    <w:rsid w:val="00C32368"/>
    <w:rsid w:val="00C327CE"/>
    <w:rsid w:val="00C32958"/>
    <w:rsid w:val="00C32DC1"/>
    <w:rsid w:val="00C33433"/>
    <w:rsid w:val="00C3347D"/>
    <w:rsid w:val="00C33EB9"/>
    <w:rsid w:val="00C34B3B"/>
    <w:rsid w:val="00C354A2"/>
    <w:rsid w:val="00C35C0E"/>
    <w:rsid w:val="00C35C8E"/>
    <w:rsid w:val="00C36175"/>
    <w:rsid w:val="00C36355"/>
    <w:rsid w:val="00C36585"/>
    <w:rsid w:val="00C36837"/>
    <w:rsid w:val="00C36E0B"/>
    <w:rsid w:val="00C4017A"/>
    <w:rsid w:val="00C4043B"/>
    <w:rsid w:val="00C404F5"/>
    <w:rsid w:val="00C40524"/>
    <w:rsid w:val="00C40C6C"/>
    <w:rsid w:val="00C413DC"/>
    <w:rsid w:val="00C41415"/>
    <w:rsid w:val="00C4165C"/>
    <w:rsid w:val="00C4170D"/>
    <w:rsid w:val="00C41F01"/>
    <w:rsid w:val="00C422D7"/>
    <w:rsid w:val="00C42627"/>
    <w:rsid w:val="00C42861"/>
    <w:rsid w:val="00C432CB"/>
    <w:rsid w:val="00C43CD1"/>
    <w:rsid w:val="00C43F89"/>
    <w:rsid w:val="00C44192"/>
    <w:rsid w:val="00C4432E"/>
    <w:rsid w:val="00C449E8"/>
    <w:rsid w:val="00C44B13"/>
    <w:rsid w:val="00C453D0"/>
    <w:rsid w:val="00C45869"/>
    <w:rsid w:val="00C45918"/>
    <w:rsid w:val="00C45F4E"/>
    <w:rsid w:val="00C4625D"/>
    <w:rsid w:val="00C46BD3"/>
    <w:rsid w:val="00C46D18"/>
    <w:rsid w:val="00C47154"/>
    <w:rsid w:val="00C474E8"/>
    <w:rsid w:val="00C476C1"/>
    <w:rsid w:val="00C47A03"/>
    <w:rsid w:val="00C47A23"/>
    <w:rsid w:val="00C47B4D"/>
    <w:rsid w:val="00C47B73"/>
    <w:rsid w:val="00C50789"/>
    <w:rsid w:val="00C50859"/>
    <w:rsid w:val="00C50A03"/>
    <w:rsid w:val="00C50B00"/>
    <w:rsid w:val="00C5178A"/>
    <w:rsid w:val="00C51C9D"/>
    <w:rsid w:val="00C51CB9"/>
    <w:rsid w:val="00C5256E"/>
    <w:rsid w:val="00C526FB"/>
    <w:rsid w:val="00C527DD"/>
    <w:rsid w:val="00C52A5E"/>
    <w:rsid w:val="00C53676"/>
    <w:rsid w:val="00C536BF"/>
    <w:rsid w:val="00C537C5"/>
    <w:rsid w:val="00C54508"/>
    <w:rsid w:val="00C54660"/>
    <w:rsid w:val="00C54C63"/>
    <w:rsid w:val="00C554DB"/>
    <w:rsid w:val="00C5597E"/>
    <w:rsid w:val="00C55FC9"/>
    <w:rsid w:val="00C56948"/>
    <w:rsid w:val="00C56B88"/>
    <w:rsid w:val="00C57247"/>
    <w:rsid w:val="00C57577"/>
    <w:rsid w:val="00C57913"/>
    <w:rsid w:val="00C57931"/>
    <w:rsid w:val="00C57A54"/>
    <w:rsid w:val="00C57E12"/>
    <w:rsid w:val="00C5A5BE"/>
    <w:rsid w:val="00C6024B"/>
    <w:rsid w:val="00C604AE"/>
    <w:rsid w:val="00C60904"/>
    <w:rsid w:val="00C60C8E"/>
    <w:rsid w:val="00C60FC7"/>
    <w:rsid w:val="00C612DF"/>
    <w:rsid w:val="00C6134A"/>
    <w:rsid w:val="00C6144D"/>
    <w:rsid w:val="00C61D8B"/>
    <w:rsid w:val="00C62007"/>
    <w:rsid w:val="00C62381"/>
    <w:rsid w:val="00C623C8"/>
    <w:rsid w:val="00C62443"/>
    <w:rsid w:val="00C627D1"/>
    <w:rsid w:val="00C629E9"/>
    <w:rsid w:val="00C62EFE"/>
    <w:rsid w:val="00C62F05"/>
    <w:rsid w:val="00C63184"/>
    <w:rsid w:val="00C63718"/>
    <w:rsid w:val="00C638D2"/>
    <w:rsid w:val="00C63A2C"/>
    <w:rsid w:val="00C63B03"/>
    <w:rsid w:val="00C63B08"/>
    <w:rsid w:val="00C63D8A"/>
    <w:rsid w:val="00C63E6F"/>
    <w:rsid w:val="00C63EDF"/>
    <w:rsid w:val="00C64AA0"/>
    <w:rsid w:val="00C64E88"/>
    <w:rsid w:val="00C65132"/>
    <w:rsid w:val="00C65482"/>
    <w:rsid w:val="00C6593C"/>
    <w:rsid w:val="00C65C7C"/>
    <w:rsid w:val="00C65EC5"/>
    <w:rsid w:val="00C65F80"/>
    <w:rsid w:val="00C66080"/>
    <w:rsid w:val="00C663E0"/>
    <w:rsid w:val="00C663FA"/>
    <w:rsid w:val="00C66BEA"/>
    <w:rsid w:val="00C677E1"/>
    <w:rsid w:val="00C67958"/>
    <w:rsid w:val="00C67EC8"/>
    <w:rsid w:val="00C70024"/>
    <w:rsid w:val="00C7053B"/>
    <w:rsid w:val="00C70D5A"/>
    <w:rsid w:val="00C70E87"/>
    <w:rsid w:val="00C7126D"/>
    <w:rsid w:val="00C71521"/>
    <w:rsid w:val="00C71653"/>
    <w:rsid w:val="00C72005"/>
    <w:rsid w:val="00C721C1"/>
    <w:rsid w:val="00C7221B"/>
    <w:rsid w:val="00C723AA"/>
    <w:rsid w:val="00C72579"/>
    <w:rsid w:val="00C72935"/>
    <w:rsid w:val="00C72F15"/>
    <w:rsid w:val="00C72F5D"/>
    <w:rsid w:val="00C730C9"/>
    <w:rsid w:val="00C73121"/>
    <w:rsid w:val="00C73466"/>
    <w:rsid w:val="00C749DD"/>
    <w:rsid w:val="00C74CB6"/>
    <w:rsid w:val="00C74D3C"/>
    <w:rsid w:val="00C74DBE"/>
    <w:rsid w:val="00C74F5A"/>
    <w:rsid w:val="00C7509B"/>
    <w:rsid w:val="00C767C0"/>
    <w:rsid w:val="00C76C76"/>
    <w:rsid w:val="00C77ADE"/>
    <w:rsid w:val="00C77E37"/>
    <w:rsid w:val="00C80273"/>
    <w:rsid w:val="00C8096C"/>
    <w:rsid w:val="00C80B30"/>
    <w:rsid w:val="00C80B48"/>
    <w:rsid w:val="00C813FB"/>
    <w:rsid w:val="00C814C4"/>
    <w:rsid w:val="00C81B74"/>
    <w:rsid w:val="00C81DA6"/>
    <w:rsid w:val="00C821EE"/>
    <w:rsid w:val="00C8250D"/>
    <w:rsid w:val="00C825EF"/>
    <w:rsid w:val="00C8304B"/>
    <w:rsid w:val="00C8330D"/>
    <w:rsid w:val="00C83370"/>
    <w:rsid w:val="00C8362F"/>
    <w:rsid w:val="00C836EF"/>
    <w:rsid w:val="00C840AF"/>
    <w:rsid w:val="00C8443A"/>
    <w:rsid w:val="00C85668"/>
    <w:rsid w:val="00C86A99"/>
    <w:rsid w:val="00C86B5E"/>
    <w:rsid w:val="00C873AD"/>
    <w:rsid w:val="00C879EE"/>
    <w:rsid w:val="00C87B08"/>
    <w:rsid w:val="00C87F47"/>
    <w:rsid w:val="00C90226"/>
    <w:rsid w:val="00C90B8B"/>
    <w:rsid w:val="00C91181"/>
    <w:rsid w:val="00C911C6"/>
    <w:rsid w:val="00C91B9D"/>
    <w:rsid w:val="00C9283B"/>
    <w:rsid w:val="00C92FF9"/>
    <w:rsid w:val="00C9329F"/>
    <w:rsid w:val="00C93516"/>
    <w:rsid w:val="00C9368A"/>
    <w:rsid w:val="00C93E0E"/>
    <w:rsid w:val="00C93F28"/>
    <w:rsid w:val="00C9422F"/>
    <w:rsid w:val="00C943C8"/>
    <w:rsid w:val="00C94A71"/>
    <w:rsid w:val="00C95380"/>
    <w:rsid w:val="00C958F1"/>
    <w:rsid w:val="00C95F23"/>
    <w:rsid w:val="00C962BF"/>
    <w:rsid w:val="00C963F0"/>
    <w:rsid w:val="00C96442"/>
    <w:rsid w:val="00C97011"/>
    <w:rsid w:val="00C9718E"/>
    <w:rsid w:val="00CA0660"/>
    <w:rsid w:val="00CA0A84"/>
    <w:rsid w:val="00CA0B59"/>
    <w:rsid w:val="00CA1664"/>
    <w:rsid w:val="00CA1880"/>
    <w:rsid w:val="00CA1A2B"/>
    <w:rsid w:val="00CA1BEE"/>
    <w:rsid w:val="00CA1CF6"/>
    <w:rsid w:val="00CA1E86"/>
    <w:rsid w:val="00CA21D1"/>
    <w:rsid w:val="00CA29F8"/>
    <w:rsid w:val="00CA2BE9"/>
    <w:rsid w:val="00CA3300"/>
    <w:rsid w:val="00CA34B9"/>
    <w:rsid w:val="00CA39C0"/>
    <w:rsid w:val="00CA3CBA"/>
    <w:rsid w:val="00CA3CEF"/>
    <w:rsid w:val="00CA4A1B"/>
    <w:rsid w:val="00CA4DD4"/>
    <w:rsid w:val="00CA4F1E"/>
    <w:rsid w:val="00CA550B"/>
    <w:rsid w:val="00CA5DCA"/>
    <w:rsid w:val="00CA5DED"/>
    <w:rsid w:val="00CA6A54"/>
    <w:rsid w:val="00CA6A6A"/>
    <w:rsid w:val="00CA72B9"/>
    <w:rsid w:val="00CA765A"/>
    <w:rsid w:val="00CA7A87"/>
    <w:rsid w:val="00CA9A7B"/>
    <w:rsid w:val="00CB0785"/>
    <w:rsid w:val="00CB0D76"/>
    <w:rsid w:val="00CB0E35"/>
    <w:rsid w:val="00CB1073"/>
    <w:rsid w:val="00CB12ED"/>
    <w:rsid w:val="00CB1534"/>
    <w:rsid w:val="00CB1659"/>
    <w:rsid w:val="00CB1B58"/>
    <w:rsid w:val="00CB1FA6"/>
    <w:rsid w:val="00CB2209"/>
    <w:rsid w:val="00CB24CB"/>
    <w:rsid w:val="00CB2571"/>
    <w:rsid w:val="00CB2596"/>
    <w:rsid w:val="00CB25B7"/>
    <w:rsid w:val="00CB27E1"/>
    <w:rsid w:val="00CB285E"/>
    <w:rsid w:val="00CB2A1F"/>
    <w:rsid w:val="00CB2C0D"/>
    <w:rsid w:val="00CB302C"/>
    <w:rsid w:val="00CB32E8"/>
    <w:rsid w:val="00CB337A"/>
    <w:rsid w:val="00CB387F"/>
    <w:rsid w:val="00CB4409"/>
    <w:rsid w:val="00CB4C4D"/>
    <w:rsid w:val="00CB53D4"/>
    <w:rsid w:val="00CB6CA4"/>
    <w:rsid w:val="00CB6CA5"/>
    <w:rsid w:val="00CB730F"/>
    <w:rsid w:val="00CB7379"/>
    <w:rsid w:val="00CB75DC"/>
    <w:rsid w:val="00CB7722"/>
    <w:rsid w:val="00CBDC9F"/>
    <w:rsid w:val="00CC0002"/>
    <w:rsid w:val="00CC0040"/>
    <w:rsid w:val="00CC0506"/>
    <w:rsid w:val="00CC0D7A"/>
    <w:rsid w:val="00CC1385"/>
    <w:rsid w:val="00CC1808"/>
    <w:rsid w:val="00CC18D0"/>
    <w:rsid w:val="00CC1DFB"/>
    <w:rsid w:val="00CC1FB3"/>
    <w:rsid w:val="00CC2017"/>
    <w:rsid w:val="00CC2548"/>
    <w:rsid w:val="00CC28C4"/>
    <w:rsid w:val="00CC2942"/>
    <w:rsid w:val="00CC34CD"/>
    <w:rsid w:val="00CC361A"/>
    <w:rsid w:val="00CC3A6E"/>
    <w:rsid w:val="00CC4DCC"/>
    <w:rsid w:val="00CC4F40"/>
    <w:rsid w:val="00CC57B4"/>
    <w:rsid w:val="00CC596B"/>
    <w:rsid w:val="00CC5D5A"/>
    <w:rsid w:val="00CC616A"/>
    <w:rsid w:val="00CC67EE"/>
    <w:rsid w:val="00CC68F8"/>
    <w:rsid w:val="00CC6B96"/>
    <w:rsid w:val="00CC6BF6"/>
    <w:rsid w:val="00CC6DB4"/>
    <w:rsid w:val="00CC6FE8"/>
    <w:rsid w:val="00CC7CBD"/>
    <w:rsid w:val="00CD0132"/>
    <w:rsid w:val="00CD0245"/>
    <w:rsid w:val="00CD02EF"/>
    <w:rsid w:val="00CD04A5"/>
    <w:rsid w:val="00CD071B"/>
    <w:rsid w:val="00CD1171"/>
    <w:rsid w:val="00CD14E3"/>
    <w:rsid w:val="00CD230C"/>
    <w:rsid w:val="00CD2707"/>
    <w:rsid w:val="00CD2A74"/>
    <w:rsid w:val="00CD373B"/>
    <w:rsid w:val="00CD377F"/>
    <w:rsid w:val="00CD3D40"/>
    <w:rsid w:val="00CD405B"/>
    <w:rsid w:val="00CD436B"/>
    <w:rsid w:val="00CD47D0"/>
    <w:rsid w:val="00CD4CCC"/>
    <w:rsid w:val="00CD4D2F"/>
    <w:rsid w:val="00CD4DFF"/>
    <w:rsid w:val="00CD51B0"/>
    <w:rsid w:val="00CD571C"/>
    <w:rsid w:val="00CD5782"/>
    <w:rsid w:val="00CD5D6C"/>
    <w:rsid w:val="00CD6495"/>
    <w:rsid w:val="00CD69FF"/>
    <w:rsid w:val="00CD78B4"/>
    <w:rsid w:val="00CD78D4"/>
    <w:rsid w:val="00CD7BCB"/>
    <w:rsid w:val="00CE02D7"/>
    <w:rsid w:val="00CE0A45"/>
    <w:rsid w:val="00CE0B23"/>
    <w:rsid w:val="00CE0CC6"/>
    <w:rsid w:val="00CE0F10"/>
    <w:rsid w:val="00CE109D"/>
    <w:rsid w:val="00CE119B"/>
    <w:rsid w:val="00CE1553"/>
    <w:rsid w:val="00CE18A2"/>
    <w:rsid w:val="00CE1A5E"/>
    <w:rsid w:val="00CE23B1"/>
    <w:rsid w:val="00CE2B2A"/>
    <w:rsid w:val="00CE2B31"/>
    <w:rsid w:val="00CE2D9B"/>
    <w:rsid w:val="00CE2E2B"/>
    <w:rsid w:val="00CE315F"/>
    <w:rsid w:val="00CE3543"/>
    <w:rsid w:val="00CE3741"/>
    <w:rsid w:val="00CE40EC"/>
    <w:rsid w:val="00CE42BB"/>
    <w:rsid w:val="00CE47C2"/>
    <w:rsid w:val="00CE4A87"/>
    <w:rsid w:val="00CE4B55"/>
    <w:rsid w:val="00CE4E8B"/>
    <w:rsid w:val="00CE4F32"/>
    <w:rsid w:val="00CE51A7"/>
    <w:rsid w:val="00CE5391"/>
    <w:rsid w:val="00CE5B33"/>
    <w:rsid w:val="00CE5BBE"/>
    <w:rsid w:val="00CE607D"/>
    <w:rsid w:val="00CE632A"/>
    <w:rsid w:val="00CE6547"/>
    <w:rsid w:val="00CE662F"/>
    <w:rsid w:val="00CE73EE"/>
    <w:rsid w:val="00CE7BFE"/>
    <w:rsid w:val="00CE889E"/>
    <w:rsid w:val="00CF0DFE"/>
    <w:rsid w:val="00CF127F"/>
    <w:rsid w:val="00CF12E2"/>
    <w:rsid w:val="00CF1674"/>
    <w:rsid w:val="00CF16F4"/>
    <w:rsid w:val="00CF19ED"/>
    <w:rsid w:val="00CF2659"/>
    <w:rsid w:val="00CF2DFA"/>
    <w:rsid w:val="00CF2E64"/>
    <w:rsid w:val="00CF2EF0"/>
    <w:rsid w:val="00CF3096"/>
    <w:rsid w:val="00CF3334"/>
    <w:rsid w:val="00CF36E5"/>
    <w:rsid w:val="00CF47DE"/>
    <w:rsid w:val="00CF4C70"/>
    <w:rsid w:val="00CF4EF0"/>
    <w:rsid w:val="00CF5352"/>
    <w:rsid w:val="00CF54DC"/>
    <w:rsid w:val="00CF57E9"/>
    <w:rsid w:val="00CF5DBB"/>
    <w:rsid w:val="00CF625A"/>
    <w:rsid w:val="00CF6A23"/>
    <w:rsid w:val="00CF71C4"/>
    <w:rsid w:val="00CF78F8"/>
    <w:rsid w:val="00CF7D43"/>
    <w:rsid w:val="00D000DD"/>
    <w:rsid w:val="00D00638"/>
    <w:rsid w:val="00D007BF"/>
    <w:rsid w:val="00D00DA1"/>
    <w:rsid w:val="00D00F05"/>
    <w:rsid w:val="00D00F8E"/>
    <w:rsid w:val="00D0180D"/>
    <w:rsid w:val="00D01A97"/>
    <w:rsid w:val="00D022B6"/>
    <w:rsid w:val="00D026D4"/>
    <w:rsid w:val="00D0294D"/>
    <w:rsid w:val="00D02EEA"/>
    <w:rsid w:val="00D02F9A"/>
    <w:rsid w:val="00D03120"/>
    <w:rsid w:val="00D03331"/>
    <w:rsid w:val="00D03342"/>
    <w:rsid w:val="00D03A77"/>
    <w:rsid w:val="00D03C0D"/>
    <w:rsid w:val="00D040DF"/>
    <w:rsid w:val="00D04157"/>
    <w:rsid w:val="00D04290"/>
    <w:rsid w:val="00D042DD"/>
    <w:rsid w:val="00D04482"/>
    <w:rsid w:val="00D04BA5"/>
    <w:rsid w:val="00D04F02"/>
    <w:rsid w:val="00D0545D"/>
    <w:rsid w:val="00D058F0"/>
    <w:rsid w:val="00D059C4"/>
    <w:rsid w:val="00D05BFE"/>
    <w:rsid w:val="00D05D5B"/>
    <w:rsid w:val="00D0630A"/>
    <w:rsid w:val="00D0631C"/>
    <w:rsid w:val="00D064D0"/>
    <w:rsid w:val="00D066E3"/>
    <w:rsid w:val="00D06804"/>
    <w:rsid w:val="00D06A51"/>
    <w:rsid w:val="00D06DAF"/>
    <w:rsid w:val="00D0708A"/>
    <w:rsid w:val="00D07EDE"/>
    <w:rsid w:val="00D10042"/>
    <w:rsid w:val="00D10115"/>
    <w:rsid w:val="00D1041C"/>
    <w:rsid w:val="00D10B32"/>
    <w:rsid w:val="00D10C3C"/>
    <w:rsid w:val="00D112D4"/>
    <w:rsid w:val="00D11DD4"/>
    <w:rsid w:val="00D11E9A"/>
    <w:rsid w:val="00D11FFF"/>
    <w:rsid w:val="00D1210F"/>
    <w:rsid w:val="00D1265A"/>
    <w:rsid w:val="00D12C8B"/>
    <w:rsid w:val="00D13501"/>
    <w:rsid w:val="00D13A6C"/>
    <w:rsid w:val="00D13E71"/>
    <w:rsid w:val="00D140AD"/>
    <w:rsid w:val="00D1466F"/>
    <w:rsid w:val="00D148F3"/>
    <w:rsid w:val="00D14C1B"/>
    <w:rsid w:val="00D150B0"/>
    <w:rsid w:val="00D16421"/>
    <w:rsid w:val="00D164B8"/>
    <w:rsid w:val="00D164F3"/>
    <w:rsid w:val="00D16615"/>
    <w:rsid w:val="00D16653"/>
    <w:rsid w:val="00D166BE"/>
    <w:rsid w:val="00D16F88"/>
    <w:rsid w:val="00D17944"/>
    <w:rsid w:val="00D17F9A"/>
    <w:rsid w:val="00D20089"/>
    <w:rsid w:val="00D208C6"/>
    <w:rsid w:val="00D2146D"/>
    <w:rsid w:val="00D216CD"/>
    <w:rsid w:val="00D21E7D"/>
    <w:rsid w:val="00D2241F"/>
    <w:rsid w:val="00D22668"/>
    <w:rsid w:val="00D226C7"/>
    <w:rsid w:val="00D23433"/>
    <w:rsid w:val="00D245FD"/>
    <w:rsid w:val="00D24796"/>
    <w:rsid w:val="00D2495B"/>
    <w:rsid w:val="00D249E7"/>
    <w:rsid w:val="00D24ACD"/>
    <w:rsid w:val="00D24B81"/>
    <w:rsid w:val="00D24CAE"/>
    <w:rsid w:val="00D25215"/>
    <w:rsid w:val="00D253BE"/>
    <w:rsid w:val="00D25AC5"/>
    <w:rsid w:val="00D25AD0"/>
    <w:rsid w:val="00D25DD5"/>
    <w:rsid w:val="00D25EE3"/>
    <w:rsid w:val="00D26502"/>
    <w:rsid w:val="00D265D6"/>
    <w:rsid w:val="00D267B2"/>
    <w:rsid w:val="00D26E82"/>
    <w:rsid w:val="00D276A8"/>
    <w:rsid w:val="00D278A5"/>
    <w:rsid w:val="00D27C93"/>
    <w:rsid w:val="00D27DA8"/>
    <w:rsid w:val="00D27EFD"/>
    <w:rsid w:val="00D30059"/>
    <w:rsid w:val="00D3006A"/>
    <w:rsid w:val="00D30ACC"/>
    <w:rsid w:val="00D30F51"/>
    <w:rsid w:val="00D31043"/>
    <w:rsid w:val="00D31521"/>
    <w:rsid w:val="00D3159A"/>
    <w:rsid w:val="00D315CD"/>
    <w:rsid w:val="00D3167F"/>
    <w:rsid w:val="00D31B7A"/>
    <w:rsid w:val="00D31E7A"/>
    <w:rsid w:val="00D320B5"/>
    <w:rsid w:val="00D322DA"/>
    <w:rsid w:val="00D3276D"/>
    <w:rsid w:val="00D32F6C"/>
    <w:rsid w:val="00D33258"/>
    <w:rsid w:val="00D333F3"/>
    <w:rsid w:val="00D3376F"/>
    <w:rsid w:val="00D33794"/>
    <w:rsid w:val="00D34371"/>
    <w:rsid w:val="00D3482F"/>
    <w:rsid w:val="00D34AB1"/>
    <w:rsid w:val="00D34AB6"/>
    <w:rsid w:val="00D3537C"/>
    <w:rsid w:val="00D3546D"/>
    <w:rsid w:val="00D36395"/>
    <w:rsid w:val="00D36B54"/>
    <w:rsid w:val="00D37273"/>
    <w:rsid w:val="00D37423"/>
    <w:rsid w:val="00D37794"/>
    <w:rsid w:val="00D40113"/>
    <w:rsid w:val="00D40C32"/>
    <w:rsid w:val="00D40E0E"/>
    <w:rsid w:val="00D425BC"/>
    <w:rsid w:val="00D43490"/>
    <w:rsid w:val="00D44032"/>
    <w:rsid w:val="00D4507D"/>
    <w:rsid w:val="00D45216"/>
    <w:rsid w:val="00D45B76"/>
    <w:rsid w:val="00D461AF"/>
    <w:rsid w:val="00D46295"/>
    <w:rsid w:val="00D4653A"/>
    <w:rsid w:val="00D46AEE"/>
    <w:rsid w:val="00D46B8A"/>
    <w:rsid w:val="00D46B8B"/>
    <w:rsid w:val="00D46DDA"/>
    <w:rsid w:val="00D47170"/>
    <w:rsid w:val="00D47748"/>
    <w:rsid w:val="00D47DD9"/>
    <w:rsid w:val="00D47EF7"/>
    <w:rsid w:val="00D503DC"/>
    <w:rsid w:val="00D509CC"/>
    <w:rsid w:val="00D50CA9"/>
    <w:rsid w:val="00D50D76"/>
    <w:rsid w:val="00D5155D"/>
    <w:rsid w:val="00D51687"/>
    <w:rsid w:val="00D51A28"/>
    <w:rsid w:val="00D51BEF"/>
    <w:rsid w:val="00D52092"/>
    <w:rsid w:val="00D52A64"/>
    <w:rsid w:val="00D52AB9"/>
    <w:rsid w:val="00D53DC2"/>
    <w:rsid w:val="00D53DDA"/>
    <w:rsid w:val="00D53F4F"/>
    <w:rsid w:val="00D554CE"/>
    <w:rsid w:val="00D55DC6"/>
    <w:rsid w:val="00D55F80"/>
    <w:rsid w:val="00D5636D"/>
    <w:rsid w:val="00D563F2"/>
    <w:rsid w:val="00D56AD8"/>
    <w:rsid w:val="00D57BB7"/>
    <w:rsid w:val="00D57FF4"/>
    <w:rsid w:val="00D6014F"/>
    <w:rsid w:val="00D604E7"/>
    <w:rsid w:val="00D60565"/>
    <w:rsid w:val="00D60642"/>
    <w:rsid w:val="00D6093C"/>
    <w:rsid w:val="00D60C7E"/>
    <w:rsid w:val="00D60CF6"/>
    <w:rsid w:val="00D60DFA"/>
    <w:rsid w:val="00D60F26"/>
    <w:rsid w:val="00D60F4F"/>
    <w:rsid w:val="00D6147B"/>
    <w:rsid w:val="00D614D7"/>
    <w:rsid w:val="00D617C7"/>
    <w:rsid w:val="00D62145"/>
    <w:rsid w:val="00D621D7"/>
    <w:rsid w:val="00D621F4"/>
    <w:rsid w:val="00D62878"/>
    <w:rsid w:val="00D63531"/>
    <w:rsid w:val="00D638B9"/>
    <w:rsid w:val="00D639BF"/>
    <w:rsid w:val="00D63E8C"/>
    <w:rsid w:val="00D640E1"/>
    <w:rsid w:val="00D64D7C"/>
    <w:rsid w:val="00D64E7B"/>
    <w:rsid w:val="00D650DE"/>
    <w:rsid w:val="00D65458"/>
    <w:rsid w:val="00D658E3"/>
    <w:rsid w:val="00D65961"/>
    <w:rsid w:val="00D659D8"/>
    <w:rsid w:val="00D659F4"/>
    <w:rsid w:val="00D65C70"/>
    <w:rsid w:val="00D6667E"/>
    <w:rsid w:val="00D66825"/>
    <w:rsid w:val="00D669BA"/>
    <w:rsid w:val="00D6739B"/>
    <w:rsid w:val="00D67842"/>
    <w:rsid w:val="00D67B03"/>
    <w:rsid w:val="00D67BA6"/>
    <w:rsid w:val="00D67BFE"/>
    <w:rsid w:val="00D70A21"/>
    <w:rsid w:val="00D70F98"/>
    <w:rsid w:val="00D71178"/>
    <w:rsid w:val="00D71579"/>
    <w:rsid w:val="00D71C82"/>
    <w:rsid w:val="00D71ED9"/>
    <w:rsid w:val="00D72214"/>
    <w:rsid w:val="00D723C5"/>
    <w:rsid w:val="00D72A39"/>
    <w:rsid w:val="00D72C83"/>
    <w:rsid w:val="00D733D9"/>
    <w:rsid w:val="00D73B43"/>
    <w:rsid w:val="00D74F8D"/>
    <w:rsid w:val="00D75801"/>
    <w:rsid w:val="00D75900"/>
    <w:rsid w:val="00D75E9D"/>
    <w:rsid w:val="00D760AE"/>
    <w:rsid w:val="00D76988"/>
    <w:rsid w:val="00D7733E"/>
    <w:rsid w:val="00D77539"/>
    <w:rsid w:val="00D77AF0"/>
    <w:rsid w:val="00D8031E"/>
    <w:rsid w:val="00D80794"/>
    <w:rsid w:val="00D80868"/>
    <w:rsid w:val="00D8096E"/>
    <w:rsid w:val="00D80F85"/>
    <w:rsid w:val="00D81026"/>
    <w:rsid w:val="00D81217"/>
    <w:rsid w:val="00D829C4"/>
    <w:rsid w:val="00D82A39"/>
    <w:rsid w:val="00D82C47"/>
    <w:rsid w:val="00D82E1A"/>
    <w:rsid w:val="00D83274"/>
    <w:rsid w:val="00D8332B"/>
    <w:rsid w:val="00D84307"/>
    <w:rsid w:val="00D845BF"/>
    <w:rsid w:val="00D84B50"/>
    <w:rsid w:val="00D84C0D"/>
    <w:rsid w:val="00D84DDE"/>
    <w:rsid w:val="00D853B3"/>
    <w:rsid w:val="00D856B3"/>
    <w:rsid w:val="00D85839"/>
    <w:rsid w:val="00D85AF9"/>
    <w:rsid w:val="00D8668C"/>
    <w:rsid w:val="00D86B89"/>
    <w:rsid w:val="00D86CFE"/>
    <w:rsid w:val="00D86ED9"/>
    <w:rsid w:val="00D87034"/>
    <w:rsid w:val="00D877FF"/>
    <w:rsid w:val="00D87A7D"/>
    <w:rsid w:val="00D90B95"/>
    <w:rsid w:val="00D90B99"/>
    <w:rsid w:val="00D91179"/>
    <w:rsid w:val="00D9120C"/>
    <w:rsid w:val="00D91342"/>
    <w:rsid w:val="00D91878"/>
    <w:rsid w:val="00D918F6"/>
    <w:rsid w:val="00D92230"/>
    <w:rsid w:val="00D923CA"/>
    <w:rsid w:val="00D92565"/>
    <w:rsid w:val="00D92704"/>
    <w:rsid w:val="00D92BD8"/>
    <w:rsid w:val="00D92CB3"/>
    <w:rsid w:val="00D931F9"/>
    <w:rsid w:val="00D9320A"/>
    <w:rsid w:val="00D93332"/>
    <w:rsid w:val="00D93406"/>
    <w:rsid w:val="00D935F6"/>
    <w:rsid w:val="00D937DB"/>
    <w:rsid w:val="00D93D85"/>
    <w:rsid w:val="00D940DE"/>
    <w:rsid w:val="00D94386"/>
    <w:rsid w:val="00D94424"/>
    <w:rsid w:val="00D947A0"/>
    <w:rsid w:val="00D94CE7"/>
    <w:rsid w:val="00D94DA8"/>
    <w:rsid w:val="00D94DCF"/>
    <w:rsid w:val="00D955D4"/>
    <w:rsid w:val="00D95725"/>
    <w:rsid w:val="00D957FC"/>
    <w:rsid w:val="00D95D4D"/>
    <w:rsid w:val="00D967B2"/>
    <w:rsid w:val="00D96BFE"/>
    <w:rsid w:val="00D96E06"/>
    <w:rsid w:val="00D971B1"/>
    <w:rsid w:val="00D973D4"/>
    <w:rsid w:val="00D9766E"/>
    <w:rsid w:val="00D97BAA"/>
    <w:rsid w:val="00D97C37"/>
    <w:rsid w:val="00D97C75"/>
    <w:rsid w:val="00D97D26"/>
    <w:rsid w:val="00D97F53"/>
    <w:rsid w:val="00D981CF"/>
    <w:rsid w:val="00DA0A8F"/>
    <w:rsid w:val="00DA10E6"/>
    <w:rsid w:val="00DA12EC"/>
    <w:rsid w:val="00DA185E"/>
    <w:rsid w:val="00DA1D75"/>
    <w:rsid w:val="00DA1DDF"/>
    <w:rsid w:val="00DA217E"/>
    <w:rsid w:val="00DA2A78"/>
    <w:rsid w:val="00DA31DC"/>
    <w:rsid w:val="00DA3286"/>
    <w:rsid w:val="00DA3961"/>
    <w:rsid w:val="00DA3AE2"/>
    <w:rsid w:val="00DA4814"/>
    <w:rsid w:val="00DA4B00"/>
    <w:rsid w:val="00DA4DA2"/>
    <w:rsid w:val="00DA4EEF"/>
    <w:rsid w:val="00DA505C"/>
    <w:rsid w:val="00DA526D"/>
    <w:rsid w:val="00DA53CF"/>
    <w:rsid w:val="00DA5734"/>
    <w:rsid w:val="00DA5C45"/>
    <w:rsid w:val="00DA5F23"/>
    <w:rsid w:val="00DA6930"/>
    <w:rsid w:val="00DA6BDC"/>
    <w:rsid w:val="00DA6C35"/>
    <w:rsid w:val="00DA6C3A"/>
    <w:rsid w:val="00DA7499"/>
    <w:rsid w:val="00DA7558"/>
    <w:rsid w:val="00DA7C69"/>
    <w:rsid w:val="00DA7CE1"/>
    <w:rsid w:val="00DB00C8"/>
    <w:rsid w:val="00DB011C"/>
    <w:rsid w:val="00DB0366"/>
    <w:rsid w:val="00DB0A40"/>
    <w:rsid w:val="00DB0A78"/>
    <w:rsid w:val="00DB0EE7"/>
    <w:rsid w:val="00DB0F06"/>
    <w:rsid w:val="00DB0FE2"/>
    <w:rsid w:val="00DB1152"/>
    <w:rsid w:val="00DB1503"/>
    <w:rsid w:val="00DB1832"/>
    <w:rsid w:val="00DB1A8E"/>
    <w:rsid w:val="00DB1B22"/>
    <w:rsid w:val="00DB243A"/>
    <w:rsid w:val="00DB2604"/>
    <w:rsid w:val="00DB28E3"/>
    <w:rsid w:val="00DB2EE4"/>
    <w:rsid w:val="00DB2F1A"/>
    <w:rsid w:val="00DB2F81"/>
    <w:rsid w:val="00DB3200"/>
    <w:rsid w:val="00DB3279"/>
    <w:rsid w:val="00DB34F3"/>
    <w:rsid w:val="00DB3964"/>
    <w:rsid w:val="00DB3AE1"/>
    <w:rsid w:val="00DB3C00"/>
    <w:rsid w:val="00DB4A7E"/>
    <w:rsid w:val="00DB4B15"/>
    <w:rsid w:val="00DB5851"/>
    <w:rsid w:val="00DB6AB0"/>
    <w:rsid w:val="00DB750E"/>
    <w:rsid w:val="00DB7838"/>
    <w:rsid w:val="00DB79A2"/>
    <w:rsid w:val="00DB7AAA"/>
    <w:rsid w:val="00DC09F7"/>
    <w:rsid w:val="00DC1622"/>
    <w:rsid w:val="00DC216A"/>
    <w:rsid w:val="00DC2543"/>
    <w:rsid w:val="00DC295D"/>
    <w:rsid w:val="00DC2CA5"/>
    <w:rsid w:val="00DC39C4"/>
    <w:rsid w:val="00DC3A07"/>
    <w:rsid w:val="00DC46DC"/>
    <w:rsid w:val="00DC4CC3"/>
    <w:rsid w:val="00DC52C5"/>
    <w:rsid w:val="00DC539A"/>
    <w:rsid w:val="00DC5A83"/>
    <w:rsid w:val="00DC5C35"/>
    <w:rsid w:val="00DC5E2F"/>
    <w:rsid w:val="00DC6072"/>
    <w:rsid w:val="00DC62E6"/>
    <w:rsid w:val="00DC6577"/>
    <w:rsid w:val="00DC6703"/>
    <w:rsid w:val="00DC6DA7"/>
    <w:rsid w:val="00DC70C9"/>
    <w:rsid w:val="00DC72B0"/>
    <w:rsid w:val="00DC768B"/>
    <w:rsid w:val="00DC7C28"/>
    <w:rsid w:val="00DC7F61"/>
    <w:rsid w:val="00DD0320"/>
    <w:rsid w:val="00DD0948"/>
    <w:rsid w:val="00DD0D34"/>
    <w:rsid w:val="00DD12B8"/>
    <w:rsid w:val="00DD1ACB"/>
    <w:rsid w:val="00DD23B7"/>
    <w:rsid w:val="00DD2A88"/>
    <w:rsid w:val="00DD2D9E"/>
    <w:rsid w:val="00DD3494"/>
    <w:rsid w:val="00DD37CE"/>
    <w:rsid w:val="00DD3BAB"/>
    <w:rsid w:val="00DD3C98"/>
    <w:rsid w:val="00DD4A86"/>
    <w:rsid w:val="00DD4E9C"/>
    <w:rsid w:val="00DD50CA"/>
    <w:rsid w:val="00DD5148"/>
    <w:rsid w:val="00DD51BF"/>
    <w:rsid w:val="00DD54BD"/>
    <w:rsid w:val="00DD5589"/>
    <w:rsid w:val="00DD61E9"/>
    <w:rsid w:val="00DD625F"/>
    <w:rsid w:val="00DD6482"/>
    <w:rsid w:val="00DD67D3"/>
    <w:rsid w:val="00DD7059"/>
    <w:rsid w:val="00DD73D4"/>
    <w:rsid w:val="00DD74C4"/>
    <w:rsid w:val="00DD7ABA"/>
    <w:rsid w:val="00DD7AEC"/>
    <w:rsid w:val="00DD7AFB"/>
    <w:rsid w:val="00DD909F"/>
    <w:rsid w:val="00DE0255"/>
    <w:rsid w:val="00DE0353"/>
    <w:rsid w:val="00DE0377"/>
    <w:rsid w:val="00DE03B1"/>
    <w:rsid w:val="00DE091F"/>
    <w:rsid w:val="00DE0D3F"/>
    <w:rsid w:val="00DE1169"/>
    <w:rsid w:val="00DE1379"/>
    <w:rsid w:val="00DE17A7"/>
    <w:rsid w:val="00DE1E29"/>
    <w:rsid w:val="00DE29EC"/>
    <w:rsid w:val="00DE2BA5"/>
    <w:rsid w:val="00DE2F53"/>
    <w:rsid w:val="00DE3513"/>
    <w:rsid w:val="00DE392E"/>
    <w:rsid w:val="00DE3943"/>
    <w:rsid w:val="00DE3EF6"/>
    <w:rsid w:val="00DE4F8D"/>
    <w:rsid w:val="00DE5074"/>
    <w:rsid w:val="00DE50F8"/>
    <w:rsid w:val="00DE528B"/>
    <w:rsid w:val="00DE5487"/>
    <w:rsid w:val="00DE573D"/>
    <w:rsid w:val="00DE5A08"/>
    <w:rsid w:val="00DE5F41"/>
    <w:rsid w:val="00DE605A"/>
    <w:rsid w:val="00DE605C"/>
    <w:rsid w:val="00DE643B"/>
    <w:rsid w:val="00DE6E0C"/>
    <w:rsid w:val="00DE6F45"/>
    <w:rsid w:val="00DE70F0"/>
    <w:rsid w:val="00DE7112"/>
    <w:rsid w:val="00DE7454"/>
    <w:rsid w:val="00DE792E"/>
    <w:rsid w:val="00DE7ED6"/>
    <w:rsid w:val="00DE7F52"/>
    <w:rsid w:val="00DEBF99"/>
    <w:rsid w:val="00DF0142"/>
    <w:rsid w:val="00DF062C"/>
    <w:rsid w:val="00DF09C1"/>
    <w:rsid w:val="00DF0DCC"/>
    <w:rsid w:val="00DF14A5"/>
    <w:rsid w:val="00DF1A24"/>
    <w:rsid w:val="00DF231C"/>
    <w:rsid w:val="00DF2460"/>
    <w:rsid w:val="00DF2BEA"/>
    <w:rsid w:val="00DF3961"/>
    <w:rsid w:val="00DF39B6"/>
    <w:rsid w:val="00DF3CDF"/>
    <w:rsid w:val="00DF3DAD"/>
    <w:rsid w:val="00DF4168"/>
    <w:rsid w:val="00DF4809"/>
    <w:rsid w:val="00DF489E"/>
    <w:rsid w:val="00DF5797"/>
    <w:rsid w:val="00DF57CC"/>
    <w:rsid w:val="00DF5B3E"/>
    <w:rsid w:val="00DF5E29"/>
    <w:rsid w:val="00DF5E74"/>
    <w:rsid w:val="00DF622B"/>
    <w:rsid w:val="00DF62CD"/>
    <w:rsid w:val="00DF64F8"/>
    <w:rsid w:val="00DF7937"/>
    <w:rsid w:val="00DF7A9E"/>
    <w:rsid w:val="00DF7AA7"/>
    <w:rsid w:val="00DF7D03"/>
    <w:rsid w:val="00DF7FFB"/>
    <w:rsid w:val="00DFD0F7"/>
    <w:rsid w:val="00E006E3"/>
    <w:rsid w:val="00E00739"/>
    <w:rsid w:val="00E00852"/>
    <w:rsid w:val="00E01156"/>
    <w:rsid w:val="00E01C15"/>
    <w:rsid w:val="00E023B6"/>
    <w:rsid w:val="00E0242A"/>
    <w:rsid w:val="00E02683"/>
    <w:rsid w:val="00E027AD"/>
    <w:rsid w:val="00E02E84"/>
    <w:rsid w:val="00E0333C"/>
    <w:rsid w:val="00E03662"/>
    <w:rsid w:val="00E03916"/>
    <w:rsid w:val="00E04097"/>
    <w:rsid w:val="00E045A3"/>
    <w:rsid w:val="00E04A1F"/>
    <w:rsid w:val="00E04B05"/>
    <w:rsid w:val="00E04C99"/>
    <w:rsid w:val="00E0506B"/>
    <w:rsid w:val="00E05633"/>
    <w:rsid w:val="00E05A25"/>
    <w:rsid w:val="00E05AC5"/>
    <w:rsid w:val="00E05FCF"/>
    <w:rsid w:val="00E060AF"/>
    <w:rsid w:val="00E06711"/>
    <w:rsid w:val="00E067B1"/>
    <w:rsid w:val="00E06F0D"/>
    <w:rsid w:val="00E0713F"/>
    <w:rsid w:val="00E07577"/>
    <w:rsid w:val="00E075BC"/>
    <w:rsid w:val="00E07A85"/>
    <w:rsid w:val="00E07B00"/>
    <w:rsid w:val="00E07F80"/>
    <w:rsid w:val="00E1010B"/>
    <w:rsid w:val="00E1056B"/>
    <w:rsid w:val="00E1079F"/>
    <w:rsid w:val="00E10C25"/>
    <w:rsid w:val="00E10EA8"/>
    <w:rsid w:val="00E10FFF"/>
    <w:rsid w:val="00E112B5"/>
    <w:rsid w:val="00E1186A"/>
    <w:rsid w:val="00E11CB3"/>
    <w:rsid w:val="00E1226B"/>
    <w:rsid w:val="00E124CC"/>
    <w:rsid w:val="00E125CB"/>
    <w:rsid w:val="00E12A9A"/>
    <w:rsid w:val="00E134BA"/>
    <w:rsid w:val="00E13A03"/>
    <w:rsid w:val="00E142B1"/>
    <w:rsid w:val="00E1472E"/>
    <w:rsid w:val="00E14E19"/>
    <w:rsid w:val="00E15092"/>
    <w:rsid w:val="00E150B7"/>
    <w:rsid w:val="00E15867"/>
    <w:rsid w:val="00E1655D"/>
    <w:rsid w:val="00E16FF3"/>
    <w:rsid w:val="00E17199"/>
    <w:rsid w:val="00E173A9"/>
    <w:rsid w:val="00E1772C"/>
    <w:rsid w:val="00E17BC2"/>
    <w:rsid w:val="00E17BDA"/>
    <w:rsid w:val="00E17C70"/>
    <w:rsid w:val="00E17FBB"/>
    <w:rsid w:val="00E20882"/>
    <w:rsid w:val="00E20CF8"/>
    <w:rsid w:val="00E20F3C"/>
    <w:rsid w:val="00E21000"/>
    <w:rsid w:val="00E2146D"/>
    <w:rsid w:val="00E219F5"/>
    <w:rsid w:val="00E21AC3"/>
    <w:rsid w:val="00E22311"/>
    <w:rsid w:val="00E229CE"/>
    <w:rsid w:val="00E233C8"/>
    <w:rsid w:val="00E23612"/>
    <w:rsid w:val="00E23A36"/>
    <w:rsid w:val="00E23CC2"/>
    <w:rsid w:val="00E23E6D"/>
    <w:rsid w:val="00E244FD"/>
    <w:rsid w:val="00E251E9"/>
    <w:rsid w:val="00E257A3"/>
    <w:rsid w:val="00E25BF7"/>
    <w:rsid w:val="00E26834"/>
    <w:rsid w:val="00E26AA5"/>
    <w:rsid w:val="00E26BA5"/>
    <w:rsid w:val="00E26BEF"/>
    <w:rsid w:val="00E26D1E"/>
    <w:rsid w:val="00E26F63"/>
    <w:rsid w:val="00E272A6"/>
    <w:rsid w:val="00E276F3"/>
    <w:rsid w:val="00E277DF"/>
    <w:rsid w:val="00E27C7B"/>
    <w:rsid w:val="00E30321"/>
    <w:rsid w:val="00E30721"/>
    <w:rsid w:val="00E3174B"/>
    <w:rsid w:val="00E31B01"/>
    <w:rsid w:val="00E3270A"/>
    <w:rsid w:val="00E32917"/>
    <w:rsid w:val="00E33294"/>
    <w:rsid w:val="00E336AF"/>
    <w:rsid w:val="00E336C6"/>
    <w:rsid w:val="00E33ADA"/>
    <w:rsid w:val="00E33CE7"/>
    <w:rsid w:val="00E34263"/>
    <w:rsid w:val="00E346AE"/>
    <w:rsid w:val="00E346FA"/>
    <w:rsid w:val="00E34C11"/>
    <w:rsid w:val="00E34DE2"/>
    <w:rsid w:val="00E34F75"/>
    <w:rsid w:val="00E35A12"/>
    <w:rsid w:val="00E35B9B"/>
    <w:rsid w:val="00E36144"/>
    <w:rsid w:val="00E36557"/>
    <w:rsid w:val="00E368D2"/>
    <w:rsid w:val="00E36B07"/>
    <w:rsid w:val="00E36B1B"/>
    <w:rsid w:val="00E36C93"/>
    <w:rsid w:val="00E36D32"/>
    <w:rsid w:val="00E36DA8"/>
    <w:rsid w:val="00E37670"/>
    <w:rsid w:val="00E379F3"/>
    <w:rsid w:val="00E4018D"/>
    <w:rsid w:val="00E40652"/>
    <w:rsid w:val="00E408D1"/>
    <w:rsid w:val="00E40D9C"/>
    <w:rsid w:val="00E40F25"/>
    <w:rsid w:val="00E413B8"/>
    <w:rsid w:val="00E413F3"/>
    <w:rsid w:val="00E41587"/>
    <w:rsid w:val="00E415B4"/>
    <w:rsid w:val="00E41F86"/>
    <w:rsid w:val="00E42E1A"/>
    <w:rsid w:val="00E43140"/>
    <w:rsid w:val="00E4337C"/>
    <w:rsid w:val="00E43503"/>
    <w:rsid w:val="00E43678"/>
    <w:rsid w:val="00E4374F"/>
    <w:rsid w:val="00E439C5"/>
    <w:rsid w:val="00E43A3F"/>
    <w:rsid w:val="00E43FF3"/>
    <w:rsid w:val="00E4425E"/>
    <w:rsid w:val="00E44DE4"/>
    <w:rsid w:val="00E44EDC"/>
    <w:rsid w:val="00E45089"/>
    <w:rsid w:val="00E45183"/>
    <w:rsid w:val="00E453AE"/>
    <w:rsid w:val="00E4550F"/>
    <w:rsid w:val="00E45706"/>
    <w:rsid w:val="00E45958"/>
    <w:rsid w:val="00E45B50"/>
    <w:rsid w:val="00E467F9"/>
    <w:rsid w:val="00E468E6"/>
    <w:rsid w:val="00E469DF"/>
    <w:rsid w:val="00E46BF0"/>
    <w:rsid w:val="00E471CE"/>
    <w:rsid w:val="00E471D2"/>
    <w:rsid w:val="00E4733B"/>
    <w:rsid w:val="00E4766F"/>
    <w:rsid w:val="00E500DC"/>
    <w:rsid w:val="00E50100"/>
    <w:rsid w:val="00E503BF"/>
    <w:rsid w:val="00E5097C"/>
    <w:rsid w:val="00E51944"/>
    <w:rsid w:val="00E52442"/>
    <w:rsid w:val="00E526C2"/>
    <w:rsid w:val="00E52803"/>
    <w:rsid w:val="00E52829"/>
    <w:rsid w:val="00E52930"/>
    <w:rsid w:val="00E52A14"/>
    <w:rsid w:val="00E52C9D"/>
    <w:rsid w:val="00E52CAB"/>
    <w:rsid w:val="00E52E3B"/>
    <w:rsid w:val="00E52FD8"/>
    <w:rsid w:val="00E5317B"/>
    <w:rsid w:val="00E53391"/>
    <w:rsid w:val="00E533D5"/>
    <w:rsid w:val="00E53A5D"/>
    <w:rsid w:val="00E53A7E"/>
    <w:rsid w:val="00E54EF7"/>
    <w:rsid w:val="00E55474"/>
    <w:rsid w:val="00E554D1"/>
    <w:rsid w:val="00E55ACE"/>
    <w:rsid w:val="00E564D4"/>
    <w:rsid w:val="00E568F7"/>
    <w:rsid w:val="00E56F39"/>
    <w:rsid w:val="00E57584"/>
    <w:rsid w:val="00E5762F"/>
    <w:rsid w:val="00E5770C"/>
    <w:rsid w:val="00E57770"/>
    <w:rsid w:val="00E57904"/>
    <w:rsid w:val="00E579CF"/>
    <w:rsid w:val="00E57EE9"/>
    <w:rsid w:val="00E608C5"/>
    <w:rsid w:val="00E60E13"/>
    <w:rsid w:val="00E61574"/>
    <w:rsid w:val="00E61681"/>
    <w:rsid w:val="00E61C3C"/>
    <w:rsid w:val="00E6229E"/>
    <w:rsid w:val="00E6268E"/>
    <w:rsid w:val="00E62715"/>
    <w:rsid w:val="00E627C1"/>
    <w:rsid w:val="00E628DE"/>
    <w:rsid w:val="00E628F5"/>
    <w:rsid w:val="00E63048"/>
    <w:rsid w:val="00E63179"/>
    <w:rsid w:val="00E63227"/>
    <w:rsid w:val="00E633A0"/>
    <w:rsid w:val="00E637EA"/>
    <w:rsid w:val="00E642EA"/>
    <w:rsid w:val="00E6434E"/>
    <w:rsid w:val="00E645BD"/>
    <w:rsid w:val="00E647A3"/>
    <w:rsid w:val="00E6523E"/>
    <w:rsid w:val="00E6558A"/>
    <w:rsid w:val="00E65BAE"/>
    <w:rsid w:val="00E661C0"/>
    <w:rsid w:val="00E663D3"/>
    <w:rsid w:val="00E66CA9"/>
    <w:rsid w:val="00E675BB"/>
    <w:rsid w:val="00E67ABF"/>
    <w:rsid w:val="00E67DCA"/>
    <w:rsid w:val="00E7034E"/>
    <w:rsid w:val="00E70A9E"/>
    <w:rsid w:val="00E70B39"/>
    <w:rsid w:val="00E714C3"/>
    <w:rsid w:val="00E718FF"/>
    <w:rsid w:val="00E71978"/>
    <w:rsid w:val="00E71C9C"/>
    <w:rsid w:val="00E722AE"/>
    <w:rsid w:val="00E723BA"/>
    <w:rsid w:val="00E7260E"/>
    <w:rsid w:val="00E72A9F"/>
    <w:rsid w:val="00E72FE6"/>
    <w:rsid w:val="00E730BB"/>
    <w:rsid w:val="00E73187"/>
    <w:rsid w:val="00E7325C"/>
    <w:rsid w:val="00E735DC"/>
    <w:rsid w:val="00E737F6"/>
    <w:rsid w:val="00E7382B"/>
    <w:rsid w:val="00E73964"/>
    <w:rsid w:val="00E739A5"/>
    <w:rsid w:val="00E73F39"/>
    <w:rsid w:val="00E74074"/>
    <w:rsid w:val="00E740ED"/>
    <w:rsid w:val="00E74195"/>
    <w:rsid w:val="00E7441E"/>
    <w:rsid w:val="00E744D4"/>
    <w:rsid w:val="00E747A8"/>
    <w:rsid w:val="00E749AA"/>
    <w:rsid w:val="00E74F07"/>
    <w:rsid w:val="00E75006"/>
    <w:rsid w:val="00E75199"/>
    <w:rsid w:val="00E7543B"/>
    <w:rsid w:val="00E762DE"/>
    <w:rsid w:val="00E765EA"/>
    <w:rsid w:val="00E76981"/>
    <w:rsid w:val="00E77BB1"/>
    <w:rsid w:val="00E7D059"/>
    <w:rsid w:val="00E80109"/>
    <w:rsid w:val="00E81460"/>
    <w:rsid w:val="00E81580"/>
    <w:rsid w:val="00E825FC"/>
    <w:rsid w:val="00E828BD"/>
    <w:rsid w:val="00E829CE"/>
    <w:rsid w:val="00E83041"/>
    <w:rsid w:val="00E83223"/>
    <w:rsid w:val="00E83A2F"/>
    <w:rsid w:val="00E8450E"/>
    <w:rsid w:val="00E84B20"/>
    <w:rsid w:val="00E84B85"/>
    <w:rsid w:val="00E84CB1"/>
    <w:rsid w:val="00E8502B"/>
    <w:rsid w:val="00E8547B"/>
    <w:rsid w:val="00E8564C"/>
    <w:rsid w:val="00E8574C"/>
    <w:rsid w:val="00E85B65"/>
    <w:rsid w:val="00E85C56"/>
    <w:rsid w:val="00E85CA9"/>
    <w:rsid w:val="00E85D90"/>
    <w:rsid w:val="00E863ED"/>
    <w:rsid w:val="00E8686D"/>
    <w:rsid w:val="00E8694D"/>
    <w:rsid w:val="00E8730E"/>
    <w:rsid w:val="00E874E3"/>
    <w:rsid w:val="00E87947"/>
    <w:rsid w:val="00E87BB6"/>
    <w:rsid w:val="00E90483"/>
    <w:rsid w:val="00E90552"/>
    <w:rsid w:val="00E90876"/>
    <w:rsid w:val="00E90B31"/>
    <w:rsid w:val="00E90D1B"/>
    <w:rsid w:val="00E911B0"/>
    <w:rsid w:val="00E91672"/>
    <w:rsid w:val="00E91A01"/>
    <w:rsid w:val="00E920C1"/>
    <w:rsid w:val="00E924BE"/>
    <w:rsid w:val="00E92BDC"/>
    <w:rsid w:val="00E92C42"/>
    <w:rsid w:val="00E92C9B"/>
    <w:rsid w:val="00E93265"/>
    <w:rsid w:val="00E932A9"/>
    <w:rsid w:val="00E932B8"/>
    <w:rsid w:val="00E9357F"/>
    <w:rsid w:val="00E93F0F"/>
    <w:rsid w:val="00E9477A"/>
    <w:rsid w:val="00E947E9"/>
    <w:rsid w:val="00E949A4"/>
    <w:rsid w:val="00E94D29"/>
    <w:rsid w:val="00E95051"/>
    <w:rsid w:val="00E9646F"/>
    <w:rsid w:val="00E96504"/>
    <w:rsid w:val="00E96797"/>
    <w:rsid w:val="00E96DF5"/>
    <w:rsid w:val="00E976CE"/>
    <w:rsid w:val="00E97866"/>
    <w:rsid w:val="00EA0009"/>
    <w:rsid w:val="00EA0014"/>
    <w:rsid w:val="00EA015A"/>
    <w:rsid w:val="00EA0E6F"/>
    <w:rsid w:val="00EA22DD"/>
    <w:rsid w:val="00EA24C4"/>
    <w:rsid w:val="00EA2A27"/>
    <w:rsid w:val="00EA2B0B"/>
    <w:rsid w:val="00EA2C90"/>
    <w:rsid w:val="00EA2DD2"/>
    <w:rsid w:val="00EA2ECB"/>
    <w:rsid w:val="00EA309C"/>
    <w:rsid w:val="00EA3561"/>
    <w:rsid w:val="00EA3796"/>
    <w:rsid w:val="00EA4181"/>
    <w:rsid w:val="00EA41E5"/>
    <w:rsid w:val="00EA4565"/>
    <w:rsid w:val="00EA480E"/>
    <w:rsid w:val="00EA4C7D"/>
    <w:rsid w:val="00EA4DC1"/>
    <w:rsid w:val="00EA5209"/>
    <w:rsid w:val="00EA536E"/>
    <w:rsid w:val="00EA58C4"/>
    <w:rsid w:val="00EA6116"/>
    <w:rsid w:val="00EA6334"/>
    <w:rsid w:val="00EA6476"/>
    <w:rsid w:val="00EA67D9"/>
    <w:rsid w:val="00EA6DFA"/>
    <w:rsid w:val="00EA73A6"/>
    <w:rsid w:val="00EA76F2"/>
    <w:rsid w:val="00EB039B"/>
    <w:rsid w:val="00EB0E6C"/>
    <w:rsid w:val="00EB1159"/>
    <w:rsid w:val="00EB11DE"/>
    <w:rsid w:val="00EB1450"/>
    <w:rsid w:val="00EB2520"/>
    <w:rsid w:val="00EB28DD"/>
    <w:rsid w:val="00EB293F"/>
    <w:rsid w:val="00EB294D"/>
    <w:rsid w:val="00EB2A04"/>
    <w:rsid w:val="00EB2A27"/>
    <w:rsid w:val="00EB2F36"/>
    <w:rsid w:val="00EB3586"/>
    <w:rsid w:val="00EB3AFA"/>
    <w:rsid w:val="00EB3E20"/>
    <w:rsid w:val="00EB3E72"/>
    <w:rsid w:val="00EB42EA"/>
    <w:rsid w:val="00EB4372"/>
    <w:rsid w:val="00EB4653"/>
    <w:rsid w:val="00EB46C3"/>
    <w:rsid w:val="00EB4AB3"/>
    <w:rsid w:val="00EB4D3C"/>
    <w:rsid w:val="00EB53CD"/>
    <w:rsid w:val="00EB549B"/>
    <w:rsid w:val="00EB5E8B"/>
    <w:rsid w:val="00EB6696"/>
    <w:rsid w:val="00EB6738"/>
    <w:rsid w:val="00EB67AA"/>
    <w:rsid w:val="00EB7018"/>
    <w:rsid w:val="00EB7162"/>
    <w:rsid w:val="00EB737F"/>
    <w:rsid w:val="00EB746B"/>
    <w:rsid w:val="00EB7C88"/>
    <w:rsid w:val="00EB7DF0"/>
    <w:rsid w:val="00EB7FB2"/>
    <w:rsid w:val="00EC0963"/>
    <w:rsid w:val="00EC1190"/>
    <w:rsid w:val="00EC1265"/>
    <w:rsid w:val="00EC132E"/>
    <w:rsid w:val="00EC1495"/>
    <w:rsid w:val="00EC2D07"/>
    <w:rsid w:val="00EC3500"/>
    <w:rsid w:val="00EC3A1A"/>
    <w:rsid w:val="00EC3CC7"/>
    <w:rsid w:val="00EC41D1"/>
    <w:rsid w:val="00EC4944"/>
    <w:rsid w:val="00EC499B"/>
    <w:rsid w:val="00EC4AEB"/>
    <w:rsid w:val="00EC51EA"/>
    <w:rsid w:val="00EC5287"/>
    <w:rsid w:val="00EC56C8"/>
    <w:rsid w:val="00EC581F"/>
    <w:rsid w:val="00EC593D"/>
    <w:rsid w:val="00EC5A54"/>
    <w:rsid w:val="00EC5B28"/>
    <w:rsid w:val="00EC5D9C"/>
    <w:rsid w:val="00EC60F2"/>
    <w:rsid w:val="00EC62E2"/>
    <w:rsid w:val="00EC63CF"/>
    <w:rsid w:val="00EC678B"/>
    <w:rsid w:val="00EC6D11"/>
    <w:rsid w:val="00EC6FB5"/>
    <w:rsid w:val="00EC73B1"/>
    <w:rsid w:val="00EC73D8"/>
    <w:rsid w:val="00EC7C50"/>
    <w:rsid w:val="00ED011B"/>
    <w:rsid w:val="00ED0429"/>
    <w:rsid w:val="00ED0953"/>
    <w:rsid w:val="00ED0C23"/>
    <w:rsid w:val="00ED1FD9"/>
    <w:rsid w:val="00ED20F4"/>
    <w:rsid w:val="00ED21DB"/>
    <w:rsid w:val="00ED226C"/>
    <w:rsid w:val="00ED252B"/>
    <w:rsid w:val="00ED28ED"/>
    <w:rsid w:val="00ED2B66"/>
    <w:rsid w:val="00ED2F4D"/>
    <w:rsid w:val="00ED3937"/>
    <w:rsid w:val="00ED3E3E"/>
    <w:rsid w:val="00ED4A86"/>
    <w:rsid w:val="00ED4AF4"/>
    <w:rsid w:val="00ED4BAA"/>
    <w:rsid w:val="00ED54BE"/>
    <w:rsid w:val="00ED59CE"/>
    <w:rsid w:val="00ED5ADC"/>
    <w:rsid w:val="00ED5BE1"/>
    <w:rsid w:val="00ED679B"/>
    <w:rsid w:val="00ED6ECC"/>
    <w:rsid w:val="00ED7576"/>
    <w:rsid w:val="00ED7A67"/>
    <w:rsid w:val="00ED7EF7"/>
    <w:rsid w:val="00EE0479"/>
    <w:rsid w:val="00EE0797"/>
    <w:rsid w:val="00EE0EA0"/>
    <w:rsid w:val="00EE0EB9"/>
    <w:rsid w:val="00EE0FC0"/>
    <w:rsid w:val="00EE11E2"/>
    <w:rsid w:val="00EE18C6"/>
    <w:rsid w:val="00EE22E7"/>
    <w:rsid w:val="00EE275F"/>
    <w:rsid w:val="00EE2966"/>
    <w:rsid w:val="00EE296B"/>
    <w:rsid w:val="00EE2BF8"/>
    <w:rsid w:val="00EE302D"/>
    <w:rsid w:val="00EE323C"/>
    <w:rsid w:val="00EE3639"/>
    <w:rsid w:val="00EE3A5A"/>
    <w:rsid w:val="00EE4349"/>
    <w:rsid w:val="00EE442C"/>
    <w:rsid w:val="00EE4657"/>
    <w:rsid w:val="00EE4740"/>
    <w:rsid w:val="00EE497E"/>
    <w:rsid w:val="00EE4E5B"/>
    <w:rsid w:val="00EE589C"/>
    <w:rsid w:val="00EE595E"/>
    <w:rsid w:val="00EE5C6B"/>
    <w:rsid w:val="00EE5ECE"/>
    <w:rsid w:val="00EE5F37"/>
    <w:rsid w:val="00EE6B6B"/>
    <w:rsid w:val="00EE6B7A"/>
    <w:rsid w:val="00EE7014"/>
    <w:rsid w:val="00EE7025"/>
    <w:rsid w:val="00EE7345"/>
    <w:rsid w:val="00EE76A9"/>
    <w:rsid w:val="00EE77AB"/>
    <w:rsid w:val="00EE7A9D"/>
    <w:rsid w:val="00EE7EEB"/>
    <w:rsid w:val="00EE7F14"/>
    <w:rsid w:val="00EF01C3"/>
    <w:rsid w:val="00EF043B"/>
    <w:rsid w:val="00EF0588"/>
    <w:rsid w:val="00EF06B5"/>
    <w:rsid w:val="00EF0977"/>
    <w:rsid w:val="00EF09DD"/>
    <w:rsid w:val="00EF1418"/>
    <w:rsid w:val="00EF141C"/>
    <w:rsid w:val="00EF1FE6"/>
    <w:rsid w:val="00EF214F"/>
    <w:rsid w:val="00EF290F"/>
    <w:rsid w:val="00EF29BD"/>
    <w:rsid w:val="00EF340B"/>
    <w:rsid w:val="00EF35A1"/>
    <w:rsid w:val="00EF37FC"/>
    <w:rsid w:val="00EF3B87"/>
    <w:rsid w:val="00EF3D06"/>
    <w:rsid w:val="00EF40EA"/>
    <w:rsid w:val="00EF4BCB"/>
    <w:rsid w:val="00EF5757"/>
    <w:rsid w:val="00EF69F5"/>
    <w:rsid w:val="00EF6F2C"/>
    <w:rsid w:val="00EF704C"/>
    <w:rsid w:val="00EF7304"/>
    <w:rsid w:val="00EF74B0"/>
    <w:rsid w:val="00EF7A33"/>
    <w:rsid w:val="00EF7ED6"/>
    <w:rsid w:val="00EFD400"/>
    <w:rsid w:val="00F0018F"/>
    <w:rsid w:val="00F003C6"/>
    <w:rsid w:val="00F00425"/>
    <w:rsid w:val="00F00A1A"/>
    <w:rsid w:val="00F00D7D"/>
    <w:rsid w:val="00F00DE9"/>
    <w:rsid w:val="00F0143A"/>
    <w:rsid w:val="00F0151C"/>
    <w:rsid w:val="00F01989"/>
    <w:rsid w:val="00F019DF"/>
    <w:rsid w:val="00F01ADC"/>
    <w:rsid w:val="00F01E41"/>
    <w:rsid w:val="00F02052"/>
    <w:rsid w:val="00F0258E"/>
    <w:rsid w:val="00F02AFE"/>
    <w:rsid w:val="00F03044"/>
    <w:rsid w:val="00F033EB"/>
    <w:rsid w:val="00F03CD0"/>
    <w:rsid w:val="00F03EF0"/>
    <w:rsid w:val="00F04283"/>
    <w:rsid w:val="00F04C57"/>
    <w:rsid w:val="00F0500C"/>
    <w:rsid w:val="00F05AD7"/>
    <w:rsid w:val="00F05C72"/>
    <w:rsid w:val="00F05D9E"/>
    <w:rsid w:val="00F05DC8"/>
    <w:rsid w:val="00F061D3"/>
    <w:rsid w:val="00F063D6"/>
    <w:rsid w:val="00F0644E"/>
    <w:rsid w:val="00F06A33"/>
    <w:rsid w:val="00F06C8C"/>
    <w:rsid w:val="00F06FC4"/>
    <w:rsid w:val="00F06FDB"/>
    <w:rsid w:val="00F070E5"/>
    <w:rsid w:val="00F1031D"/>
    <w:rsid w:val="00F105FB"/>
    <w:rsid w:val="00F10923"/>
    <w:rsid w:val="00F111B5"/>
    <w:rsid w:val="00F11388"/>
    <w:rsid w:val="00F1238D"/>
    <w:rsid w:val="00F12433"/>
    <w:rsid w:val="00F12475"/>
    <w:rsid w:val="00F125EE"/>
    <w:rsid w:val="00F1396D"/>
    <w:rsid w:val="00F13D1B"/>
    <w:rsid w:val="00F1429A"/>
    <w:rsid w:val="00F1477A"/>
    <w:rsid w:val="00F149E6"/>
    <w:rsid w:val="00F14CEA"/>
    <w:rsid w:val="00F15130"/>
    <w:rsid w:val="00F155C8"/>
    <w:rsid w:val="00F1572F"/>
    <w:rsid w:val="00F15A3F"/>
    <w:rsid w:val="00F163E9"/>
    <w:rsid w:val="00F165EB"/>
    <w:rsid w:val="00F168AA"/>
    <w:rsid w:val="00F16DF4"/>
    <w:rsid w:val="00F16F6C"/>
    <w:rsid w:val="00F16FC2"/>
    <w:rsid w:val="00F175F0"/>
    <w:rsid w:val="00F2010D"/>
    <w:rsid w:val="00F207E3"/>
    <w:rsid w:val="00F20B01"/>
    <w:rsid w:val="00F210E6"/>
    <w:rsid w:val="00F21425"/>
    <w:rsid w:val="00F21F49"/>
    <w:rsid w:val="00F22830"/>
    <w:rsid w:val="00F230BE"/>
    <w:rsid w:val="00F234FC"/>
    <w:rsid w:val="00F23A95"/>
    <w:rsid w:val="00F23C3E"/>
    <w:rsid w:val="00F24492"/>
    <w:rsid w:val="00F25A8C"/>
    <w:rsid w:val="00F261B6"/>
    <w:rsid w:val="00F26AEA"/>
    <w:rsid w:val="00F26CC6"/>
    <w:rsid w:val="00F276B1"/>
    <w:rsid w:val="00F27730"/>
    <w:rsid w:val="00F27903"/>
    <w:rsid w:val="00F27984"/>
    <w:rsid w:val="00F28CE9"/>
    <w:rsid w:val="00F30ED3"/>
    <w:rsid w:val="00F3119D"/>
    <w:rsid w:val="00F31408"/>
    <w:rsid w:val="00F3198A"/>
    <w:rsid w:val="00F31DE4"/>
    <w:rsid w:val="00F323E3"/>
    <w:rsid w:val="00F32435"/>
    <w:rsid w:val="00F32502"/>
    <w:rsid w:val="00F32692"/>
    <w:rsid w:val="00F32B0C"/>
    <w:rsid w:val="00F32D27"/>
    <w:rsid w:val="00F32E05"/>
    <w:rsid w:val="00F32E63"/>
    <w:rsid w:val="00F33B69"/>
    <w:rsid w:val="00F34088"/>
    <w:rsid w:val="00F34322"/>
    <w:rsid w:val="00F344A9"/>
    <w:rsid w:val="00F348BA"/>
    <w:rsid w:val="00F34BF6"/>
    <w:rsid w:val="00F35D31"/>
    <w:rsid w:val="00F36133"/>
    <w:rsid w:val="00F36220"/>
    <w:rsid w:val="00F36292"/>
    <w:rsid w:val="00F36845"/>
    <w:rsid w:val="00F3757A"/>
    <w:rsid w:val="00F37C78"/>
    <w:rsid w:val="00F37F0E"/>
    <w:rsid w:val="00F4056D"/>
    <w:rsid w:val="00F40627"/>
    <w:rsid w:val="00F40671"/>
    <w:rsid w:val="00F40C33"/>
    <w:rsid w:val="00F41287"/>
    <w:rsid w:val="00F414C3"/>
    <w:rsid w:val="00F43097"/>
    <w:rsid w:val="00F43299"/>
    <w:rsid w:val="00F438F0"/>
    <w:rsid w:val="00F4396D"/>
    <w:rsid w:val="00F43AFA"/>
    <w:rsid w:val="00F4413A"/>
    <w:rsid w:val="00F44177"/>
    <w:rsid w:val="00F44509"/>
    <w:rsid w:val="00F448F9"/>
    <w:rsid w:val="00F449B8"/>
    <w:rsid w:val="00F453EC"/>
    <w:rsid w:val="00F45460"/>
    <w:rsid w:val="00F4556A"/>
    <w:rsid w:val="00F45808"/>
    <w:rsid w:val="00F45FA7"/>
    <w:rsid w:val="00F460FE"/>
    <w:rsid w:val="00F466F3"/>
    <w:rsid w:val="00F4690D"/>
    <w:rsid w:val="00F46C48"/>
    <w:rsid w:val="00F46E38"/>
    <w:rsid w:val="00F47622"/>
    <w:rsid w:val="00F47A01"/>
    <w:rsid w:val="00F47DDB"/>
    <w:rsid w:val="00F47E24"/>
    <w:rsid w:val="00F5008A"/>
    <w:rsid w:val="00F502AE"/>
    <w:rsid w:val="00F50447"/>
    <w:rsid w:val="00F5078C"/>
    <w:rsid w:val="00F50848"/>
    <w:rsid w:val="00F50C47"/>
    <w:rsid w:val="00F512D2"/>
    <w:rsid w:val="00F516B8"/>
    <w:rsid w:val="00F518EE"/>
    <w:rsid w:val="00F520BB"/>
    <w:rsid w:val="00F5234B"/>
    <w:rsid w:val="00F52416"/>
    <w:rsid w:val="00F53F2F"/>
    <w:rsid w:val="00F541C7"/>
    <w:rsid w:val="00F54611"/>
    <w:rsid w:val="00F5479B"/>
    <w:rsid w:val="00F5480B"/>
    <w:rsid w:val="00F54D0C"/>
    <w:rsid w:val="00F55E79"/>
    <w:rsid w:val="00F56202"/>
    <w:rsid w:val="00F56330"/>
    <w:rsid w:val="00F56410"/>
    <w:rsid w:val="00F566DF"/>
    <w:rsid w:val="00F56915"/>
    <w:rsid w:val="00F56C8A"/>
    <w:rsid w:val="00F5708E"/>
    <w:rsid w:val="00F57340"/>
    <w:rsid w:val="00F574E6"/>
    <w:rsid w:val="00F579FB"/>
    <w:rsid w:val="00F57AC9"/>
    <w:rsid w:val="00F57E20"/>
    <w:rsid w:val="00F57E2B"/>
    <w:rsid w:val="00F57F11"/>
    <w:rsid w:val="00F60BD2"/>
    <w:rsid w:val="00F61104"/>
    <w:rsid w:val="00F61414"/>
    <w:rsid w:val="00F61CD9"/>
    <w:rsid w:val="00F621F2"/>
    <w:rsid w:val="00F62412"/>
    <w:rsid w:val="00F626CE"/>
    <w:rsid w:val="00F627CD"/>
    <w:rsid w:val="00F62B43"/>
    <w:rsid w:val="00F62B9F"/>
    <w:rsid w:val="00F62C9E"/>
    <w:rsid w:val="00F631C9"/>
    <w:rsid w:val="00F63AAD"/>
    <w:rsid w:val="00F643DB"/>
    <w:rsid w:val="00F64B21"/>
    <w:rsid w:val="00F64DDF"/>
    <w:rsid w:val="00F6521E"/>
    <w:rsid w:val="00F65610"/>
    <w:rsid w:val="00F6589E"/>
    <w:rsid w:val="00F658AC"/>
    <w:rsid w:val="00F65C41"/>
    <w:rsid w:val="00F667C9"/>
    <w:rsid w:val="00F66963"/>
    <w:rsid w:val="00F66C0C"/>
    <w:rsid w:val="00F67488"/>
    <w:rsid w:val="00F677DE"/>
    <w:rsid w:val="00F67F2F"/>
    <w:rsid w:val="00F702F7"/>
    <w:rsid w:val="00F7136F"/>
    <w:rsid w:val="00F71554"/>
    <w:rsid w:val="00F716FA"/>
    <w:rsid w:val="00F723DC"/>
    <w:rsid w:val="00F72D56"/>
    <w:rsid w:val="00F72D92"/>
    <w:rsid w:val="00F72D9B"/>
    <w:rsid w:val="00F735D4"/>
    <w:rsid w:val="00F744CC"/>
    <w:rsid w:val="00F74902"/>
    <w:rsid w:val="00F74F87"/>
    <w:rsid w:val="00F7529B"/>
    <w:rsid w:val="00F7556C"/>
    <w:rsid w:val="00F7557D"/>
    <w:rsid w:val="00F7573E"/>
    <w:rsid w:val="00F7586B"/>
    <w:rsid w:val="00F75EFC"/>
    <w:rsid w:val="00F76075"/>
    <w:rsid w:val="00F7620F"/>
    <w:rsid w:val="00F76214"/>
    <w:rsid w:val="00F763A9"/>
    <w:rsid w:val="00F766B3"/>
    <w:rsid w:val="00F76C41"/>
    <w:rsid w:val="00F76DD8"/>
    <w:rsid w:val="00F80308"/>
    <w:rsid w:val="00F8036E"/>
    <w:rsid w:val="00F80C6C"/>
    <w:rsid w:val="00F80F85"/>
    <w:rsid w:val="00F811D1"/>
    <w:rsid w:val="00F81416"/>
    <w:rsid w:val="00F818E4"/>
    <w:rsid w:val="00F81A1C"/>
    <w:rsid w:val="00F81B55"/>
    <w:rsid w:val="00F81B75"/>
    <w:rsid w:val="00F82211"/>
    <w:rsid w:val="00F82CC5"/>
    <w:rsid w:val="00F82F51"/>
    <w:rsid w:val="00F83545"/>
    <w:rsid w:val="00F838EF"/>
    <w:rsid w:val="00F83C14"/>
    <w:rsid w:val="00F83E82"/>
    <w:rsid w:val="00F846E5"/>
    <w:rsid w:val="00F84861"/>
    <w:rsid w:val="00F84DC5"/>
    <w:rsid w:val="00F85217"/>
    <w:rsid w:val="00F85903"/>
    <w:rsid w:val="00F85D86"/>
    <w:rsid w:val="00F86085"/>
    <w:rsid w:val="00F87AAC"/>
    <w:rsid w:val="00F87AF2"/>
    <w:rsid w:val="00F87C4A"/>
    <w:rsid w:val="00F9002B"/>
    <w:rsid w:val="00F9017C"/>
    <w:rsid w:val="00F9025D"/>
    <w:rsid w:val="00F90365"/>
    <w:rsid w:val="00F903BA"/>
    <w:rsid w:val="00F9104B"/>
    <w:rsid w:val="00F913FC"/>
    <w:rsid w:val="00F91478"/>
    <w:rsid w:val="00F914E0"/>
    <w:rsid w:val="00F914E6"/>
    <w:rsid w:val="00F9177B"/>
    <w:rsid w:val="00F91B9E"/>
    <w:rsid w:val="00F91E47"/>
    <w:rsid w:val="00F91F4C"/>
    <w:rsid w:val="00F92109"/>
    <w:rsid w:val="00F9231B"/>
    <w:rsid w:val="00F92CC5"/>
    <w:rsid w:val="00F92F82"/>
    <w:rsid w:val="00F9393C"/>
    <w:rsid w:val="00F93C56"/>
    <w:rsid w:val="00F93E51"/>
    <w:rsid w:val="00F93FF8"/>
    <w:rsid w:val="00F947B2"/>
    <w:rsid w:val="00F948F1"/>
    <w:rsid w:val="00F94DD7"/>
    <w:rsid w:val="00F95374"/>
    <w:rsid w:val="00F95F51"/>
    <w:rsid w:val="00F96707"/>
    <w:rsid w:val="00F96AE8"/>
    <w:rsid w:val="00F96EA9"/>
    <w:rsid w:val="00F971CF"/>
    <w:rsid w:val="00F97321"/>
    <w:rsid w:val="00F9782C"/>
    <w:rsid w:val="00F97889"/>
    <w:rsid w:val="00F97B38"/>
    <w:rsid w:val="00F97C6B"/>
    <w:rsid w:val="00F97CFB"/>
    <w:rsid w:val="00FA035E"/>
    <w:rsid w:val="00FA0789"/>
    <w:rsid w:val="00FA0A47"/>
    <w:rsid w:val="00FA0A7C"/>
    <w:rsid w:val="00FA0EF1"/>
    <w:rsid w:val="00FA0EF5"/>
    <w:rsid w:val="00FA14B6"/>
    <w:rsid w:val="00FA1719"/>
    <w:rsid w:val="00FA2A41"/>
    <w:rsid w:val="00FA2AC1"/>
    <w:rsid w:val="00FA3E96"/>
    <w:rsid w:val="00FA42E0"/>
    <w:rsid w:val="00FA4459"/>
    <w:rsid w:val="00FA46D7"/>
    <w:rsid w:val="00FA4EF4"/>
    <w:rsid w:val="00FA5367"/>
    <w:rsid w:val="00FA5B63"/>
    <w:rsid w:val="00FA5EEE"/>
    <w:rsid w:val="00FA6A55"/>
    <w:rsid w:val="00FA6B48"/>
    <w:rsid w:val="00FA70EF"/>
    <w:rsid w:val="00FA7626"/>
    <w:rsid w:val="00FA7838"/>
    <w:rsid w:val="00FB03CF"/>
    <w:rsid w:val="00FB0A6D"/>
    <w:rsid w:val="00FB0D3A"/>
    <w:rsid w:val="00FB1952"/>
    <w:rsid w:val="00FB1D86"/>
    <w:rsid w:val="00FB2DF2"/>
    <w:rsid w:val="00FB33E9"/>
    <w:rsid w:val="00FB34E7"/>
    <w:rsid w:val="00FB35C1"/>
    <w:rsid w:val="00FB3899"/>
    <w:rsid w:val="00FB4B73"/>
    <w:rsid w:val="00FB5012"/>
    <w:rsid w:val="00FB50CE"/>
    <w:rsid w:val="00FB56A9"/>
    <w:rsid w:val="00FB5726"/>
    <w:rsid w:val="00FB5AEF"/>
    <w:rsid w:val="00FB5B35"/>
    <w:rsid w:val="00FB5E5A"/>
    <w:rsid w:val="00FB601C"/>
    <w:rsid w:val="00FB6213"/>
    <w:rsid w:val="00FB63E0"/>
    <w:rsid w:val="00FB677C"/>
    <w:rsid w:val="00FB6826"/>
    <w:rsid w:val="00FB6BE4"/>
    <w:rsid w:val="00FB6C58"/>
    <w:rsid w:val="00FB6CFC"/>
    <w:rsid w:val="00FB715B"/>
    <w:rsid w:val="00FB7AA9"/>
    <w:rsid w:val="00FB7B0A"/>
    <w:rsid w:val="00FB7C06"/>
    <w:rsid w:val="00FB7CBF"/>
    <w:rsid w:val="00FB7D3A"/>
    <w:rsid w:val="00FC0134"/>
    <w:rsid w:val="00FC08CE"/>
    <w:rsid w:val="00FC0A24"/>
    <w:rsid w:val="00FC0D17"/>
    <w:rsid w:val="00FC0EB9"/>
    <w:rsid w:val="00FC0F56"/>
    <w:rsid w:val="00FC0FEA"/>
    <w:rsid w:val="00FC129F"/>
    <w:rsid w:val="00FC12B7"/>
    <w:rsid w:val="00FC2452"/>
    <w:rsid w:val="00FC298A"/>
    <w:rsid w:val="00FC2A12"/>
    <w:rsid w:val="00FC2B61"/>
    <w:rsid w:val="00FC2C89"/>
    <w:rsid w:val="00FC3682"/>
    <w:rsid w:val="00FC36F1"/>
    <w:rsid w:val="00FC37C4"/>
    <w:rsid w:val="00FC382F"/>
    <w:rsid w:val="00FC3833"/>
    <w:rsid w:val="00FC3926"/>
    <w:rsid w:val="00FC3D35"/>
    <w:rsid w:val="00FC3DF9"/>
    <w:rsid w:val="00FC4120"/>
    <w:rsid w:val="00FC4761"/>
    <w:rsid w:val="00FC4A43"/>
    <w:rsid w:val="00FC522A"/>
    <w:rsid w:val="00FC5492"/>
    <w:rsid w:val="00FC5AE5"/>
    <w:rsid w:val="00FC5AED"/>
    <w:rsid w:val="00FC5FA9"/>
    <w:rsid w:val="00FC6705"/>
    <w:rsid w:val="00FC6819"/>
    <w:rsid w:val="00FC6D1F"/>
    <w:rsid w:val="00FC773F"/>
    <w:rsid w:val="00FC78A7"/>
    <w:rsid w:val="00FC7AC8"/>
    <w:rsid w:val="00FD00A0"/>
    <w:rsid w:val="00FD07CA"/>
    <w:rsid w:val="00FD07DA"/>
    <w:rsid w:val="00FD07E6"/>
    <w:rsid w:val="00FD0D57"/>
    <w:rsid w:val="00FD1122"/>
    <w:rsid w:val="00FD1C57"/>
    <w:rsid w:val="00FD1E85"/>
    <w:rsid w:val="00FD1F12"/>
    <w:rsid w:val="00FD213E"/>
    <w:rsid w:val="00FD23F0"/>
    <w:rsid w:val="00FD2BF3"/>
    <w:rsid w:val="00FD2F65"/>
    <w:rsid w:val="00FD3574"/>
    <w:rsid w:val="00FD3B0F"/>
    <w:rsid w:val="00FD453B"/>
    <w:rsid w:val="00FD4876"/>
    <w:rsid w:val="00FD4969"/>
    <w:rsid w:val="00FD53C0"/>
    <w:rsid w:val="00FD5843"/>
    <w:rsid w:val="00FD586B"/>
    <w:rsid w:val="00FD5E17"/>
    <w:rsid w:val="00FD68BB"/>
    <w:rsid w:val="00FD6A4E"/>
    <w:rsid w:val="00FD6A72"/>
    <w:rsid w:val="00FD739D"/>
    <w:rsid w:val="00FD7B46"/>
    <w:rsid w:val="00FD7E8A"/>
    <w:rsid w:val="00FE087C"/>
    <w:rsid w:val="00FE1923"/>
    <w:rsid w:val="00FE1B62"/>
    <w:rsid w:val="00FE20A3"/>
    <w:rsid w:val="00FE26A7"/>
    <w:rsid w:val="00FE3736"/>
    <w:rsid w:val="00FE3756"/>
    <w:rsid w:val="00FE382F"/>
    <w:rsid w:val="00FE3E95"/>
    <w:rsid w:val="00FE4050"/>
    <w:rsid w:val="00FE41E1"/>
    <w:rsid w:val="00FE4280"/>
    <w:rsid w:val="00FE4CDC"/>
    <w:rsid w:val="00FE5125"/>
    <w:rsid w:val="00FE5830"/>
    <w:rsid w:val="00FE5F48"/>
    <w:rsid w:val="00FE6808"/>
    <w:rsid w:val="00FE7123"/>
    <w:rsid w:val="00FE7270"/>
    <w:rsid w:val="00FE759B"/>
    <w:rsid w:val="00FE7C88"/>
    <w:rsid w:val="00FF0209"/>
    <w:rsid w:val="00FF0321"/>
    <w:rsid w:val="00FF0C61"/>
    <w:rsid w:val="00FF0CCD"/>
    <w:rsid w:val="00FF102F"/>
    <w:rsid w:val="00FF10A9"/>
    <w:rsid w:val="00FF13D2"/>
    <w:rsid w:val="00FF1918"/>
    <w:rsid w:val="00FF1CDB"/>
    <w:rsid w:val="00FF1FD2"/>
    <w:rsid w:val="00FF2042"/>
    <w:rsid w:val="00FF263C"/>
    <w:rsid w:val="00FF26B1"/>
    <w:rsid w:val="00FF275E"/>
    <w:rsid w:val="00FF2A39"/>
    <w:rsid w:val="00FF2B86"/>
    <w:rsid w:val="00FF2D44"/>
    <w:rsid w:val="00FF2E86"/>
    <w:rsid w:val="00FF301F"/>
    <w:rsid w:val="00FF32D2"/>
    <w:rsid w:val="00FF47D1"/>
    <w:rsid w:val="00FF481F"/>
    <w:rsid w:val="00FF51EA"/>
    <w:rsid w:val="00FF56B8"/>
    <w:rsid w:val="00FF5711"/>
    <w:rsid w:val="00FF5779"/>
    <w:rsid w:val="00FF58F4"/>
    <w:rsid w:val="00FF595C"/>
    <w:rsid w:val="00FF5BB5"/>
    <w:rsid w:val="00FF5E07"/>
    <w:rsid w:val="00FF5EAA"/>
    <w:rsid w:val="00FF5ECB"/>
    <w:rsid w:val="00FF60B0"/>
    <w:rsid w:val="00FF6256"/>
    <w:rsid w:val="00FF6537"/>
    <w:rsid w:val="00FF671C"/>
    <w:rsid w:val="00FF6B5D"/>
    <w:rsid w:val="00FF7035"/>
    <w:rsid w:val="00FF724B"/>
    <w:rsid w:val="00FF72CC"/>
    <w:rsid w:val="00FF7696"/>
    <w:rsid w:val="00FF7D1A"/>
    <w:rsid w:val="0107522D"/>
    <w:rsid w:val="010D896D"/>
    <w:rsid w:val="01127C38"/>
    <w:rsid w:val="01139F87"/>
    <w:rsid w:val="01170690"/>
    <w:rsid w:val="01173D7B"/>
    <w:rsid w:val="0122F6D2"/>
    <w:rsid w:val="0123AC39"/>
    <w:rsid w:val="01241A70"/>
    <w:rsid w:val="01288BA4"/>
    <w:rsid w:val="012F6056"/>
    <w:rsid w:val="01303BC8"/>
    <w:rsid w:val="013A1ED9"/>
    <w:rsid w:val="013AB747"/>
    <w:rsid w:val="013D99E1"/>
    <w:rsid w:val="013E559A"/>
    <w:rsid w:val="014160C4"/>
    <w:rsid w:val="014E8829"/>
    <w:rsid w:val="0150F82A"/>
    <w:rsid w:val="01512EAE"/>
    <w:rsid w:val="015278E2"/>
    <w:rsid w:val="01529220"/>
    <w:rsid w:val="01548D73"/>
    <w:rsid w:val="01557467"/>
    <w:rsid w:val="0158073B"/>
    <w:rsid w:val="0159E263"/>
    <w:rsid w:val="01660E48"/>
    <w:rsid w:val="016A2092"/>
    <w:rsid w:val="016A99FF"/>
    <w:rsid w:val="016B9FF2"/>
    <w:rsid w:val="016C38BE"/>
    <w:rsid w:val="016E050A"/>
    <w:rsid w:val="01729CA5"/>
    <w:rsid w:val="01749CF9"/>
    <w:rsid w:val="0175A1E5"/>
    <w:rsid w:val="0178EC15"/>
    <w:rsid w:val="01857E13"/>
    <w:rsid w:val="0189A38A"/>
    <w:rsid w:val="018C15C2"/>
    <w:rsid w:val="018EAE0B"/>
    <w:rsid w:val="01968335"/>
    <w:rsid w:val="0198C2AD"/>
    <w:rsid w:val="019ACD50"/>
    <w:rsid w:val="019C005A"/>
    <w:rsid w:val="019D1A31"/>
    <w:rsid w:val="01A048BC"/>
    <w:rsid w:val="01A1AAA4"/>
    <w:rsid w:val="01A2DC1F"/>
    <w:rsid w:val="01A67945"/>
    <w:rsid w:val="01A921B8"/>
    <w:rsid w:val="01AC6E33"/>
    <w:rsid w:val="01B6428E"/>
    <w:rsid w:val="01C2C1D4"/>
    <w:rsid w:val="01C85E5C"/>
    <w:rsid w:val="01CA6AAE"/>
    <w:rsid w:val="01CCE35E"/>
    <w:rsid w:val="01D41866"/>
    <w:rsid w:val="01D458B1"/>
    <w:rsid w:val="01D5724D"/>
    <w:rsid w:val="01D5B5B2"/>
    <w:rsid w:val="01D737F1"/>
    <w:rsid w:val="01D8C33D"/>
    <w:rsid w:val="01D9DF13"/>
    <w:rsid w:val="01DC50A9"/>
    <w:rsid w:val="01E1794C"/>
    <w:rsid w:val="01E4EA0F"/>
    <w:rsid w:val="01E6A2CF"/>
    <w:rsid w:val="01E7798F"/>
    <w:rsid w:val="01E927C2"/>
    <w:rsid w:val="01EBA472"/>
    <w:rsid w:val="01F39CA4"/>
    <w:rsid w:val="01FCD1FA"/>
    <w:rsid w:val="01FEECE9"/>
    <w:rsid w:val="01FF2481"/>
    <w:rsid w:val="0200969A"/>
    <w:rsid w:val="020190C0"/>
    <w:rsid w:val="0209141A"/>
    <w:rsid w:val="02116312"/>
    <w:rsid w:val="021931B6"/>
    <w:rsid w:val="021E0655"/>
    <w:rsid w:val="022151F1"/>
    <w:rsid w:val="022272C9"/>
    <w:rsid w:val="022E5512"/>
    <w:rsid w:val="023171E8"/>
    <w:rsid w:val="0236C40C"/>
    <w:rsid w:val="023ADE6F"/>
    <w:rsid w:val="023CC0F5"/>
    <w:rsid w:val="023FC8AC"/>
    <w:rsid w:val="0241F5C5"/>
    <w:rsid w:val="024A9A45"/>
    <w:rsid w:val="024E4593"/>
    <w:rsid w:val="0251C682"/>
    <w:rsid w:val="0251F834"/>
    <w:rsid w:val="02520C23"/>
    <w:rsid w:val="02542848"/>
    <w:rsid w:val="02594C09"/>
    <w:rsid w:val="025ACA19"/>
    <w:rsid w:val="025AF8A2"/>
    <w:rsid w:val="025C950E"/>
    <w:rsid w:val="0267CE5F"/>
    <w:rsid w:val="02699BE5"/>
    <w:rsid w:val="026A80EA"/>
    <w:rsid w:val="026AFFAF"/>
    <w:rsid w:val="02708AFD"/>
    <w:rsid w:val="02712DD4"/>
    <w:rsid w:val="02716E08"/>
    <w:rsid w:val="0272249E"/>
    <w:rsid w:val="0274050E"/>
    <w:rsid w:val="0275A284"/>
    <w:rsid w:val="02777059"/>
    <w:rsid w:val="027A7CAB"/>
    <w:rsid w:val="027BD61A"/>
    <w:rsid w:val="027E7F64"/>
    <w:rsid w:val="027E8B12"/>
    <w:rsid w:val="0290E316"/>
    <w:rsid w:val="0296A01B"/>
    <w:rsid w:val="029AFB82"/>
    <w:rsid w:val="029B1ECB"/>
    <w:rsid w:val="029ED1CB"/>
    <w:rsid w:val="02A3457B"/>
    <w:rsid w:val="02A776A1"/>
    <w:rsid w:val="02A787F2"/>
    <w:rsid w:val="02A79963"/>
    <w:rsid w:val="02AB886F"/>
    <w:rsid w:val="02ABD263"/>
    <w:rsid w:val="02B09156"/>
    <w:rsid w:val="02B3E55E"/>
    <w:rsid w:val="02B47146"/>
    <w:rsid w:val="02BC14CC"/>
    <w:rsid w:val="02BCE503"/>
    <w:rsid w:val="02C0FD9E"/>
    <w:rsid w:val="02C2733C"/>
    <w:rsid w:val="02C60335"/>
    <w:rsid w:val="02D1361D"/>
    <w:rsid w:val="02D4A3A7"/>
    <w:rsid w:val="02DDEC0F"/>
    <w:rsid w:val="02E17454"/>
    <w:rsid w:val="02E39AE7"/>
    <w:rsid w:val="02E9517B"/>
    <w:rsid w:val="02EB0AF9"/>
    <w:rsid w:val="02EB96C7"/>
    <w:rsid w:val="02EF1E89"/>
    <w:rsid w:val="02EFC3A0"/>
    <w:rsid w:val="02F2BD1E"/>
    <w:rsid w:val="02F34124"/>
    <w:rsid w:val="02F5B2C4"/>
    <w:rsid w:val="02F7AD5D"/>
    <w:rsid w:val="02F7B886"/>
    <w:rsid w:val="02FF3043"/>
    <w:rsid w:val="03028588"/>
    <w:rsid w:val="0309F4A1"/>
    <w:rsid w:val="030E4AAA"/>
    <w:rsid w:val="030F2085"/>
    <w:rsid w:val="0316377B"/>
    <w:rsid w:val="032543EF"/>
    <w:rsid w:val="032FA96B"/>
    <w:rsid w:val="0338D453"/>
    <w:rsid w:val="033B3BA9"/>
    <w:rsid w:val="034B2D66"/>
    <w:rsid w:val="034E7FE4"/>
    <w:rsid w:val="035A9276"/>
    <w:rsid w:val="035E1611"/>
    <w:rsid w:val="035E779C"/>
    <w:rsid w:val="035ED81D"/>
    <w:rsid w:val="036AF093"/>
    <w:rsid w:val="036B8844"/>
    <w:rsid w:val="036E0759"/>
    <w:rsid w:val="036E98FD"/>
    <w:rsid w:val="036EE482"/>
    <w:rsid w:val="03725496"/>
    <w:rsid w:val="0375171B"/>
    <w:rsid w:val="03755106"/>
    <w:rsid w:val="0376AB7A"/>
    <w:rsid w:val="037B10D8"/>
    <w:rsid w:val="038069D3"/>
    <w:rsid w:val="038B0946"/>
    <w:rsid w:val="038EDAFD"/>
    <w:rsid w:val="038F4568"/>
    <w:rsid w:val="0392F066"/>
    <w:rsid w:val="039C9317"/>
    <w:rsid w:val="039D2CF0"/>
    <w:rsid w:val="03AA3F78"/>
    <w:rsid w:val="03AC40C4"/>
    <w:rsid w:val="03B2807C"/>
    <w:rsid w:val="03B85F32"/>
    <w:rsid w:val="03B8E5DC"/>
    <w:rsid w:val="03B95418"/>
    <w:rsid w:val="03BA4275"/>
    <w:rsid w:val="03BBC632"/>
    <w:rsid w:val="03BBEA03"/>
    <w:rsid w:val="03C0506B"/>
    <w:rsid w:val="03C85013"/>
    <w:rsid w:val="03D36B77"/>
    <w:rsid w:val="03D67C84"/>
    <w:rsid w:val="03DED4E0"/>
    <w:rsid w:val="03E0D85F"/>
    <w:rsid w:val="03E3BD56"/>
    <w:rsid w:val="03E4009C"/>
    <w:rsid w:val="03E69B35"/>
    <w:rsid w:val="03E8E222"/>
    <w:rsid w:val="03E9710A"/>
    <w:rsid w:val="03EA8390"/>
    <w:rsid w:val="03EB0D2A"/>
    <w:rsid w:val="03EB154E"/>
    <w:rsid w:val="03EDC895"/>
    <w:rsid w:val="03EF72C3"/>
    <w:rsid w:val="03F5F647"/>
    <w:rsid w:val="03F877A4"/>
    <w:rsid w:val="03FBF7E8"/>
    <w:rsid w:val="04010982"/>
    <w:rsid w:val="04022AB0"/>
    <w:rsid w:val="04079BA6"/>
    <w:rsid w:val="0410DFC5"/>
    <w:rsid w:val="04150C18"/>
    <w:rsid w:val="0416DE20"/>
    <w:rsid w:val="0424FBE6"/>
    <w:rsid w:val="0425615F"/>
    <w:rsid w:val="042663CC"/>
    <w:rsid w:val="042D106C"/>
    <w:rsid w:val="042E1BDD"/>
    <w:rsid w:val="042FBFAA"/>
    <w:rsid w:val="0431B0CF"/>
    <w:rsid w:val="0433DDB8"/>
    <w:rsid w:val="043417DB"/>
    <w:rsid w:val="04379308"/>
    <w:rsid w:val="043B934F"/>
    <w:rsid w:val="043F719B"/>
    <w:rsid w:val="043F8D33"/>
    <w:rsid w:val="044341F4"/>
    <w:rsid w:val="0445AB48"/>
    <w:rsid w:val="044A833C"/>
    <w:rsid w:val="044B79A6"/>
    <w:rsid w:val="045352CC"/>
    <w:rsid w:val="045570C3"/>
    <w:rsid w:val="0455A1CD"/>
    <w:rsid w:val="04589282"/>
    <w:rsid w:val="045C3D5F"/>
    <w:rsid w:val="045DD426"/>
    <w:rsid w:val="045DF5C1"/>
    <w:rsid w:val="04621C6E"/>
    <w:rsid w:val="0463FB9B"/>
    <w:rsid w:val="046402B7"/>
    <w:rsid w:val="0471CF03"/>
    <w:rsid w:val="0471DBD5"/>
    <w:rsid w:val="04725809"/>
    <w:rsid w:val="04746CE3"/>
    <w:rsid w:val="04795144"/>
    <w:rsid w:val="047C106B"/>
    <w:rsid w:val="047E575D"/>
    <w:rsid w:val="047F8728"/>
    <w:rsid w:val="0481CCC3"/>
    <w:rsid w:val="04825B69"/>
    <w:rsid w:val="04833E85"/>
    <w:rsid w:val="04846956"/>
    <w:rsid w:val="04846EEC"/>
    <w:rsid w:val="0486DB5A"/>
    <w:rsid w:val="048A121F"/>
    <w:rsid w:val="048BD1B9"/>
    <w:rsid w:val="048DDC0A"/>
    <w:rsid w:val="048DE694"/>
    <w:rsid w:val="048E0E96"/>
    <w:rsid w:val="049550D8"/>
    <w:rsid w:val="049613E8"/>
    <w:rsid w:val="049BAF9B"/>
    <w:rsid w:val="049BB584"/>
    <w:rsid w:val="04A21624"/>
    <w:rsid w:val="04A62502"/>
    <w:rsid w:val="04A7ACCF"/>
    <w:rsid w:val="04A8D55A"/>
    <w:rsid w:val="04B59734"/>
    <w:rsid w:val="04B985D2"/>
    <w:rsid w:val="04BE8468"/>
    <w:rsid w:val="04BF7615"/>
    <w:rsid w:val="04C1DF76"/>
    <w:rsid w:val="04C6A572"/>
    <w:rsid w:val="04C766DF"/>
    <w:rsid w:val="04C9E8B9"/>
    <w:rsid w:val="04CB3344"/>
    <w:rsid w:val="04CCC870"/>
    <w:rsid w:val="04CEB8FA"/>
    <w:rsid w:val="04CEF95E"/>
    <w:rsid w:val="04CFF3BE"/>
    <w:rsid w:val="04D17E4C"/>
    <w:rsid w:val="04D430A0"/>
    <w:rsid w:val="04D57F87"/>
    <w:rsid w:val="04DC5B47"/>
    <w:rsid w:val="04DE8E7D"/>
    <w:rsid w:val="04DFFF8E"/>
    <w:rsid w:val="04E160F8"/>
    <w:rsid w:val="04E4CB53"/>
    <w:rsid w:val="04E61823"/>
    <w:rsid w:val="04EDE350"/>
    <w:rsid w:val="04F3C8AB"/>
    <w:rsid w:val="04F46705"/>
    <w:rsid w:val="04F69DE1"/>
    <w:rsid w:val="04F86A9B"/>
    <w:rsid w:val="04F9D869"/>
    <w:rsid w:val="04FD6137"/>
    <w:rsid w:val="0502D676"/>
    <w:rsid w:val="0504489D"/>
    <w:rsid w:val="05080EE0"/>
    <w:rsid w:val="050924B2"/>
    <w:rsid w:val="050C2F60"/>
    <w:rsid w:val="0511188F"/>
    <w:rsid w:val="0520AD9B"/>
    <w:rsid w:val="05262ABF"/>
    <w:rsid w:val="0530CD77"/>
    <w:rsid w:val="0531863B"/>
    <w:rsid w:val="0534EFC3"/>
    <w:rsid w:val="0538A653"/>
    <w:rsid w:val="0540C3E9"/>
    <w:rsid w:val="05436F2E"/>
    <w:rsid w:val="05457154"/>
    <w:rsid w:val="054574BE"/>
    <w:rsid w:val="0550BC7C"/>
    <w:rsid w:val="055A5445"/>
    <w:rsid w:val="055CAC00"/>
    <w:rsid w:val="055D32EC"/>
    <w:rsid w:val="056033DB"/>
    <w:rsid w:val="0561AFE9"/>
    <w:rsid w:val="056687FD"/>
    <w:rsid w:val="056B12CE"/>
    <w:rsid w:val="0571D880"/>
    <w:rsid w:val="0582929C"/>
    <w:rsid w:val="058D5DE0"/>
    <w:rsid w:val="0595F078"/>
    <w:rsid w:val="059BD40E"/>
    <w:rsid w:val="059F6053"/>
    <w:rsid w:val="05A39A01"/>
    <w:rsid w:val="05A80595"/>
    <w:rsid w:val="05AAC1E3"/>
    <w:rsid w:val="05AD813A"/>
    <w:rsid w:val="05AF0B6A"/>
    <w:rsid w:val="05B69CF3"/>
    <w:rsid w:val="05B79780"/>
    <w:rsid w:val="05B7D0ED"/>
    <w:rsid w:val="05BB3186"/>
    <w:rsid w:val="05BC38DC"/>
    <w:rsid w:val="05BFA06D"/>
    <w:rsid w:val="05C02488"/>
    <w:rsid w:val="05C5B7CF"/>
    <w:rsid w:val="05C7387E"/>
    <w:rsid w:val="05CBEB29"/>
    <w:rsid w:val="05D28318"/>
    <w:rsid w:val="05DABBCD"/>
    <w:rsid w:val="05DB6A26"/>
    <w:rsid w:val="05DCE398"/>
    <w:rsid w:val="05DFDDC3"/>
    <w:rsid w:val="05E0434D"/>
    <w:rsid w:val="05E0F629"/>
    <w:rsid w:val="05E5BBDF"/>
    <w:rsid w:val="05E67A0D"/>
    <w:rsid w:val="05E7A366"/>
    <w:rsid w:val="05E82DF9"/>
    <w:rsid w:val="05F3E07D"/>
    <w:rsid w:val="05F46A93"/>
    <w:rsid w:val="05F68C3C"/>
    <w:rsid w:val="05F99E2C"/>
    <w:rsid w:val="06068D3F"/>
    <w:rsid w:val="060CD76A"/>
    <w:rsid w:val="0612C1A0"/>
    <w:rsid w:val="06160991"/>
    <w:rsid w:val="06163330"/>
    <w:rsid w:val="0618072E"/>
    <w:rsid w:val="061AB357"/>
    <w:rsid w:val="061BA8F5"/>
    <w:rsid w:val="061F08D6"/>
    <w:rsid w:val="0620ACA9"/>
    <w:rsid w:val="0622ABBB"/>
    <w:rsid w:val="0622BC9C"/>
    <w:rsid w:val="06291BE8"/>
    <w:rsid w:val="062D5386"/>
    <w:rsid w:val="0633DCFE"/>
    <w:rsid w:val="0633F16A"/>
    <w:rsid w:val="064AF225"/>
    <w:rsid w:val="064D3A60"/>
    <w:rsid w:val="0650E755"/>
    <w:rsid w:val="0653619A"/>
    <w:rsid w:val="06547D02"/>
    <w:rsid w:val="065502B2"/>
    <w:rsid w:val="0655E73D"/>
    <w:rsid w:val="0658808E"/>
    <w:rsid w:val="065A9286"/>
    <w:rsid w:val="065CDAD3"/>
    <w:rsid w:val="0663CD68"/>
    <w:rsid w:val="0664BCE9"/>
    <w:rsid w:val="0668521F"/>
    <w:rsid w:val="066966DC"/>
    <w:rsid w:val="066EF439"/>
    <w:rsid w:val="067405D3"/>
    <w:rsid w:val="0679F143"/>
    <w:rsid w:val="067A109D"/>
    <w:rsid w:val="067B1ED4"/>
    <w:rsid w:val="067BF433"/>
    <w:rsid w:val="0681F8E3"/>
    <w:rsid w:val="06960615"/>
    <w:rsid w:val="0699250C"/>
    <w:rsid w:val="069A8ABD"/>
    <w:rsid w:val="069B3A33"/>
    <w:rsid w:val="069EAA63"/>
    <w:rsid w:val="06A44283"/>
    <w:rsid w:val="06A5F0C0"/>
    <w:rsid w:val="06A912D4"/>
    <w:rsid w:val="06B343ED"/>
    <w:rsid w:val="06B9EC65"/>
    <w:rsid w:val="06BC1E9B"/>
    <w:rsid w:val="06BCAD28"/>
    <w:rsid w:val="06BD0B09"/>
    <w:rsid w:val="06C22477"/>
    <w:rsid w:val="06C4A7B8"/>
    <w:rsid w:val="06C5CC63"/>
    <w:rsid w:val="06C70644"/>
    <w:rsid w:val="06D24DE5"/>
    <w:rsid w:val="06D8EAD4"/>
    <w:rsid w:val="06DBF529"/>
    <w:rsid w:val="06DE2458"/>
    <w:rsid w:val="06DEEDB7"/>
    <w:rsid w:val="06E42C40"/>
    <w:rsid w:val="06E7BF01"/>
    <w:rsid w:val="06EBD8F5"/>
    <w:rsid w:val="06EC0A8C"/>
    <w:rsid w:val="06EC74B2"/>
    <w:rsid w:val="06ECBB1C"/>
    <w:rsid w:val="06F1F56F"/>
    <w:rsid w:val="06F2E6C7"/>
    <w:rsid w:val="06F4B453"/>
    <w:rsid w:val="06F5038B"/>
    <w:rsid w:val="06FBCDA0"/>
    <w:rsid w:val="0701FE1F"/>
    <w:rsid w:val="07028938"/>
    <w:rsid w:val="07092D29"/>
    <w:rsid w:val="070CA9C3"/>
    <w:rsid w:val="0717119B"/>
    <w:rsid w:val="0717655B"/>
    <w:rsid w:val="0717A3B5"/>
    <w:rsid w:val="07182E82"/>
    <w:rsid w:val="07199A66"/>
    <w:rsid w:val="071C27D7"/>
    <w:rsid w:val="07305279"/>
    <w:rsid w:val="07319E2E"/>
    <w:rsid w:val="0731DA22"/>
    <w:rsid w:val="073A9C20"/>
    <w:rsid w:val="07425CB0"/>
    <w:rsid w:val="07475DB4"/>
    <w:rsid w:val="074D6073"/>
    <w:rsid w:val="07579C76"/>
    <w:rsid w:val="075CF8F5"/>
    <w:rsid w:val="076E0A05"/>
    <w:rsid w:val="076FFCE7"/>
    <w:rsid w:val="07713340"/>
    <w:rsid w:val="0771B78C"/>
    <w:rsid w:val="077D22BA"/>
    <w:rsid w:val="0782B03F"/>
    <w:rsid w:val="0788A72A"/>
    <w:rsid w:val="078DF7D4"/>
    <w:rsid w:val="078F069F"/>
    <w:rsid w:val="079030BA"/>
    <w:rsid w:val="0798B195"/>
    <w:rsid w:val="079A16EF"/>
    <w:rsid w:val="07A1622A"/>
    <w:rsid w:val="07A3674F"/>
    <w:rsid w:val="07A8114D"/>
    <w:rsid w:val="07A9AB0E"/>
    <w:rsid w:val="07B0D1ED"/>
    <w:rsid w:val="07B455DE"/>
    <w:rsid w:val="07B8256D"/>
    <w:rsid w:val="07B9E284"/>
    <w:rsid w:val="07B9F2E4"/>
    <w:rsid w:val="07BE7C1C"/>
    <w:rsid w:val="07C301FE"/>
    <w:rsid w:val="07C329BF"/>
    <w:rsid w:val="07C5100B"/>
    <w:rsid w:val="07C89FFF"/>
    <w:rsid w:val="07CD7B68"/>
    <w:rsid w:val="07CEAC7A"/>
    <w:rsid w:val="07CF33AB"/>
    <w:rsid w:val="07D1F5BD"/>
    <w:rsid w:val="07D2F844"/>
    <w:rsid w:val="07D5A64F"/>
    <w:rsid w:val="07DD9E75"/>
    <w:rsid w:val="07E05282"/>
    <w:rsid w:val="07E2B563"/>
    <w:rsid w:val="07E470CB"/>
    <w:rsid w:val="07E6DE22"/>
    <w:rsid w:val="07EB4922"/>
    <w:rsid w:val="07EC99EA"/>
    <w:rsid w:val="07F33BDA"/>
    <w:rsid w:val="07F52531"/>
    <w:rsid w:val="07F652F6"/>
    <w:rsid w:val="07F889C1"/>
    <w:rsid w:val="07F9E60C"/>
    <w:rsid w:val="07FB3A97"/>
    <w:rsid w:val="07FBF513"/>
    <w:rsid w:val="08003E97"/>
    <w:rsid w:val="08004924"/>
    <w:rsid w:val="080158FA"/>
    <w:rsid w:val="08091C26"/>
    <w:rsid w:val="080AB994"/>
    <w:rsid w:val="08140981"/>
    <w:rsid w:val="08168E76"/>
    <w:rsid w:val="0818E506"/>
    <w:rsid w:val="081A5AF4"/>
    <w:rsid w:val="0822D5D6"/>
    <w:rsid w:val="0825F4EF"/>
    <w:rsid w:val="0826A597"/>
    <w:rsid w:val="08279802"/>
    <w:rsid w:val="0828FB22"/>
    <w:rsid w:val="082A9EA4"/>
    <w:rsid w:val="082F9BAC"/>
    <w:rsid w:val="08354137"/>
    <w:rsid w:val="0836F3FF"/>
    <w:rsid w:val="0836F644"/>
    <w:rsid w:val="083A0C65"/>
    <w:rsid w:val="083B0D05"/>
    <w:rsid w:val="0848AC89"/>
    <w:rsid w:val="0848C414"/>
    <w:rsid w:val="084DF891"/>
    <w:rsid w:val="08500D2F"/>
    <w:rsid w:val="08514390"/>
    <w:rsid w:val="0852689B"/>
    <w:rsid w:val="0852DAD4"/>
    <w:rsid w:val="085470E5"/>
    <w:rsid w:val="0857141A"/>
    <w:rsid w:val="085A2FE7"/>
    <w:rsid w:val="085D6C4D"/>
    <w:rsid w:val="08611E68"/>
    <w:rsid w:val="086166BF"/>
    <w:rsid w:val="08629BB0"/>
    <w:rsid w:val="08667777"/>
    <w:rsid w:val="0867738D"/>
    <w:rsid w:val="086D6C88"/>
    <w:rsid w:val="086F4554"/>
    <w:rsid w:val="08706807"/>
    <w:rsid w:val="0871AB34"/>
    <w:rsid w:val="087FF8BB"/>
    <w:rsid w:val="08806FB8"/>
    <w:rsid w:val="08815215"/>
    <w:rsid w:val="08820E87"/>
    <w:rsid w:val="08835AA4"/>
    <w:rsid w:val="08867A76"/>
    <w:rsid w:val="0887AAA0"/>
    <w:rsid w:val="088905AB"/>
    <w:rsid w:val="088E0C27"/>
    <w:rsid w:val="088E80D7"/>
    <w:rsid w:val="08924E8B"/>
    <w:rsid w:val="0892DCA9"/>
    <w:rsid w:val="08944DC9"/>
    <w:rsid w:val="089837D2"/>
    <w:rsid w:val="08991BB1"/>
    <w:rsid w:val="089B9916"/>
    <w:rsid w:val="089BCA4F"/>
    <w:rsid w:val="089BDD00"/>
    <w:rsid w:val="089DB2B6"/>
    <w:rsid w:val="089FA168"/>
    <w:rsid w:val="08A74665"/>
    <w:rsid w:val="08AC9A37"/>
    <w:rsid w:val="08BB9034"/>
    <w:rsid w:val="08CAB7D5"/>
    <w:rsid w:val="08CB3C11"/>
    <w:rsid w:val="08D04805"/>
    <w:rsid w:val="08D05B8E"/>
    <w:rsid w:val="08D20DCD"/>
    <w:rsid w:val="08D34BE4"/>
    <w:rsid w:val="08D8867F"/>
    <w:rsid w:val="08E5D0C7"/>
    <w:rsid w:val="08E8C2B3"/>
    <w:rsid w:val="08E97197"/>
    <w:rsid w:val="08EC9FED"/>
    <w:rsid w:val="08EF7BC7"/>
    <w:rsid w:val="08F3B0BD"/>
    <w:rsid w:val="08F4CDD7"/>
    <w:rsid w:val="08F55797"/>
    <w:rsid w:val="08F85BE0"/>
    <w:rsid w:val="08FCB895"/>
    <w:rsid w:val="0901D7DE"/>
    <w:rsid w:val="090886C4"/>
    <w:rsid w:val="090B902D"/>
    <w:rsid w:val="090BBAC1"/>
    <w:rsid w:val="090DD921"/>
    <w:rsid w:val="09137F18"/>
    <w:rsid w:val="091C9C05"/>
    <w:rsid w:val="091FD5C8"/>
    <w:rsid w:val="09210E36"/>
    <w:rsid w:val="0923014A"/>
    <w:rsid w:val="09237329"/>
    <w:rsid w:val="0928F682"/>
    <w:rsid w:val="0929652E"/>
    <w:rsid w:val="0936A4BB"/>
    <w:rsid w:val="0941CD14"/>
    <w:rsid w:val="09496121"/>
    <w:rsid w:val="0949B86F"/>
    <w:rsid w:val="094B5876"/>
    <w:rsid w:val="094BBFA6"/>
    <w:rsid w:val="094E9D33"/>
    <w:rsid w:val="094F15F9"/>
    <w:rsid w:val="095C8F67"/>
    <w:rsid w:val="096135FE"/>
    <w:rsid w:val="096FBD27"/>
    <w:rsid w:val="09756B92"/>
    <w:rsid w:val="09772931"/>
    <w:rsid w:val="0977E5D7"/>
    <w:rsid w:val="097AF5D0"/>
    <w:rsid w:val="097F3065"/>
    <w:rsid w:val="098A8830"/>
    <w:rsid w:val="098D04D4"/>
    <w:rsid w:val="098D1C1D"/>
    <w:rsid w:val="098F2742"/>
    <w:rsid w:val="09949E4A"/>
    <w:rsid w:val="09973E83"/>
    <w:rsid w:val="0998A3C1"/>
    <w:rsid w:val="0999153E"/>
    <w:rsid w:val="099AAE69"/>
    <w:rsid w:val="099AFCB6"/>
    <w:rsid w:val="09A364E1"/>
    <w:rsid w:val="09A690F2"/>
    <w:rsid w:val="09A94D4E"/>
    <w:rsid w:val="09ABF93E"/>
    <w:rsid w:val="09AC9DC3"/>
    <w:rsid w:val="09AD56D3"/>
    <w:rsid w:val="09ADD8A6"/>
    <w:rsid w:val="09AFFD61"/>
    <w:rsid w:val="09B55FBD"/>
    <w:rsid w:val="09B977C4"/>
    <w:rsid w:val="09BA62AC"/>
    <w:rsid w:val="09BDED2A"/>
    <w:rsid w:val="09BE56CA"/>
    <w:rsid w:val="09C06B28"/>
    <w:rsid w:val="09CC2B8C"/>
    <w:rsid w:val="09CD9EA0"/>
    <w:rsid w:val="09CEAA2F"/>
    <w:rsid w:val="09D88BEC"/>
    <w:rsid w:val="09DBFE99"/>
    <w:rsid w:val="09E50824"/>
    <w:rsid w:val="09E8E1BA"/>
    <w:rsid w:val="09EACE9D"/>
    <w:rsid w:val="09EB09EB"/>
    <w:rsid w:val="09EE57BE"/>
    <w:rsid w:val="09F0441C"/>
    <w:rsid w:val="09F51122"/>
    <w:rsid w:val="0A066872"/>
    <w:rsid w:val="0A0B74DD"/>
    <w:rsid w:val="0A0D02F0"/>
    <w:rsid w:val="0A0E5883"/>
    <w:rsid w:val="0A0F5F7D"/>
    <w:rsid w:val="0A124393"/>
    <w:rsid w:val="0A133B79"/>
    <w:rsid w:val="0A148DCD"/>
    <w:rsid w:val="0A1634A3"/>
    <w:rsid w:val="0A1B81BF"/>
    <w:rsid w:val="0A222700"/>
    <w:rsid w:val="0A24FCF8"/>
    <w:rsid w:val="0A27208A"/>
    <w:rsid w:val="0A2D84AE"/>
    <w:rsid w:val="0A2DB168"/>
    <w:rsid w:val="0A2DD933"/>
    <w:rsid w:val="0A35B3AF"/>
    <w:rsid w:val="0A37E8B7"/>
    <w:rsid w:val="0A38991D"/>
    <w:rsid w:val="0A38B6E8"/>
    <w:rsid w:val="0A397B06"/>
    <w:rsid w:val="0A40EDB9"/>
    <w:rsid w:val="0A42F326"/>
    <w:rsid w:val="0A444A85"/>
    <w:rsid w:val="0A447205"/>
    <w:rsid w:val="0A487519"/>
    <w:rsid w:val="0A4A9566"/>
    <w:rsid w:val="0A4E7C0B"/>
    <w:rsid w:val="0A4F0FE4"/>
    <w:rsid w:val="0A57BC28"/>
    <w:rsid w:val="0A61BE9D"/>
    <w:rsid w:val="0A629C94"/>
    <w:rsid w:val="0A64713A"/>
    <w:rsid w:val="0A6493C8"/>
    <w:rsid w:val="0A6C6AF0"/>
    <w:rsid w:val="0A6D9263"/>
    <w:rsid w:val="0A71EF9F"/>
    <w:rsid w:val="0A761709"/>
    <w:rsid w:val="0A78352E"/>
    <w:rsid w:val="0A793BF2"/>
    <w:rsid w:val="0A7A0CDD"/>
    <w:rsid w:val="0A7AC2E7"/>
    <w:rsid w:val="0A7EB25C"/>
    <w:rsid w:val="0A7FB36D"/>
    <w:rsid w:val="0A81045E"/>
    <w:rsid w:val="0A811685"/>
    <w:rsid w:val="0A82BF02"/>
    <w:rsid w:val="0A83DA88"/>
    <w:rsid w:val="0A89FF02"/>
    <w:rsid w:val="0A8F5622"/>
    <w:rsid w:val="0A903B21"/>
    <w:rsid w:val="0A920509"/>
    <w:rsid w:val="0A920B25"/>
    <w:rsid w:val="0A94CA05"/>
    <w:rsid w:val="0A96C685"/>
    <w:rsid w:val="0A978C53"/>
    <w:rsid w:val="0AA6E615"/>
    <w:rsid w:val="0AABFB9D"/>
    <w:rsid w:val="0AAC28CE"/>
    <w:rsid w:val="0AB68304"/>
    <w:rsid w:val="0AB78A79"/>
    <w:rsid w:val="0ABA4D25"/>
    <w:rsid w:val="0ABABB2A"/>
    <w:rsid w:val="0AC11F06"/>
    <w:rsid w:val="0AC1EB8A"/>
    <w:rsid w:val="0AC5AEBB"/>
    <w:rsid w:val="0AC86A80"/>
    <w:rsid w:val="0ACD6E3B"/>
    <w:rsid w:val="0AD2743B"/>
    <w:rsid w:val="0AD51119"/>
    <w:rsid w:val="0AD70BCB"/>
    <w:rsid w:val="0ADA49B7"/>
    <w:rsid w:val="0ADC3ACA"/>
    <w:rsid w:val="0ADFDDEC"/>
    <w:rsid w:val="0AE10080"/>
    <w:rsid w:val="0AE257C6"/>
    <w:rsid w:val="0AE577A7"/>
    <w:rsid w:val="0AE8228D"/>
    <w:rsid w:val="0AE95545"/>
    <w:rsid w:val="0AEBBE67"/>
    <w:rsid w:val="0AEE2DDC"/>
    <w:rsid w:val="0AEF73F9"/>
    <w:rsid w:val="0AF207D6"/>
    <w:rsid w:val="0AF3AADA"/>
    <w:rsid w:val="0AF6C1AF"/>
    <w:rsid w:val="0AF90AD6"/>
    <w:rsid w:val="0AFADA8A"/>
    <w:rsid w:val="0AFBD8FA"/>
    <w:rsid w:val="0B028693"/>
    <w:rsid w:val="0B080AC4"/>
    <w:rsid w:val="0B082103"/>
    <w:rsid w:val="0B0D69B8"/>
    <w:rsid w:val="0B10BCF0"/>
    <w:rsid w:val="0B1584F3"/>
    <w:rsid w:val="0B161418"/>
    <w:rsid w:val="0B195C8F"/>
    <w:rsid w:val="0B1BE07C"/>
    <w:rsid w:val="0B1E5FA0"/>
    <w:rsid w:val="0B1F5F67"/>
    <w:rsid w:val="0B1FDB12"/>
    <w:rsid w:val="0B20A8D5"/>
    <w:rsid w:val="0B20EC18"/>
    <w:rsid w:val="0B312EEB"/>
    <w:rsid w:val="0B31B8BC"/>
    <w:rsid w:val="0B33F8E5"/>
    <w:rsid w:val="0B384471"/>
    <w:rsid w:val="0B393CBC"/>
    <w:rsid w:val="0B3B64B8"/>
    <w:rsid w:val="0B3C4226"/>
    <w:rsid w:val="0B3C61A8"/>
    <w:rsid w:val="0B3D72C1"/>
    <w:rsid w:val="0B3E4539"/>
    <w:rsid w:val="0B3F3542"/>
    <w:rsid w:val="0B4218A4"/>
    <w:rsid w:val="0B448D8A"/>
    <w:rsid w:val="0B476D67"/>
    <w:rsid w:val="0B477F46"/>
    <w:rsid w:val="0B4EAFC6"/>
    <w:rsid w:val="0B5300CD"/>
    <w:rsid w:val="0B5477D3"/>
    <w:rsid w:val="0B5B0A80"/>
    <w:rsid w:val="0B5CE79F"/>
    <w:rsid w:val="0B5E706D"/>
    <w:rsid w:val="0B6349C2"/>
    <w:rsid w:val="0B66E820"/>
    <w:rsid w:val="0B67F84E"/>
    <w:rsid w:val="0B69BB6E"/>
    <w:rsid w:val="0B6FE174"/>
    <w:rsid w:val="0B72095C"/>
    <w:rsid w:val="0B745CB8"/>
    <w:rsid w:val="0B75E5B7"/>
    <w:rsid w:val="0B760F7E"/>
    <w:rsid w:val="0B7618EB"/>
    <w:rsid w:val="0B7B7D97"/>
    <w:rsid w:val="0B805E73"/>
    <w:rsid w:val="0B878C94"/>
    <w:rsid w:val="0B8A7BEE"/>
    <w:rsid w:val="0B8CBB52"/>
    <w:rsid w:val="0B8F60B1"/>
    <w:rsid w:val="0B907C2C"/>
    <w:rsid w:val="0B99D67A"/>
    <w:rsid w:val="0B9B7AD4"/>
    <w:rsid w:val="0B9C9CE6"/>
    <w:rsid w:val="0B9D0D53"/>
    <w:rsid w:val="0BA3D07C"/>
    <w:rsid w:val="0BA4C563"/>
    <w:rsid w:val="0BA67609"/>
    <w:rsid w:val="0BA72A46"/>
    <w:rsid w:val="0BADEBBF"/>
    <w:rsid w:val="0BAE13F4"/>
    <w:rsid w:val="0BAF9282"/>
    <w:rsid w:val="0BB5EADE"/>
    <w:rsid w:val="0BC013FC"/>
    <w:rsid w:val="0BC12BF5"/>
    <w:rsid w:val="0BC1FA9B"/>
    <w:rsid w:val="0BC52773"/>
    <w:rsid w:val="0BC85363"/>
    <w:rsid w:val="0BCD2553"/>
    <w:rsid w:val="0BCE0520"/>
    <w:rsid w:val="0BD0704A"/>
    <w:rsid w:val="0BD19D97"/>
    <w:rsid w:val="0BD3D948"/>
    <w:rsid w:val="0BE0B864"/>
    <w:rsid w:val="0BE2F5C7"/>
    <w:rsid w:val="0BE34307"/>
    <w:rsid w:val="0BE65C7D"/>
    <w:rsid w:val="0BE6B928"/>
    <w:rsid w:val="0BE88402"/>
    <w:rsid w:val="0BE9DFD1"/>
    <w:rsid w:val="0BEF98FA"/>
    <w:rsid w:val="0BF11C36"/>
    <w:rsid w:val="0BF26B81"/>
    <w:rsid w:val="0BF29C2E"/>
    <w:rsid w:val="0BF35FDB"/>
    <w:rsid w:val="0BF749A4"/>
    <w:rsid w:val="0BF8FC8F"/>
    <w:rsid w:val="0BFAC8F1"/>
    <w:rsid w:val="0BFDE37F"/>
    <w:rsid w:val="0BFE3B9B"/>
    <w:rsid w:val="0BFF9292"/>
    <w:rsid w:val="0C0108BA"/>
    <w:rsid w:val="0C0363CA"/>
    <w:rsid w:val="0C14FCB3"/>
    <w:rsid w:val="0C161132"/>
    <w:rsid w:val="0C164B8A"/>
    <w:rsid w:val="0C1ADB15"/>
    <w:rsid w:val="0C1CE2A9"/>
    <w:rsid w:val="0C25DE77"/>
    <w:rsid w:val="0C2AB8E9"/>
    <w:rsid w:val="0C2BE3E6"/>
    <w:rsid w:val="0C2EB383"/>
    <w:rsid w:val="0C2EEAC2"/>
    <w:rsid w:val="0C37AF60"/>
    <w:rsid w:val="0C39969C"/>
    <w:rsid w:val="0C3AF0BE"/>
    <w:rsid w:val="0C3BD6FA"/>
    <w:rsid w:val="0C3E435F"/>
    <w:rsid w:val="0C3FB53F"/>
    <w:rsid w:val="0C44B9D7"/>
    <w:rsid w:val="0C4D3A92"/>
    <w:rsid w:val="0C4E07B5"/>
    <w:rsid w:val="0C569161"/>
    <w:rsid w:val="0C5A9CCA"/>
    <w:rsid w:val="0C61DDA8"/>
    <w:rsid w:val="0C675F2D"/>
    <w:rsid w:val="0C6769F0"/>
    <w:rsid w:val="0C6A6BDB"/>
    <w:rsid w:val="0C6BF588"/>
    <w:rsid w:val="0C766B94"/>
    <w:rsid w:val="0C78EEF5"/>
    <w:rsid w:val="0C796D7F"/>
    <w:rsid w:val="0C7C9B45"/>
    <w:rsid w:val="0C854B15"/>
    <w:rsid w:val="0C89FFB9"/>
    <w:rsid w:val="0C94A996"/>
    <w:rsid w:val="0C9862B6"/>
    <w:rsid w:val="0C9B67EF"/>
    <w:rsid w:val="0CA2E854"/>
    <w:rsid w:val="0CA63F60"/>
    <w:rsid w:val="0CA7E3F7"/>
    <w:rsid w:val="0CAC66AA"/>
    <w:rsid w:val="0CB15F9F"/>
    <w:rsid w:val="0CB1A753"/>
    <w:rsid w:val="0CB47AAA"/>
    <w:rsid w:val="0CB9F8F4"/>
    <w:rsid w:val="0CBB2556"/>
    <w:rsid w:val="0CC4D87A"/>
    <w:rsid w:val="0CC687B4"/>
    <w:rsid w:val="0CCD19B6"/>
    <w:rsid w:val="0CCE9824"/>
    <w:rsid w:val="0CD04483"/>
    <w:rsid w:val="0CE6FF57"/>
    <w:rsid w:val="0CEB7EB3"/>
    <w:rsid w:val="0CEC2D31"/>
    <w:rsid w:val="0CEEA313"/>
    <w:rsid w:val="0CF0EB38"/>
    <w:rsid w:val="0CF3567B"/>
    <w:rsid w:val="0CF63225"/>
    <w:rsid w:val="0CF6FA98"/>
    <w:rsid w:val="0CFBB20F"/>
    <w:rsid w:val="0CFCD44A"/>
    <w:rsid w:val="0D0049BF"/>
    <w:rsid w:val="0D00FA85"/>
    <w:rsid w:val="0D01C54B"/>
    <w:rsid w:val="0D059015"/>
    <w:rsid w:val="0D06DB83"/>
    <w:rsid w:val="0D08987F"/>
    <w:rsid w:val="0D0E8492"/>
    <w:rsid w:val="0D0FD3DC"/>
    <w:rsid w:val="0D10A9D9"/>
    <w:rsid w:val="0D11B618"/>
    <w:rsid w:val="0D1AC818"/>
    <w:rsid w:val="0D1E2313"/>
    <w:rsid w:val="0D267B6C"/>
    <w:rsid w:val="0D29A13A"/>
    <w:rsid w:val="0D2A8B00"/>
    <w:rsid w:val="0D2ABAEB"/>
    <w:rsid w:val="0D2DFBFE"/>
    <w:rsid w:val="0D310005"/>
    <w:rsid w:val="0D320E74"/>
    <w:rsid w:val="0D3E3B95"/>
    <w:rsid w:val="0D41B55F"/>
    <w:rsid w:val="0D42AE1F"/>
    <w:rsid w:val="0D42FAA7"/>
    <w:rsid w:val="0D46D052"/>
    <w:rsid w:val="0D4A18B8"/>
    <w:rsid w:val="0D4F6130"/>
    <w:rsid w:val="0D5125DF"/>
    <w:rsid w:val="0D51CF44"/>
    <w:rsid w:val="0D58C2B4"/>
    <w:rsid w:val="0D5AB239"/>
    <w:rsid w:val="0D5BE45D"/>
    <w:rsid w:val="0D5CFC56"/>
    <w:rsid w:val="0D65F391"/>
    <w:rsid w:val="0D6E10B8"/>
    <w:rsid w:val="0D712B60"/>
    <w:rsid w:val="0D75017D"/>
    <w:rsid w:val="0D753A14"/>
    <w:rsid w:val="0D78468E"/>
    <w:rsid w:val="0D7C98B1"/>
    <w:rsid w:val="0D868E97"/>
    <w:rsid w:val="0D86F1D1"/>
    <w:rsid w:val="0D8C5B1B"/>
    <w:rsid w:val="0D8E550E"/>
    <w:rsid w:val="0D94BFF7"/>
    <w:rsid w:val="0D968E13"/>
    <w:rsid w:val="0D982D34"/>
    <w:rsid w:val="0D985ADA"/>
    <w:rsid w:val="0D9ADBE4"/>
    <w:rsid w:val="0D9AFB99"/>
    <w:rsid w:val="0D9BC866"/>
    <w:rsid w:val="0D9D58C1"/>
    <w:rsid w:val="0D9E5B12"/>
    <w:rsid w:val="0DA0E159"/>
    <w:rsid w:val="0DA5DFF5"/>
    <w:rsid w:val="0DA99904"/>
    <w:rsid w:val="0DB2D0FF"/>
    <w:rsid w:val="0DBA6678"/>
    <w:rsid w:val="0DBC9FD7"/>
    <w:rsid w:val="0DBDFE8D"/>
    <w:rsid w:val="0DC236DA"/>
    <w:rsid w:val="0DC3CF4F"/>
    <w:rsid w:val="0DC439D9"/>
    <w:rsid w:val="0DC7B268"/>
    <w:rsid w:val="0DCA0DDA"/>
    <w:rsid w:val="0DD22F05"/>
    <w:rsid w:val="0DD395BD"/>
    <w:rsid w:val="0DD643B0"/>
    <w:rsid w:val="0DD96E9A"/>
    <w:rsid w:val="0DDDDA4A"/>
    <w:rsid w:val="0DDF09B6"/>
    <w:rsid w:val="0DE0CBE6"/>
    <w:rsid w:val="0DE7F57D"/>
    <w:rsid w:val="0DE824E1"/>
    <w:rsid w:val="0DE99303"/>
    <w:rsid w:val="0DE99AE4"/>
    <w:rsid w:val="0DEFC5C9"/>
    <w:rsid w:val="0DF0AEF1"/>
    <w:rsid w:val="0DF640D5"/>
    <w:rsid w:val="0DFEA1DC"/>
    <w:rsid w:val="0E00582C"/>
    <w:rsid w:val="0E015C20"/>
    <w:rsid w:val="0E02A5CE"/>
    <w:rsid w:val="0E19BA34"/>
    <w:rsid w:val="0E1B7D24"/>
    <w:rsid w:val="0E1DD385"/>
    <w:rsid w:val="0E24B485"/>
    <w:rsid w:val="0E2A38B1"/>
    <w:rsid w:val="0E2B988A"/>
    <w:rsid w:val="0E2DDACD"/>
    <w:rsid w:val="0E32EBB2"/>
    <w:rsid w:val="0E33FD58"/>
    <w:rsid w:val="0E346433"/>
    <w:rsid w:val="0E3573C5"/>
    <w:rsid w:val="0E39D8C5"/>
    <w:rsid w:val="0E4116B4"/>
    <w:rsid w:val="0E41D48B"/>
    <w:rsid w:val="0E4D77B4"/>
    <w:rsid w:val="0E500E2B"/>
    <w:rsid w:val="0E53580F"/>
    <w:rsid w:val="0E582BAC"/>
    <w:rsid w:val="0E58E863"/>
    <w:rsid w:val="0E6234CE"/>
    <w:rsid w:val="0E6253C4"/>
    <w:rsid w:val="0E663285"/>
    <w:rsid w:val="0E666F29"/>
    <w:rsid w:val="0E75AD53"/>
    <w:rsid w:val="0E76C34A"/>
    <w:rsid w:val="0E79CD53"/>
    <w:rsid w:val="0E7DDF91"/>
    <w:rsid w:val="0E83507A"/>
    <w:rsid w:val="0E84C8A4"/>
    <w:rsid w:val="0E86098C"/>
    <w:rsid w:val="0E864AB6"/>
    <w:rsid w:val="0E8F26DC"/>
    <w:rsid w:val="0E9104BE"/>
    <w:rsid w:val="0E92B473"/>
    <w:rsid w:val="0E95A0BA"/>
    <w:rsid w:val="0E95E517"/>
    <w:rsid w:val="0E9C921A"/>
    <w:rsid w:val="0E9E4483"/>
    <w:rsid w:val="0E9EF2CE"/>
    <w:rsid w:val="0EA16076"/>
    <w:rsid w:val="0EA7016F"/>
    <w:rsid w:val="0EA7AF43"/>
    <w:rsid w:val="0EB05FF4"/>
    <w:rsid w:val="0EB50662"/>
    <w:rsid w:val="0EB571CB"/>
    <w:rsid w:val="0EB627E8"/>
    <w:rsid w:val="0EB7080E"/>
    <w:rsid w:val="0EBA216F"/>
    <w:rsid w:val="0EBF1E8B"/>
    <w:rsid w:val="0EC00894"/>
    <w:rsid w:val="0EC1A51D"/>
    <w:rsid w:val="0EC4ADBC"/>
    <w:rsid w:val="0EC4B1C9"/>
    <w:rsid w:val="0ECDC89C"/>
    <w:rsid w:val="0ECEEEC6"/>
    <w:rsid w:val="0ED1E440"/>
    <w:rsid w:val="0ED5C992"/>
    <w:rsid w:val="0ED88D95"/>
    <w:rsid w:val="0ED92250"/>
    <w:rsid w:val="0EDE7EE2"/>
    <w:rsid w:val="0EE6AC9C"/>
    <w:rsid w:val="0EF2CF57"/>
    <w:rsid w:val="0EF56638"/>
    <w:rsid w:val="0EF90E05"/>
    <w:rsid w:val="0EFA4097"/>
    <w:rsid w:val="0EFADD97"/>
    <w:rsid w:val="0EFD2483"/>
    <w:rsid w:val="0EFEE061"/>
    <w:rsid w:val="0EFFA8A1"/>
    <w:rsid w:val="0F03A402"/>
    <w:rsid w:val="0F0498C4"/>
    <w:rsid w:val="0F058066"/>
    <w:rsid w:val="0F078C68"/>
    <w:rsid w:val="0F0874BC"/>
    <w:rsid w:val="0F0960D7"/>
    <w:rsid w:val="0F0A19DF"/>
    <w:rsid w:val="0F0C743C"/>
    <w:rsid w:val="0F0D0ADE"/>
    <w:rsid w:val="0F0DA1F4"/>
    <w:rsid w:val="0F14FA9A"/>
    <w:rsid w:val="0F1BE63C"/>
    <w:rsid w:val="0F1E0E90"/>
    <w:rsid w:val="0F200784"/>
    <w:rsid w:val="0F2024C4"/>
    <w:rsid w:val="0F244C1D"/>
    <w:rsid w:val="0F2A1F28"/>
    <w:rsid w:val="0F2C9BD3"/>
    <w:rsid w:val="0F2F3B76"/>
    <w:rsid w:val="0F36473F"/>
    <w:rsid w:val="0F3798C7"/>
    <w:rsid w:val="0F40A466"/>
    <w:rsid w:val="0F45CE09"/>
    <w:rsid w:val="0F4A3F2A"/>
    <w:rsid w:val="0F4DED02"/>
    <w:rsid w:val="0F4E8E94"/>
    <w:rsid w:val="0F545E81"/>
    <w:rsid w:val="0F547C7C"/>
    <w:rsid w:val="0F54E6D2"/>
    <w:rsid w:val="0F557A70"/>
    <w:rsid w:val="0F6745E9"/>
    <w:rsid w:val="0F6EF54A"/>
    <w:rsid w:val="0F737BA9"/>
    <w:rsid w:val="0F775EF8"/>
    <w:rsid w:val="0F877B38"/>
    <w:rsid w:val="0F8A0C11"/>
    <w:rsid w:val="0F8D80B4"/>
    <w:rsid w:val="0F941526"/>
    <w:rsid w:val="0F972BDA"/>
    <w:rsid w:val="0F9AE1D4"/>
    <w:rsid w:val="0F9CA691"/>
    <w:rsid w:val="0FA2117C"/>
    <w:rsid w:val="0FA6E1D9"/>
    <w:rsid w:val="0FA7284B"/>
    <w:rsid w:val="0FAC40A1"/>
    <w:rsid w:val="0FB0A19C"/>
    <w:rsid w:val="0FB3C910"/>
    <w:rsid w:val="0FB70268"/>
    <w:rsid w:val="0FC1A08F"/>
    <w:rsid w:val="0FC578F9"/>
    <w:rsid w:val="0FC7FC76"/>
    <w:rsid w:val="0FC8A62D"/>
    <w:rsid w:val="0FC982EF"/>
    <w:rsid w:val="0FCA49A3"/>
    <w:rsid w:val="0FCE5943"/>
    <w:rsid w:val="0FD22284"/>
    <w:rsid w:val="0FDBB1E5"/>
    <w:rsid w:val="0FDE311C"/>
    <w:rsid w:val="0FE62AB3"/>
    <w:rsid w:val="0FE64B92"/>
    <w:rsid w:val="0FE695D2"/>
    <w:rsid w:val="0FEC0FB3"/>
    <w:rsid w:val="0FFC6433"/>
    <w:rsid w:val="0FFEF44C"/>
    <w:rsid w:val="1009F1C6"/>
    <w:rsid w:val="100F11B4"/>
    <w:rsid w:val="10103D75"/>
    <w:rsid w:val="101205A4"/>
    <w:rsid w:val="10169B6D"/>
    <w:rsid w:val="10176EBD"/>
    <w:rsid w:val="1018B475"/>
    <w:rsid w:val="1025DED5"/>
    <w:rsid w:val="10261BC5"/>
    <w:rsid w:val="10302AF1"/>
    <w:rsid w:val="10315448"/>
    <w:rsid w:val="1031628B"/>
    <w:rsid w:val="1043D6A0"/>
    <w:rsid w:val="104E5F6F"/>
    <w:rsid w:val="1051C5A2"/>
    <w:rsid w:val="10532F62"/>
    <w:rsid w:val="1056E2BB"/>
    <w:rsid w:val="105A0FB7"/>
    <w:rsid w:val="1066C453"/>
    <w:rsid w:val="106D1667"/>
    <w:rsid w:val="10770A79"/>
    <w:rsid w:val="10780FE6"/>
    <w:rsid w:val="107AE95B"/>
    <w:rsid w:val="107B161F"/>
    <w:rsid w:val="10812208"/>
    <w:rsid w:val="1086C6F1"/>
    <w:rsid w:val="10896951"/>
    <w:rsid w:val="108A5E2A"/>
    <w:rsid w:val="108D96DC"/>
    <w:rsid w:val="10905AB7"/>
    <w:rsid w:val="10936F23"/>
    <w:rsid w:val="10943E7C"/>
    <w:rsid w:val="1096ADF8"/>
    <w:rsid w:val="10998168"/>
    <w:rsid w:val="1099F0C6"/>
    <w:rsid w:val="109DF786"/>
    <w:rsid w:val="10A06AD9"/>
    <w:rsid w:val="10A26DEC"/>
    <w:rsid w:val="10A331AC"/>
    <w:rsid w:val="10A333D5"/>
    <w:rsid w:val="10A64EF4"/>
    <w:rsid w:val="10B0214D"/>
    <w:rsid w:val="10B58A8B"/>
    <w:rsid w:val="10BA2688"/>
    <w:rsid w:val="10BB1B82"/>
    <w:rsid w:val="10C9007D"/>
    <w:rsid w:val="10CAC2AD"/>
    <w:rsid w:val="10D36928"/>
    <w:rsid w:val="10D3E334"/>
    <w:rsid w:val="10D44D74"/>
    <w:rsid w:val="10DC098E"/>
    <w:rsid w:val="10DE129F"/>
    <w:rsid w:val="10DF7464"/>
    <w:rsid w:val="10E9BA09"/>
    <w:rsid w:val="10EC38E3"/>
    <w:rsid w:val="10F02405"/>
    <w:rsid w:val="10F1DED9"/>
    <w:rsid w:val="10F44E66"/>
    <w:rsid w:val="10FAE31B"/>
    <w:rsid w:val="10FBA527"/>
    <w:rsid w:val="10FED313"/>
    <w:rsid w:val="1100008A"/>
    <w:rsid w:val="11002194"/>
    <w:rsid w:val="1100D9C1"/>
    <w:rsid w:val="110A689F"/>
    <w:rsid w:val="110B6BB4"/>
    <w:rsid w:val="110BDB6D"/>
    <w:rsid w:val="1110F27B"/>
    <w:rsid w:val="11126ED8"/>
    <w:rsid w:val="1114EE64"/>
    <w:rsid w:val="11156B3D"/>
    <w:rsid w:val="111586E8"/>
    <w:rsid w:val="11195426"/>
    <w:rsid w:val="1122CCD7"/>
    <w:rsid w:val="11261542"/>
    <w:rsid w:val="1126E953"/>
    <w:rsid w:val="11282827"/>
    <w:rsid w:val="112A749F"/>
    <w:rsid w:val="112B3BE2"/>
    <w:rsid w:val="113032B6"/>
    <w:rsid w:val="11306673"/>
    <w:rsid w:val="1132339C"/>
    <w:rsid w:val="113FA7B2"/>
    <w:rsid w:val="11404BB0"/>
    <w:rsid w:val="1145E561"/>
    <w:rsid w:val="1148CFC2"/>
    <w:rsid w:val="114D2243"/>
    <w:rsid w:val="115D6F60"/>
    <w:rsid w:val="115D9E3B"/>
    <w:rsid w:val="11600147"/>
    <w:rsid w:val="11695859"/>
    <w:rsid w:val="116E9961"/>
    <w:rsid w:val="1173293E"/>
    <w:rsid w:val="117346BC"/>
    <w:rsid w:val="11750B67"/>
    <w:rsid w:val="117559BA"/>
    <w:rsid w:val="1178E8B7"/>
    <w:rsid w:val="117CF902"/>
    <w:rsid w:val="118AEC2E"/>
    <w:rsid w:val="119730E0"/>
    <w:rsid w:val="11A4495A"/>
    <w:rsid w:val="11A98B15"/>
    <w:rsid w:val="11AB5774"/>
    <w:rsid w:val="11B11CBA"/>
    <w:rsid w:val="11B41F90"/>
    <w:rsid w:val="11B65719"/>
    <w:rsid w:val="11C30C8F"/>
    <w:rsid w:val="11C41871"/>
    <w:rsid w:val="11C43CD6"/>
    <w:rsid w:val="11C8C0BF"/>
    <w:rsid w:val="11CA37E2"/>
    <w:rsid w:val="11CC46CB"/>
    <w:rsid w:val="11D305FF"/>
    <w:rsid w:val="11D38C5C"/>
    <w:rsid w:val="11D7B1A0"/>
    <w:rsid w:val="11D92D40"/>
    <w:rsid w:val="11DA5B78"/>
    <w:rsid w:val="11DAC542"/>
    <w:rsid w:val="11E28199"/>
    <w:rsid w:val="11E39B60"/>
    <w:rsid w:val="11E61D3F"/>
    <w:rsid w:val="11E774CB"/>
    <w:rsid w:val="11F3839D"/>
    <w:rsid w:val="11F485F1"/>
    <w:rsid w:val="11F5B3A4"/>
    <w:rsid w:val="11F5F82B"/>
    <w:rsid w:val="11F80D66"/>
    <w:rsid w:val="11F88F39"/>
    <w:rsid w:val="11FA03C7"/>
    <w:rsid w:val="11FB205D"/>
    <w:rsid w:val="1202DFC6"/>
    <w:rsid w:val="12049779"/>
    <w:rsid w:val="12058805"/>
    <w:rsid w:val="12158EAD"/>
    <w:rsid w:val="121F2202"/>
    <w:rsid w:val="1223BF40"/>
    <w:rsid w:val="1236F335"/>
    <w:rsid w:val="1239353F"/>
    <w:rsid w:val="123DB8F0"/>
    <w:rsid w:val="1245DFF9"/>
    <w:rsid w:val="12478585"/>
    <w:rsid w:val="1248632F"/>
    <w:rsid w:val="124A9B9A"/>
    <w:rsid w:val="125460AC"/>
    <w:rsid w:val="125C1A89"/>
    <w:rsid w:val="125C78DD"/>
    <w:rsid w:val="12689663"/>
    <w:rsid w:val="12692F72"/>
    <w:rsid w:val="126A36E1"/>
    <w:rsid w:val="126A6704"/>
    <w:rsid w:val="126AC8F6"/>
    <w:rsid w:val="1271D0C9"/>
    <w:rsid w:val="127E4E7F"/>
    <w:rsid w:val="128401A0"/>
    <w:rsid w:val="1284AD8C"/>
    <w:rsid w:val="128665FE"/>
    <w:rsid w:val="128B232F"/>
    <w:rsid w:val="128C9665"/>
    <w:rsid w:val="12901EC7"/>
    <w:rsid w:val="1291FC93"/>
    <w:rsid w:val="12943F52"/>
    <w:rsid w:val="12946864"/>
    <w:rsid w:val="12974072"/>
    <w:rsid w:val="129B1241"/>
    <w:rsid w:val="129D779D"/>
    <w:rsid w:val="129D7879"/>
    <w:rsid w:val="12A14EBB"/>
    <w:rsid w:val="12A2D92E"/>
    <w:rsid w:val="12A9332F"/>
    <w:rsid w:val="12ABA16B"/>
    <w:rsid w:val="12B23E72"/>
    <w:rsid w:val="12BB589A"/>
    <w:rsid w:val="12BB66A0"/>
    <w:rsid w:val="12BDDE75"/>
    <w:rsid w:val="12BE252A"/>
    <w:rsid w:val="12BE512D"/>
    <w:rsid w:val="12C01AA7"/>
    <w:rsid w:val="12C13BF7"/>
    <w:rsid w:val="12C1DFA4"/>
    <w:rsid w:val="12C48A01"/>
    <w:rsid w:val="12C78838"/>
    <w:rsid w:val="12CBC350"/>
    <w:rsid w:val="12CC8E76"/>
    <w:rsid w:val="12CECC9C"/>
    <w:rsid w:val="12D5BDB0"/>
    <w:rsid w:val="12D8CA46"/>
    <w:rsid w:val="12DA234B"/>
    <w:rsid w:val="12DA77CD"/>
    <w:rsid w:val="12DBF007"/>
    <w:rsid w:val="12DF6683"/>
    <w:rsid w:val="12E91B18"/>
    <w:rsid w:val="12EE9BDE"/>
    <w:rsid w:val="12F2794A"/>
    <w:rsid w:val="12F6E366"/>
    <w:rsid w:val="12F73195"/>
    <w:rsid w:val="12FF2E9F"/>
    <w:rsid w:val="1300A804"/>
    <w:rsid w:val="13022225"/>
    <w:rsid w:val="1309DA1A"/>
    <w:rsid w:val="130AA973"/>
    <w:rsid w:val="130B4617"/>
    <w:rsid w:val="130FBE22"/>
    <w:rsid w:val="1314DD5B"/>
    <w:rsid w:val="1315833D"/>
    <w:rsid w:val="1315D1DE"/>
    <w:rsid w:val="131DC9FC"/>
    <w:rsid w:val="131DEC54"/>
    <w:rsid w:val="1320E8D7"/>
    <w:rsid w:val="13247BB0"/>
    <w:rsid w:val="132891EB"/>
    <w:rsid w:val="1335A618"/>
    <w:rsid w:val="1337B8B9"/>
    <w:rsid w:val="1339AFEF"/>
    <w:rsid w:val="134108E6"/>
    <w:rsid w:val="1347738D"/>
    <w:rsid w:val="134D3211"/>
    <w:rsid w:val="13542358"/>
    <w:rsid w:val="135614B0"/>
    <w:rsid w:val="13595B71"/>
    <w:rsid w:val="135C4D96"/>
    <w:rsid w:val="135FB2FF"/>
    <w:rsid w:val="136059CE"/>
    <w:rsid w:val="13613629"/>
    <w:rsid w:val="13617788"/>
    <w:rsid w:val="137119CA"/>
    <w:rsid w:val="13747522"/>
    <w:rsid w:val="137881F3"/>
    <w:rsid w:val="137FEB5D"/>
    <w:rsid w:val="13826C2F"/>
    <w:rsid w:val="1383A95F"/>
    <w:rsid w:val="13870BA9"/>
    <w:rsid w:val="13881A32"/>
    <w:rsid w:val="138D44DE"/>
    <w:rsid w:val="138F53FE"/>
    <w:rsid w:val="139226F6"/>
    <w:rsid w:val="13958B0D"/>
    <w:rsid w:val="1396E3EF"/>
    <w:rsid w:val="1399AA0A"/>
    <w:rsid w:val="139B593E"/>
    <w:rsid w:val="139B607F"/>
    <w:rsid w:val="139C3044"/>
    <w:rsid w:val="139C3196"/>
    <w:rsid w:val="139CEA1B"/>
    <w:rsid w:val="139F2EB4"/>
    <w:rsid w:val="13A4A3BE"/>
    <w:rsid w:val="13A6C658"/>
    <w:rsid w:val="13A6CEE4"/>
    <w:rsid w:val="13A6CF12"/>
    <w:rsid w:val="13A765BF"/>
    <w:rsid w:val="13A7C4D5"/>
    <w:rsid w:val="13A95AC2"/>
    <w:rsid w:val="13AA547C"/>
    <w:rsid w:val="13ADD835"/>
    <w:rsid w:val="13AE6C59"/>
    <w:rsid w:val="13B2456C"/>
    <w:rsid w:val="13B7AEE8"/>
    <w:rsid w:val="13B9051B"/>
    <w:rsid w:val="13C39E16"/>
    <w:rsid w:val="13C764AE"/>
    <w:rsid w:val="13CE8391"/>
    <w:rsid w:val="13D787FB"/>
    <w:rsid w:val="13DBB065"/>
    <w:rsid w:val="13DBC959"/>
    <w:rsid w:val="13EB5399"/>
    <w:rsid w:val="13EC844C"/>
    <w:rsid w:val="13ECFC60"/>
    <w:rsid w:val="13EE4ADE"/>
    <w:rsid w:val="13F463C7"/>
    <w:rsid w:val="13FC4408"/>
    <w:rsid w:val="14014C29"/>
    <w:rsid w:val="14028C1F"/>
    <w:rsid w:val="14032DF4"/>
    <w:rsid w:val="14068921"/>
    <w:rsid w:val="140AA477"/>
    <w:rsid w:val="140BEB34"/>
    <w:rsid w:val="140F1DB9"/>
    <w:rsid w:val="1410B76A"/>
    <w:rsid w:val="1417316E"/>
    <w:rsid w:val="1419B43F"/>
    <w:rsid w:val="141AC01E"/>
    <w:rsid w:val="14252D52"/>
    <w:rsid w:val="142670C7"/>
    <w:rsid w:val="14275BA4"/>
    <w:rsid w:val="14278C63"/>
    <w:rsid w:val="14291CA8"/>
    <w:rsid w:val="142F97BF"/>
    <w:rsid w:val="142FB5DA"/>
    <w:rsid w:val="1432AA54"/>
    <w:rsid w:val="1433AE24"/>
    <w:rsid w:val="143526E6"/>
    <w:rsid w:val="143A5C7C"/>
    <w:rsid w:val="143C9C88"/>
    <w:rsid w:val="143D5058"/>
    <w:rsid w:val="143E7537"/>
    <w:rsid w:val="143E8D0A"/>
    <w:rsid w:val="14475C08"/>
    <w:rsid w:val="1448D791"/>
    <w:rsid w:val="144DE1F4"/>
    <w:rsid w:val="1451AEFB"/>
    <w:rsid w:val="145428BD"/>
    <w:rsid w:val="14573701"/>
    <w:rsid w:val="14624F81"/>
    <w:rsid w:val="14626682"/>
    <w:rsid w:val="1462DB4A"/>
    <w:rsid w:val="14633AE8"/>
    <w:rsid w:val="1463BFBE"/>
    <w:rsid w:val="146B7082"/>
    <w:rsid w:val="146F95A9"/>
    <w:rsid w:val="1470DE34"/>
    <w:rsid w:val="1473A292"/>
    <w:rsid w:val="1475B886"/>
    <w:rsid w:val="14772AE0"/>
    <w:rsid w:val="1478EFFB"/>
    <w:rsid w:val="147A561A"/>
    <w:rsid w:val="147C127C"/>
    <w:rsid w:val="147CE289"/>
    <w:rsid w:val="147D1A5E"/>
    <w:rsid w:val="147E2767"/>
    <w:rsid w:val="147F9E4B"/>
    <w:rsid w:val="1480C4F8"/>
    <w:rsid w:val="14843C9E"/>
    <w:rsid w:val="148B6465"/>
    <w:rsid w:val="14905687"/>
    <w:rsid w:val="1492D8E6"/>
    <w:rsid w:val="14937EE9"/>
    <w:rsid w:val="1498FC7B"/>
    <w:rsid w:val="14993DA2"/>
    <w:rsid w:val="149A8025"/>
    <w:rsid w:val="149D4616"/>
    <w:rsid w:val="149E9439"/>
    <w:rsid w:val="14A2F53E"/>
    <w:rsid w:val="14A33EDC"/>
    <w:rsid w:val="14A3B7AC"/>
    <w:rsid w:val="14A612DA"/>
    <w:rsid w:val="14A6DF25"/>
    <w:rsid w:val="14AC9AAF"/>
    <w:rsid w:val="14ADB337"/>
    <w:rsid w:val="14ADEE87"/>
    <w:rsid w:val="14B18F0E"/>
    <w:rsid w:val="14B87902"/>
    <w:rsid w:val="14BD06C2"/>
    <w:rsid w:val="14C62C0C"/>
    <w:rsid w:val="14D188DA"/>
    <w:rsid w:val="14DBCA81"/>
    <w:rsid w:val="14DFFD63"/>
    <w:rsid w:val="14E1ACAA"/>
    <w:rsid w:val="14E59D70"/>
    <w:rsid w:val="14E5A480"/>
    <w:rsid w:val="14EA2F58"/>
    <w:rsid w:val="14EB05A8"/>
    <w:rsid w:val="14EBDD23"/>
    <w:rsid w:val="14EF185F"/>
    <w:rsid w:val="14F5A64C"/>
    <w:rsid w:val="14F856EB"/>
    <w:rsid w:val="14F90148"/>
    <w:rsid w:val="14F9322D"/>
    <w:rsid w:val="14F95F8C"/>
    <w:rsid w:val="14F9C701"/>
    <w:rsid w:val="14FA67CA"/>
    <w:rsid w:val="14FDD12E"/>
    <w:rsid w:val="1510862B"/>
    <w:rsid w:val="1515E0F0"/>
    <w:rsid w:val="151D41A6"/>
    <w:rsid w:val="151E4626"/>
    <w:rsid w:val="152306D8"/>
    <w:rsid w:val="1523B371"/>
    <w:rsid w:val="152B94B3"/>
    <w:rsid w:val="152D61C2"/>
    <w:rsid w:val="1531763C"/>
    <w:rsid w:val="153258AC"/>
    <w:rsid w:val="1532FFCA"/>
    <w:rsid w:val="153BDEE2"/>
    <w:rsid w:val="153FA43F"/>
    <w:rsid w:val="15495858"/>
    <w:rsid w:val="154D4B52"/>
    <w:rsid w:val="154ED0C7"/>
    <w:rsid w:val="1554B419"/>
    <w:rsid w:val="156474A7"/>
    <w:rsid w:val="1567DB99"/>
    <w:rsid w:val="1568F63C"/>
    <w:rsid w:val="156BA993"/>
    <w:rsid w:val="15715376"/>
    <w:rsid w:val="1574179F"/>
    <w:rsid w:val="15768A32"/>
    <w:rsid w:val="1580477F"/>
    <w:rsid w:val="15813628"/>
    <w:rsid w:val="15821E22"/>
    <w:rsid w:val="1585A53F"/>
    <w:rsid w:val="158624CF"/>
    <w:rsid w:val="15871DB2"/>
    <w:rsid w:val="15887CA9"/>
    <w:rsid w:val="158AD1D7"/>
    <w:rsid w:val="158BF584"/>
    <w:rsid w:val="158E174D"/>
    <w:rsid w:val="15914F1C"/>
    <w:rsid w:val="15935C16"/>
    <w:rsid w:val="15976494"/>
    <w:rsid w:val="159AF74E"/>
    <w:rsid w:val="159C12F3"/>
    <w:rsid w:val="159E1DF1"/>
    <w:rsid w:val="159E964D"/>
    <w:rsid w:val="15A49992"/>
    <w:rsid w:val="15A5BF49"/>
    <w:rsid w:val="15B147C7"/>
    <w:rsid w:val="15B5DD60"/>
    <w:rsid w:val="15B76783"/>
    <w:rsid w:val="15BB3023"/>
    <w:rsid w:val="15BC172D"/>
    <w:rsid w:val="15BE443C"/>
    <w:rsid w:val="15BFB7BE"/>
    <w:rsid w:val="15C049E9"/>
    <w:rsid w:val="15C6F248"/>
    <w:rsid w:val="15C71521"/>
    <w:rsid w:val="15C7F224"/>
    <w:rsid w:val="15CFFDB1"/>
    <w:rsid w:val="15D08D91"/>
    <w:rsid w:val="15D0E12E"/>
    <w:rsid w:val="15D56089"/>
    <w:rsid w:val="15D9C4D3"/>
    <w:rsid w:val="15D9E394"/>
    <w:rsid w:val="15E3B684"/>
    <w:rsid w:val="15E5D04B"/>
    <w:rsid w:val="15E935E6"/>
    <w:rsid w:val="15F25C8B"/>
    <w:rsid w:val="15F30762"/>
    <w:rsid w:val="15F4573C"/>
    <w:rsid w:val="15F89DAD"/>
    <w:rsid w:val="16066D5E"/>
    <w:rsid w:val="160B4699"/>
    <w:rsid w:val="160CEF93"/>
    <w:rsid w:val="160F5274"/>
    <w:rsid w:val="1611660F"/>
    <w:rsid w:val="1614BE72"/>
    <w:rsid w:val="1614E8CF"/>
    <w:rsid w:val="1614F14B"/>
    <w:rsid w:val="161A250F"/>
    <w:rsid w:val="162062CA"/>
    <w:rsid w:val="1620A062"/>
    <w:rsid w:val="162C480C"/>
    <w:rsid w:val="162EA947"/>
    <w:rsid w:val="16319383"/>
    <w:rsid w:val="1631AA3B"/>
    <w:rsid w:val="163260EC"/>
    <w:rsid w:val="163848C6"/>
    <w:rsid w:val="1638C4A7"/>
    <w:rsid w:val="1639E454"/>
    <w:rsid w:val="163D8872"/>
    <w:rsid w:val="16401A40"/>
    <w:rsid w:val="1640FEB7"/>
    <w:rsid w:val="1644EAAA"/>
    <w:rsid w:val="1645341A"/>
    <w:rsid w:val="1648F7A3"/>
    <w:rsid w:val="164A37BB"/>
    <w:rsid w:val="164B8DE9"/>
    <w:rsid w:val="164CAFF7"/>
    <w:rsid w:val="164D72A0"/>
    <w:rsid w:val="164D835E"/>
    <w:rsid w:val="16547DCD"/>
    <w:rsid w:val="16571B08"/>
    <w:rsid w:val="165A3E67"/>
    <w:rsid w:val="16652ADB"/>
    <w:rsid w:val="166572DF"/>
    <w:rsid w:val="1666325D"/>
    <w:rsid w:val="16683AE6"/>
    <w:rsid w:val="166B307A"/>
    <w:rsid w:val="166F697B"/>
    <w:rsid w:val="166FEBE2"/>
    <w:rsid w:val="16706858"/>
    <w:rsid w:val="1672383B"/>
    <w:rsid w:val="167576BF"/>
    <w:rsid w:val="167591F1"/>
    <w:rsid w:val="1676B16A"/>
    <w:rsid w:val="167B02C3"/>
    <w:rsid w:val="1681E7E9"/>
    <w:rsid w:val="1688401E"/>
    <w:rsid w:val="1689ADB7"/>
    <w:rsid w:val="1689CCE4"/>
    <w:rsid w:val="168CCDA6"/>
    <w:rsid w:val="1694EE91"/>
    <w:rsid w:val="1697DCB6"/>
    <w:rsid w:val="169C28D9"/>
    <w:rsid w:val="169E63C2"/>
    <w:rsid w:val="169E7FBA"/>
    <w:rsid w:val="16AA2640"/>
    <w:rsid w:val="16B6EA98"/>
    <w:rsid w:val="16B70397"/>
    <w:rsid w:val="16BD6A61"/>
    <w:rsid w:val="16BDDB3C"/>
    <w:rsid w:val="16C7AC9D"/>
    <w:rsid w:val="16CA1D50"/>
    <w:rsid w:val="16D3CCD8"/>
    <w:rsid w:val="16D43598"/>
    <w:rsid w:val="16D65689"/>
    <w:rsid w:val="16D7A5B4"/>
    <w:rsid w:val="16DC0972"/>
    <w:rsid w:val="16DE1CEF"/>
    <w:rsid w:val="16EDC6CE"/>
    <w:rsid w:val="16F0C69B"/>
    <w:rsid w:val="16F3F084"/>
    <w:rsid w:val="16F4223A"/>
    <w:rsid w:val="16F8017C"/>
    <w:rsid w:val="16F82E6B"/>
    <w:rsid w:val="170001F8"/>
    <w:rsid w:val="170779F4"/>
    <w:rsid w:val="170BBE62"/>
    <w:rsid w:val="170D5ABA"/>
    <w:rsid w:val="1710D62F"/>
    <w:rsid w:val="17130FAF"/>
    <w:rsid w:val="171435F6"/>
    <w:rsid w:val="17195B26"/>
    <w:rsid w:val="171AB8CF"/>
    <w:rsid w:val="171E3AF9"/>
    <w:rsid w:val="17257D0E"/>
    <w:rsid w:val="1726B69B"/>
    <w:rsid w:val="172C9F0F"/>
    <w:rsid w:val="172F00A8"/>
    <w:rsid w:val="1730F717"/>
    <w:rsid w:val="1735BF62"/>
    <w:rsid w:val="1737FC66"/>
    <w:rsid w:val="173A723B"/>
    <w:rsid w:val="173E0EBC"/>
    <w:rsid w:val="173E69ED"/>
    <w:rsid w:val="1742F442"/>
    <w:rsid w:val="1744E713"/>
    <w:rsid w:val="1746F0BD"/>
    <w:rsid w:val="1748159F"/>
    <w:rsid w:val="174E1286"/>
    <w:rsid w:val="174F9178"/>
    <w:rsid w:val="17539BAD"/>
    <w:rsid w:val="1763F6EF"/>
    <w:rsid w:val="17656AD8"/>
    <w:rsid w:val="176BD7B7"/>
    <w:rsid w:val="17715491"/>
    <w:rsid w:val="1771724C"/>
    <w:rsid w:val="1773B1FF"/>
    <w:rsid w:val="1774EE65"/>
    <w:rsid w:val="1777052C"/>
    <w:rsid w:val="17781513"/>
    <w:rsid w:val="177CE741"/>
    <w:rsid w:val="177F5039"/>
    <w:rsid w:val="177F952A"/>
    <w:rsid w:val="177F9D50"/>
    <w:rsid w:val="178185F1"/>
    <w:rsid w:val="178437D8"/>
    <w:rsid w:val="17859E84"/>
    <w:rsid w:val="17890FB9"/>
    <w:rsid w:val="17892770"/>
    <w:rsid w:val="178997EB"/>
    <w:rsid w:val="1791E361"/>
    <w:rsid w:val="179B7445"/>
    <w:rsid w:val="179DCBF8"/>
    <w:rsid w:val="17A37A0E"/>
    <w:rsid w:val="17A5A9D1"/>
    <w:rsid w:val="17A9E742"/>
    <w:rsid w:val="17AA0013"/>
    <w:rsid w:val="17B2A66D"/>
    <w:rsid w:val="17B37954"/>
    <w:rsid w:val="17B3E6B2"/>
    <w:rsid w:val="17B96E78"/>
    <w:rsid w:val="17BD23F2"/>
    <w:rsid w:val="17BE7CE5"/>
    <w:rsid w:val="17C3FC12"/>
    <w:rsid w:val="17C78115"/>
    <w:rsid w:val="17CA3000"/>
    <w:rsid w:val="17CAD110"/>
    <w:rsid w:val="17CCDFBF"/>
    <w:rsid w:val="17CD5980"/>
    <w:rsid w:val="17E71F71"/>
    <w:rsid w:val="17E75E4A"/>
    <w:rsid w:val="17E773CC"/>
    <w:rsid w:val="17E8F780"/>
    <w:rsid w:val="17EC1439"/>
    <w:rsid w:val="17ED4492"/>
    <w:rsid w:val="17FC94BE"/>
    <w:rsid w:val="17FE81B4"/>
    <w:rsid w:val="180484BF"/>
    <w:rsid w:val="180973A6"/>
    <w:rsid w:val="180B8313"/>
    <w:rsid w:val="1814A69B"/>
    <w:rsid w:val="181539CB"/>
    <w:rsid w:val="1815CBA2"/>
    <w:rsid w:val="181C571D"/>
    <w:rsid w:val="181C5784"/>
    <w:rsid w:val="1820C491"/>
    <w:rsid w:val="1822149D"/>
    <w:rsid w:val="18223971"/>
    <w:rsid w:val="182D7D5C"/>
    <w:rsid w:val="182EC9AF"/>
    <w:rsid w:val="1835D5E4"/>
    <w:rsid w:val="183E2A8F"/>
    <w:rsid w:val="184060C0"/>
    <w:rsid w:val="18419634"/>
    <w:rsid w:val="184396AC"/>
    <w:rsid w:val="184468AE"/>
    <w:rsid w:val="18454BBB"/>
    <w:rsid w:val="1847C4A2"/>
    <w:rsid w:val="184F31C4"/>
    <w:rsid w:val="186AEBEA"/>
    <w:rsid w:val="18716844"/>
    <w:rsid w:val="18751136"/>
    <w:rsid w:val="1877377E"/>
    <w:rsid w:val="187D6B81"/>
    <w:rsid w:val="1881BAE9"/>
    <w:rsid w:val="1889CF13"/>
    <w:rsid w:val="188CCC7E"/>
    <w:rsid w:val="188F60B8"/>
    <w:rsid w:val="18937ACB"/>
    <w:rsid w:val="1896DDFA"/>
    <w:rsid w:val="18A10637"/>
    <w:rsid w:val="18A67699"/>
    <w:rsid w:val="18A6848A"/>
    <w:rsid w:val="18AD743A"/>
    <w:rsid w:val="18AFC64A"/>
    <w:rsid w:val="18AFF24E"/>
    <w:rsid w:val="18B254F4"/>
    <w:rsid w:val="18B26EA0"/>
    <w:rsid w:val="18B2C273"/>
    <w:rsid w:val="18B4AE85"/>
    <w:rsid w:val="18B4E10C"/>
    <w:rsid w:val="18B51DDE"/>
    <w:rsid w:val="18C40C1A"/>
    <w:rsid w:val="18C5B80F"/>
    <w:rsid w:val="18C6F858"/>
    <w:rsid w:val="18C9A5BB"/>
    <w:rsid w:val="18CAD578"/>
    <w:rsid w:val="18CAF3C7"/>
    <w:rsid w:val="18CB379B"/>
    <w:rsid w:val="18D0171E"/>
    <w:rsid w:val="18D11726"/>
    <w:rsid w:val="18D1FC95"/>
    <w:rsid w:val="18D367EE"/>
    <w:rsid w:val="18DC04EB"/>
    <w:rsid w:val="18E01A89"/>
    <w:rsid w:val="18E3256E"/>
    <w:rsid w:val="18E3B77D"/>
    <w:rsid w:val="18E54256"/>
    <w:rsid w:val="18E637EE"/>
    <w:rsid w:val="18EB43F0"/>
    <w:rsid w:val="18EE8EC3"/>
    <w:rsid w:val="18F28D43"/>
    <w:rsid w:val="18F3A552"/>
    <w:rsid w:val="18F3F835"/>
    <w:rsid w:val="18F58676"/>
    <w:rsid w:val="18F8C291"/>
    <w:rsid w:val="18F92130"/>
    <w:rsid w:val="18FC3079"/>
    <w:rsid w:val="18FD0A0B"/>
    <w:rsid w:val="18FE19B1"/>
    <w:rsid w:val="18FF4F65"/>
    <w:rsid w:val="190CA2B5"/>
    <w:rsid w:val="190E64FF"/>
    <w:rsid w:val="191E0D52"/>
    <w:rsid w:val="19231D26"/>
    <w:rsid w:val="19243A3A"/>
    <w:rsid w:val="1924B657"/>
    <w:rsid w:val="1924E4BD"/>
    <w:rsid w:val="192B3221"/>
    <w:rsid w:val="192C0A3B"/>
    <w:rsid w:val="192D2979"/>
    <w:rsid w:val="192E8CD4"/>
    <w:rsid w:val="1930AA9F"/>
    <w:rsid w:val="1931D88A"/>
    <w:rsid w:val="1931EB7F"/>
    <w:rsid w:val="19338D89"/>
    <w:rsid w:val="1933D617"/>
    <w:rsid w:val="19407139"/>
    <w:rsid w:val="1940F855"/>
    <w:rsid w:val="19414056"/>
    <w:rsid w:val="1946D8EE"/>
    <w:rsid w:val="1949A751"/>
    <w:rsid w:val="19507599"/>
    <w:rsid w:val="1955772A"/>
    <w:rsid w:val="1956E646"/>
    <w:rsid w:val="1958A3DE"/>
    <w:rsid w:val="196047E4"/>
    <w:rsid w:val="196512C6"/>
    <w:rsid w:val="19664A09"/>
    <w:rsid w:val="19699DFB"/>
    <w:rsid w:val="196BF0C3"/>
    <w:rsid w:val="196C72C4"/>
    <w:rsid w:val="19707047"/>
    <w:rsid w:val="1970ED38"/>
    <w:rsid w:val="1973F1CE"/>
    <w:rsid w:val="197559B1"/>
    <w:rsid w:val="197DF2D3"/>
    <w:rsid w:val="198220C8"/>
    <w:rsid w:val="1982B367"/>
    <w:rsid w:val="1982D00A"/>
    <w:rsid w:val="198A9CB7"/>
    <w:rsid w:val="198B8F0A"/>
    <w:rsid w:val="198C1822"/>
    <w:rsid w:val="198DCE10"/>
    <w:rsid w:val="1993BD34"/>
    <w:rsid w:val="199ADE53"/>
    <w:rsid w:val="199DFF77"/>
    <w:rsid w:val="19A0604E"/>
    <w:rsid w:val="19A34D56"/>
    <w:rsid w:val="19A48F2E"/>
    <w:rsid w:val="19A6B762"/>
    <w:rsid w:val="19A97A8D"/>
    <w:rsid w:val="19AA9A29"/>
    <w:rsid w:val="19B24B79"/>
    <w:rsid w:val="19B326C2"/>
    <w:rsid w:val="19B67F08"/>
    <w:rsid w:val="19BA9AB2"/>
    <w:rsid w:val="19BCBD6C"/>
    <w:rsid w:val="19BCE8A9"/>
    <w:rsid w:val="19BE246C"/>
    <w:rsid w:val="19BEFECA"/>
    <w:rsid w:val="19BF6861"/>
    <w:rsid w:val="19C134F4"/>
    <w:rsid w:val="19C1686F"/>
    <w:rsid w:val="19C20322"/>
    <w:rsid w:val="19C21435"/>
    <w:rsid w:val="19C33940"/>
    <w:rsid w:val="19C34781"/>
    <w:rsid w:val="19C5238F"/>
    <w:rsid w:val="19C946AB"/>
    <w:rsid w:val="19D1A645"/>
    <w:rsid w:val="19D467D7"/>
    <w:rsid w:val="19DA2474"/>
    <w:rsid w:val="19DB68CF"/>
    <w:rsid w:val="19DBD6DE"/>
    <w:rsid w:val="19E172EB"/>
    <w:rsid w:val="19E2BABB"/>
    <w:rsid w:val="19E50A7D"/>
    <w:rsid w:val="19E7A392"/>
    <w:rsid w:val="19E930EC"/>
    <w:rsid w:val="19EAAC72"/>
    <w:rsid w:val="19EC2984"/>
    <w:rsid w:val="19EC52C4"/>
    <w:rsid w:val="19EDA721"/>
    <w:rsid w:val="19EEA23E"/>
    <w:rsid w:val="19F3FEB0"/>
    <w:rsid w:val="19FF4739"/>
    <w:rsid w:val="1A049069"/>
    <w:rsid w:val="1A07100A"/>
    <w:rsid w:val="1A07A8F2"/>
    <w:rsid w:val="1A0F76B1"/>
    <w:rsid w:val="1A100288"/>
    <w:rsid w:val="1A11F1D4"/>
    <w:rsid w:val="1A14D189"/>
    <w:rsid w:val="1A17840E"/>
    <w:rsid w:val="1A220431"/>
    <w:rsid w:val="1A229A93"/>
    <w:rsid w:val="1A22FFD0"/>
    <w:rsid w:val="1A24BD62"/>
    <w:rsid w:val="1A2547F5"/>
    <w:rsid w:val="1A28675D"/>
    <w:rsid w:val="1A2DFF57"/>
    <w:rsid w:val="1A38EB89"/>
    <w:rsid w:val="1A39437E"/>
    <w:rsid w:val="1A39AD60"/>
    <w:rsid w:val="1A39E078"/>
    <w:rsid w:val="1A3ADB31"/>
    <w:rsid w:val="1A3B20C2"/>
    <w:rsid w:val="1A3D9EB0"/>
    <w:rsid w:val="1A3EC7C0"/>
    <w:rsid w:val="1A458B7B"/>
    <w:rsid w:val="1A470869"/>
    <w:rsid w:val="1A487494"/>
    <w:rsid w:val="1A49C6F2"/>
    <w:rsid w:val="1A4B96AB"/>
    <w:rsid w:val="1A507EE6"/>
    <w:rsid w:val="1A51E2D6"/>
    <w:rsid w:val="1A558901"/>
    <w:rsid w:val="1A569695"/>
    <w:rsid w:val="1A5C1A9A"/>
    <w:rsid w:val="1A5D58BD"/>
    <w:rsid w:val="1A5E575D"/>
    <w:rsid w:val="1A604966"/>
    <w:rsid w:val="1A612DCF"/>
    <w:rsid w:val="1A69F078"/>
    <w:rsid w:val="1A6A72F2"/>
    <w:rsid w:val="1A6E0362"/>
    <w:rsid w:val="1A75D2D0"/>
    <w:rsid w:val="1A780701"/>
    <w:rsid w:val="1A793C87"/>
    <w:rsid w:val="1A80D538"/>
    <w:rsid w:val="1A813B0E"/>
    <w:rsid w:val="1A8E2F77"/>
    <w:rsid w:val="1A90D69B"/>
    <w:rsid w:val="1A9328E1"/>
    <w:rsid w:val="1A9F6F02"/>
    <w:rsid w:val="1AA363EA"/>
    <w:rsid w:val="1AADE767"/>
    <w:rsid w:val="1AB0F2B6"/>
    <w:rsid w:val="1AB2030A"/>
    <w:rsid w:val="1AB2683C"/>
    <w:rsid w:val="1AB3B6A0"/>
    <w:rsid w:val="1AB54996"/>
    <w:rsid w:val="1AB65A74"/>
    <w:rsid w:val="1AB75315"/>
    <w:rsid w:val="1ABCF255"/>
    <w:rsid w:val="1ABE15F5"/>
    <w:rsid w:val="1ABEB88D"/>
    <w:rsid w:val="1AC1ED18"/>
    <w:rsid w:val="1AC3C92A"/>
    <w:rsid w:val="1AC9524B"/>
    <w:rsid w:val="1ACF996D"/>
    <w:rsid w:val="1AD0335B"/>
    <w:rsid w:val="1AD340EF"/>
    <w:rsid w:val="1AD7FB9D"/>
    <w:rsid w:val="1ADCC8B6"/>
    <w:rsid w:val="1AE0CA94"/>
    <w:rsid w:val="1AE35E49"/>
    <w:rsid w:val="1AE42328"/>
    <w:rsid w:val="1AE7EE94"/>
    <w:rsid w:val="1AE92415"/>
    <w:rsid w:val="1AEA8CE5"/>
    <w:rsid w:val="1AED68EB"/>
    <w:rsid w:val="1AF4B7F9"/>
    <w:rsid w:val="1AF85F9B"/>
    <w:rsid w:val="1AF89A9F"/>
    <w:rsid w:val="1AFBC3A2"/>
    <w:rsid w:val="1AFC192A"/>
    <w:rsid w:val="1AFEF7DF"/>
    <w:rsid w:val="1B021A6A"/>
    <w:rsid w:val="1B07A835"/>
    <w:rsid w:val="1B07E39F"/>
    <w:rsid w:val="1B0873AC"/>
    <w:rsid w:val="1B0A4E3D"/>
    <w:rsid w:val="1B0B7B06"/>
    <w:rsid w:val="1B0DDA31"/>
    <w:rsid w:val="1B0EECEE"/>
    <w:rsid w:val="1B0EF48B"/>
    <w:rsid w:val="1B171BEF"/>
    <w:rsid w:val="1B188A4F"/>
    <w:rsid w:val="1B1ECA4D"/>
    <w:rsid w:val="1B2122A5"/>
    <w:rsid w:val="1B299B7E"/>
    <w:rsid w:val="1B2DDF65"/>
    <w:rsid w:val="1B3A2BBF"/>
    <w:rsid w:val="1B3A5DEF"/>
    <w:rsid w:val="1B3A5E76"/>
    <w:rsid w:val="1B3E3A62"/>
    <w:rsid w:val="1B3ECE0F"/>
    <w:rsid w:val="1B4644B6"/>
    <w:rsid w:val="1B4B7953"/>
    <w:rsid w:val="1B4B92A5"/>
    <w:rsid w:val="1B512AA0"/>
    <w:rsid w:val="1B528572"/>
    <w:rsid w:val="1B54E604"/>
    <w:rsid w:val="1B5727E3"/>
    <w:rsid w:val="1B57EEB6"/>
    <w:rsid w:val="1B5C23CC"/>
    <w:rsid w:val="1B5C5D4B"/>
    <w:rsid w:val="1B5F29CA"/>
    <w:rsid w:val="1B611B9D"/>
    <w:rsid w:val="1B6232A8"/>
    <w:rsid w:val="1B62A8C7"/>
    <w:rsid w:val="1B657620"/>
    <w:rsid w:val="1B67FF00"/>
    <w:rsid w:val="1B693401"/>
    <w:rsid w:val="1B6DE56C"/>
    <w:rsid w:val="1B76E1DF"/>
    <w:rsid w:val="1B795C83"/>
    <w:rsid w:val="1B89F807"/>
    <w:rsid w:val="1B8C3AC0"/>
    <w:rsid w:val="1B9005E0"/>
    <w:rsid w:val="1B9070B3"/>
    <w:rsid w:val="1B90E1B5"/>
    <w:rsid w:val="1B948A38"/>
    <w:rsid w:val="1B951F04"/>
    <w:rsid w:val="1B95AE15"/>
    <w:rsid w:val="1B961DB2"/>
    <w:rsid w:val="1B97412B"/>
    <w:rsid w:val="1B97CF68"/>
    <w:rsid w:val="1B99AF32"/>
    <w:rsid w:val="1B9A0475"/>
    <w:rsid w:val="1B9FB62C"/>
    <w:rsid w:val="1BA2E06B"/>
    <w:rsid w:val="1BA45BFF"/>
    <w:rsid w:val="1BA6082F"/>
    <w:rsid w:val="1BAB0F61"/>
    <w:rsid w:val="1BAB402D"/>
    <w:rsid w:val="1BABA7DD"/>
    <w:rsid w:val="1BADA780"/>
    <w:rsid w:val="1BAF3E11"/>
    <w:rsid w:val="1BB65644"/>
    <w:rsid w:val="1BB6D88C"/>
    <w:rsid w:val="1BB7724A"/>
    <w:rsid w:val="1BC05BFF"/>
    <w:rsid w:val="1BC44BE0"/>
    <w:rsid w:val="1BC82E88"/>
    <w:rsid w:val="1BCA539F"/>
    <w:rsid w:val="1BCA7DD5"/>
    <w:rsid w:val="1BCB0C86"/>
    <w:rsid w:val="1BCFCCF3"/>
    <w:rsid w:val="1BD0383F"/>
    <w:rsid w:val="1BD358A4"/>
    <w:rsid w:val="1BD87133"/>
    <w:rsid w:val="1BDB854B"/>
    <w:rsid w:val="1BE016B3"/>
    <w:rsid w:val="1BEA00BF"/>
    <w:rsid w:val="1BEA1203"/>
    <w:rsid w:val="1BEB3D82"/>
    <w:rsid w:val="1BEE77F8"/>
    <w:rsid w:val="1BF30D71"/>
    <w:rsid w:val="1BF63525"/>
    <w:rsid w:val="1BF7E1DE"/>
    <w:rsid w:val="1BF81499"/>
    <w:rsid w:val="1BFB4EFA"/>
    <w:rsid w:val="1C06177B"/>
    <w:rsid w:val="1C078B23"/>
    <w:rsid w:val="1C11EA4E"/>
    <w:rsid w:val="1C11F181"/>
    <w:rsid w:val="1C1346A0"/>
    <w:rsid w:val="1C183C50"/>
    <w:rsid w:val="1C1DA948"/>
    <w:rsid w:val="1C221A49"/>
    <w:rsid w:val="1C25B481"/>
    <w:rsid w:val="1C264A4C"/>
    <w:rsid w:val="1C2937B9"/>
    <w:rsid w:val="1C2AAEBA"/>
    <w:rsid w:val="1C2AFDAF"/>
    <w:rsid w:val="1C2CFFC4"/>
    <w:rsid w:val="1C2D98B3"/>
    <w:rsid w:val="1C358765"/>
    <w:rsid w:val="1C3A6F17"/>
    <w:rsid w:val="1C3C8320"/>
    <w:rsid w:val="1C40DD8C"/>
    <w:rsid w:val="1C47631C"/>
    <w:rsid w:val="1C4CC89F"/>
    <w:rsid w:val="1C4DE334"/>
    <w:rsid w:val="1C4FD664"/>
    <w:rsid w:val="1C4FD755"/>
    <w:rsid w:val="1C512074"/>
    <w:rsid w:val="1C51B8AB"/>
    <w:rsid w:val="1C53608F"/>
    <w:rsid w:val="1C53E976"/>
    <w:rsid w:val="1C5DF3DB"/>
    <w:rsid w:val="1C6223BB"/>
    <w:rsid w:val="1C6831B6"/>
    <w:rsid w:val="1C6984D5"/>
    <w:rsid w:val="1C6A8252"/>
    <w:rsid w:val="1C6D12F3"/>
    <w:rsid w:val="1C701AEF"/>
    <w:rsid w:val="1C7580CD"/>
    <w:rsid w:val="1C76533B"/>
    <w:rsid w:val="1C76D989"/>
    <w:rsid w:val="1C77CA87"/>
    <w:rsid w:val="1C79CD1E"/>
    <w:rsid w:val="1C7BF019"/>
    <w:rsid w:val="1C7D7ACD"/>
    <w:rsid w:val="1C803333"/>
    <w:rsid w:val="1C854648"/>
    <w:rsid w:val="1C86478E"/>
    <w:rsid w:val="1C87E414"/>
    <w:rsid w:val="1C8AA7C9"/>
    <w:rsid w:val="1C8AEC9D"/>
    <w:rsid w:val="1C8D9099"/>
    <w:rsid w:val="1C8FA44E"/>
    <w:rsid w:val="1C91DC2C"/>
    <w:rsid w:val="1C942B68"/>
    <w:rsid w:val="1C9A966A"/>
    <w:rsid w:val="1CA1A710"/>
    <w:rsid w:val="1CA8645E"/>
    <w:rsid w:val="1CABC79F"/>
    <w:rsid w:val="1CB14FE2"/>
    <w:rsid w:val="1CBA136F"/>
    <w:rsid w:val="1CBCA0F3"/>
    <w:rsid w:val="1CC8E5F6"/>
    <w:rsid w:val="1CCF7F8D"/>
    <w:rsid w:val="1CD0D946"/>
    <w:rsid w:val="1CD6AB23"/>
    <w:rsid w:val="1CD7604F"/>
    <w:rsid w:val="1CD80110"/>
    <w:rsid w:val="1CE01BBD"/>
    <w:rsid w:val="1CE048FD"/>
    <w:rsid w:val="1CE1746F"/>
    <w:rsid w:val="1CE254E6"/>
    <w:rsid w:val="1CE377E8"/>
    <w:rsid w:val="1CE55DED"/>
    <w:rsid w:val="1CE80DF2"/>
    <w:rsid w:val="1CEEC232"/>
    <w:rsid w:val="1CF16F40"/>
    <w:rsid w:val="1CF435B4"/>
    <w:rsid w:val="1CF6CB32"/>
    <w:rsid w:val="1CFBD03C"/>
    <w:rsid w:val="1CFD096F"/>
    <w:rsid w:val="1CFED89D"/>
    <w:rsid w:val="1D03BC19"/>
    <w:rsid w:val="1D03CF61"/>
    <w:rsid w:val="1D0869AF"/>
    <w:rsid w:val="1D11DF47"/>
    <w:rsid w:val="1D170E20"/>
    <w:rsid w:val="1D1ABC72"/>
    <w:rsid w:val="1D1AFE42"/>
    <w:rsid w:val="1D1B3FAB"/>
    <w:rsid w:val="1D1B4160"/>
    <w:rsid w:val="1D1FF9F5"/>
    <w:rsid w:val="1D2BEB0D"/>
    <w:rsid w:val="1D311350"/>
    <w:rsid w:val="1D350860"/>
    <w:rsid w:val="1D393440"/>
    <w:rsid w:val="1D39E937"/>
    <w:rsid w:val="1D3FB6B7"/>
    <w:rsid w:val="1D3FD746"/>
    <w:rsid w:val="1D433F78"/>
    <w:rsid w:val="1D43C6F0"/>
    <w:rsid w:val="1D44E848"/>
    <w:rsid w:val="1D4600A7"/>
    <w:rsid w:val="1D4DAFBA"/>
    <w:rsid w:val="1D4F084A"/>
    <w:rsid w:val="1D4F6F77"/>
    <w:rsid w:val="1D5226A5"/>
    <w:rsid w:val="1D572B00"/>
    <w:rsid w:val="1D579B7D"/>
    <w:rsid w:val="1D5B02E2"/>
    <w:rsid w:val="1D5BE82E"/>
    <w:rsid w:val="1D5FC5DA"/>
    <w:rsid w:val="1D631D3F"/>
    <w:rsid w:val="1D63B662"/>
    <w:rsid w:val="1D643A05"/>
    <w:rsid w:val="1D6C444D"/>
    <w:rsid w:val="1D6C6577"/>
    <w:rsid w:val="1D7225BC"/>
    <w:rsid w:val="1D76B7A1"/>
    <w:rsid w:val="1D773D44"/>
    <w:rsid w:val="1D7B8D74"/>
    <w:rsid w:val="1D7C4E75"/>
    <w:rsid w:val="1D802B29"/>
    <w:rsid w:val="1D81AD45"/>
    <w:rsid w:val="1D872625"/>
    <w:rsid w:val="1D8D3614"/>
    <w:rsid w:val="1D8D7C7D"/>
    <w:rsid w:val="1D8F5062"/>
    <w:rsid w:val="1D912B7E"/>
    <w:rsid w:val="1D992932"/>
    <w:rsid w:val="1D9BEEF4"/>
    <w:rsid w:val="1DA00222"/>
    <w:rsid w:val="1DA04DA6"/>
    <w:rsid w:val="1DA57F1F"/>
    <w:rsid w:val="1DA84EB9"/>
    <w:rsid w:val="1DA925DA"/>
    <w:rsid w:val="1DADE936"/>
    <w:rsid w:val="1DB19C18"/>
    <w:rsid w:val="1DB30B57"/>
    <w:rsid w:val="1DB3606B"/>
    <w:rsid w:val="1DB5E08D"/>
    <w:rsid w:val="1DB9FFB6"/>
    <w:rsid w:val="1DBA90D3"/>
    <w:rsid w:val="1DC0EEBF"/>
    <w:rsid w:val="1DC30935"/>
    <w:rsid w:val="1DC48180"/>
    <w:rsid w:val="1DC51004"/>
    <w:rsid w:val="1DC64208"/>
    <w:rsid w:val="1DCC33B4"/>
    <w:rsid w:val="1DCD9E22"/>
    <w:rsid w:val="1DCF22EE"/>
    <w:rsid w:val="1DCF8E44"/>
    <w:rsid w:val="1DD02056"/>
    <w:rsid w:val="1DDE8730"/>
    <w:rsid w:val="1DE315BA"/>
    <w:rsid w:val="1DE391FD"/>
    <w:rsid w:val="1DE44A61"/>
    <w:rsid w:val="1DE55058"/>
    <w:rsid w:val="1DE630D5"/>
    <w:rsid w:val="1DEA9333"/>
    <w:rsid w:val="1DF1A020"/>
    <w:rsid w:val="1DF1D469"/>
    <w:rsid w:val="1DF59AFD"/>
    <w:rsid w:val="1DF5BC98"/>
    <w:rsid w:val="1DF83CC6"/>
    <w:rsid w:val="1DFFC654"/>
    <w:rsid w:val="1E02C53E"/>
    <w:rsid w:val="1E05A7FF"/>
    <w:rsid w:val="1E0EE827"/>
    <w:rsid w:val="1E108919"/>
    <w:rsid w:val="1E1681F3"/>
    <w:rsid w:val="1E1E9F8F"/>
    <w:rsid w:val="1E2092CF"/>
    <w:rsid w:val="1E21C195"/>
    <w:rsid w:val="1E261308"/>
    <w:rsid w:val="1E267C84"/>
    <w:rsid w:val="1E298E2F"/>
    <w:rsid w:val="1E2A46F4"/>
    <w:rsid w:val="1E2A977E"/>
    <w:rsid w:val="1E2DAC8D"/>
    <w:rsid w:val="1E2F03AE"/>
    <w:rsid w:val="1E34978A"/>
    <w:rsid w:val="1E36D772"/>
    <w:rsid w:val="1E394BC1"/>
    <w:rsid w:val="1E3AA2B5"/>
    <w:rsid w:val="1E3CD171"/>
    <w:rsid w:val="1E3D4E5E"/>
    <w:rsid w:val="1E3E997F"/>
    <w:rsid w:val="1E417147"/>
    <w:rsid w:val="1E41BFD3"/>
    <w:rsid w:val="1E4229D3"/>
    <w:rsid w:val="1E438474"/>
    <w:rsid w:val="1E455A82"/>
    <w:rsid w:val="1E46B6EB"/>
    <w:rsid w:val="1E491C43"/>
    <w:rsid w:val="1E4BB9EE"/>
    <w:rsid w:val="1E4C92B0"/>
    <w:rsid w:val="1E4CC16B"/>
    <w:rsid w:val="1E4E45EF"/>
    <w:rsid w:val="1E580A82"/>
    <w:rsid w:val="1E5D149F"/>
    <w:rsid w:val="1E6282B5"/>
    <w:rsid w:val="1E67FAC8"/>
    <w:rsid w:val="1E6FAC60"/>
    <w:rsid w:val="1E7AD947"/>
    <w:rsid w:val="1E7E5F9D"/>
    <w:rsid w:val="1E7F6496"/>
    <w:rsid w:val="1E81DA21"/>
    <w:rsid w:val="1E8455B0"/>
    <w:rsid w:val="1E8709E1"/>
    <w:rsid w:val="1E8C2153"/>
    <w:rsid w:val="1E8FAF90"/>
    <w:rsid w:val="1E8FF492"/>
    <w:rsid w:val="1E9548F9"/>
    <w:rsid w:val="1E9B9975"/>
    <w:rsid w:val="1E9DE964"/>
    <w:rsid w:val="1EA1C4C5"/>
    <w:rsid w:val="1EA45D9B"/>
    <w:rsid w:val="1EA5924C"/>
    <w:rsid w:val="1EA7BBE4"/>
    <w:rsid w:val="1EA9E2BA"/>
    <w:rsid w:val="1EA9F09D"/>
    <w:rsid w:val="1EACA56A"/>
    <w:rsid w:val="1EAE4FE5"/>
    <w:rsid w:val="1EAE82CD"/>
    <w:rsid w:val="1EAFB335"/>
    <w:rsid w:val="1EB185F2"/>
    <w:rsid w:val="1EB23179"/>
    <w:rsid w:val="1EB2624A"/>
    <w:rsid w:val="1EB2BB62"/>
    <w:rsid w:val="1EBD2840"/>
    <w:rsid w:val="1EC125DB"/>
    <w:rsid w:val="1EC200DD"/>
    <w:rsid w:val="1EC340DD"/>
    <w:rsid w:val="1EC48829"/>
    <w:rsid w:val="1EC56E07"/>
    <w:rsid w:val="1EC6365F"/>
    <w:rsid w:val="1ED34C68"/>
    <w:rsid w:val="1EDC3763"/>
    <w:rsid w:val="1EDF8AFC"/>
    <w:rsid w:val="1EE623D2"/>
    <w:rsid w:val="1EE6F86F"/>
    <w:rsid w:val="1EFAB859"/>
    <w:rsid w:val="1EFBC711"/>
    <w:rsid w:val="1EFDE11E"/>
    <w:rsid w:val="1F021942"/>
    <w:rsid w:val="1F0414C5"/>
    <w:rsid w:val="1F043AF4"/>
    <w:rsid w:val="1F050878"/>
    <w:rsid w:val="1F085284"/>
    <w:rsid w:val="1F1336DC"/>
    <w:rsid w:val="1F190649"/>
    <w:rsid w:val="1F194073"/>
    <w:rsid w:val="1F1B7FB4"/>
    <w:rsid w:val="1F1E1F89"/>
    <w:rsid w:val="1F1FCC79"/>
    <w:rsid w:val="1F22C3BE"/>
    <w:rsid w:val="1F24FFB7"/>
    <w:rsid w:val="1F276033"/>
    <w:rsid w:val="1F2D55BC"/>
    <w:rsid w:val="1F2E0640"/>
    <w:rsid w:val="1F3072FE"/>
    <w:rsid w:val="1F31AF39"/>
    <w:rsid w:val="1F31C3D7"/>
    <w:rsid w:val="1F35642F"/>
    <w:rsid w:val="1F3D9E59"/>
    <w:rsid w:val="1F3FB74E"/>
    <w:rsid w:val="1F403E18"/>
    <w:rsid w:val="1F49AFCD"/>
    <w:rsid w:val="1F5225BD"/>
    <w:rsid w:val="1F53F7D0"/>
    <w:rsid w:val="1F54E80E"/>
    <w:rsid w:val="1F580062"/>
    <w:rsid w:val="1F5AF14A"/>
    <w:rsid w:val="1F5D1D9A"/>
    <w:rsid w:val="1F5F3170"/>
    <w:rsid w:val="1F62C06C"/>
    <w:rsid w:val="1F676EFB"/>
    <w:rsid w:val="1F6BD146"/>
    <w:rsid w:val="1F6C5B99"/>
    <w:rsid w:val="1F768E5A"/>
    <w:rsid w:val="1F771F0B"/>
    <w:rsid w:val="1F7D2810"/>
    <w:rsid w:val="1F7E3C9B"/>
    <w:rsid w:val="1F8078A4"/>
    <w:rsid w:val="1F88BE27"/>
    <w:rsid w:val="1F890BE4"/>
    <w:rsid w:val="1F8CEAAA"/>
    <w:rsid w:val="1F902EDB"/>
    <w:rsid w:val="1F93F34A"/>
    <w:rsid w:val="1F9BEA02"/>
    <w:rsid w:val="1F9DEC8F"/>
    <w:rsid w:val="1F9ED03B"/>
    <w:rsid w:val="1F9FA354"/>
    <w:rsid w:val="1F9FC09B"/>
    <w:rsid w:val="1FA01943"/>
    <w:rsid w:val="1FA6E53B"/>
    <w:rsid w:val="1FACC0C5"/>
    <w:rsid w:val="1FAF6B49"/>
    <w:rsid w:val="1FB3DEE7"/>
    <w:rsid w:val="1FBC53E7"/>
    <w:rsid w:val="1FBCD323"/>
    <w:rsid w:val="1FBE08D3"/>
    <w:rsid w:val="1FBF631D"/>
    <w:rsid w:val="1FC2F322"/>
    <w:rsid w:val="1FC53A85"/>
    <w:rsid w:val="1FC65F0E"/>
    <w:rsid w:val="1FCAD40F"/>
    <w:rsid w:val="1FCC035E"/>
    <w:rsid w:val="1FCC8FDA"/>
    <w:rsid w:val="1FCD935C"/>
    <w:rsid w:val="1FD5ECAB"/>
    <w:rsid w:val="1FDA3763"/>
    <w:rsid w:val="1FE0CC8D"/>
    <w:rsid w:val="1FE3803E"/>
    <w:rsid w:val="1FE950EE"/>
    <w:rsid w:val="1FE9C300"/>
    <w:rsid w:val="1FEED5F5"/>
    <w:rsid w:val="1FF30B46"/>
    <w:rsid w:val="1FF9C8DC"/>
    <w:rsid w:val="1FFC63AA"/>
    <w:rsid w:val="1FFC9001"/>
    <w:rsid w:val="1FFF19E0"/>
    <w:rsid w:val="2005975D"/>
    <w:rsid w:val="20067D51"/>
    <w:rsid w:val="200B54E9"/>
    <w:rsid w:val="200C22C2"/>
    <w:rsid w:val="200CCE38"/>
    <w:rsid w:val="200DC3C1"/>
    <w:rsid w:val="20146F64"/>
    <w:rsid w:val="201694F8"/>
    <w:rsid w:val="2020720A"/>
    <w:rsid w:val="20226846"/>
    <w:rsid w:val="2025F695"/>
    <w:rsid w:val="2027579C"/>
    <w:rsid w:val="2027BF6C"/>
    <w:rsid w:val="20282854"/>
    <w:rsid w:val="20285727"/>
    <w:rsid w:val="202A9ECE"/>
    <w:rsid w:val="202CCCE2"/>
    <w:rsid w:val="202F4267"/>
    <w:rsid w:val="20310EAB"/>
    <w:rsid w:val="20315404"/>
    <w:rsid w:val="20338E98"/>
    <w:rsid w:val="20346513"/>
    <w:rsid w:val="2034F462"/>
    <w:rsid w:val="20356EBA"/>
    <w:rsid w:val="2038D056"/>
    <w:rsid w:val="2040BDC6"/>
    <w:rsid w:val="2043359D"/>
    <w:rsid w:val="204494DE"/>
    <w:rsid w:val="20485448"/>
    <w:rsid w:val="20486B55"/>
    <w:rsid w:val="2048A091"/>
    <w:rsid w:val="204A1FEA"/>
    <w:rsid w:val="204BC2C3"/>
    <w:rsid w:val="204F5412"/>
    <w:rsid w:val="2050218E"/>
    <w:rsid w:val="2051DA35"/>
    <w:rsid w:val="2055290C"/>
    <w:rsid w:val="2055FBD1"/>
    <w:rsid w:val="205816D2"/>
    <w:rsid w:val="2058F6F5"/>
    <w:rsid w:val="2062B275"/>
    <w:rsid w:val="20669505"/>
    <w:rsid w:val="20689027"/>
    <w:rsid w:val="20696EDC"/>
    <w:rsid w:val="206A831B"/>
    <w:rsid w:val="207814A2"/>
    <w:rsid w:val="20796061"/>
    <w:rsid w:val="207B9C58"/>
    <w:rsid w:val="207DD1B2"/>
    <w:rsid w:val="2085033F"/>
    <w:rsid w:val="208B36D2"/>
    <w:rsid w:val="208F19C2"/>
    <w:rsid w:val="209076A7"/>
    <w:rsid w:val="20915275"/>
    <w:rsid w:val="20919792"/>
    <w:rsid w:val="20934E5F"/>
    <w:rsid w:val="2095F9E4"/>
    <w:rsid w:val="209CDC33"/>
    <w:rsid w:val="20A0A355"/>
    <w:rsid w:val="20A2A3FA"/>
    <w:rsid w:val="20A3F57D"/>
    <w:rsid w:val="20A5D10A"/>
    <w:rsid w:val="20AE0C5F"/>
    <w:rsid w:val="20B093C5"/>
    <w:rsid w:val="20B1A6B6"/>
    <w:rsid w:val="20B2A73F"/>
    <w:rsid w:val="20B34E77"/>
    <w:rsid w:val="20B63759"/>
    <w:rsid w:val="20B7DA5D"/>
    <w:rsid w:val="20BD26E4"/>
    <w:rsid w:val="20C00C55"/>
    <w:rsid w:val="20C0F035"/>
    <w:rsid w:val="20C167E5"/>
    <w:rsid w:val="20CC23D6"/>
    <w:rsid w:val="20CD7138"/>
    <w:rsid w:val="20CEADB8"/>
    <w:rsid w:val="20DAA2F8"/>
    <w:rsid w:val="20DAD455"/>
    <w:rsid w:val="20E0A55F"/>
    <w:rsid w:val="20E691D6"/>
    <w:rsid w:val="20EA3F22"/>
    <w:rsid w:val="20EC0FCA"/>
    <w:rsid w:val="20EC91A0"/>
    <w:rsid w:val="20F2FB79"/>
    <w:rsid w:val="20F31E62"/>
    <w:rsid w:val="20F4E27E"/>
    <w:rsid w:val="20FD71C8"/>
    <w:rsid w:val="20FFA61F"/>
    <w:rsid w:val="2101B093"/>
    <w:rsid w:val="210334F3"/>
    <w:rsid w:val="210784D4"/>
    <w:rsid w:val="21082BFA"/>
    <w:rsid w:val="210A28AE"/>
    <w:rsid w:val="210A57EB"/>
    <w:rsid w:val="210A9709"/>
    <w:rsid w:val="210F70A0"/>
    <w:rsid w:val="21112D5C"/>
    <w:rsid w:val="21149D9A"/>
    <w:rsid w:val="21198BD8"/>
    <w:rsid w:val="211A1D2B"/>
    <w:rsid w:val="2130D34A"/>
    <w:rsid w:val="2133FBC7"/>
    <w:rsid w:val="2137548B"/>
    <w:rsid w:val="2138C276"/>
    <w:rsid w:val="213C337D"/>
    <w:rsid w:val="2141A775"/>
    <w:rsid w:val="21468D3B"/>
    <w:rsid w:val="2149F326"/>
    <w:rsid w:val="214B91ED"/>
    <w:rsid w:val="2153E003"/>
    <w:rsid w:val="21597549"/>
    <w:rsid w:val="215C38D2"/>
    <w:rsid w:val="215F84E0"/>
    <w:rsid w:val="2167738F"/>
    <w:rsid w:val="216CF48E"/>
    <w:rsid w:val="21792111"/>
    <w:rsid w:val="217A9B96"/>
    <w:rsid w:val="2181C1E4"/>
    <w:rsid w:val="218695E5"/>
    <w:rsid w:val="2187C3F7"/>
    <w:rsid w:val="218B0369"/>
    <w:rsid w:val="218B6BD4"/>
    <w:rsid w:val="21974934"/>
    <w:rsid w:val="219D4D98"/>
    <w:rsid w:val="21A4911E"/>
    <w:rsid w:val="21A54427"/>
    <w:rsid w:val="21A81AAD"/>
    <w:rsid w:val="21A824B2"/>
    <w:rsid w:val="21ADADC0"/>
    <w:rsid w:val="21B6DAA0"/>
    <w:rsid w:val="21BE2D68"/>
    <w:rsid w:val="21BEE38C"/>
    <w:rsid w:val="21C41AA7"/>
    <w:rsid w:val="21C5780F"/>
    <w:rsid w:val="21C67D4B"/>
    <w:rsid w:val="21D38310"/>
    <w:rsid w:val="21D49C62"/>
    <w:rsid w:val="21D9BCF4"/>
    <w:rsid w:val="21DA9C99"/>
    <w:rsid w:val="21E0F0B5"/>
    <w:rsid w:val="21E22C57"/>
    <w:rsid w:val="21EFE7DC"/>
    <w:rsid w:val="21F9FE3F"/>
    <w:rsid w:val="21FE5157"/>
    <w:rsid w:val="21FFA293"/>
    <w:rsid w:val="2208DC9A"/>
    <w:rsid w:val="220BF9FB"/>
    <w:rsid w:val="22147EFC"/>
    <w:rsid w:val="22192844"/>
    <w:rsid w:val="221E414C"/>
    <w:rsid w:val="221FF154"/>
    <w:rsid w:val="22251AFA"/>
    <w:rsid w:val="222888C1"/>
    <w:rsid w:val="2229E44F"/>
    <w:rsid w:val="222AEBE8"/>
    <w:rsid w:val="222FCA23"/>
    <w:rsid w:val="22310BB4"/>
    <w:rsid w:val="22349812"/>
    <w:rsid w:val="22396781"/>
    <w:rsid w:val="223B1539"/>
    <w:rsid w:val="223B44FA"/>
    <w:rsid w:val="22443FDB"/>
    <w:rsid w:val="22480D16"/>
    <w:rsid w:val="224CB1ED"/>
    <w:rsid w:val="224E9EED"/>
    <w:rsid w:val="225180AC"/>
    <w:rsid w:val="22561CC2"/>
    <w:rsid w:val="2256FBD7"/>
    <w:rsid w:val="2258536A"/>
    <w:rsid w:val="22592D28"/>
    <w:rsid w:val="2259D2D1"/>
    <w:rsid w:val="2259D8D1"/>
    <w:rsid w:val="225A861D"/>
    <w:rsid w:val="225C5C7A"/>
    <w:rsid w:val="226787BB"/>
    <w:rsid w:val="226B1755"/>
    <w:rsid w:val="22716DCA"/>
    <w:rsid w:val="227191B7"/>
    <w:rsid w:val="227563FB"/>
    <w:rsid w:val="2278B05B"/>
    <w:rsid w:val="22793AE7"/>
    <w:rsid w:val="227AA4DD"/>
    <w:rsid w:val="227ED525"/>
    <w:rsid w:val="22822F0B"/>
    <w:rsid w:val="22842454"/>
    <w:rsid w:val="22848020"/>
    <w:rsid w:val="228CC283"/>
    <w:rsid w:val="228F9CB4"/>
    <w:rsid w:val="2290B69E"/>
    <w:rsid w:val="2290D018"/>
    <w:rsid w:val="22929036"/>
    <w:rsid w:val="22966304"/>
    <w:rsid w:val="22988B82"/>
    <w:rsid w:val="229BECBF"/>
    <w:rsid w:val="22A082BB"/>
    <w:rsid w:val="22A390F8"/>
    <w:rsid w:val="22A4BC88"/>
    <w:rsid w:val="22AA8010"/>
    <w:rsid w:val="22ACFDBD"/>
    <w:rsid w:val="22ADB003"/>
    <w:rsid w:val="22B3835F"/>
    <w:rsid w:val="22B50C3C"/>
    <w:rsid w:val="22B64E85"/>
    <w:rsid w:val="22B7BB84"/>
    <w:rsid w:val="22C4CFEF"/>
    <w:rsid w:val="22CA337A"/>
    <w:rsid w:val="22CAD03D"/>
    <w:rsid w:val="22CFEB80"/>
    <w:rsid w:val="22D7F53E"/>
    <w:rsid w:val="22DE21A3"/>
    <w:rsid w:val="22DE34E4"/>
    <w:rsid w:val="22DE8EF4"/>
    <w:rsid w:val="22DFF5BD"/>
    <w:rsid w:val="22E780BC"/>
    <w:rsid w:val="22E7ADD5"/>
    <w:rsid w:val="22E909B5"/>
    <w:rsid w:val="22EBD6AA"/>
    <w:rsid w:val="22EC89E6"/>
    <w:rsid w:val="22F05443"/>
    <w:rsid w:val="22F22209"/>
    <w:rsid w:val="22F50CF3"/>
    <w:rsid w:val="22FF421C"/>
    <w:rsid w:val="2302E31D"/>
    <w:rsid w:val="23082988"/>
    <w:rsid w:val="230AD645"/>
    <w:rsid w:val="230B54A8"/>
    <w:rsid w:val="2313581F"/>
    <w:rsid w:val="231753D0"/>
    <w:rsid w:val="23215280"/>
    <w:rsid w:val="2322B6FD"/>
    <w:rsid w:val="23251622"/>
    <w:rsid w:val="2326A4BB"/>
    <w:rsid w:val="23291745"/>
    <w:rsid w:val="2329C513"/>
    <w:rsid w:val="2329CFDB"/>
    <w:rsid w:val="232E5E20"/>
    <w:rsid w:val="2335A1DD"/>
    <w:rsid w:val="233B1589"/>
    <w:rsid w:val="233B86ED"/>
    <w:rsid w:val="233DB978"/>
    <w:rsid w:val="2342F5AB"/>
    <w:rsid w:val="2347446A"/>
    <w:rsid w:val="2347ECA6"/>
    <w:rsid w:val="234EA46B"/>
    <w:rsid w:val="2351AA6E"/>
    <w:rsid w:val="2359D26E"/>
    <w:rsid w:val="2362C1FA"/>
    <w:rsid w:val="23685CF3"/>
    <w:rsid w:val="236B9215"/>
    <w:rsid w:val="237112D6"/>
    <w:rsid w:val="2371DDA9"/>
    <w:rsid w:val="237792A8"/>
    <w:rsid w:val="2377D1DC"/>
    <w:rsid w:val="237F4691"/>
    <w:rsid w:val="23884677"/>
    <w:rsid w:val="238BE63D"/>
    <w:rsid w:val="238EE733"/>
    <w:rsid w:val="2396CE41"/>
    <w:rsid w:val="239D22F6"/>
    <w:rsid w:val="23A6F5A8"/>
    <w:rsid w:val="23ABC6AA"/>
    <w:rsid w:val="23AC2500"/>
    <w:rsid w:val="23B54B14"/>
    <w:rsid w:val="23B5DFD6"/>
    <w:rsid w:val="23BF28DE"/>
    <w:rsid w:val="23BFEA8E"/>
    <w:rsid w:val="23C212B7"/>
    <w:rsid w:val="23D06873"/>
    <w:rsid w:val="23D3233D"/>
    <w:rsid w:val="23D5B598"/>
    <w:rsid w:val="23D5D5D5"/>
    <w:rsid w:val="23D73F79"/>
    <w:rsid w:val="23D8FB4B"/>
    <w:rsid w:val="23D990A1"/>
    <w:rsid w:val="23E10228"/>
    <w:rsid w:val="23E37868"/>
    <w:rsid w:val="23E76CD3"/>
    <w:rsid w:val="23E93731"/>
    <w:rsid w:val="23EC9924"/>
    <w:rsid w:val="23F5F7FA"/>
    <w:rsid w:val="23F7FE17"/>
    <w:rsid w:val="23F9432E"/>
    <w:rsid w:val="23FE6F94"/>
    <w:rsid w:val="240841E0"/>
    <w:rsid w:val="2417916B"/>
    <w:rsid w:val="241A2568"/>
    <w:rsid w:val="24200AF1"/>
    <w:rsid w:val="24216271"/>
    <w:rsid w:val="2421B7C1"/>
    <w:rsid w:val="2422BB40"/>
    <w:rsid w:val="24265B1F"/>
    <w:rsid w:val="24288FEC"/>
    <w:rsid w:val="242A45E1"/>
    <w:rsid w:val="242B6D15"/>
    <w:rsid w:val="2431D35A"/>
    <w:rsid w:val="2434B689"/>
    <w:rsid w:val="2436D1B8"/>
    <w:rsid w:val="243C531C"/>
    <w:rsid w:val="243DFAEB"/>
    <w:rsid w:val="243F14D2"/>
    <w:rsid w:val="2443B77B"/>
    <w:rsid w:val="24469F5C"/>
    <w:rsid w:val="244B1742"/>
    <w:rsid w:val="244BE6BC"/>
    <w:rsid w:val="24525D39"/>
    <w:rsid w:val="2458D554"/>
    <w:rsid w:val="2458F519"/>
    <w:rsid w:val="24615340"/>
    <w:rsid w:val="24639C21"/>
    <w:rsid w:val="24667406"/>
    <w:rsid w:val="24720FC5"/>
    <w:rsid w:val="2474BFF0"/>
    <w:rsid w:val="247ADE9C"/>
    <w:rsid w:val="247BBA3D"/>
    <w:rsid w:val="247FAEC0"/>
    <w:rsid w:val="2483B4A1"/>
    <w:rsid w:val="24852709"/>
    <w:rsid w:val="248614F0"/>
    <w:rsid w:val="2490DD54"/>
    <w:rsid w:val="24910D44"/>
    <w:rsid w:val="24948E5A"/>
    <w:rsid w:val="249545ED"/>
    <w:rsid w:val="249595A0"/>
    <w:rsid w:val="24966A95"/>
    <w:rsid w:val="249767C7"/>
    <w:rsid w:val="2499EFB3"/>
    <w:rsid w:val="249E212F"/>
    <w:rsid w:val="249FB22F"/>
    <w:rsid w:val="24A1B543"/>
    <w:rsid w:val="24A24DBC"/>
    <w:rsid w:val="24A51194"/>
    <w:rsid w:val="24A58CDD"/>
    <w:rsid w:val="24A66FC5"/>
    <w:rsid w:val="24A9D79C"/>
    <w:rsid w:val="24AA1974"/>
    <w:rsid w:val="24B34DC5"/>
    <w:rsid w:val="24B672DC"/>
    <w:rsid w:val="24BCF6BA"/>
    <w:rsid w:val="24BDD1C7"/>
    <w:rsid w:val="24C43C68"/>
    <w:rsid w:val="24C52554"/>
    <w:rsid w:val="24C8F8DB"/>
    <w:rsid w:val="24CB877E"/>
    <w:rsid w:val="24CC87B9"/>
    <w:rsid w:val="24CC8CB8"/>
    <w:rsid w:val="24CDCF11"/>
    <w:rsid w:val="24D5024D"/>
    <w:rsid w:val="24DD9D58"/>
    <w:rsid w:val="24DF2BA6"/>
    <w:rsid w:val="24EB41BF"/>
    <w:rsid w:val="24ECDF79"/>
    <w:rsid w:val="24EE3EB1"/>
    <w:rsid w:val="24FBC84A"/>
    <w:rsid w:val="24FC89B0"/>
    <w:rsid w:val="24FC9311"/>
    <w:rsid w:val="24FD53E7"/>
    <w:rsid w:val="25091C0D"/>
    <w:rsid w:val="250B062E"/>
    <w:rsid w:val="250B225D"/>
    <w:rsid w:val="250C0CA3"/>
    <w:rsid w:val="250DAE0A"/>
    <w:rsid w:val="250F410C"/>
    <w:rsid w:val="25106FDE"/>
    <w:rsid w:val="2519C35B"/>
    <w:rsid w:val="251D68B2"/>
    <w:rsid w:val="251D6C62"/>
    <w:rsid w:val="25238E60"/>
    <w:rsid w:val="25247B06"/>
    <w:rsid w:val="2524876E"/>
    <w:rsid w:val="2526062C"/>
    <w:rsid w:val="2528A19F"/>
    <w:rsid w:val="252A3812"/>
    <w:rsid w:val="252B09D4"/>
    <w:rsid w:val="252EAF65"/>
    <w:rsid w:val="2534AF8B"/>
    <w:rsid w:val="2534CD23"/>
    <w:rsid w:val="25382755"/>
    <w:rsid w:val="2548D545"/>
    <w:rsid w:val="2549185F"/>
    <w:rsid w:val="254EF7F1"/>
    <w:rsid w:val="25536E60"/>
    <w:rsid w:val="25611C96"/>
    <w:rsid w:val="25643D6A"/>
    <w:rsid w:val="25653435"/>
    <w:rsid w:val="2565FD43"/>
    <w:rsid w:val="25662C3E"/>
    <w:rsid w:val="25682C72"/>
    <w:rsid w:val="2576FE54"/>
    <w:rsid w:val="257DD369"/>
    <w:rsid w:val="257ECC29"/>
    <w:rsid w:val="257F27E5"/>
    <w:rsid w:val="25822FFF"/>
    <w:rsid w:val="25841F67"/>
    <w:rsid w:val="258ABDAA"/>
    <w:rsid w:val="2592762B"/>
    <w:rsid w:val="25946417"/>
    <w:rsid w:val="25992772"/>
    <w:rsid w:val="2599AF0D"/>
    <w:rsid w:val="259AC0A6"/>
    <w:rsid w:val="259FAB6A"/>
    <w:rsid w:val="25A24D6E"/>
    <w:rsid w:val="25A45ED9"/>
    <w:rsid w:val="25A7BCB1"/>
    <w:rsid w:val="25AFD9D8"/>
    <w:rsid w:val="25B415F4"/>
    <w:rsid w:val="25BB4B9C"/>
    <w:rsid w:val="25BBDB52"/>
    <w:rsid w:val="25BC699B"/>
    <w:rsid w:val="25BC72C7"/>
    <w:rsid w:val="25C350DD"/>
    <w:rsid w:val="25C660ED"/>
    <w:rsid w:val="25C96E72"/>
    <w:rsid w:val="25CBF4DC"/>
    <w:rsid w:val="25CBF7F2"/>
    <w:rsid w:val="25CF688B"/>
    <w:rsid w:val="25DF7BE8"/>
    <w:rsid w:val="25E5DF34"/>
    <w:rsid w:val="25EAA906"/>
    <w:rsid w:val="25EB1B04"/>
    <w:rsid w:val="25FB4AAE"/>
    <w:rsid w:val="25FB9929"/>
    <w:rsid w:val="25FC7582"/>
    <w:rsid w:val="260256C4"/>
    <w:rsid w:val="26080F9F"/>
    <w:rsid w:val="260A01B5"/>
    <w:rsid w:val="261571AF"/>
    <w:rsid w:val="2615902B"/>
    <w:rsid w:val="2616C12F"/>
    <w:rsid w:val="26175EE5"/>
    <w:rsid w:val="261F26A7"/>
    <w:rsid w:val="2621F61D"/>
    <w:rsid w:val="262350D1"/>
    <w:rsid w:val="26252E37"/>
    <w:rsid w:val="262890B6"/>
    <w:rsid w:val="262A9086"/>
    <w:rsid w:val="262AF3D6"/>
    <w:rsid w:val="262CE71D"/>
    <w:rsid w:val="262ECBB6"/>
    <w:rsid w:val="26376067"/>
    <w:rsid w:val="263A16B8"/>
    <w:rsid w:val="263D52EC"/>
    <w:rsid w:val="26408CBF"/>
    <w:rsid w:val="2649DF7F"/>
    <w:rsid w:val="264E021A"/>
    <w:rsid w:val="26541A42"/>
    <w:rsid w:val="265A0708"/>
    <w:rsid w:val="265ADD7B"/>
    <w:rsid w:val="265E7F59"/>
    <w:rsid w:val="265F6383"/>
    <w:rsid w:val="265FF4F0"/>
    <w:rsid w:val="26658136"/>
    <w:rsid w:val="2665938E"/>
    <w:rsid w:val="2665CAA4"/>
    <w:rsid w:val="2667D3D2"/>
    <w:rsid w:val="26685D19"/>
    <w:rsid w:val="26694EC7"/>
    <w:rsid w:val="266D002F"/>
    <w:rsid w:val="2674A8A4"/>
    <w:rsid w:val="267693B6"/>
    <w:rsid w:val="26783DE8"/>
    <w:rsid w:val="26797C50"/>
    <w:rsid w:val="26798813"/>
    <w:rsid w:val="26818E66"/>
    <w:rsid w:val="268AB835"/>
    <w:rsid w:val="268B2D2F"/>
    <w:rsid w:val="26909D35"/>
    <w:rsid w:val="26932AFF"/>
    <w:rsid w:val="26964724"/>
    <w:rsid w:val="2696BE90"/>
    <w:rsid w:val="269D3DCD"/>
    <w:rsid w:val="269DCF07"/>
    <w:rsid w:val="269F7B0E"/>
    <w:rsid w:val="26A0AEB8"/>
    <w:rsid w:val="26A131DF"/>
    <w:rsid w:val="26A399F5"/>
    <w:rsid w:val="26A3FDA9"/>
    <w:rsid w:val="26A5B6D3"/>
    <w:rsid w:val="26A6A5FC"/>
    <w:rsid w:val="26A8FB49"/>
    <w:rsid w:val="26A9011D"/>
    <w:rsid w:val="26AD6143"/>
    <w:rsid w:val="26B15B4E"/>
    <w:rsid w:val="26B32951"/>
    <w:rsid w:val="26B43E55"/>
    <w:rsid w:val="26B4D6ED"/>
    <w:rsid w:val="26B7C3F2"/>
    <w:rsid w:val="26BB2D5B"/>
    <w:rsid w:val="26BE8299"/>
    <w:rsid w:val="26C29B21"/>
    <w:rsid w:val="26C2BBE7"/>
    <w:rsid w:val="26C4E77A"/>
    <w:rsid w:val="26CE07A1"/>
    <w:rsid w:val="26D12AC6"/>
    <w:rsid w:val="26D37667"/>
    <w:rsid w:val="26D4C301"/>
    <w:rsid w:val="26D929B4"/>
    <w:rsid w:val="26DBFB4D"/>
    <w:rsid w:val="26DD7CC5"/>
    <w:rsid w:val="26E0FFF7"/>
    <w:rsid w:val="26E1B960"/>
    <w:rsid w:val="26E1C3DD"/>
    <w:rsid w:val="26E76B4D"/>
    <w:rsid w:val="26E837CB"/>
    <w:rsid w:val="26E93711"/>
    <w:rsid w:val="26EB1215"/>
    <w:rsid w:val="26EB133C"/>
    <w:rsid w:val="26EC8E34"/>
    <w:rsid w:val="26F1A843"/>
    <w:rsid w:val="26F3D6A8"/>
    <w:rsid w:val="26F5B026"/>
    <w:rsid w:val="26F637EB"/>
    <w:rsid w:val="26F6AA2F"/>
    <w:rsid w:val="26F6E9E4"/>
    <w:rsid w:val="26F9C6BF"/>
    <w:rsid w:val="26FBD2F2"/>
    <w:rsid w:val="26FCA675"/>
    <w:rsid w:val="26FDCC6B"/>
    <w:rsid w:val="2707A5BD"/>
    <w:rsid w:val="2707EE4E"/>
    <w:rsid w:val="270A085E"/>
    <w:rsid w:val="270C8BEC"/>
    <w:rsid w:val="2710F7E3"/>
    <w:rsid w:val="27113163"/>
    <w:rsid w:val="2712CEB5"/>
    <w:rsid w:val="2713549B"/>
    <w:rsid w:val="271447EB"/>
    <w:rsid w:val="2715E431"/>
    <w:rsid w:val="27163C8F"/>
    <w:rsid w:val="2719D1CA"/>
    <w:rsid w:val="271AA708"/>
    <w:rsid w:val="271D8F21"/>
    <w:rsid w:val="271FAE70"/>
    <w:rsid w:val="271FEFC8"/>
    <w:rsid w:val="2722D3BC"/>
    <w:rsid w:val="27238B78"/>
    <w:rsid w:val="27257CCD"/>
    <w:rsid w:val="2726C107"/>
    <w:rsid w:val="27273C31"/>
    <w:rsid w:val="272F55DD"/>
    <w:rsid w:val="2734AABA"/>
    <w:rsid w:val="273584F7"/>
    <w:rsid w:val="2736D507"/>
    <w:rsid w:val="2737AF20"/>
    <w:rsid w:val="273C0778"/>
    <w:rsid w:val="273E1768"/>
    <w:rsid w:val="2740A077"/>
    <w:rsid w:val="27448136"/>
    <w:rsid w:val="2744BEC7"/>
    <w:rsid w:val="27466B8D"/>
    <w:rsid w:val="274A0713"/>
    <w:rsid w:val="274D98FB"/>
    <w:rsid w:val="27503721"/>
    <w:rsid w:val="2750967F"/>
    <w:rsid w:val="27537D50"/>
    <w:rsid w:val="27579595"/>
    <w:rsid w:val="27584328"/>
    <w:rsid w:val="275A924C"/>
    <w:rsid w:val="276033A6"/>
    <w:rsid w:val="2763E0F9"/>
    <w:rsid w:val="276E033C"/>
    <w:rsid w:val="277010C3"/>
    <w:rsid w:val="2770216F"/>
    <w:rsid w:val="27717409"/>
    <w:rsid w:val="2779114B"/>
    <w:rsid w:val="277BD0CC"/>
    <w:rsid w:val="277DD7B4"/>
    <w:rsid w:val="277F01CC"/>
    <w:rsid w:val="2780BDFD"/>
    <w:rsid w:val="2785C2E4"/>
    <w:rsid w:val="278B6636"/>
    <w:rsid w:val="2798AD5B"/>
    <w:rsid w:val="2798C875"/>
    <w:rsid w:val="279C3367"/>
    <w:rsid w:val="279DFA62"/>
    <w:rsid w:val="279E2725"/>
    <w:rsid w:val="279FE306"/>
    <w:rsid w:val="27A244A1"/>
    <w:rsid w:val="27A2B234"/>
    <w:rsid w:val="27A2CCD2"/>
    <w:rsid w:val="27A8A063"/>
    <w:rsid w:val="27ADB0AE"/>
    <w:rsid w:val="27B118C8"/>
    <w:rsid w:val="27B468ED"/>
    <w:rsid w:val="27B77777"/>
    <w:rsid w:val="27B8CD82"/>
    <w:rsid w:val="27BFB3B1"/>
    <w:rsid w:val="27C7574F"/>
    <w:rsid w:val="27CA2101"/>
    <w:rsid w:val="27D39BA2"/>
    <w:rsid w:val="27D546AD"/>
    <w:rsid w:val="27D88C46"/>
    <w:rsid w:val="27DA840C"/>
    <w:rsid w:val="27E12F5F"/>
    <w:rsid w:val="27E184FB"/>
    <w:rsid w:val="27E356DA"/>
    <w:rsid w:val="27E459B7"/>
    <w:rsid w:val="27EDF63B"/>
    <w:rsid w:val="27F19F7F"/>
    <w:rsid w:val="27FA2427"/>
    <w:rsid w:val="2808F437"/>
    <w:rsid w:val="280E109D"/>
    <w:rsid w:val="28100501"/>
    <w:rsid w:val="2810B52F"/>
    <w:rsid w:val="28151A44"/>
    <w:rsid w:val="281A22E1"/>
    <w:rsid w:val="281C7A7B"/>
    <w:rsid w:val="2820A2FB"/>
    <w:rsid w:val="2821A6DD"/>
    <w:rsid w:val="2822A13D"/>
    <w:rsid w:val="28231EC6"/>
    <w:rsid w:val="28254601"/>
    <w:rsid w:val="2826C57C"/>
    <w:rsid w:val="282A5BF2"/>
    <w:rsid w:val="282AB021"/>
    <w:rsid w:val="282AEB41"/>
    <w:rsid w:val="282B6753"/>
    <w:rsid w:val="2831D3A4"/>
    <w:rsid w:val="2834D41A"/>
    <w:rsid w:val="283A9C7F"/>
    <w:rsid w:val="283C0972"/>
    <w:rsid w:val="28454ECC"/>
    <w:rsid w:val="2849DB27"/>
    <w:rsid w:val="28505F63"/>
    <w:rsid w:val="2850C2D8"/>
    <w:rsid w:val="2857A809"/>
    <w:rsid w:val="285BA50B"/>
    <w:rsid w:val="285DBEEC"/>
    <w:rsid w:val="285F04CE"/>
    <w:rsid w:val="2863EAB7"/>
    <w:rsid w:val="28644F13"/>
    <w:rsid w:val="286B5B53"/>
    <w:rsid w:val="287588AA"/>
    <w:rsid w:val="28795550"/>
    <w:rsid w:val="287BA66E"/>
    <w:rsid w:val="287F2AAC"/>
    <w:rsid w:val="28897BE7"/>
    <w:rsid w:val="288A4AEF"/>
    <w:rsid w:val="288A9641"/>
    <w:rsid w:val="288D9C22"/>
    <w:rsid w:val="288E4712"/>
    <w:rsid w:val="28934ACC"/>
    <w:rsid w:val="28965B0F"/>
    <w:rsid w:val="2896FDD9"/>
    <w:rsid w:val="28988E50"/>
    <w:rsid w:val="289CAF20"/>
    <w:rsid w:val="28A3D996"/>
    <w:rsid w:val="28A4328F"/>
    <w:rsid w:val="28B00C4C"/>
    <w:rsid w:val="28B4236F"/>
    <w:rsid w:val="28B74005"/>
    <w:rsid w:val="28B8C6FA"/>
    <w:rsid w:val="28B9A782"/>
    <w:rsid w:val="28B9B763"/>
    <w:rsid w:val="28C0012B"/>
    <w:rsid w:val="28C121BD"/>
    <w:rsid w:val="28C25E6C"/>
    <w:rsid w:val="28CD0C23"/>
    <w:rsid w:val="28D38340"/>
    <w:rsid w:val="28D5E87F"/>
    <w:rsid w:val="28D7024D"/>
    <w:rsid w:val="28D84389"/>
    <w:rsid w:val="28D875BD"/>
    <w:rsid w:val="28DCAC41"/>
    <w:rsid w:val="28E50E58"/>
    <w:rsid w:val="28E55A7F"/>
    <w:rsid w:val="28E81599"/>
    <w:rsid w:val="28F4275C"/>
    <w:rsid w:val="28F5BDFB"/>
    <w:rsid w:val="28FAC8F8"/>
    <w:rsid w:val="28FEF9C7"/>
    <w:rsid w:val="28FF913F"/>
    <w:rsid w:val="2905113D"/>
    <w:rsid w:val="2905319A"/>
    <w:rsid w:val="290A9CDC"/>
    <w:rsid w:val="290C979F"/>
    <w:rsid w:val="290EE65B"/>
    <w:rsid w:val="2911830F"/>
    <w:rsid w:val="291ED82A"/>
    <w:rsid w:val="292646C5"/>
    <w:rsid w:val="29271623"/>
    <w:rsid w:val="29286E3F"/>
    <w:rsid w:val="292F459D"/>
    <w:rsid w:val="293390FD"/>
    <w:rsid w:val="2938BDE4"/>
    <w:rsid w:val="293A8BE3"/>
    <w:rsid w:val="29441673"/>
    <w:rsid w:val="2948F13F"/>
    <w:rsid w:val="294D2FDE"/>
    <w:rsid w:val="295437A4"/>
    <w:rsid w:val="295A4C84"/>
    <w:rsid w:val="296396CD"/>
    <w:rsid w:val="29643AD1"/>
    <w:rsid w:val="296738F2"/>
    <w:rsid w:val="296B5A60"/>
    <w:rsid w:val="296CD535"/>
    <w:rsid w:val="296E9A53"/>
    <w:rsid w:val="2976B59D"/>
    <w:rsid w:val="29832416"/>
    <w:rsid w:val="29849772"/>
    <w:rsid w:val="298498F2"/>
    <w:rsid w:val="2984CE8E"/>
    <w:rsid w:val="2986BEA0"/>
    <w:rsid w:val="298AECA4"/>
    <w:rsid w:val="29960EAE"/>
    <w:rsid w:val="29970445"/>
    <w:rsid w:val="299711B6"/>
    <w:rsid w:val="29975B77"/>
    <w:rsid w:val="299E63BA"/>
    <w:rsid w:val="29A721CC"/>
    <w:rsid w:val="29AE15B6"/>
    <w:rsid w:val="29B00E0E"/>
    <w:rsid w:val="29B3AD05"/>
    <w:rsid w:val="29BCFFA3"/>
    <w:rsid w:val="29BF6582"/>
    <w:rsid w:val="29C1537E"/>
    <w:rsid w:val="29C4B8CC"/>
    <w:rsid w:val="29C58EA3"/>
    <w:rsid w:val="29C80AE5"/>
    <w:rsid w:val="29C9577A"/>
    <w:rsid w:val="29CA66E8"/>
    <w:rsid w:val="29CE0402"/>
    <w:rsid w:val="29CED3FA"/>
    <w:rsid w:val="29CF77F8"/>
    <w:rsid w:val="29CF8EAF"/>
    <w:rsid w:val="29CFAA73"/>
    <w:rsid w:val="29D683E9"/>
    <w:rsid w:val="29DACC44"/>
    <w:rsid w:val="29DB1563"/>
    <w:rsid w:val="29DEB558"/>
    <w:rsid w:val="29E17E57"/>
    <w:rsid w:val="29E1D635"/>
    <w:rsid w:val="29EA7262"/>
    <w:rsid w:val="29EED8C7"/>
    <w:rsid w:val="29F64D59"/>
    <w:rsid w:val="29F95C54"/>
    <w:rsid w:val="29FB176C"/>
    <w:rsid w:val="29FBCE92"/>
    <w:rsid w:val="2A0413D8"/>
    <w:rsid w:val="2A06FCD1"/>
    <w:rsid w:val="2A081AE7"/>
    <w:rsid w:val="2A0D2897"/>
    <w:rsid w:val="2A110604"/>
    <w:rsid w:val="2A150296"/>
    <w:rsid w:val="2A170A4B"/>
    <w:rsid w:val="2A194553"/>
    <w:rsid w:val="2A25787A"/>
    <w:rsid w:val="2A26F473"/>
    <w:rsid w:val="2A296F39"/>
    <w:rsid w:val="2A319EF8"/>
    <w:rsid w:val="2A31D0D1"/>
    <w:rsid w:val="2A355C43"/>
    <w:rsid w:val="2A3EF28C"/>
    <w:rsid w:val="2A47D654"/>
    <w:rsid w:val="2A47E619"/>
    <w:rsid w:val="2A489218"/>
    <w:rsid w:val="2A4CB11F"/>
    <w:rsid w:val="2A4D22D7"/>
    <w:rsid w:val="2A518127"/>
    <w:rsid w:val="2A5469D2"/>
    <w:rsid w:val="2A54975B"/>
    <w:rsid w:val="2A587591"/>
    <w:rsid w:val="2A5AE547"/>
    <w:rsid w:val="2A6BD00D"/>
    <w:rsid w:val="2A7042E4"/>
    <w:rsid w:val="2A72E0F9"/>
    <w:rsid w:val="2A739F4D"/>
    <w:rsid w:val="2A779702"/>
    <w:rsid w:val="2A78B1CB"/>
    <w:rsid w:val="2A7B6302"/>
    <w:rsid w:val="2A8008CD"/>
    <w:rsid w:val="2A80A258"/>
    <w:rsid w:val="2A8341A4"/>
    <w:rsid w:val="2A849B61"/>
    <w:rsid w:val="2A87B2A2"/>
    <w:rsid w:val="2A8AAC46"/>
    <w:rsid w:val="2A8CAF9B"/>
    <w:rsid w:val="2A8E3776"/>
    <w:rsid w:val="2A996523"/>
    <w:rsid w:val="2A9B66E9"/>
    <w:rsid w:val="2A9EE148"/>
    <w:rsid w:val="2AA27323"/>
    <w:rsid w:val="2AA3E522"/>
    <w:rsid w:val="2AA65821"/>
    <w:rsid w:val="2AAA01F5"/>
    <w:rsid w:val="2AAE75EB"/>
    <w:rsid w:val="2AAE8215"/>
    <w:rsid w:val="2AAF0E40"/>
    <w:rsid w:val="2AB591F5"/>
    <w:rsid w:val="2AB9927E"/>
    <w:rsid w:val="2ABC6A4D"/>
    <w:rsid w:val="2ABFA728"/>
    <w:rsid w:val="2AC064D3"/>
    <w:rsid w:val="2AC19420"/>
    <w:rsid w:val="2AC784B7"/>
    <w:rsid w:val="2ACB2FB3"/>
    <w:rsid w:val="2ACF47E2"/>
    <w:rsid w:val="2AD3ABE9"/>
    <w:rsid w:val="2ADB34C8"/>
    <w:rsid w:val="2AE2E0C3"/>
    <w:rsid w:val="2AE6DB0A"/>
    <w:rsid w:val="2AE70282"/>
    <w:rsid w:val="2AEDE5F0"/>
    <w:rsid w:val="2AEEC32C"/>
    <w:rsid w:val="2AF0358C"/>
    <w:rsid w:val="2B01E6BC"/>
    <w:rsid w:val="2B058B9B"/>
    <w:rsid w:val="2B061020"/>
    <w:rsid w:val="2B0763D3"/>
    <w:rsid w:val="2B0883F0"/>
    <w:rsid w:val="2B08D1B9"/>
    <w:rsid w:val="2B0C16DC"/>
    <w:rsid w:val="2B133C08"/>
    <w:rsid w:val="2B17AECC"/>
    <w:rsid w:val="2B185555"/>
    <w:rsid w:val="2B1867AA"/>
    <w:rsid w:val="2B1A292F"/>
    <w:rsid w:val="2B228F01"/>
    <w:rsid w:val="2B240086"/>
    <w:rsid w:val="2B281F97"/>
    <w:rsid w:val="2B282A86"/>
    <w:rsid w:val="2B293B78"/>
    <w:rsid w:val="2B323DA5"/>
    <w:rsid w:val="2B34F6E8"/>
    <w:rsid w:val="2B3C3124"/>
    <w:rsid w:val="2B427D38"/>
    <w:rsid w:val="2B4365F7"/>
    <w:rsid w:val="2B44C0CD"/>
    <w:rsid w:val="2B46878F"/>
    <w:rsid w:val="2B5F7FF1"/>
    <w:rsid w:val="2B62B1B1"/>
    <w:rsid w:val="2B647549"/>
    <w:rsid w:val="2B695CBB"/>
    <w:rsid w:val="2B6C9C5B"/>
    <w:rsid w:val="2B6D16F3"/>
    <w:rsid w:val="2B6FAA98"/>
    <w:rsid w:val="2B71006D"/>
    <w:rsid w:val="2B7413EF"/>
    <w:rsid w:val="2B78CA48"/>
    <w:rsid w:val="2B7E7929"/>
    <w:rsid w:val="2B7EAA20"/>
    <w:rsid w:val="2B87F8AF"/>
    <w:rsid w:val="2B894AD9"/>
    <w:rsid w:val="2B8E9B62"/>
    <w:rsid w:val="2B93F4C5"/>
    <w:rsid w:val="2B95C674"/>
    <w:rsid w:val="2B9E9E79"/>
    <w:rsid w:val="2B9F1F7D"/>
    <w:rsid w:val="2BA6461C"/>
    <w:rsid w:val="2BA656D0"/>
    <w:rsid w:val="2BA75DFE"/>
    <w:rsid w:val="2BAD9443"/>
    <w:rsid w:val="2BAD96F5"/>
    <w:rsid w:val="2BB0A49D"/>
    <w:rsid w:val="2BB2D9C0"/>
    <w:rsid w:val="2BB8E475"/>
    <w:rsid w:val="2BBED6B3"/>
    <w:rsid w:val="2BBF716B"/>
    <w:rsid w:val="2BC13EFD"/>
    <w:rsid w:val="2BC29490"/>
    <w:rsid w:val="2BC34B92"/>
    <w:rsid w:val="2BC4F75B"/>
    <w:rsid w:val="2BC5FC97"/>
    <w:rsid w:val="2BCB6AEB"/>
    <w:rsid w:val="2BD4F3B0"/>
    <w:rsid w:val="2BD87947"/>
    <w:rsid w:val="2BE02548"/>
    <w:rsid w:val="2BE2027D"/>
    <w:rsid w:val="2BEDFB18"/>
    <w:rsid w:val="2BF15B74"/>
    <w:rsid w:val="2BF7A1ED"/>
    <w:rsid w:val="2BFCFF08"/>
    <w:rsid w:val="2BFD67E2"/>
    <w:rsid w:val="2C00DA7B"/>
    <w:rsid w:val="2C045513"/>
    <w:rsid w:val="2C06AA2B"/>
    <w:rsid w:val="2C084416"/>
    <w:rsid w:val="2C123114"/>
    <w:rsid w:val="2C14AFEB"/>
    <w:rsid w:val="2C2117ED"/>
    <w:rsid w:val="2C236E94"/>
    <w:rsid w:val="2C27FD9F"/>
    <w:rsid w:val="2C28CDC9"/>
    <w:rsid w:val="2C349C5F"/>
    <w:rsid w:val="2C3911D7"/>
    <w:rsid w:val="2C3A90EB"/>
    <w:rsid w:val="2C460E8A"/>
    <w:rsid w:val="2C49FE5C"/>
    <w:rsid w:val="2C5488AA"/>
    <w:rsid w:val="2C55505A"/>
    <w:rsid w:val="2C5871DC"/>
    <w:rsid w:val="2C611B89"/>
    <w:rsid w:val="2C61519A"/>
    <w:rsid w:val="2C6593E0"/>
    <w:rsid w:val="2C6641EC"/>
    <w:rsid w:val="2C67C926"/>
    <w:rsid w:val="2C67EE1B"/>
    <w:rsid w:val="2C70BC26"/>
    <w:rsid w:val="2C719848"/>
    <w:rsid w:val="2C75639C"/>
    <w:rsid w:val="2C7613A5"/>
    <w:rsid w:val="2C77356D"/>
    <w:rsid w:val="2C7D4D39"/>
    <w:rsid w:val="2C82B1AF"/>
    <w:rsid w:val="2C8881BF"/>
    <w:rsid w:val="2C89E11F"/>
    <w:rsid w:val="2C8F197B"/>
    <w:rsid w:val="2C924565"/>
    <w:rsid w:val="2C92D9BA"/>
    <w:rsid w:val="2C966A01"/>
    <w:rsid w:val="2C96B389"/>
    <w:rsid w:val="2C9825BA"/>
    <w:rsid w:val="2CA375A4"/>
    <w:rsid w:val="2CA55DD4"/>
    <w:rsid w:val="2CAE15A5"/>
    <w:rsid w:val="2CB2449E"/>
    <w:rsid w:val="2CB7247E"/>
    <w:rsid w:val="2CB79124"/>
    <w:rsid w:val="2CB9A70D"/>
    <w:rsid w:val="2CBE7008"/>
    <w:rsid w:val="2CC35521"/>
    <w:rsid w:val="2CC44C72"/>
    <w:rsid w:val="2CCF6E14"/>
    <w:rsid w:val="2CD0F47E"/>
    <w:rsid w:val="2CD4930D"/>
    <w:rsid w:val="2CD55A1F"/>
    <w:rsid w:val="2CD81F57"/>
    <w:rsid w:val="2CD8904B"/>
    <w:rsid w:val="2CDA1EFC"/>
    <w:rsid w:val="2CDAFC4F"/>
    <w:rsid w:val="2CDD0DA7"/>
    <w:rsid w:val="2CE32805"/>
    <w:rsid w:val="2CE39FBD"/>
    <w:rsid w:val="2CE5AB85"/>
    <w:rsid w:val="2CE6C28B"/>
    <w:rsid w:val="2CE756D5"/>
    <w:rsid w:val="2CE8D475"/>
    <w:rsid w:val="2CEEBE27"/>
    <w:rsid w:val="2CF0B6BD"/>
    <w:rsid w:val="2CFCCCA9"/>
    <w:rsid w:val="2CFE39F6"/>
    <w:rsid w:val="2D00BB1E"/>
    <w:rsid w:val="2D032728"/>
    <w:rsid w:val="2D0588A7"/>
    <w:rsid w:val="2D085840"/>
    <w:rsid w:val="2D0A14AC"/>
    <w:rsid w:val="2D0ADEE1"/>
    <w:rsid w:val="2D0CD937"/>
    <w:rsid w:val="2D0D7AE8"/>
    <w:rsid w:val="2D131ABD"/>
    <w:rsid w:val="2D19EEF8"/>
    <w:rsid w:val="2D25692D"/>
    <w:rsid w:val="2D273BC5"/>
    <w:rsid w:val="2D28E67A"/>
    <w:rsid w:val="2D29EC3A"/>
    <w:rsid w:val="2D2B5F2F"/>
    <w:rsid w:val="2D2EE118"/>
    <w:rsid w:val="2D3062E2"/>
    <w:rsid w:val="2D3068AC"/>
    <w:rsid w:val="2D32B99D"/>
    <w:rsid w:val="2D397D82"/>
    <w:rsid w:val="2D3EFA64"/>
    <w:rsid w:val="2D49117E"/>
    <w:rsid w:val="2D50B6A4"/>
    <w:rsid w:val="2D556CF3"/>
    <w:rsid w:val="2D5AA714"/>
    <w:rsid w:val="2D5EB2FD"/>
    <w:rsid w:val="2D5F1BF3"/>
    <w:rsid w:val="2D624358"/>
    <w:rsid w:val="2D6363F6"/>
    <w:rsid w:val="2D652C27"/>
    <w:rsid w:val="2D66D7C3"/>
    <w:rsid w:val="2D67B406"/>
    <w:rsid w:val="2D67EFD5"/>
    <w:rsid w:val="2D6885B1"/>
    <w:rsid w:val="2D6D6D57"/>
    <w:rsid w:val="2D6DF9B8"/>
    <w:rsid w:val="2D6F5258"/>
    <w:rsid w:val="2D760C19"/>
    <w:rsid w:val="2D763AE7"/>
    <w:rsid w:val="2D763DE3"/>
    <w:rsid w:val="2D80AF7C"/>
    <w:rsid w:val="2D810A64"/>
    <w:rsid w:val="2D8381B4"/>
    <w:rsid w:val="2D8730F7"/>
    <w:rsid w:val="2D8AACAC"/>
    <w:rsid w:val="2D8F90B4"/>
    <w:rsid w:val="2D91698E"/>
    <w:rsid w:val="2D96AB2C"/>
    <w:rsid w:val="2D9B1226"/>
    <w:rsid w:val="2D9BC2E9"/>
    <w:rsid w:val="2D9E0217"/>
    <w:rsid w:val="2DA21993"/>
    <w:rsid w:val="2DA48FF0"/>
    <w:rsid w:val="2DA98F23"/>
    <w:rsid w:val="2DAAF3CB"/>
    <w:rsid w:val="2DAB1824"/>
    <w:rsid w:val="2DAD2E17"/>
    <w:rsid w:val="2DAEA174"/>
    <w:rsid w:val="2DB298EB"/>
    <w:rsid w:val="2DB3ED89"/>
    <w:rsid w:val="2DBC1C56"/>
    <w:rsid w:val="2DC3E030"/>
    <w:rsid w:val="2DC571D9"/>
    <w:rsid w:val="2DCB70CD"/>
    <w:rsid w:val="2DD1D0B9"/>
    <w:rsid w:val="2DD8B9D3"/>
    <w:rsid w:val="2DDA3326"/>
    <w:rsid w:val="2DDFC594"/>
    <w:rsid w:val="2DE11143"/>
    <w:rsid w:val="2DE355E5"/>
    <w:rsid w:val="2DEBF08B"/>
    <w:rsid w:val="2DF44E4E"/>
    <w:rsid w:val="2DFCAD37"/>
    <w:rsid w:val="2E01064F"/>
    <w:rsid w:val="2E06FCBC"/>
    <w:rsid w:val="2E098DE6"/>
    <w:rsid w:val="2E16B5EB"/>
    <w:rsid w:val="2E170DF7"/>
    <w:rsid w:val="2E1972A4"/>
    <w:rsid w:val="2E1A376C"/>
    <w:rsid w:val="2E223F12"/>
    <w:rsid w:val="2E226027"/>
    <w:rsid w:val="2E247333"/>
    <w:rsid w:val="2E26653E"/>
    <w:rsid w:val="2E2DDD6B"/>
    <w:rsid w:val="2E30C89D"/>
    <w:rsid w:val="2E32D624"/>
    <w:rsid w:val="2E3C2833"/>
    <w:rsid w:val="2E3F0665"/>
    <w:rsid w:val="2E42A771"/>
    <w:rsid w:val="2E45569E"/>
    <w:rsid w:val="2E48306E"/>
    <w:rsid w:val="2E4E4A44"/>
    <w:rsid w:val="2E5377C9"/>
    <w:rsid w:val="2E55D08E"/>
    <w:rsid w:val="2E5AE8ED"/>
    <w:rsid w:val="2E5FF62A"/>
    <w:rsid w:val="2E62B08B"/>
    <w:rsid w:val="2E682EEF"/>
    <w:rsid w:val="2E683272"/>
    <w:rsid w:val="2E6BC731"/>
    <w:rsid w:val="2E6CB015"/>
    <w:rsid w:val="2E6CBC54"/>
    <w:rsid w:val="2E72017B"/>
    <w:rsid w:val="2E72D113"/>
    <w:rsid w:val="2E78DE08"/>
    <w:rsid w:val="2E78FFEF"/>
    <w:rsid w:val="2E7ADFDE"/>
    <w:rsid w:val="2E7C73CD"/>
    <w:rsid w:val="2E7CF53D"/>
    <w:rsid w:val="2E83729E"/>
    <w:rsid w:val="2E85C5F0"/>
    <w:rsid w:val="2E88F932"/>
    <w:rsid w:val="2E8CA4C4"/>
    <w:rsid w:val="2E8CC137"/>
    <w:rsid w:val="2E8FA434"/>
    <w:rsid w:val="2E962584"/>
    <w:rsid w:val="2E97D0AC"/>
    <w:rsid w:val="2E99C2F6"/>
    <w:rsid w:val="2EA13141"/>
    <w:rsid w:val="2EA2DE6C"/>
    <w:rsid w:val="2EA6B2CC"/>
    <w:rsid w:val="2EAFC9B2"/>
    <w:rsid w:val="2EB6FE50"/>
    <w:rsid w:val="2EB7F2E4"/>
    <w:rsid w:val="2EC109EE"/>
    <w:rsid w:val="2ECB33A1"/>
    <w:rsid w:val="2ECE18F2"/>
    <w:rsid w:val="2ECF8F35"/>
    <w:rsid w:val="2ED82FF3"/>
    <w:rsid w:val="2EDB3689"/>
    <w:rsid w:val="2EDD2E74"/>
    <w:rsid w:val="2EDDF783"/>
    <w:rsid w:val="2EDEADAC"/>
    <w:rsid w:val="2EE15776"/>
    <w:rsid w:val="2EE171A1"/>
    <w:rsid w:val="2EE2DF13"/>
    <w:rsid w:val="2EE4D91C"/>
    <w:rsid w:val="2EE990D0"/>
    <w:rsid w:val="2EF65E2A"/>
    <w:rsid w:val="2EF67775"/>
    <w:rsid w:val="2EF8A41C"/>
    <w:rsid w:val="2F068821"/>
    <w:rsid w:val="2F11652B"/>
    <w:rsid w:val="2F178835"/>
    <w:rsid w:val="2F1AEA06"/>
    <w:rsid w:val="2F1C83E1"/>
    <w:rsid w:val="2F224C44"/>
    <w:rsid w:val="2F294249"/>
    <w:rsid w:val="2F2FCF2D"/>
    <w:rsid w:val="2F3017D9"/>
    <w:rsid w:val="2F321864"/>
    <w:rsid w:val="2F458224"/>
    <w:rsid w:val="2F46EC9C"/>
    <w:rsid w:val="2F48FE78"/>
    <w:rsid w:val="2F494B81"/>
    <w:rsid w:val="2F4AD6EE"/>
    <w:rsid w:val="2F4C013C"/>
    <w:rsid w:val="2F4C6ABF"/>
    <w:rsid w:val="2F4F8D80"/>
    <w:rsid w:val="2F53A434"/>
    <w:rsid w:val="2F56B4A6"/>
    <w:rsid w:val="2F57E8D3"/>
    <w:rsid w:val="2F594D4B"/>
    <w:rsid w:val="2F5CE85E"/>
    <w:rsid w:val="2F6707F9"/>
    <w:rsid w:val="2F67B9D2"/>
    <w:rsid w:val="2F6BC17B"/>
    <w:rsid w:val="2F6DDE79"/>
    <w:rsid w:val="2F70185E"/>
    <w:rsid w:val="2F738AC2"/>
    <w:rsid w:val="2F769640"/>
    <w:rsid w:val="2F7A6F47"/>
    <w:rsid w:val="2F7AFD0A"/>
    <w:rsid w:val="2F7E9E7E"/>
    <w:rsid w:val="2F807979"/>
    <w:rsid w:val="2F8E0194"/>
    <w:rsid w:val="2F949FAA"/>
    <w:rsid w:val="2F97ECAD"/>
    <w:rsid w:val="2F98A3E8"/>
    <w:rsid w:val="2FA13940"/>
    <w:rsid w:val="2FA451A9"/>
    <w:rsid w:val="2FA71E3F"/>
    <w:rsid w:val="2FA80B16"/>
    <w:rsid w:val="2FA93A01"/>
    <w:rsid w:val="2FABBBBC"/>
    <w:rsid w:val="2FAD08C6"/>
    <w:rsid w:val="2FB19D34"/>
    <w:rsid w:val="2FB51003"/>
    <w:rsid w:val="2FB7023B"/>
    <w:rsid w:val="2FB94AD2"/>
    <w:rsid w:val="2FBA3BD4"/>
    <w:rsid w:val="2FBAA116"/>
    <w:rsid w:val="2FBABE72"/>
    <w:rsid w:val="2FBB73C5"/>
    <w:rsid w:val="2FC62763"/>
    <w:rsid w:val="2FC64AA9"/>
    <w:rsid w:val="2FC7D0A1"/>
    <w:rsid w:val="2FC8F275"/>
    <w:rsid w:val="2FCB766D"/>
    <w:rsid w:val="2FCD4C0D"/>
    <w:rsid w:val="2FCDBC59"/>
    <w:rsid w:val="2FD1F037"/>
    <w:rsid w:val="2FD25CC4"/>
    <w:rsid w:val="2FD3CC3C"/>
    <w:rsid w:val="2FDA817A"/>
    <w:rsid w:val="2FDECDD6"/>
    <w:rsid w:val="2FDEE573"/>
    <w:rsid w:val="2FE18AE2"/>
    <w:rsid w:val="2FE400CF"/>
    <w:rsid w:val="2FE5588F"/>
    <w:rsid w:val="2FE799DC"/>
    <w:rsid w:val="2FEAFC8A"/>
    <w:rsid w:val="2FF37633"/>
    <w:rsid w:val="2FF5A6DC"/>
    <w:rsid w:val="2FF77CC8"/>
    <w:rsid w:val="2FF83753"/>
    <w:rsid w:val="2FFC154D"/>
    <w:rsid w:val="2FFE9139"/>
    <w:rsid w:val="2FFF68D1"/>
    <w:rsid w:val="3002578B"/>
    <w:rsid w:val="30028BBB"/>
    <w:rsid w:val="30073DCB"/>
    <w:rsid w:val="300984EC"/>
    <w:rsid w:val="300D28AA"/>
    <w:rsid w:val="300E1AD7"/>
    <w:rsid w:val="3012E1D2"/>
    <w:rsid w:val="3015D724"/>
    <w:rsid w:val="30191315"/>
    <w:rsid w:val="301E00DB"/>
    <w:rsid w:val="301F8E0B"/>
    <w:rsid w:val="302624E5"/>
    <w:rsid w:val="302928A7"/>
    <w:rsid w:val="302B12A1"/>
    <w:rsid w:val="303006E4"/>
    <w:rsid w:val="30303745"/>
    <w:rsid w:val="3030468A"/>
    <w:rsid w:val="3031EE2C"/>
    <w:rsid w:val="3038E48D"/>
    <w:rsid w:val="304065A8"/>
    <w:rsid w:val="30407996"/>
    <w:rsid w:val="304AC979"/>
    <w:rsid w:val="304DDC54"/>
    <w:rsid w:val="3059B5F4"/>
    <w:rsid w:val="3059DA41"/>
    <w:rsid w:val="305C54D4"/>
    <w:rsid w:val="30600587"/>
    <w:rsid w:val="3061DED5"/>
    <w:rsid w:val="3069951E"/>
    <w:rsid w:val="3069D7CB"/>
    <w:rsid w:val="306A5AF6"/>
    <w:rsid w:val="306C264F"/>
    <w:rsid w:val="306D31A2"/>
    <w:rsid w:val="306EB2C9"/>
    <w:rsid w:val="306F0CB1"/>
    <w:rsid w:val="30700D8F"/>
    <w:rsid w:val="30716579"/>
    <w:rsid w:val="3071BD60"/>
    <w:rsid w:val="3076645A"/>
    <w:rsid w:val="307C0667"/>
    <w:rsid w:val="3080A97D"/>
    <w:rsid w:val="308215A4"/>
    <w:rsid w:val="30839176"/>
    <w:rsid w:val="3087BBFD"/>
    <w:rsid w:val="308A8855"/>
    <w:rsid w:val="308F4D61"/>
    <w:rsid w:val="309247D6"/>
    <w:rsid w:val="30947426"/>
    <w:rsid w:val="30966E28"/>
    <w:rsid w:val="30966E31"/>
    <w:rsid w:val="3098A6FF"/>
    <w:rsid w:val="30998ACA"/>
    <w:rsid w:val="309C6DC9"/>
    <w:rsid w:val="309D3764"/>
    <w:rsid w:val="309D5472"/>
    <w:rsid w:val="309FA32A"/>
    <w:rsid w:val="30A1759F"/>
    <w:rsid w:val="30A353E8"/>
    <w:rsid w:val="30A71606"/>
    <w:rsid w:val="30A8B5B9"/>
    <w:rsid w:val="30B56468"/>
    <w:rsid w:val="30C03A93"/>
    <w:rsid w:val="30CCA515"/>
    <w:rsid w:val="30CD6BFC"/>
    <w:rsid w:val="30CFB98C"/>
    <w:rsid w:val="30D4BACC"/>
    <w:rsid w:val="30D4D75E"/>
    <w:rsid w:val="30D59ECF"/>
    <w:rsid w:val="30DB47A9"/>
    <w:rsid w:val="30DEBF4F"/>
    <w:rsid w:val="30E1A511"/>
    <w:rsid w:val="30E2BE79"/>
    <w:rsid w:val="30E378F1"/>
    <w:rsid w:val="30E44707"/>
    <w:rsid w:val="30E7ACE8"/>
    <w:rsid w:val="30E8DF81"/>
    <w:rsid w:val="30EBB907"/>
    <w:rsid w:val="30EC57B0"/>
    <w:rsid w:val="30F0F2C1"/>
    <w:rsid w:val="30F76023"/>
    <w:rsid w:val="30FB45D9"/>
    <w:rsid w:val="31019DD1"/>
    <w:rsid w:val="3107026C"/>
    <w:rsid w:val="31074D54"/>
    <w:rsid w:val="31077059"/>
    <w:rsid w:val="31113532"/>
    <w:rsid w:val="3114E752"/>
    <w:rsid w:val="3117900B"/>
    <w:rsid w:val="311AC9E1"/>
    <w:rsid w:val="311C00EA"/>
    <w:rsid w:val="311FB66B"/>
    <w:rsid w:val="3120298A"/>
    <w:rsid w:val="312AD3CC"/>
    <w:rsid w:val="312B2E91"/>
    <w:rsid w:val="312D8249"/>
    <w:rsid w:val="312DDD9E"/>
    <w:rsid w:val="31334E99"/>
    <w:rsid w:val="313B8842"/>
    <w:rsid w:val="313D48FF"/>
    <w:rsid w:val="31431177"/>
    <w:rsid w:val="3148C573"/>
    <w:rsid w:val="3153CC5B"/>
    <w:rsid w:val="315762C5"/>
    <w:rsid w:val="315C37BA"/>
    <w:rsid w:val="316391D7"/>
    <w:rsid w:val="316602D5"/>
    <w:rsid w:val="3168D932"/>
    <w:rsid w:val="3169DB24"/>
    <w:rsid w:val="316B1EC9"/>
    <w:rsid w:val="316DC098"/>
    <w:rsid w:val="316E2C43"/>
    <w:rsid w:val="316FCDE5"/>
    <w:rsid w:val="31789EEA"/>
    <w:rsid w:val="317FD130"/>
    <w:rsid w:val="3180BCBB"/>
    <w:rsid w:val="3181693E"/>
    <w:rsid w:val="31863903"/>
    <w:rsid w:val="3187B7CF"/>
    <w:rsid w:val="31886741"/>
    <w:rsid w:val="318A60E7"/>
    <w:rsid w:val="318B1C04"/>
    <w:rsid w:val="318F8808"/>
    <w:rsid w:val="31923733"/>
    <w:rsid w:val="3192B4A9"/>
    <w:rsid w:val="3193E324"/>
    <w:rsid w:val="3196F6A7"/>
    <w:rsid w:val="319B3932"/>
    <w:rsid w:val="319C501C"/>
    <w:rsid w:val="319CEFFD"/>
    <w:rsid w:val="319D0CCD"/>
    <w:rsid w:val="31A151C5"/>
    <w:rsid w:val="31A1539E"/>
    <w:rsid w:val="31A7251D"/>
    <w:rsid w:val="31A98343"/>
    <w:rsid w:val="31AE7A4E"/>
    <w:rsid w:val="31B34935"/>
    <w:rsid w:val="31B62785"/>
    <w:rsid w:val="31B8A52A"/>
    <w:rsid w:val="31BA7FCF"/>
    <w:rsid w:val="31BBAF02"/>
    <w:rsid w:val="31C088CB"/>
    <w:rsid w:val="31C41C27"/>
    <w:rsid w:val="31C6116B"/>
    <w:rsid w:val="31CE4AF5"/>
    <w:rsid w:val="31CF9D0C"/>
    <w:rsid w:val="31D25A09"/>
    <w:rsid w:val="31D94556"/>
    <w:rsid w:val="31DB1389"/>
    <w:rsid w:val="31DB9037"/>
    <w:rsid w:val="31E4BE66"/>
    <w:rsid w:val="31E5B59C"/>
    <w:rsid w:val="31E7466A"/>
    <w:rsid w:val="31F2E053"/>
    <w:rsid w:val="31F4283D"/>
    <w:rsid w:val="31F6BA35"/>
    <w:rsid w:val="31FF27B9"/>
    <w:rsid w:val="32008EB2"/>
    <w:rsid w:val="32011387"/>
    <w:rsid w:val="3201583B"/>
    <w:rsid w:val="32072FF7"/>
    <w:rsid w:val="320AE236"/>
    <w:rsid w:val="320C6D58"/>
    <w:rsid w:val="320FB5B9"/>
    <w:rsid w:val="32113054"/>
    <w:rsid w:val="32126820"/>
    <w:rsid w:val="321ABABF"/>
    <w:rsid w:val="321B98E9"/>
    <w:rsid w:val="321C780C"/>
    <w:rsid w:val="321F465E"/>
    <w:rsid w:val="321FCD71"/>
    <w:rsid w:val="32216DAF"/>
    <w:rsid w:val="3221DDB6"/>
    <w:rsid w:val="32230898"/>
    <w:rsid w:val="32243CFB"/>
    <w:rsid w:val="32293BE3"/>
    <w:rsid w:val="322AA0E0"/>
    <w:rsid w:val="322DBDD7"/>
    <w:rsid w:val="32324C59"/>
    <w:rsid w:val="3236F5AB"/>
    <w:rsid w:val="3238AFE5"/>
    <w:rsid w:val="323BFA0A"/>
    <w:rsid w:val="32404EB3"/>
    <w:rsid w:val="32492BDC"/>
    <w:rsid w:val="324EEFC7"/>
    <w:rsid w:val="3251732D"/>
    <w:rsid w:val="325A3858"/>
    <w:rsid w:val="3268150C"/>
    <w:rsid w:val="3268447D"/>
    <w:rsid w:val="32703377"/>
    <w:rsid w:val="32767922"/>
    <w:rsid w:val="327764DB"/>
    <w:rsid w:val="327B24CA"/>
    <w:rsid w:val="3280D076"/>
    <w:rsid w:val="32811E6F"/>
    <w:rsid w:val="3282A698"/>
    <w:rsid w:val="328305F7"/>
    <w:rsid w:val="328B140D"/>
    <w:rsid w:val="328C531A"/>
    <w:rsid w:val="328DC32B"/>
    <w:rsid w:val="328E7C6F"/>
    <w:rsid w:val="3291CC06"/>
    <w:rsid w:val="329F4B36"/>
    <w:rsid w:val="329F5A94"/>
    <w:rsid w:val="329FD967"/>
    <w:rsid w:val="32AE1F8D"/>
    <w:rsid w:val="32B1BEC9"/>
    <w:rsid w:val="32B321AF"/>
    <w:rsid w:val="32C21FA5"/>
    <w:rsid w:val="32C34125"/>
    <w:rsid w:val="32C585C2"/>
    <w:rsid w:val="32C7FEE4"/>
    <w:rsid w:val="32C9AB6B"/>
    <w:rsid w:val="32C9D5B9"/>
    <w:rsid w:val="32CC6B5A"/>
    <w:rsid w:val="32D38DC7"/>
    <w:rsid w:val="32D44360"/>
    <w:rsid w:val="32D7445D"/>
    <w:rsid w:val="32D78876"/>
    <w:rsid w:val="32E406F0"/>
    <w:rsid w:val="32E4761A"/>
    <w:rsid w:val="32E4DFAD"/>
    <w:rsid w:val="32E86820"/>
    <w:rsid w:val="32E9921E"/>
    <w:rsid w:val="32EC472E"/>
    <w:rsid w:val="32ED78F7"/>
    <w:rsid w:val="32F4BE6E"/>
    <w:rsid w:val="32F5BBF3"/>
    <w:rsid w:val="32F6E681"/>
    <w:rsid w:val="32F9864B"/>
    <w:rsid w:val="3300C36C"/>
    <w:rsid w:val="33011CFC"/>
    <w:rsid w:val="33017739"/>
    <w:rsid w:val="33019A14"/>
    <w:rsid w:val="33065391"/>
    <w:rsid w:val="3307D4AB"/>
    <w:rsid w:val="3308B52F"/>
    <w:rsid w:val="330E0378"/>
    <w:rsid w:val="330F8E4A"/>
    <w:rsid w:val="33166BA2"/>
    <w:rsid w:val="331BA191"/>
    <w:rsid w:val="331CF722"/>
    <w:rsid w:val="33233D04"/>
    <w:rsid w:val="3323E3A7"/>
    <w:rsid w:val="3325B3B7"/>
    <w:rsid w:val="332B0129"/>
    <w:rsid w:val="332CED8B"/>
    <w:rsid w:val="332D9582"/>
    <w:rsid w:val="332E1AAC"/>
    <w:rsid w:val="333717BB"/>
    <w:rsid w:val="33371D01"/>
    <w:rsid w:val="3339DCBE"/>
    <w:rsid w:val="333E2530"/>
    <w:rsid w:val="333F4674"/>
    <w:rsid w:val="33407DF8"/>
    <w:rsid w:val="3342DF69"/>
    <w:rsid w:val="334707AD"/>
    <w:rsid w:val="33482E6B"/>
    <w:rsid w:val="33495ABB"/>
    <w:rsid w:val="3354AF2C"/>
    <w:rsid w:val="335A1C67"/>
    <w:rsid w:val="336106FB"/>
    <w:rsid w:val="3363BD39"/>
    <w:rsid w:val="3364B323"/>
    <w:rsid w:val="336553E4"/>
    <w:rsid w:val="3365BC3F"/>
    <w:rsid w:val="3367507B"/>
    <w:rsid w:val="336CED76"/>
    <w:rsid w:val="33708B9F"/>
    <w:rsid w:val="3377A5E0"/>
    <w:rsid w:val="337A9553"/>
    <w:rsid w:val="337E2789"/>
    <w:rsid w:val="337E6AC4"/>
    <w:rsid w:val="33885961"/>
    <w:rsid w:val="33896E8D"/>
    <w:rsid w:val="338A2C9B"/>
    <w:rsid w:val="338B7994"/>
    <w:rsid w:val="338DA90F"/>
    <w:rsid w:val="3391F801"/>
    <w:rsid w:val="33936050"/>
    <w:rsid w:val="3394BF47"/>
    <w:rsid w:val="3396FF35"/>
    <w:rsid w:val="33998371"/>
    <w:rsid w:val="339A28DA"/>
    <w:rsid w:val="33A6AD73"/>
    <w:rsid w:val="33A6B3D0"/>
    <w:rsid w:val="33A9063B"/>
    <w:rsid w:val="33ABB569"/>
    <w:rsid w:val="33AE0DD6"/>
    <w:rsid w:val="33AE447C"/>
    <w:rsid w:val="33AEF758"/>
    <w:rsid w:val="33AF2873"/>
    <w:rsid w:val="33B14624"/>
    <w:rsid w:val="33B48C20"/>
    <w:rsid w:val="33B7D305"/>
    <w:rsid w:val="33B8D777"/>
    <w:rsid w:val="33B9BCE4"/>
    <w:rsid w:val="33BA84E8"/>
    <w:rsid w:val="33BC94F7"/>
    <w:rsid w:val="33BED8F9"/>
    <w:rsid w:val="33C0E348"/>
    <w:rsid w:val="33C101B5"/>
    <w:rsid w:val="33C56B7F"/>
    <w:rsid w:val="33C5FF74"/>
    <w:rsid w:val="33C9B67C"/>
    <w:rsid w:val="33D14545"/>
    <w:rsid w:val="33D3B03C"/>
    <w:rsid w:val="33D47191"/>
    <w:rsid w:val="33D48046"/>
    <w:rsid w:val="33DCF8BF"/>
    <w:rsid w:val="33E2A7A8"/>
    <w:rsid w:val="33E5240E"/>
    <w:rsid w:val="33E63DF6"/>
    <w:rsid w:val="33ED5A3A"/>
    <w:rsid w:val="33EE964D"/>
    <w:rsid w:val="33EFA36C"/>
    <w:rsid w:val="33F25629"/>
    <w:rsid w:val="33FBD0BF"/>
    <w:rsid w:val="33FC838E"/>
    <w:rsid w:val="33FCB36C"/>
    <w:rsid w:val="34010947"/>
    <w:rsid w:val="3401C8CB"/>
    <w:rsid w:val="3403A217"/>
    <w:rsid w:val="340445D7"/>
    <w:rsid w:val="340BE96B"/>
    <w:rsid w:val="340DA976"/>
    <w:rsid w:val="340F5BA8"/>
    <w:rsid w:val="3410BC44"/>
    <w:rsid w:val="341A26A6"/>
    <w:rsid w:val="341A8624"/>
    <w:rsid w:val="342089E8"/>
    <w:rsid w:val="3424D615"/>
    <w:rsid w:val="3424F105"/>
    <w:rsid w:val="342F2DED"/>
    <w:rsid w:val="34339B2F"/>
    <w:rsid w:val="3434BBFD"/>
    <w:rsid w:val="3437060A"/>
    <w:rsid w:val="343EF41A"/>
    <w:rsid w:val="3441C86F"/>
    <w:rsid w:val="345110C7"/>
    <w:rsid w:val="3456D305"/>
    <w:rsid w:val="345F11F5"/>
    <w:rsid w:val="345F69D6"/>
    <w:rsid w:val="345FB9B6"/>
    <w:rsid w:val="345FF4B6"/>
    <w:rsid w:val="3461AED1"/>
    <w:rsid w:val="3463C1D5"/>
    <w:rsid w:val="3468D123"/>
    <w:rsid w:val="346CE38F"/>
    <w:rsid w:val="346D88F9"/>
    <w:rsid w:val="3477C1EB"/>
    <w:rsid w:val="347EC8D0"/>
    <w:rsid w:val="34825A6D"/>
    <w:rsid w:val="34832A59"/>
    <w:rsid w:val="348887E8"/>
    <w:rsid w:val="3488AD6B"/>
    <w:rsid w:val="348C828F"/>
    <w:rsid w:val="348F5795"/>
    <w:rsid w:val="34927DC3"/>
    <w:rsid w:val="3494FE64"/>
    <w:rsid w:val="3496841D"/>
    <w:rsid w:val="3497B7A1"/>
    <w:rsid w:val="3498648E"/>
    <w:rsid w:val="349961C8"/>
    <w:rsid w:val="349E60BC"/>
    <w:rsid w:val="34A17BE6"/>
    <w:rsid w:val="34A7A32E"/>
    <w:rsid w:val="34AB3DC8"/>
    <w:rsid w:val="34ABA510"/>
    <w:rsid w:val="34AC646C"/>
    <w:rsid w:val="34B0BB5B"/>
    <w:rsid w:val="34B3CF58"/>
    <w:rsid w:val="34B5BE67"/>
    <w:rsid w:val="34B9369B"/>
    <w:rsid w:val="34BB7AE5"/>
    <w:rsid w:val="34BDCC76"/>
    <w:rsid w:val="34BF7A5D"/>
    <w:rsid w:val="34C694A4"/>
    <w:rsid w:val="34CD0152"/>
    <w:rsid w:val="34D084C1"/>
    <w:rsid w:val="34D1D900"/>
    <w:rsid w:val="34DDFB58"/>
    <w:rsid w:val="34E1C955"/>
    <w:rsid w:val="34E1EDAF"/>
    <w:rsid w:val="34E58124"/>
    <w:rsid w:val="34EA46AB"/>
    <w:rsid w:val="34EC6BF3"/>
    <w:rsid w:val="34ECA014"/>
    <w:rsid w:val="34ECCAFA"/>
    <w:rsid w:val="34F123BF"/>
    <w:rsid w:val="34F66325"/>
    <w:rsid w:val="34FAD80C"/>
    <w:rsid w:val="34FEE5F6"/>
    <w:rsid w:val="3502D9BA"/>
    <w:rsid w:val="3506FCDE"/>
    <w:rsid w:val="35087644"/>
    <w:rsid w:val="350A489A"/>
    <w:rsid w:val="3510C13B"/>
    <w:rsid w:val="3510EF5A"/>
    <w:rsid w:val="3510F881"/>
    <w:rsid w:val="35156961"/>
    <w:rsid w:val="35175B67"/>
    <w:rsid w:val="35192847"/>
    <w:rsid w:val="351B6535"/>
    <w:rsid w:val="35239024"/>
    <w:rsid w:val="3524354D"/>
    <w:rsid w:val="3526FDAF"/>
    <w:rsid w:val="352B3C38"/>
    <w:rsid w:val="35307B12"/>
    <w:rsid w:val="3536C87B"/>
    <w:rsid w:val="35380EFD"/>
    <w:rsid w:val="3543C848"/>
    <w:rsid w:val="35447863"/>
    <w:rsid w:val="3546F32B"/>
    <w:rsid w:val="3549DE37"/>
    <w:rsid w:val="354BED05"/>
    <w:rsid w:val="35508728"/>
    <w:rsid w:val="35511C39"/>
    <w:rsid w:val="35556554"/>
    <w:rsid w:val="3556E720"/>
    <w:rsid w:val="35572962"/>
    <w:rsid w:val="35595372"/>
    <w:rsid w:val="355A73FF"/>
    <w:rsid w:val="3561FB91"/>
    <w:rsid w:val="3562E706"/>
    <w:rsid w:val="3567407D"/>
    <w:rsid w:val="356760BB"/>
    <w:rsid w:val="356904C9"/>
    <w:rsid w:val="356DA91F"/>
    <w:rsid w:val="357041F2"/>
    <w:rsid w:val="35733911"/>
    <w:rsid w:val="3575ABC6"/>
    <w:rsid w:val="3578D6D7"/>
    <w:rsid w:val="3578E2CF"/>
    <w:rsid w:val="3578F976"/>
    <w:rsid w:val="357A643D"/>
    <w:rsid w:val="357C9AB0"/>
    <w:rsid w:val="357E59AB"/>
    <w:rsid w:val="357F155D"/>
    <w:rsid w:val="358F7939"/>
    <w:rsid w:val="3590F598"/>
    <w:rsid w:val="3592964D"/>
    <w:rsid w:val="35990A32"/>
    <w:rsid w:val="3599433B"/>
    <w:rsid w:val="3599D512"/>
    <w:rsid w:val="359E28A3"/>
    <w:rsid w:val="35A269D4"/>
    <w:rsid w:val="35A519C7"/>
    <w:rsid w:val="35AD1D0E"/>
    <w:rsid w:val="35B579B2"/>
    <w:rsid w:val="35B93D27"/>
    <w:rsid w:val="35BA8A3C"/>
    <w:rsid w:val="35BDC7D8"/>
    <w:rsid w:val="35C48DA4"/>
    <w:rsid w:val="35C7A159"/>
    <w:rsid w:val="35CA9869"/>
    <w:rsid w:val="35CED75A"/>
    <w:rsid w:val="35CF461A"/>
    <w:rsid w:val="35CF846C"/>
    <w:rsid w:val="35CF9CEF"/>
    <w:rsid w:val="35D2C993"/>
    <w:rsid w:val="35D72172"/>
    <w:rsid w:val="35DE397B"/>
    <w:rsid w:val="35E67FB5"/>
    <w:rsid w:val="35EAC40B"/>
    <w:rsid w:val="35EF2653"/>
    <w:rsid w:val="35F82665"/>
    <w:rsid w:val="35F89496"/>
    <w:rsid w:val="36041D5E"/>
    <w:rsid w:val="3606C4FC"/>
    <w:rsid w:val="3606E214"/>
    <w:rsid w:val="360B8846"/>
    <w:rsid w:val="360D23FC"/>
    <w:rsid w:val="360EA5DB"/>
    <w:rsid w:val="36129B87"/>
    <w:rsid w:val="36147E1C"/>
    <w:rsid w:val="36152832"/>
    <w:rsid w:val="36186C47"/>
    <w:rsid w:val="3619D7B2"/>
    <w:rsid w:val="362482EE"/>
    <w:rsid w:val="3625BDA7"/>
    <w:rsid w:val="3626C7B0"/>
    <w:rsid w:val="3627756B"/>
    <w:rsid w:val="36312846"/>
    <w:rsid w:val="363B0CDC"/>
    <w:rsid w:val="363FB97B"/>
    <w:rsid w:val="363FF376"/>
    <w:rsid w:val="3640A6B8"/>
    <w:rsid w:val="3640D8F4"/>
    <w:rsid w:val="36426E97"/>
    <w:rsid w:val="3647A6BE"/>
    <w:rsid w:val="3647BA9C"/>
    <w:rsid w:val="36496626"/>
    <w:rsid w:val="364A5C07"/>
    <w:rsid w:val="364A9D8D"/>
    <w:rsid w:val="364C4FB0"/>
    <w:rsid w:val="365575CB"/>
    <w:rsid w:val="365826E3"/>
    <w:rsid w:val="365ADDFF"/>
    <w:rsid w:val="365F14F1"/>
    <w:rsid w:val="3663C5EA"/>
    <w:rsid w:val="36640ACB"/>
    <w:rsid w:val="366B4BE2"/>
    <w:rsid w:val="366EEDCD"/>
    <w:rsid w:val="3672B9BC"/>
    <w:rsid w:val="3673EA17"/>
    <w:rsid w:val="3677B7F4"/>
    <w:rsid w:val="367DBE10"/>
    <w:rsid w:val="36825E47"/>
    <w:rsid w:val="3684CB57"/>
    <w:rsid w:val="368500BE"/>
    <w:rsid w:val="368B4D3C"/>
    <w:rsid w:val="368D7E03"/>
    <w:rsid w:val="368E0624"/>
    <w:rsid w:val="3692DD11"/>
    <w:rsid w:val="3697A441"/>
    <w:rsid w:val="36981541"/>
    <w:rsid w:val="369C5CE8"/>
    <w:rsid w:val="36A54AF0"/>
    <w:rsid w:val="36A5BEE7"/>
    <w:rsid w:val="36A8E7D8"/>
    <w:rsid w:val="36AA562E"/>
    <w:rsid w:val="36AD6E72"/>
    <w:rsid w:val="36AFFAF5"/>
    <w:rsid w:val="36B09387"/>
    <w:rsid w:val="36B8DB61"/>
    <w:rsid w:val="36B93B76"/>
    <w:rsid w:val="36BAD10D"/>
    <w:rsid w:val="36C24893"/>
    <w:rsid w:val="36C2582F"/>
    <w:rsid w:val="36C4DEE6"/>
    <w:rsid w:val="36C78FBB"/>
    <w:rsid w:val="36DB4701"/>
    <w:rsid w:val="36DE9331"/>
    <w:rsid w:val="36E8B9D7"/>
    <w:rsid w:val="36EC951F"/>
    <w:rsid w:val="36F47904"/>
    <w:rsid w:val="36F5E2FB"/>
    <w:rsid w:val="36FB4E33"/>
    <w:rsid w:val="36FCAD06"/>
    <w:rsid w:val="3701AD14"/>
    <w:rsid w:val="3701D712"/>
    <w:rsid w:val="3703C6BA"/>
    <w:rsid w:val="3707BF64"/>
    <w:rsid w:val="370BA79A"/>
    <w:rsid w:val="370D59FE"/>
    <w:rsid w:val="370E1C6C"/>
    <w:rsid w:val="37100CF7"/>
    <w:rsid w:val="37116802"/>
    <w:rsid w:val="3715AC27"/>
    <w:rsid w:val="37161C8C"/>
    <w:rsid w:val="3719EC40"/>
    <w:rsid w:val="371AFE47"/>
    <w:rsid w:val="3720C9FF"/>
    <w:rsid w:val="3725A09A"/>
    <w:rsid w:val="372C09BA"/>
    <w:rsid w:val="372FF9E7"/>
    <w:rsid w:val="373B193C"/>
    <w:rsid w:val="373D1EE5"/>
    <w:rsid w:val="373FA6D1"/>
    <w:rsid w:val="3741FBFB"/>
    <w:rsid w:val="3743D479"/>
    <w:rsid w:val="3744D8A2"/>
    <w:rsid w:val="374724F6"/>
    <w:rsid w:val="37495CD2"/>
    <w:rsid w:val="374DC6F0"/>
    <w:rsid w:val="3752946B"/>
    <w:rsid w:val="37530F8B"/>
    <w:rsid w:val="37551730"/>
    <w:rsid w:val="3758D1DF"/>
    <w:rsid w:val="375E2AB5"/>
    <w:rsid w:val="3762F42E"/>
    <w:rsid w:val="376879EC"/>
    <w:rsid w:val="376DC8D5"/>
    <w:rsid w:val="37709F2E"/>
    <w:rsid w:val="377AF5AB"/>
    <w:rsid w:val="3783CB22"/>
    <w:rsid w:val="3787FA89"/>
    <w:rsid w:val="37885371"/>
    <w:rsid w:val="378D7B56"/>
    <w:rsid w:val="378E83B1"/>
    <w:rsid w:val="379DA61E"/>
    <w:rsid w:val="37ACEE16"/>
    <w:rsid w:val="37B557E9"/>
    <w:rsid w:val="37B5FBB5"/>
    <w:rsid w:val="37B6F450"/>
    <w:rsid w:val="37B95571"/>
    <w:rsid w:val="37BA4DD7"/>
    <w:rsid w:val="37BD690E"/>
    <w:rsid w:val="37C0C0B0"/>
    <w:rsid w:val="37C2DB9C"/>
    <w:rsid w:val="37C5DF0F"/>
    <w:rsid w:val="37C6154A"/>
    <w:rsid w:val="37C7D836"/>
    <w:rsid w:val="37C86605"/>
    <w:rsid w:val="37CEF44F"/>
    <w:rsid w:val="37D5577D"/>
    <w:rsid w:val="37D85AF5"/>
    <w:rsid w:val="37DB6EA1"/>
    <w:rsid w:val="37DBB1E6"/>
    <w:rsid w:val="37DCDB78"/>
    <w:rsid w:val="37E80A2D"/>
    <w:rsid w:val="37E83CE8"/>
    <w:rsid w:val="37EAAB57"/>
    <w:rsid w:val="37ED8E8A"/>
    <w:rsid w:val="37EE7236"/>
    <w:rsid w:val="37F2BE64"/>
    <w:rsid w:val="37F348C5"/>
    <w:rsid w:val="37F5D0D4"/>
    <w:rsid w:val="37F8DBCE"/>
    <w:rsid w:val="37FF604D"/>
    <w:rsid w:val="38005D6D"/>
    <w:rsid w:val="38050B48"/>
    <w:rsid w:val="380992D1"/>
    <w:rsid w:val="38099856"/>
    <w:rsid w:val="380E2D51"/>
    <w:rsid w:val="380EE1E7"/>
    <w:rsid w:val="380F24AD"/>
    <w:rsid w:val="3817E9F4"/>
    <w:rsid w:val="3819C10A"/>
    <w:rsid w:val="381A6403"/>
    <w:rsid w:val="381A7B20"/>
    <w:rsid w:val="381A9528"/>
    <w:rsid w:val="381B1820"/>
    <w:rsid w:val="381C152C"/>
    <w:rsid w:val="381D56C5"/>
    <w:rsid w:val="38266AC4"/>
    <w:rsid w:val="382E3CE0"/>
    <w:rsid w:val="38305809"/>
    <w:rsid w:val="3830C9D8"/>
    <w:rsid w:val="3832631E"/>
    <w:rsid w:val="38358DC3"/>
    <w:rsid w:val="383C5ABB"/>
    <w:rsid w:val="3840F3B2"/>
    <w:rsid w:val="38435E4A"/>
    <w:rsid w:val="3845D6F8"/>
    <w:rsid w:val="384B8B7B"/>
    <w:rsid w:val="384CC576"/>
    <w:rsid w:val="384D5AD0"/>
    <w:rsid w:val="384FA02F"/>
    <w:rsid w:val="3850B3ED"/>
    <w:rsid w:val="3851A7E9"/>
    <w:rsid w:val="385B30E6"/>
    <w:rsid w:val="385CBD73"/>
    <w:rsid w:val="385D8EF8"/>
    <w:rsid w:val="3861F2E0"/>
    <w:rsid w:val="38640461"/>
    <w:rsid w:val="38660158"/>
    <w:rsid w:val="3869E695"/>
    <w:rsid w:val="38706ECD"/>
    <w:rsid w:val="38742D73"/>
    <w:rsid w:val="38774319"/>
    <w:rsid w:val="387A1E96"/>
    <w:rsid w:val="387C5D08"/>
    <w:rsid w:val="387D56B5"/>
    <w:rsid w:val="387E67EF"/>
    <w:rsid w:val="3881C716"/>
    <w:rsid w:val="3884B7C8"/>
    <w:rsid w:val="3885222F"/>
    <w:rsid w:val="388648BA"/>
    <w:rsid w:val="3886C191"/>
    <w:rsid w:val="388947B3"/>
    <w:rsid w:val="388CD257"/>
    <w:rsid w:val="38978EAF"/>
    <w:rsid w:val="389866A5"/>
    <w:rsid w:val="389C4B04"/>
    <w:rsid w:val="389DF32C"/>
    <w:rsid w:val="389F74C3"/>
    <w:rsid w:val="38A1BA04"/>
    <w:rsid w:val="38A6D655"/>
    <w:rsid w:val="38AA5F1A"/>
    <w:rsid w:val="38AFA02C"/>
    <w:rsid w:val="38AFB338"/>
    <w:rsid w:val="38B13A57"/>
    <w:rsid w:val="38B19A63"/>
    <w:rsid w:val="38B39744"/>
    <w:rsid w:val="38B3A43A"/>
    <w:rsid w:val="38B3DFE7"/>
    <w:rsid w:val="38BA5C1F"/>
    <w:rsid w:val="38BA77AC"/>
    <w:rsid w:val="38BAD897"/>
    <w:rsid w:val="38BFC95D"/>
    <w:rsid w:val="38C309FC"/>
    <w:rsid w:val="38C38A28"/>
    <w:rsid w:val="38CB7A29"/>
    <w:rsid w:val="38CC3830"/>
    <w:rsid w:val="38D09002"/>
    <w:rsid w:val="38D17A18"/>
    <w:rsid w:val="38D5816F"/>
    <w:rsid w:val="38E0E907"/>
    <w:rsid w:val="38E30A54"/>
    <w:rsid w:val="38E8B442"/>
    <w:rsid w:val="38EBC84F"/>
    <w:rsid w:val="38EC76EA"/>
    <w:rsid w:val="38F01DC9"/>
    <w:rsid w:val="38F4EBDA"/>
    <w:rsid w:val="38F6FAA4"/>
    <w:rsid w:val="38F9D160"/>
    <w:rsid w:val="38FF18D6"/>
    <w:rsid w:val="38FF1F8F"/>
    <w:rsid w:val="39004CEF"/>
    <w:rsid w:val="390545FC"/>
    <w:rsid w:val="3908533B"/>
    <w:rsid w:val="3909A455"/>
    <w:rsid w:val="390ECC2F"/>
    <w:rsid w:val="390FA0F7"/>
    <w:rsid w:val="391005DA"/>
    <w:rsid w:val="3910AC27"/>
    <w:rsid w:val="3913B338"/>
    <w:rsid w:val="3917BBF0"/>
    <w:rsid w:val="39199EA2"/>
    <w:rsid w:val="392EA8A8"/>
    <w:rsid w:val="3936DABA"/>
    <w:rsid w:val="393729DE"/>
    <w:rsid w:val="3937B965"/>
    <w:rsid w:val="3938378B"/>
    <w:rsid w:val="3938B6FC"/>
    <w:rsid w:val="393F67C9"/>
    <w:rsid w:val="3941B62D"/>
    <w:rsid w:val="39482741"/>
    <w:rsid w:val="394F39F8"/>
    <w:rsid w:val="39507350"/>
    <w:rsid w:val="3950CFF7"/>
    <w:rsid w:val="39542131"/>
    <w:rsid w:val="39567AAE"/>
    <w:rsid w:val="395996F3"/>
    <w:rsid w:val="395E33B8"/>
    <w:rsid w:val="39608BCB"/>
    <w:rsid w:val="3960968B"/>
    <w:rsid w:val="39688D30"/>
    <w:rsid w:val="3968F761"/>
    <w:rsid w:val="396C2276"/>
    <w:rsid w:val="396DA003"/>
    <w:rsid w:val="396F04F2"/>
    <w:rsid w:val="39775713"/>
    <w:rsid w:val="397797E6"/>
    <w:rsid w:val="3978399C"/>
    <w:rsid w:val="397B1451"/>
    <w:rsid w:val="397E343B"/>
    <w:rsid w:val="398358EC"/>
    <w:rsid w:val="3986ED26"/>
    <w:rsid w:val="39901310"/>
    <w:rsid w:val="3990A4E2"/>
    <w:rsid w:val="39922A5D"/>
    <w:rsid w:val="3997CCD2"/>
    <w:rsid w:val="399F356C"/>
    <w:rsid w:val="39A4E1CF"/>
    <w:rsid w:val="39A51B34"/>
    <w:rsid w:val="39A81230"/>
    <w:rsid w:val="39AAE519"/>
    <w:rsid w:val="39AC7E89"/>
    <w:rsid w:val="39ACF33D"/>
    <w:rsid w:val="39B558C4"/>
    <w:rsid w:val="39B64A1B"/>
    <w:rsid w:val="39B9C206"/>
    <w:rsid w:val="39BA40C7"/>
    <w:rsid w:val="39BCD0E7"/>
    <w:rsid w:val="39BDD758"/>
    <w:rsid w:val="39BDE533"/>
    <w:rsid w:val="39BF00D9"/>
    <w:rsid w:val="39BF930F"/>
    <w:rsid w:val="39CA1FB5"/>
    <w:rsid w:val="39CB9FEB"/>
    <w:rsid w:val="39CCC28B"/>
    <w:rsid w:val="39D06FBD"/>
    <w:rsid w:val="39D555CE"/>
    <w:rsid w:val="39DF71F3"/>
    <w:rsid w:val="39DFAA84"/>
    <w:rsid w:val="39E1B2C3"/>
    <w:rsid w:val="39E50CD7"/>
    <w:rsid w:val="39E79BB7"/>
    <w:rsid w:val="39E87C4A"/>
    <w:rsid w:val="39E8AA5F"/>
    <w:rsid w:val="39E9CBD0"/>
    <w:rsid w:val="39ECF4CB"/>
    <w:rsid w:val="39F52D20"/>
    <w:rsid w:val="39F70147"/>
    <w:rsid w:val="39FE7FAD"/>
    <w:rsid w:val="3A00F787"/>
    <w:rsid w:val="3A042ABE"/>
    <w:rsid w:val="3A06FA49"/>
    <w:rsid w:val="3A0A399E"/>
    <w:rsid w:val="3A129B78"/>
    <w:rsid w:val="3A1D0379"/>
    <w:rsid w:val="3A1EF662"/>
    <w:rsid w:val="3A1FAE79"/>
    <w:rsid w:val="3A2029BB"/>
    <w:rsid w:val="3A260CCC"/>
    <w:rsid w:val="3A301D88"/>
    <w:rsid w:val="3A3109F8"/>
    <w:rsid w:val="3A32F86D"/>
    <w:rsid w:val="3A374A58"/>
    <w:rsid w:val="3A38E3F0"/>
    <w:rsid w:val="3A3AA18C"/>
    <w:rsid w:val="3A4143D6"/>
    <w:rsid w:val="3A47B434"/>
    <w:rsid w:val="3A4888D2"/>
    <w:rsid w:val="3A4925FF"/>
    <w:rsid w:val="3A4A4473"/>
    <w:rsid w:val="3A4DBB18"/>
    <w:rsid w:val="3A508FE5"/>
    <w:rsid w:val="3A552186"/>
    <w:rsid w:val="3A56480D"/>
    <w:rsid w:val="3A59205C"/>
    <w:rsid w:val="3A59ED8B"/>
    <w:rsid w:val="3A5AE8CD"/>
    <w:rsid w:val="3A614F9A"/>
    <w:rsid w:val="3A6372B3"/>
    <w:rsid w:val="3A689BFD"/>
    <w:rsid w:val="3A69FACB"/>
    <w:rsid w:val="3A6ED4D0"/>
    <w:rsid w:val="3A71AF46"/>
    <w:rsid w:val="3A76F57B"/>
    <w:rsid w:val="3A7AC54D"/>
    <w:rsid w:val="3A7B0B6B"/>
    <w:rsid w:val="3A7B2AEF"/>
    <w:rsid w:val="3A8A10D5"/>
    <w:rsid w:val="3A913E24"/>
    <w:rsid w:val="3A93E8EB"/>
    <w:rsid w:val="3A962A5B"/>
    <w:rsid w:val="3A969EE4"/>
    <w:rsid w:val="3A9A3AFA"/>
    <w:rsid w:val="3A9DEF72"/>
    <w:rsid w:val="3A9EFA6A"/>
    <w:rsid w:val="3AA0C137"/>
    <w:rsid w:val="3AA3583E"/>
    <w:rsid w:val="3AA4E593"/>
    <w:rsid w:val="3AA7FA8C"/>
    <w:rsid w:val="3AA90652"/>
    <w:rsid w:val="3AAEF454"/>
    <w:rsid w:val="3AB07D89"/>
    <w:rsid w:val="3AB27166"/>
    <w:rsid w:val="3AB33943"/>
    <w:rsid w:val="3AB4D27E"/>
    <w:rsid w:val="3AB5F89B"/>
    <w:rsid w:val="3AB94F3E"/>
    <w:rsid w:val="3AB9E86C"/>
    <w:rsid w:val="3ABA40C2"/>
    <w:rsid w:val="3ABCF895"/>
    <w:rsid w:val="3ABE8A54"/>
    <w:rsid w:val="3AC1792B"/>
    <w:rsid w:val="3AC411AF"/>
    <w:rsid w:val="3AC4993F"/>
    <w:rsid w:val="3AC54DF7"/>
    <w:rsid w:val="3AC56A99"/>
    <w:rsid w:val="3ACDF23F"/>
    <w:rsid w:val="3ACE7ADE"/>
    <w:rsid w:val="3ACFEF24"/>
    <w:rsid w:val="3ACFF6A7"/>
    <w:rsid w:val="3AD751E6"/>
    <w:rsid w:val="3AD7CD0D"/>
    <w:rsid w:val="3AD88A82"/>
    <w:rsid w:val="3ADAD643"/>
    <w:rsid w:val="3AE27F90"/>
    <w:rsid w:val="3AE67272"/>
    <w:rsid w:val="3AE6F6E0"/>
    <w:rsid w:val="3AEB4265"/>
    <w:rsid w:val="3AF253EB"/>
    <w:rsid w:val="3AF4D8DF"/>
    <w:rsid w:val="3AFDB60C"/>
    <w:rsid w:val="3AFE480B"/>
    <w:rsid w:val="3B00F83D"/>
    <w:rsid w:val="3B031E00"/>
    <w:rsid w:val="3B063606"/>
    <w:rsid w:val="3B11A803"/>
    <w:rsid w:val="3B1BA377"/>
    <w:rsid w:val="3B1C7574"/>
    <w:rsid w:val="3B22B32D"/>
    <w:rsid w:val="3B23FCDA"/>
    <w:rsid w:val="3B25B66C"/>
    <w:rsid w:val="3B2883D9"/>
    <w:rsid w:val="3B2941AD"/>
    <w:rsid w:val="3B29E416"/>
    <w:rsid w:val="3B394732"/>
    <w:rsid w:val="3B397823"/>
    <w:rsid w:val="3B3C42D6"/>
    <w:rsid w:val="3B3F1D5B"/>
    <w:rsid w:val="3B3FC17E"/>
    <w:rsid w:val="3B40B230"/>
    <w:rsid w:val="3B40EA94"/>
    <w:rsid w:val="3B413F10"/>
    <w:rsid w:val="3B429031"/>
    <w:rsid w:val="3B4986B6"/>
    <w:rsid w:val="3B4B14C5"/>
    <w:rsid w:val="3B4F423D"/>
    <w:rsid w:val="3B5F3521"/>
    <w:rsid w:val="3B5F93B6"/>
    <w:rsid w:val="3B63D62C"/>
    <w:rsid w:val="3B643642"/>
    <w:rsid w:val="3B676A02"/>
    <w:rsid w:val="3B6D3876"/>
    <w:rsid w:val="3B6FFD56"/>
    <w:rsid w:val="3B712478"/>
    <w:rsid w:val="3B7177D0"/>
    <w:rsid w:val="3B773358"/>
    <w:rsid w:val="3B7A0E91"/>
    <w:rsid w:val="3B7AC66F"/>
    <w:rsid w:val="3B813830"/>
    <w:rsid w:val="3B83598D"/>
    <w:rsid w:val="3B85BD08"/>
    <w:rsid w:val="3B8964B4"/>
    <w:rsid w:val="3B8D8B12"/>
    <w:rsid w:val="3B8E47AA"/>
    <w:rsid w:val="3B943D78"/>
    <w:rsid w:val="3B971681"/>
    <w:rsid w:val="3B98C3C1"/>
    <w:rsid w:val="3B9B3310"/>
    <w:rsid w:val="3B9C9607"/>
    <w:rsid w:val="3BA1D2D6"/>
    <w:rsid w:val="3BA2BCC4"/>
    <w:rsid w:val="3BA33D90"/>
    <w:rsid w:val="3BA6DAAE"/>
    <w:rsid w:val="3BB4243C"/>
    <w:rsid w:val="3BB5F473"/>
    <w:rsid w:val="3BB665CA"/>
    <w:rsid w:val="3BB8F4FD"/>
    <w:rsid w:val="3BBD532B"/>
    <w:rsid w:val="3BBD6776"/>
    <w:rsid w:val="3BC351B9"/>
    <w:rsid w:val="3BC8DFF7"/>
    <w:rsid w:val="3BC9B3F3"/>
    <w:rsid w:val="3BD01E29"/>
    <w:rsid w:val="3BD313BC"/>
    <w:rsid w:val="3BD3461C"/>
    <w:rsid w:val="3BD61CC8"/>
    <w:rsid w:val="3BD8DA6C"/>
    <w:rsid w:val="3BDD680B"/>
    <w:rsid w:val="3BDD8001"/>
    <w:rsid w:val="3BE0146E"/>
    <w:rsid w:val="3BE2599B"/>
    <w:rsid w:val="3BE2DD41"/>
    <w:rsid w:val="3BE3E410"/>
    <w:rsid w:val="3BE4DA3D"/>
    <w:rsid w:val="3BE614D4"/>
    <w:rsid w:val="3BE79843"/>
    <w:rsid w:val="3BE93359"/>
    <w:rsid w:val="3BF08D5F"/>
    <w:rsid w:val="3BF3B3B6"/>
    <w:rsid w:val="3BF5BA42"/>
    <w:rsid w:val="3BF78A6F"/>
    <w:rsid w:val="3BFE18EF"/>
    <w:rsid w:val="3C01E015"/>
    <w:rsid w:val="3C03D8F2"/>
    <w:rsid w:val="3C04086C"/>
    <w:rsid w:val="3C0692B6"/>
    <w:rsid w:val="3C1203FC"/>
    <w:rsid w:val="3C176EBE"/>
    <w:rsid w:val="3C1849C5"/>
    <w:rsid w:val="3C1A2912"/>
    <w:rsid w:val="3C1EB125"/>
    <w:rsid w:val="3C26106C"/>
    <w:rsid w:val="3C2C8C9C"/>
    <w:rsid w:val="3C2EF8D5"/>
    <w:rsid w:val="3C307FAB"/>
    <w:rsid w:val="3C3639E6"/>
    <w:rsid w:val="3C4010C1"/>
    <w:rsid w:val="3C43B4D7"/>
    <w:rsid w:val="3C4BA229"/>
    <w:rsid w:val="3C4EB239"/>
    <w:rsid w:val="3C51F897"/>
    <w:rsid w:val="3C52BD75"/>
    <w:rsid w:val="3C54A789"/>
    <w:rsid w:val="3C54D8E7"/>
    <w:rsid w:val="3C57E713"/>
    <w:rsid w:val="3C59679C"/>
    <w:rsid w:val="3C615B69"/>
    <w:rsid w:val="3C698C08"/>
    <w:rsid w:val="3C7CF6C1"/>
    <w:rsid w:val="3C816F91"/>
    <w:rsid w:val="3C8298D8"/>
    <w:rsid w:val="3C846A0E"/>
    <w:rsid w:val="3C963477"/>
    <w:rsid w:val="3C9766D5"/>
    <w:rsid w:val="3C9A060C"/>
    <w:rsid w:val="3C9E5451"/>
    <w:rsid w:val="3CA2E214"/>
    <w:rsid w:val="3CA6D656"/>
    <w:rsid w:val="3CA7195A"/>
    <w:rsid w:val="3CA816E2"/>
    <w:rsid w:val="3CB40DCC"/>
    <w:rsid w:val="3CB4A0F0"/>
    <w:rsid w:val="3CB934EB"/>
    <w:rsid w:val="3CBD021D"/>
    <w:rsid w:val="3CC0831F"/>
    <w:rsid w:val="3CC8AC5A"/>
    <w:rsid w:val="3CCC9876"/>
    <w:rsid w:val="3CCEE667"/>
    <w:rsid w:val="3CCF8C28"/>
    <w:rsid w:val="3CD1CA53"/>
    <w:rsid w:val="3CD88EEF"/>
    <w:rsid w:val="3CD8E7BD"/>
    <w:rsid w:val="3CD91AAE"/>
    <w:rsid w:val="3CD9C2EE"/>
    <w:rsid w:val="3CDDD34D"/>
    <w:rsid w:val="3CDE0257"/>
    <w:rsid w:val="3CE1C96A"/>
    <w:rsid w:val="3CE8E280"/>
    <w:rsid w:val="3CE8F431"/>
    <w:rsid w:val="3CEC1398"/>
    <w:rsid w:val="3CF24300"/>
    <w:rsid w:val="3CF463FB"/>
    <w:rsid w:val="3CFB3A49"/>
    <w:rsid w:val="3D06C582"/>
    <w:rsid w:val="3D096290"/>
    <w:rsid w:val="3D0D0876"/>
    <w:rsid w:val="3D14FEEE"/>
    <w:rsid w:val="3D163193"/>
    <w:rsid w:val="3D1AD5D1"/>
    <w:rsid w:val="3D1C2A58"/>
    <w:rsid w:val="3D1DA8E2"/>
    <w:rsid w:val="3D29856D"/>
    <w:rsid w:val="3D300DD9"/>
    <w:rsid w:val="3D31521C"/>
    <w:rsid w:val="3D3C4356"/>
    <w:rsid w:val="3D3C46B8"/>
    <w:rsid w:val="3D3EFCA8"/>
    <w:rsid w:val="3D400BF2"/>
    <w:rsid w:val="3D41BD06"/>
    <w:rsid w:val="3D4229C1"/>
    <w:rsid w:val="3D4841C4"/>
    <w:rsid w:val="3D4A0F71"/>
    <w:rsid w:val="3D4A9B17"/>
    <w:rsid w:val="3D4B7A71"/>
    <w:rsid w:val="3D4DCCC3"/>
    <w:rsid w:val="3D4F2DD1"/>
    <w:rsid w:val="3D50556A"/>
    <w:rsid w:val="3D5A676B"/>
    <w:rsid w:val="3D5F73A4"/>
    <w:rsid w:val="3D5FE51E"/>
    <w:rsid w:val="3D68246F"/>
    <w:rsid w:val="3D6F29CD"/>
    <w:rsid w:val="3D715901"/>
    <w:rsid w:val="3D7BEC1C"/>
    <w:rsid w:val="3D81A9E7"/>
    <w:rsid w:val="3D838840"/>
    <w:rsid w:val="3D87C5DC"/>
    <w:rsid w:val="3D88EFE0"/>
    <w:rsid w:val="3D89C84A"/>
    <w:rsid w:val="3D8BF872"/>
    <w:rsid w:val="3D8EE477"/>
    <w:rsid w:val="3D936823"/>
    <w:rsid w:val="3D96FE18"/>
    <w:rsid w:val="3D9E442A"/>
    <w:rsid w:val="3DA58B47"/>
    <w:rsid w:val="3DAB9A16"/>
    <w:rsid w:val="3DAC5756"/>
    <w:rsid w:val="3DAD1C2D"/>
    <w:rsid w:val="3DAE43D1"/>
    <w:rsid w:val="3DB2660F"/>
    <w:rsid w:val="3DB30800"/>
    <w:rsid w:val="3DBD2071"/>
    <w:rsid w:val="3DBF1687"/>
    <w:rsid w:val="3DC1F3D7"/>
    <w:rsid w:val="3DCA6C05"/>
    <w:rsid w:val="3DCD4283"/>
    <w:rsid w:val="3DCECADB"/>
    <w:rsid w:val="3DCF611F"/>
    <w:rsid w:val="3DD15FA8"/>
    <w:rsid w:val="3DD359AB"/>
    <w:rsid w:val="3DDC3F19"/>
    <w:rsid w:val="3DDC61EB"/>
    <w:rsid w:val="3DE29B84"/>
    <w:rsid w:val="3DE3121A"/>
    <w:rsid w:val="3DE73737"/>
    <w:rsid w:val="3DEF095E"/>
    <w:rsid w:val="3DF2BB32"/>
    <w:rsid w:val="3DF537FD"/>
    <w:rsid w:val="3E0357FF"/>
    <w:rsid w:val="3E049657"/>
    <w:rsid w:val="3E057996"/>
    <w:rsid w:val="3E0BEC4F"/>
    <w:rsid w:val="3E0CB4C3"/>
    <w:rsid w:val="3E0E6E9F"/>
    <w:rsid w:val="3E0ECBB3"/>
    <w:rsid w:val="3E1181DB"/>
    <w:rsid w:val="3E1CE7DC"/>
    <w:rsid w:val="3E225EE8"/>
    <w:rsid w:val="3E26D5E9"/>
    <w:rsid w:val="3E29026C"/>
    <w:rsid w:val="3E2B3EDD"/>
    <w:rsid w:val="3E2CF9E1"/>
    <w:rsid w:val="3E4105DC"/>
    <w:rsid w:val="3E4253E5"/>
    <w:rsid w:val="3E42CF4F"/>
    <w:rsid w:val="3E46CABE"/>
    <w:rsid w:val="3E476E7A"/>
    <w:rsid w:val="3E48B004"/>
    <w:rsid w:val="3E48BB1F"/>
    <w:rsid w:val="3E4AFAF7"/>
    <w:rsid w:val="3E4FF7A3"/>
    <w:rsid w:val="3E50E774"/>
    <w:rsid w:val="3E523AFE"/>
    <w:rsid w:val="3E53FA65"/>
    <w:rsid w:val="3E58E1B1"/>
    <w:rsid w:val="3E5AFAD8"/>
    <w:rsid w:val="3E61766D"/>
    <w:rsid w:val="3E62B1FD"/>
    <w:rsid w:val="3E64716E"/>
    <w:rsid w:val="3E670801"/>
    <w:rsid w:val="3E68D61B"/>
    <w:rsid w:val="3E6ADF97"/>
    <w:rsid w:val="3E6B6F24"/>
    <w:rsid w:val="3E6BDA8B"/>
    <w:rsid w:val="3E7053FF"/>
    <w:rsid w:val="3E754BA4"/>
    <w:rsid w:val="3E757E1F"/>
    <w:rsid w:val="3E7852F2"/>
    <w:rsid w:val="3E7A963B"/>
    <w:rsid w:val="3E7DB719"/>
    <w:rsid w:val="3E832A3D"/>
    <w:rsid w:val="3E837B60"/>
    <w:rsid w:val="3E8462AC"/>
    <w:rsid w:val="3E8D7AA9"/>
    <w:rsid w:val="3E90276A"/>
    <w:rsid w:val="3E906825"/>
    <w:rsid w:val="3E90E3D4"/>
    <w:rsid w:val="3E9758A5"/>
    <w:rsid w:val="3E97AD6C"/>
    <w:rsid w:val="3EA00D9F"/>
    <w:rsid w:val="3EA2ED81"/>
    <w:rsid w:val="3EA406E2"/>
    <w:rsid w:val="3EAA00E1"/>
    <w:rsid w:val="3EAA3ADB"/>
    <w:rsid w:val="3EAE01EE"/>
    <w:rsid w:val="3EAED14B"/>
    <w:rsid w:val="3EAF009D"/>
    <w:rsid w:val="3EB1E9AB"/>
    <w:rsid w:val="3EB30EBD"/>
    <w:rsid w:val="3EBBB336"/>
    <w:rsid w:val="3EBBE9E1"/>
    <w:rsid w:val="3EBC7B21"/>
    <w:rsid w:val="3EBEF509"/>
    <w:rsid w:val="3ECD2432"/>
    <w:rsid w:val="3ECE42A3"/>
    <w:rsid w:val="3ED280C4"/>
    <w:rsid w:val="3ED3B319"/>
    <w:rsid w:val="3ED540C5"/>
    <w:rsid w:val="3ED62086"/>
    <w:rsid w:val="3EDC166F"/>
    <w:rsid w:val="3EDC5BF2"/>
    <w:rsid w:val="3EDDAAC1"/>
    <w:rsid w:val="3EE13366"/>
    <w:rsid w:val="3EE6F06B"/>
    <w:rsid w:val="3EFBF4EC"/>
    <w:rsid w:val="3EFD5530"/>
    <w:rsid w:val="3F00CCA4"/>
    <w:rsid w:val="3F0154B5"/>
    <w:rsid w:val="3F065E1F"/>
    <w:rsid w:val="3F0789E9"/>
    <w:rsid w:val="3F0BAFC5"/>
    <w:rsid w:val="3F0CE8F7"/>
    <w:rsid w:val="3F0F7B62"/>
    <w:rsid w:val="3F0FE7AA"/>
    <w:rsid w:val="3F1DB596"/>
    <w:rsid w:val="3F1E6516"/>
    <w:rsid w:val="3F212E6E"/>
    <w:rsid w:val="3F2AF86A"/>
    <w:rsid w:val="3F311478"/>
    <w:rsid w:val="3F3227B7"/>
    <w:rsid w:val="3F3551CD"/>
    <w:rsid w:val="3F380FAE"/>
    <w:rsid w:val="3F39EB68"/>
    <w:rsid w:val="3F44599B"/>
    <w:rsid w:val="3F46BF32"/>
    <w:rsid w:val="3F4A2108"/>
    <w:rsid w:val="3F4EF7E6"/>
    <w:rsid w:val="3F4FAD34"/>
    <w:rsid w:val="3F58BAE3"/>
    <w:rsid w:val="3F5C1628"/>
    <w:rsid w:val="3F5EA406"/>
    <w:rsid w:val="3F5F40EA"/>
    <w:rsid w:val="3F605F21"/>
    <w:rsid w:val="3F62FF77"/>
    <w:rsid w:val="3F64FED2"/>
    <w:rsid w:val="3F676D42"/>
    <w:rsid w:val="3F6A5631"/>
    <w:rsid w:val="3F6DE1FC"/>
    <w:rsid w:val="3F6FE63C"/>
    <w:rsid w:val="3F71DEF8"/>
    <w:rsid w:val="3F7209AB"/>
    <w:rsid w:val="3F73FB4C"/>
    <w:rsid w:val="3F7666B2"/>
    <w:rsid w:val="3F77A987"/>
    <w:rsid w:val="3F7AE6C8"/>
    <w:rsid w:val="3F7D1F26"/>
    <w:rsid w:val="3F7D57AC"/>
    <w:rsid w:val="3F7EE27B"/>
    <w:rsid w:val="3F7F924A"/>
    <w:rsid w:val="3F83F7EA"/>
    <w:rsid w:val="3F890AF4"/>
    <w:rsid w:val="3F89E1CD"/>
    <w:rsid w:val="3F8B1FB5"/>
    <w:rsid w:val="3F8CD46B"/>
    <w:rsid w:val="3F913C51"/>
    <w:rsid w:val="3F9230E0"/>
    <w:rsid w:val="3F99295F"/>
    <w:rsid w:val="3F9AD516"/>
    <w:rsid w:val="3F9B277F"/>
    <w:rsid w:val="3F9D35B7"/>
    <w:rsid w:val="3F9E196D"/>
    <w:rsid w:val="3F9EF5A1"/>
    <w:rsid w:val="3FA44444"/>
    <w:rsid w:val="3FA4BBFE"/>
    <w:rsid w:val="3FA5B665"/>
    <w:rsid w:val="3FA82AC2"/>
    <w:rsid w:val="3FA93C88"/>
    <w:rsid w:val="3FA98B2E"/>
    <w:rsid w:val="3FAE8295"/>
    <w:rsid w:val="3FB1669D"/>
    <w:rsid w:val="3FCB3055"/>
    <w:rsid w:val="3FCC3CEF"/>
    <w:rsid w:val="3FCC5031"/>
    <w:rsid w:val="3FCFD2A7"/>
    <w:rsid w:val="3FD51F32"/>
    <w:rsid w:val="3FD8EB9C"/>
    <w:rsid w:val="3FD9CDCA"/>
    <w:rsid w:val="3FE1A42F"/>
    <w:rsid w:val="3FE9CEFC"/>
    <w:rsid w:val="3FED87D7"/>
    <w:rsid w:val="3FEDED3F"/>
    <w:rsid w:val="3FFABDFF"/>
    <w:rsid w:val="3FFB7C59"/>
    <w:rsid w:val="400041CF"/>
    <w:rsid w:val="4002793A"/>
    <w:rsid w:val="400B8B1D"/>
    <w:rsid w:val="400C2CA0"/>
    <w:rsid w:val="40100C30"/>
    <w:rsid w:val="4010C353"/>
    <w:rsid w:val="40196A2C"/>
    <w:rsid w:val="401A1668"/>
    <w:rsid w:val="401D8D8F"/>
    <w:rsid w:val="4023585B"/>
    <w:rsid w:val="4023C65D"/>
    <w:rsid w:val="402A9F36"/>
    <w:rsid w:val="402CB435"/>
    <w:rsid w:val="402FABA5"/>
    <w:rsid w:val="403A2988"/>
    <w:rsid w:val="403DA7B3"/>
    <w:rsid w:val="403F9BBB"/>
    <w:rsid w:val="40420CBC"/>
    <w:rsid w:val="40433DF2"/>
    <w:rsid w:val="4045E61E"/>
    <w:rsid w:val="404CD493"/>
    <w:rsid w:val="4050A874"/>
    <w:rsid w:val="4051480C"/>
    <w:rsid w:val="40517A7D"/>
    <w:rsid w:val="40527693"/>
    <w:rsid w:val="40571F59"/>
    <w:rsid w:val="40588906"/>
    <w:rsid w:val="405B46FA"/>
    <w:rsid w:val="405C0941"/>
    <w:rsid w:val="406316C8"/>
    <w:rsid w:val="406432C5"/>
    <w:rsid w:val="40651BA1"/>
    <w:rsid w:val="4065D1C4"/>
    <w:rsid w:val="40669D1D"/>
    <w:rsid w:val="4068798D"/>
    <w:rsid w:val="406A87A4"/>
    <w:rsid w:val="406DD087"/>
    <w:rsid w:val="4072ED4A"/>
    <w:rsid w:val="40735BD2"/>
    <w:rsid w:val="4077329D"/>
    <w:rsid w:val="40775CFA"/>
    <w:rsid w:val="4078DDFB"/>
    <w:rsid w:val="407C12A5"/>
    <w:rsid w:val="40809981"/>
    <w:rsid w:val="40845ABD"/>
    <w:rsid w:val="4085307B"/>
    <w:rsid w:val="4085AAAE"/>
    <w:rsid w:val="408BE1BF"/>
    <w:rsid w:val="4091721C"/>
    <w:rsid w:val="40921D48"/>
    <w:rsid w:val="40936635"/>
    <w:rsid w:val="40937765"/>
    <w:rsid w:val="4093B4CE"/>
    <w:rsid w:val="40976D3A"/>
    <w:rsid w:val="409CC11E"/>
    <w:rsid w:val="409EE144"/>
    <w:rsid w:val="40A7ED57"/>
    <w:rsid w:val="40AB9EC0"/>
    <w:rsid w:val="40ADA64F"/>
    <w:rsid w:val="40B9AC42"/>
    <w:rsid w:val="40BAA2BD"/>
    <w:rsid w:val="40D1C66C"/>
    <w:rsid w:val="40D58691"/>
    <w:rsid w:val="40D5E4EC"/>
    <w:rsid w:val="40D6F095"/>
    <w:rsid w:val="40DED3CE"/>
    <w:rsid w:val="40DFA7A9"/>
    <w:rsid w:val="40E08427"/>
    <w:rsid w:val="40E113BD"/>
    <w:rsid w:val="40E220D7"/>
    <w:rsid w:val="40E30A4F"/>
    <w:rsid w:val="40E3AC1A"/>
    <w:rsid w:val="40EA6C73"/>
    <w:rsid w:val="40ED052C"/>
    <w:rsid w:val="40F033B3"/>
    <w:rsid w:val="40F1F8FB"/>
    <w:rsid w:val="40F46874"/>
    <w:rsid w:val="40F4C133"/>
    <w:rsid w:val="40FBE351"/>
    <w:rsid w:val="40FC75C2"/>
    <w:rsid w:val="40FDAC3F"/>
    <w:rsid w:val="410085A0"/>
    <w:rsid w:val="41044C68"/>
    <w:rsid w:val="410786CE"/>
    <w:rsid w:val="410867A9"/>
    <w:rsid w:val="410B1E2D"/>
    <w:rsid w:val="410CBD95"/>
    <w:rsid w:val="411762AE"/>
    <w:rsid w:val="4118C9D4"/>
    <w:rsid w:val="41235E36"/>
    <w:rsid w:val="4128A4CC"/>
    <w:rsid w:val="41306DC8"/>
    <w:rsid w:val="41325E93"/>
    <w:rsid w:val="413D8A44"/>
    <w:rsid w:val="413DF5A9"/>
    <w:rsid w:val="4143B59E"/>
    <w:rsid w:val="41491113"/>
    <w:rsid w:val="4149696B"/>
    <w:rsid w:val="41534C56"/>
    <w:rsid w:val="41561FEE"/>
    <w:rsid w:val="415EC683"/>
    <w:rsid w:val="41627AE2"/>
    <w:rsid w:val="4166D691"/>
    <w:rsid w:val="4166EA77"/>
    <w:rsid w:val="416C9623"/>
    <w:rsid w:val="416EC4C4"/>
    <w:rsid w:val="417105E8"/>
    <w:rsid w:val="41719CB3"/>
    <w:rsid w:val="4171CD49"/>
    <w:rsid w:val="4172E6AB"/>
    <w:rsid w:val="4174E403"/>
    <w:rsid w:val="41762692"/>
    <w:rsid w:val="41771FCD"/>
    <w:rsid w:val="4179466A"/>
    <w:rsid w:val="417FC53F"/>
    <w:rsid w:val="4181B252"/>
    <w:rsid w:val="418683B2"/>
    <w:rsid w:val="41896CDA"/>
    <w:rsid w:val="418CC770"/>
    <w:rsid w:val="419004EB"/>
    <w:rsid w:val="41913998"/>
    <w:rsid w:val="4196FCE2"/>
    <w:rsid w:val="41985232"/>
    <w:rsid w:val="41991418"/>
    <w:rsid w:val="41A0064A"/>
    <w:rsid w:val="41A7A7FD"/>
    <w:rsid w:val="41A86F7D"/>
    <w:rsid w:val="41A96DD3"/>
    <w:rsid w:val="41AA3110"/>
    <w:rsid w:val="41ACCAFC"/>
    <w:rsid w:val="41B37924"/>
    <w:rsid w:val="41B931F6"/>
    <w:rsid w:val="41B95DF0"/>
    <w:rsid w:val="41C42689"/>
    <w:rsid w:val="41C88496"/>
    <w:rsid w:val="41CC7399"/>
    <w:rsid w:val="41CCAB97"/>
    <w:rsid w:val="41D20041"/>
    <w:rsid w:val="41DBFEFA"/>
    <w:rsid w:val="41DD7297"/>
    <w:rsid w:val="41DF421A"/>
    <w:rsid w:val="41DFA1DE"/>
    <w:rsid w:val="41E59D25"/>
    <w:rsid w:val="41E6BE7D"/>
    <w:rsid w:val="41E716A8"/>
    <w:rsid w:val="41F0AD82"/>
    <w:rsid w:val="41F123AA"/>
    <w:rsid w:val="41F521C5"/>
    <w:rsid w:val="41F67D01"/>
    <w:rsid w:val="41F6B9E0"/>
    <w:rsid w:val="41FAB944"/>
    <w:rsid w:val="41FC64DE"/>
    <w:rsid w:val="41FD2AD8"/>
    <w:rsid w:val="4206D301"/>
    <w:rsid w:val="420FDB67"/>
    <w:rsid w:val="420FF097"/>
    <w:rsid w:val="42118DC0"/>
    <w:rsid w:val="4212531A"/>
    <w:rsid w:val="42129068"/>
    <w:rsid w:val="42155FC0"/>
    <w:rsid w:val="421C9244"/>
    <w:rsid w:val="422825D8"/>
    <w:rsid w:val="422843BA"/>
    <w:rsid w:val="422B90C0"/>
    <w:rsid w:val="4230E038"/>
    <w:rsid w:val="42341AD1"/>
    <w:rsid w:val="42359B08"/>
    <w:rsid w:val="4236006C"/>
    <w:rsid w:val="4238F577"/>
    <w:rsid w:val="42397877"/>
    <w:rsid w:val="4239D45C"/>
    <w:rsid w:val="423A5423"/>
    <w:rsid w:val="423AD319"/>
    <w:rsid w:val="424910B6"/>
    <w:rsid w:val="424A0A4F"/>
    <w:rsid w:val="424AD97F"/>
    <w:rsid w:val="424B02BD"/>
    <w:rsid w:val="424CF43B"/>
    <w:rsid w:val="424E11C7"/>
    <w:rsid w:val="424EB059"/>
    <w:rsid w:val="42507332"/>
    <w:rsid w:val="4259C6B1"/>
    <w:rsid w:val="425C0D21"/>
    <w:rsid w:val="4260336B"/>
    <w:rsid w:val="42648CF1"/>
    <w:rsid w:val="42671B5E"/>
    <w:rsid w:val="42691973"/>
    <w:rsid w:val="42693A7D"/>
    <w:rsid w:val="4270DCD0"/>
    <w:rsid w:val="4277AEB0"/>
    <w:rsid w:val="42795403"/>
    <w:rsid w:val="427CD0FE"/>
    <w:rsid w:val="427D211C"/>
    <w:rsid w:val="427DAD1E"/>
    <w:rsid w:val="427F0B39"/>
    <w:rsid w:val="4280B012"/>
    <w:rsid w:val="42816999"/>
    <w:rsid w:val="4288A40E"/>
    <w:rsid w:val="42938241"/>
    <w:rsid w:val="42943E02"/>
    <w:rsid w:val="42949127"/>
    <w:rsid w:val="42986133"/>
    <w:rsid w:val="4298EE4D"/>
    <w:rsid w:val="42A348F5"/>
    <w:rsid w:val="42A48F45"/>
    <w:rsid w:val="42A57179"/>
    <w:rsid w:val="42A74592"/>
    <w:rsid w:val="42A862BD"/>
    <w:rsid w:val="42ABAC93"/>
    <w:rsid w:val="42AD2B3E"/>
    <w:rsid w:val="42B86FAA"/>
    <w:rsid w:val="42B91D60"/>
    <w:rsid w:val="42B94783"/>
    <w:rsid w:val="42BCB9B4"/>
    <w:rsid w:val="42BD00C4"/>
    <w:rsid w:val="42BF5D1A"/>
    <w:rsid w:val="42C30365"/>
    <w:rsid w:val="42C4752D"/>
    <w:rsid w:val="42C5F767"/>
    <w:rsid w:val="42C6AA1D"/>
    <w:rsid w:val="42C9B38E"/>
    <w:rsid w:val="42CA6F88"/>
    <w:rsid w:val="42D2881C"/>
    <w:rsid w:val="42D4748B"/>
    <w:rsid w:val="42D5B6AA"/>
    <w:rsid w:val="42D65CCC"/>
    <w:rsid w:val="42D8812C"/>
    <w:rsid w:val="42E4D3A3"/>
    <w:rsid w:val="42EC458F"/>
    <w:rsid w:val="42F0E1EC"/>
    <w:rsid w:val="42F3CF48"/>
    <w:rsid w:val="42FBA72A"/>
    <w:rsid w:val="42FCCCE1"/>
    <w:rsid w:val="43050383"/>
    <w:rsid w:val="43051B80"/>
    <w:rsid w:val="4305A811"/>
    <w:rsid w:val="43090E8A"/>
    <w:rsid w:val="430B3208"/>
    <w:rsid w:val="430E5C82"/>
    <w:rsid w:val="431071DA"/>
    <w:rsid w:val="4311ADDD"/>
    <w:rsid w:val="4312F9C0"/>
    <w:rsid w:val="43164FE2"/>
    <w:rsid w:val="432236E7"/>
    <w:rsid w:val="43234B76"/>
    <w:rsid w:val="4326F731"/>
    <w:rsid w:val="4329E41D"/>
    <w:rsid w:val="432D175F"/>
    <w:rsid w:val="432FC662"/>
    <w:rsid w:val="432FD0A1"/>
    <w:rsid w:val="4332E07B"/>
    <w:rsid w:val="433330A3"/>
    <w:rsid w:val="433656D7"/>
    <w:rsid w:val="4337FEF4"/>
    <w:rsid w:val="43392613"/>
    <w:rsid w:val="4345DAE8"/>
    <w:rsid w:val="434B6871"/>
    <w:rsid w:val="434BC415"/>
    <w:rsid w:val="43541920"/>
    <w:rsid w:val="435B2E2C"/>
    <w:rsid w:val="4364174B"/>
    <w:rsid w:val="43646F0B"/>
    <w:rsid w:val="4365AA43"/>
    <w:rsid w:val="4368100F"/>
    <w:rsid w:val="43729E0D"/>
    <w:rsid w:val="43736A40"/>
    <w:rsid w:val="4379CC9F"/>
    <w:rsid w:val="437AFDE0"/>
    <w:rsid w:val="437D86E0"/>
    <w:rsid w:val="437EFE48"/>
    <w:rsid w:val="4383F4B8"/>
    <w:rsid w:val="438B0946"/>
    <w:rsid w:val="438B25EC"/>
    <w:rsid w:val="438CF256"/>
    <w:rsid w:val="438F5A7E"/>
    <w:rsid w:val="438FAC3A"/>
    <w:rsid w:val="439842E8"/>
    <w:rsid w:val="439969A9"/>
    <w:rsid w:val="43A43E6F"/>
    <w:rsid w:val="43A4E953"/>
    <w:rsid w:val="43A95130"/>
    <w:rsid w:val="43AA2924"/>
    <w:rsid w:val="43AAFB11"/>
    <w:rsid w:val="43B0111E"/>
    <w:rsid w:val="43B28D22"/>
    <w:rsid w:val="43B3AC4B"/>
    <w:rsid w:val="43B48C65"/>
    <w:rsid w:val="43B7128B"/>
    <w:rsid w:val="43C6D74A"/>
    <w:rsid w:val="43CA7271"/>
    <w:rsid w:val="43D533A7"/>
    <w:rsid w:val="43DCB3B8"/>
    <w:rsid w:val="43DD0C05"/>
    <w:rsid w:val="43E5958D"/>
    <w:rsid w:val="43E5AA2E"/>
    <w:rsid w:val="43EAAC98"/>
    <w:rsid w:val="43EDF536"/>
    <w:rsid w:val="43EF3AFF"/>
    <w:rsid w:val="43EFC5A7"/>
    <w:rsid w:val="43F1FC7D"/>
    <w:rsid w:val="43F43908"/>
    <w:rsid w:val="43FA1898"/>
    <w:rsid w:val="43FA353E"/>
    <w:rsid w:val="43FA6E47"/>
    <w:rsid w:val="43FAF2AC"/>
    <w:rsid w:val="44055D09"/>
    <w:rsid w:val="440D6140"/>
    <w:rsid w:val="44179600"/>
    <w:rsid w:val="4417CABE"/>
    <w:rsid w:val="44199C44"/>
    <w:rsid w:val="441D60C8"/>
    <w:rsid w:val="441E4C72"/>
    <w:rsid w:val="4424AB4A"/>
    <w:rsid w:val="4427F4E3"/>
    <w:rsid w:val="442837F9"/>
    <w:rsid w:val="44286ED5"/>
    <w:rsid w:val="4428AFD8"/>
    <w:rsid w:val="4430446C"/>
    <w:rsid w:val="44340C9E"/>
    <w:rsid w:val="44343194"/>
    <w:rsid w:val="4436BF44"/>
    <w:rsid w:val="4437F785"/>
    <w:rsid w:val="4438872D"/>
    <w:rsid w:val="443CFDB4"/>
    <w:rsid w:val="443DA376"/>
    <w:rsid w:val="443DC793"/>
    <w:rsid w:val="443E5758"/>
    <w:rsid w:val="443F8708"/>
    <w:rsid w:val="44402F53"/>
    <w:rsid w:val="44432FA3"/>
    <w:rsid w:val="4444DFA7"/>
    <w:rsid w:val="444511E8"/>
    <w:rsid w:val="44464EFB"/>
    <w:rsid w:val="44482FAB"/>
    <w:rsid w:val="444C76D6"/>
    <w:rsid w:val="44505C53"/>
    <w:rsid w:val="44524297"/>
    <w:rsid w:val="44528241"/>
    <w:rsid w:val="445517E4"/>
    <w:rsid w:val="4457FCDB"/>
    <w:rsid w:val="445A44BD"/>
    <w:rsid w:val="445B69AA"/>
    <w:rsid w:val="4460ABC1"/>
    <w:rsid w:val="44613FE7"/>
    <w:rsid w:val="44616F35"/>
    <w:rsid w:val="4468D8B8"/>
    <w:rsid w:val="4469CE00"/>
    <w:rsid w:val="446BEBC0"/>
    <w:rsid w:val="446C7ABF"/>
    <w:rsid w:val="446EC799"/>
    <w:rsid w:val="44745F36"/>
    <w:rsid w:val="44799099"/>
    <w:rsid w:val="447AFB39"/>
    <w:rsid w:val="44859156"/>
    <w:rsid w:val="4496764E"/>
    <w:rsid w:val="44ABA1FA"/>
    <w:rsid w:val="44B025B3"/>
    <w:rsid w:val="44B0FE32"/>
    <w:rsid w:val="44B8CF4B"/>
    <w:rsid w:val="44B8E6AC"/>
    <w:rsid w:val="44BB7BC5"/>
    <w:rsid w:val="44C26E1C"/>
    <w:rsid w:val="44C38858"/>
    <w:rsid w:val="44CC5939"/>
    <w:rsid w:val="44CF6A82"/>
    <w:rsid w:val="44D011CF"/>
    <w:rsid w:val="44D17F1F"/>
    <w:rsid w:val="44D6120B"/>
    <w:rsid w:val="44DD1DB1"/>
    <w:rsid w:val="44DE8C92"/>
    <w:rsid w:val="44DEF88E"/>
    <w:rsid w:val="44E4DC4E"/>
    <w:rsid w:val="44E82A8A"/>
    <w:rsid w:val="44F2953D"/>
    <w:rsid w:val="44F45133"/>
    <w:rsid w:val="44F523EB"/>
    <w:rsid w:val="44F8E8F8"/>
    <w:rsid w:val="44F9B400"/>
    <w:rsid w:val="4504653F"/>
    <w:rsid w:val="450630DC"/>
    <w:rsid w:val="450A19B7"/>
    <w:rsid w:val="450C6D09"/>
    <w:rsid w:val="450D9BB5"/>
    <w:rsid w:val="450F8373"/>
    <w:rsid w:val="4515AC12"/>
    <w:rsid w:val="451CCA45"/>
    <w:rsid w:val="45223DE9"/>
    <w:rsid w:val="453405A0"/>
    <w:rsid w:val="4536ED04"/>
    <w:rsid w:val="453BA3FE"/>
    <w:rsid w:val="453BBB96"/>
    <w:rsid w:val="453E5300"/>
    <w:rsid w:val="453EA7B9"/>
    <w:rsid w:val="454451FE"/>
    <w:rsid w:val="45453CF1"/>
    <w:rsid w:val="45499CA7"/>
    <w:rsid w:val="454D37B6"/>
    <w:rsid w:val="454F6100"/>
    <w:rsid w:val="45504742"/>
    <w:rsid w:val="4551667F"/>
    <w:rsid w:val="455411A4"/>
    <w:rsid w:val="4554340F"/>
    <w:rsid w:val="4554EA88"/>
    <w:rsid w:val="4556F3F2"/>
    <w:rsid w:val="4557C6A9"/>
    <w:rsid w:val="45587E9F"/>
    <w:rsid w:val="455AE8A0"/>
    <w:rsid w:val="455CFE4B"/>
    <w:rsid w:val="455D1F40"/>
    <w:rsid w:val="45633182"/>
    <w:rsid w:val="4564DCF1"/>
    <w:rsid w:val="4569AA2D"/>
    <w:rsid w:val="456D6517"/>
    <w:rsid w:val="456FA2C6"/>
    <w:rsid w:val="45709639"/>
    <w:rsid w:val="457BB7B0"/>
    <w:rsid w:val="457D7A55"/>
    <w:rsid w:val="457F4D30"/>
    <w:rsid w:val="4581E7A9"/>
    <w:rsid w:val="4582956E"/>
    <w:rsid w:val="458495A6"/>
    <w:rsid w:val="45910714"/>
    <w:rsid w:val="459D68E1"/>
    <w:rsid w:val="459DDEE2"/>
    <w:rsid w:val="45A5C219"/>
    <w:rsid w:val="45A67093"/>
    <w:rsid w:val="45AA3CFC"/>
    <w:rsid w:val="45AA9BA2"/>
    <w:rsid w:val="45AF079D"/>
    <w:rsid w:val="45BD6799"/>
    <w:rsid w:val="45BE3137"/>
    <w:rsid w:val="45C13021"/>
    <w:rsid w:val="45CA36A1"/>
    <w:rsid w:val="45CD552A"/>
    <w:rsid w:val="45D06EB0"/>
    <w:rsid w:val="45D31B5F"/>
    <w:rsid w:val="45D5912D"/>
    <w:rsid w:val="45DBDCBB"/>
    <w:rsid w:val="45DDA02A"/>
    <w:rsid w:val="45DE862D"/>
    <w:rsid w:val="45DF3E2D"/>
    <w:rsid w:val="45E3E0ED"/>
    <w:rsid w:val="45E4F8A5"/>
    <w:rsid w:val="45E65ECB"/>
    <w:rsid w:val="45E91F77"/>
    <w:rsid w:val="45EAA62C"/>
    <w:rsid w:val="45EBB28F"/>
    <w:rsid w:val="45EE4DF4"/>
    <w:rsid w:val="45F1E2A5"/>
    <w:rsid w:val="45F30B0F"/>
    <w:rsid w:val="45FB1EC9"/>
    <w:rsid w:val="45FC616C"/>
    <w:rsid w:val="4603E914"/>
    <w:rsid w:val="46051B15"/>
    <w:rsid w:val="46096A62"/>
    <w:rsid w:val="4609D794"/>
    <w:rsid w:val="460C791A"/>
    <w:rsid w:val="460FD1F1"/>
    <w:rsid w:val="4610FCF7"/>
    <w:rsid w:val="4613C44B"/>
    <w:rsid w:val="46194BBA"/>
    <w:rsid w:val="461AB4D1"/>
    <w:rsid w:val="4621C922"/>
    <w:rsid w:val="4630F134"/>
    <w:rsid w:val="4634827C"/>
    <w:rsid w:val="4635F63E"/>
    <w:rsid w:val="463A502E"/>
    <w:rsid w:val="463F1256"/>
    <w:rsid w:val="464DDE7F"/>
    <w:rsid w:val="4650D0F8"/>
    <w:rsid w:val="46530B7F"/>
    <w:rsid w:val="46537280"/>
    <w:rsid w:val="4658BD4F"/>
    <w:rsid w:val="465A11BF"/>
    <w:rsid w:val="466184DF"/>
    <w:rsid w:val="46629671"/>
    <w:rsid w:val="46631E63"/>
    <w:rsid w:val="4664592C"/>
    <w:rsid w:val="466527BC"/>
    <w:rsid w:val="4668299A"/>
    <w:rsid w:val="466A2E21"/>
    <w:rsid w:val="466AC362"/>
    <w:rsid w:val="46737ABC"/>
    <w:rsid w:val="4674B2CB"/>
    <w:rsid w:val="46754D38"/>
    <w:rsid w:val="46758589"/>
    <w:rsid w:val="467C6993"/>
    <w:rsid w:val="467EB0A3"/>
    <w:rsid w:val="467F683F"/>
    <w:rsid w:val="467FE09F"/>
    <w:rsid w:val="46885188"/>
    <w:rsid w:val="4688BF68"/>
    <w:rsid w:val="468E2329"/>
    <w:rsid w:val="4692EF17"/>
    <w:rsid w:val="4694605E"/>
    <w:rsid w:val="4695721F"/>
    <w:rsid w:val="469CCEA0"/>
    <w:rsid w:val="46A23757"/>
    <w:rsid w:val="46A26A8A"/>
    <w:rsid w:val="46A35B44"/>
    <w:rsid w:val="46A84273"/>
    <w:rsid w:val="46A9AE8A"/>
    <w:rsid w:val="46AB6518"/>
    <w:rsid w:val="46ACE075"/>
    <w:rsid w:val="46B2FA49"/>
    <w:rsid w:val="46B72BF9"/>
    <w:rsid w:val="46BCDEFD"/>
    <w:rsid w:val="46C86EDD"/>
    <w:rsid w:val="46C87741"/>
    <w:rsid w:val="46D1E19E"/>
    <w:rsid w:val="46D2BD65"/>
    <w:rsid w:val="46D98F01"/>
    <w:rsid w:val="46E2DFFD"/>
    <w:rsid w:val="46E5AFF7"/>
    <w:rsid w:val="46E72FE5"/>
    <w:rsid w:val="46E8183D"/>
    <w:rsid w:val="46E8B4B2"/>
    <w:rsid w:val="46ED1A08"/>
    <w:rsid w:val="46EE3F17"/>
    <w:rsid w:val="46F0E346"/>
    <w:rsid w:val="46F16A5A"/>
    <w:rsid w:val="46F226F9"/>
    <w:rsid w:val="46F8CD8C"/>
    <w:rsid w:val="46FEB84D"/>
    <w:rsid w:val="46FFAC24"/>
    <w:rsid w:val="4703F21F"/>
    <w:rsid w:val="47046A52"/>
    <w:rsid w:val="470A18DF"/>
    <w:rsid w:val="470B4F3B"/>
    <w:rsid w:val="470CA4B1"/>
    <w:rsid w:val="470F984C"/>
    <w:rsid w:val="471CA7F7"/>
    <w:rsid w:val="471D6BA2"/>
    <w:rsid w:val="4720EBB3"/>
    <w:rsid w:val="47228FC9"/>
    <w:rsid w:val="472A1480"/>
    <w:rsid w:val="472D3DAE"/>
    <w:rsid w:val="4732BDBB"/>
    <w:rsid w:val="47341560"/>
    <w:rsid w:val="47367590"/>
    <w:rsid w:val="4736BAFC"/>
    <w:rsid w:val="473A7464"/>
    <w:rsid w:val="473CBB0D"/>
    <w:rsid w:val="473F2737"/>
    <w:rsid w:val="4740454A"/>
    <w:rsid w:val="47432D6B"/>
    <w:rsid w:val="47438A9E"/>
    <w:rsid w:val="47479FFE"/>
    <w:rsid w:val="4750BE40"/>
    <w:rsid w:val="4756DBBA"/>
    <w:rsid w:val="475952CB"/>
    <w:rsid w:val="47613754"/>
    <w:rsid w:val="476560E6"/>
    <w:rsid w:val="476EA48D"/>
    <w:rsid w:val="476EA8B7"/>
    <w:rsid w:val="47752F73"/>
    <w:rsid w:val="4778F23E"/>
    <w:rsid w:val="477ED91B"/>
    <w:rsid w:val="477FFC50"/>
    <w:rsid w:val="47848E85"/>
    <w:rsid w:val="478C9552"/>
    <w:rsid w:val="478D1B48"/>
    <w:rsid w:val="47922747"/>
    <w:rsid w:val="4792A569"/>
    <w:rsid w:val="4796445B"/>
    <w:rsid w:val="479D44DA"/>
    <w:rsid w:val="479E833E"/>
    <w:rsid w:val="479EE034"/>
    <w:rsid w:val="479FB975"/>
    <w:rsid w:val="47A03494"/>
    <w:rsid w:val="47A2481C"/>
    <w:rsid w:val="47A6DB63"/>
    <w:rsid w:val="47A6ED73"/>
    <w:rsid w:val="47A7B098"/>
    <w:rsid w:val="47A8D841"/>
    <w:rsid w:val="47AAA40D"/>
    <w:rsid w:val="47AB698B"/>
    <w:rsid w:val="47AC98BD"/>
    <w:rsid w:val="47B009CE"/>
    <w:rsid w:val="47B0A4B6"/>
    <w:rsid w:val="47B64F90"/>
    <w:rsid w:val="47C0B35A"/>
    <w:rsid w:val="47C1DCDE"/>
    <w:rsid w:val="47C1F295"/>
    <w:rsid w:val="47C29200"/>
    <w:rsid w:val="47C4904D"/>
    <w:rsid w:val="47C4BD44"/>
    <w:rsid w:val="47C6CFE9"/>
    <w:rsid w:val="47C71E08"/>
    <w:rsid w:val="47C93DF3"/>
    <w:rsid w:val="47CF0A50"/>
    <w:rsid w:val="47D5E395"/>
    <w:rsid w:val="47E0E1B8"/>
    <w:rsid w:val="47E1A787"/>
    <w:rsid w:val="47E5002F"/>
    <w:rsid w:val="47E834F2"/>
    <w:rsid w:val="47E8574A"/>
    <w:rsid w:val="47EC075F"/>
    <w:rsid w:val="47EDDE9B"/>
    <w:rsid w:val="47EFAFB1"/>
    <w:rsid w:val="47F33131"/>
    <w:rsid w:val="47F4AF23"/>
    <w:rsid w:val="47F721D3"/>
    <w:rsid w:val="47FDBA18"/>
    <w:rsid w:val="480F936A"/>
    <w:rsid w:val="48109F7A"/>
    <w:rsid w:val="48111284"/>
    <w:rsid w:val="481AC5DE"/>
    <w:rsid w:val="481F8A02"/>
    <w:rsid w:val="48202BE5"/>
    <w:rsid w:val="482421E9"/>
    <w:rsid w:val="48255797"/>
    <w:rsid w:val="4826D1F2"/>
    <w:rsid w:val="48277010"/>
    <w:rsid w:val="48282DD2"/>
    <w:rsid w:val="4828A254"/>
    <w:rsid w:val="483040F6"/>
    <w:rsid w:val="4831E276"/>
    <w:rsid w:val="48356CDD"/>
    <w:rsid w:val="48385D95"/>
    <w:rsid w:val="483D51B7"/>
    <w:rsid w:val="48406515"/>
    <w:rsid w:val="484441F9"/>
    <w:rsid w:val="48466F7C"/>
    <w:rsid w:val="4848FBC0"/>
    <w:rsid w:val="484D2C5F"/>
    <w:rsid w:val="484EF074"/>
    <w:rsid w:val="486F59B8"/>
    <w:rsid w:val="48711747"/>
    <w:rsid w:val="4878B1E9"/>
    <w:rsid w:val="4879AD47"/>
    <w:rsid w:val="4883CBD5"/>
    <w:rsid w:val="48864E1A"/>
    <w:rsid w:val="48881460"/>
    <w:rsid w:val="488A758A"/>
    <w:rsid w:val="488C36D3"/>
    <w:rsid w:val="4893E82B"/>
    <w:rsid w:val="489F90B9"/>
    <w:rsid w:val="48A1C15C"/>
    <w:rsid w:val="48A23198"/>
    <w:rsid w:val="48AA1809"/>
    <w:rsid w:val="48ACAC54"/>
    <w:rsid w:val="48AF0584"/>
    <w:rsid w:val="48B201EF"/>
    <w:rsid w:val="48BC5703"/>
    <w:rsid w:val="48C2378D"/>
    <w:rsid w:val="48C9DB08"/>
    <w:rsid w:val="48CA4428"/>
    <w:rsid w:val="48CA9A8A"/>
    <w:rsid w:val="48CB89F6"/>
    <w:rsid w:val="48D81FE1"/>
    <w:rsid w:val="48DB42C3"/>
    <w:rsid w:val="48E424BD"/>
    <w:rsid w:val="48E64112"/>
    <w:rsid w:val="48EA2731"/>
    <w:rsid w:val="48EB00FF"/>
    <w:rsid w:val="48EBCCA2"/>
    <w:rsid w:val="48EC8628"/>
    <w:rsid w:val="48EE67F5"/>
    <w:rsid w:val="48EEB93E"/>
    <w:rsid w:val="48F89643"/>
    <w:rsid w:val="48FBCB24"/>
    <w:rsid w:val="48FD063C"/>
    <w:rsid w:val="48FFD318"/>
    <w:rsid w:val="49018D7D"/>
    <w:rsid w:val="49021393"/>
    <w:rsid w:val="49021F21"/>
    <w:rsid w:val="4903B7F0"/>
    <w:rsid w:val="4905C584"/>
    <w:rsid w:val="49064DFD"/>
    <w:rsid w:val="49070A46"/>
    <w:rsid w:val="490910AB"/>
    <w:rsid w:val="490FCFFA"/>
    <w:rsid w:val="4910DA37"/>
    <w:rsid w:val="4912BC25"/>
    <w:rsid w:val="4919044A"/>
    <w:rsid w:val="491E4CA9"/>
    <w:rsid w:val="492081EE"/>
    <w:rsid w:val="4924ECA2"/>
    <w:rsid w:val="4926AFCD"/>
    <w:rsid w:val="4926C710"/>
    <w:rsid w:val="492A9F03"/>
    <w:rsid w:val="492C7310"/>
    <w:rsid w:val="492E02DF"/>
    <w:rsid w:val="4930FE6D"/>
    <w:rsid w:val="4933C534"/>
    <w:rsid w:val="49384117"/>
    <w:rsid w:val="493EAC1B"/>
    <w:rsid w:val="49455D06"/>
    <w:rsid w:val="49492CD3"/>
    <w:rsid w:val="494A5403"/>
    <w:rsid w:val="494CB45D"/>
    <w:rsid w:val="494F2E20"/>
    <w:rsid w:val="495C2366"/>
    <w:rsid w:val="495F279D"/>
    <w:rsid w:val="495FA88F"/>
    <w:rsid w:val="49672FDB"/>
    <w:rsid w:val="496E2D96"/>
    <w:rsid w:val="497FE71C"/>
    <w:rsid w:val="49813054"/>
    <w:rsid w:val="4983C3CD"/>
    <w:rsid w:val="49857B29"/>
    <w:rsid w:val="4986784D"/>
    <w:rsid w:val="49955CC9"/>
    <w:rsid w:val="4995AB94"/>
    <w:rsid w:val="499884F7"/>
    <w:rsid w:val="4998F1AB"/>
    <w:rsid w:val="499CD31E"/>
    <w:rsid w:val="49B18A76"/>
    <w:rsid w:val="49B74627"/>
    <w:rsid w:val="49BBFC46"/>
    <w:rsid w:val="49C041C1"/>
    <w:rsid w:val="49C1829F"/>
    <w:rsid w:val="49C2E543"/>
    <w:rsid w:val="49C39163"/>
    <w:rsid w:val="49C5B930"/>
    <w:rsid w:val="49C81E2E"/>
    <w:rsid w:val="49CBB9B1"/>
    <w:rsid w:val="49CDD747"/>
    <w:rsid w:val="49CE939F"/>
    <w:rsid w:val="49D06A84"/>
    <w:rsid w:val="49D0D8F0"/>
    <w:rsid w:val="49D27B57"/>
    <w:rsid w:val="49D2F2D8"/>
    <w:rsid w:val="49E3A902"/>
    <w:rsid w:val="49E56E52"/>
    <w:rsid w:val="49E6E14C"/>
    <w:rsid w:val="49EF13F0"/>
    <w:rsid w:val="49F07C86"/>
    <w:rsid w:val="49F4AA79"/>
    <w:rsid w:val="49F638FE"/>
    <w:rsid w:val="49FE0C80"/>
    <w:rsid w:val="49FEA20C"/>
    <w:rsid w:val="49FF0E41"/>
    <w:rsid w:val="49FFB67B"/>
    <w:rsid w:val="4A000D99"/>
    <w:rsid w:val="4A067DF0"/>
    <w:rsid w:val="4A0A5E27"/>
    <w:rsid w:val="4A13AA9E"/>
    <w:rsid w:val="4A1558D4"/>
    <w:rsid w:val="4A15D67B"/>
    <w:rsid w:val="4A2811B9"/>
    <w:rsid w:val="4A2EA59B"/>
    <w:rsid w:val="4A30E6E4"/>
    <w:rsid w:val="4A36590F"/>
    <w:rsid w:val="4A36F29C"/>
    <w:rsid w:val="4A3839B5"/>
    <w:rsid w:val="4A38D8EE"/>
    <w:rsid w:val="4A399195"/>
    <w:rsid w:val="4A3C88C7"/>
    <w:rsid w:val="4A413604"/>
    <w:rsid w:val="4A43C6ED"/>
    <w:rsid w:val="4A44535D"/>
    <w:rsid w:val="4A4C5A2B"/>
    <w:rsid w:val="4A4D8F37"/>
    <w:rsid w:val="4A4DA873"/>
    <w:rsid w:val="4A57B05D"/>
    <w:rsid w:val="4A57F44F"/>
    <w:rsid w:val="4A5CBC58"/>
    <w:rsid w:val="4A659CAA"/>
    <w:rsid w:val="4A661489"/>
    <w:rsid w:val="4A6C831F"/>
    <w:rsid w:val="4A70F4C1"/>
    <w:rsid w:val="4A724B48"/>
    <w:rsid w:val="4A735706"/>
    <w:rsid w:val="4A77FEDB"/>
    <w:rsid w:val="4A787471"/>
    <w:rsid w:val="4A789002"/>
    <w:rsid w:val="4A807185"/>
    <w:rsid w:val="4A859D95"/>
    <w:rsid w:val="4A885689"/>
    <w:rsid w:val="4A895C9C"/>
    <w:rsid w:val="4A8A38AC"/>
    <w:rsid w:val="4A8BC727"/>
    <w:rsid w:val="4A9188CE"/>
    <w:rsid w:val="4A9345A8"/>
    <w:rsid w:val="4A989EB0"/>
    <w:rsid w:val="4A98D69D"/>
    <w:rsid w:val="4AA0AF47"/>
    <w:rsid w:val="4AA70D8C"/>
    <w:rsid w:val="4AA8565C"/>
    <w:rsid w:val="4AB2CBEA"/>
    <w:rsid w:val="4AB473B1"/>
    <w:rsid w:val="4AB7B97C"/>
    <w:rsid w:val="4AB9535D"/>
    <w:rsid w:val="4ABCA691"/>
    <w:rsid w:val="4ABD6440"/>
    <w:rsid w:val="4ABD96D7"/>
    <w:rsid w:val="4ABDB124"/>
    <w:rsid w:val="4ABFD1CD"/>
    <w:rsid w:val="4AC2802E"/>
    <w:rsid w:val="4AC38173"/>
    <w:rsid w:val="4AC8FC9C"/>
    <w:rsid w:val="4ACBE013"/>
    <w:rsid w:val="4ACF8476"/>
    <w:rsid w:val="4AD81A3C"/>
    <w:rsid w:val="4ADC78E6"/>
    <w:rsid w:val="4ADE61D5"/>
    <w:rsid w:val="4ADE6DA4"/>
    <w:rsid w:val="4ADF98FE"/>
    <w:rsid w:val="4ADFCCC7"/>
    <w:rsid w:val="4AE0EFF9"/>
    <w:rsid w:val="4AE4DFE9"/>
    <w:rsid w:val="4AE5DFBC"/>
    <w:rsid w:val="4AE71A82"/>
    <w:rsid w:val="4AE7C98F"/>
    <w:rsid w:val="4AF4ADD5"/>
    <w:rsid w:val="4B06AD57"/>
    <w:rsid w:val="4B0BFA01"/>
    <w:rsid w:val="4B0CFDBB"/>
    <w:rsid w:val="4B10085E"/>
    <w:rsid w:val="4B14205B"/>
    <w:rsid w:val="4B1CAA69"/>
    <w:rsid w:val="4B1EAF73"/>
    <w:rsid w:val="4B1FF5A1"/>
    <w:rsid w:val="4B213B5A"/>
    <w:rsid w:val="4B2DA913"/>
    <w:rsid w:val="4B34327A"/>
    <w:rsid w:val="4B34F602"/>
    <w:rsid w:val="4B357865"/>
    <w:rsid w:val="4B368999"/>
    <w:rsid w:val="4B37E7C3"/>
    <w:rsid w:val="4B39E97B"/>
    <w:rsid w:val="4B443B71"/>
    <w:rsid w:val="4B45092E"/>
    <w:rsid w:val="4B46F0C8"/>
    <w:rsid w:val="4B4A4BD7"/>
    <w:rsid w:val="4B57A156"/>
    <w:rsid w:val="4B59D4DB"/>
    <w:rsid w:val="4B5A2202"/>
    <w:rsid w:val="4B5B9F55"/>
    <w:rsid w:val="4B5DEDA1"/>
    <w:rsid w:val="4B5EF1E3"/>
    <w:rsid w:val="4B6228EC"/>
    <w:rsid w:val="4B6CC9BE"/>
    <w:rsid w:val="4B6DA8F7"/>
    <w:rsid w:val="4B71A130"/>
    <w:rsid w:val="4B75CDDE"/>
    <w:rsid w:val="4B79238A"/>
    <w:rsid w:val="4B7EA785"/>
    <w:rsid w:val="4B7ED813"/>
    <w:rsid w:val="4B8080C5"/>
    <w:rsid w:val="4B81D5CC"/>
    <w:rsid w:val="4B836870"/>
    <w:rsid w:val="4B86E686"/>
    <w:rsid w:val="4B94D8DF"/>
    <w:rsid w:val="4B96D2E3"/>
    <w:rsid w:val="4B976607"/>
    <w:rsid w:val="4B992B54"/>
    <w:rsid w:val="4B9B0D67"/>
    <w:rsid w:val="4B9C4123"/>
    <w:rsid w:val="4B9E05D2"/>
    <w:rsid w:val="4BA14F80"/>
    <w:rsid w:val="4BA354CD"/>
    <w:rsid w:val="4BA62E88"/>
    <w:rsid w:val="4BAAAF38"/>
    <w:rsid w:val="4BAACB7C"/>
    <w:rsid w:val="4BB5E26E"/>
    <w:rsid w:val="4BB6A6E1"/>
    <w:rsid w:val="4BB8F152"/>
    <w:rsid w:val="4BBA95AB"/>
    <w:rsid w:val="4BBB8E74"/>
    <w:rsid w:val="4BC1729B"/>
    <w:rsid w:val="4BC739CE"/>
    <w:rsid w:val="4BCC0189"/>
    <w:rsid w:val="4BD4F337"/>
    <w:rsid w:val="4BD57A3A"/>
    <w:rsid w:val="4BDD0C8F"/>
    <w:rsid w:val="4BE4BD00"/>
    <w:rsid w:val="4BE595E6"/>
    <w:rsid w:val="4BE613A2"/>
    <w:rsid w:val="4BEDED54"/>
    <w:rsid w:val="4BEE8EB4"/>
    <w:rsid w:val="4BF03D82"/>
    <w:rsid w:val="4BF05315"/>
    <w:rsid w:val="4BF16916"/>
    <w:rsid w:val="4BF38973"/>
    <w:rsid w:val="4BF6360C"/>
    <w:rsid w:val="4BFA4286"/>
    <w:rsid w:val="4C0307B0"/>
    <w:rsid w:val="4C042624"/>
    <w:rsid w:val="4C04A11B"/>
    <w:rsid w:val="4C08E13C"/>
    <w:rsid w:val="4C09A3D2"/>
    <w:rsid w:val="4C0D9F4B"/>
    <w:rsid w:val="4C0F771F"/>
    <w:rsid w:val="4C104B9E"/>
    <w:rsid w:val="4C168634"/>
    <w:rsid w:val="4C22AD2B"/>
    <w:rsid w:val="4C239733"/>
    <w:rsid w:val="4C241B71"/>
    <w:rsid w:val="4C2E9CDA"/>
    <w:rsid w:val="4C2F62D2"/>
    <w:rsid w:val="4C309DEA"/>
    <w:rsid w:val="4C33D20E"/>
    <w:rsid w:val="4C34415C"/>
    <w:rsid w:val="4C36C2B6"/>
    <w:rsid w:val="4C37F669"/>
    <w:rsid w:val="4C3E9403"/>
    <w:rsid w:val="4C4279D1"/>
    <w:rsid w:val="4C42E08E"/>
    <w:rsid w:val="4C433688"/>
    <w:rsid w:val="4C43C891"/>
    <w:rsid w:val="4C4BB861"/>
    <w:rsid w:val="4C4E0543"/>
    <w:rsid w:val="4C4F18D1"/>
    <w:rsid w:val="4C4FDFC6"/>
    <w:rsid w:val="4C5193C5"/>
    <w:rsid w:val="4C532D1C"/>
    <w:rsid w:val="4C566309"/>
    <w:rsid w:val="4C57FFA8"/>
    <w:rsid w:val="4C5928FA"/>
    <w:rsid w:val="4C5E026B"/>
    <w:rsid w:val="4C631B36"/>
    <w:rsid w:val="4C637E53"/>
    <w:rsid w:val="4C68A823"/>
    <w:rsid w:val="4C715C39"/>
    <w:rsid w:val="4C723464"/>
    <w:rsid w:val="4C75651E"/>
    <w:rsid w:val="4C756945"/>
    <w:rsid w:val="4C79D97E"/>
    <w:rsid w:val="4C7E53CB"/>
    <w:rsid w:val="4C7EE5E1"/>
    <w:rsid w:val="4C81C8F6"/>
    <w:rsid w:val="4C8205C5"/>
    <w:rsid w:val="4C82187B"/>
    <w:rsid w:val="4C8CD38A"/>
    <w:rsid w:val="4C93286E"/>
    <w:rsid w:val="4C94AB9A"/>
    <w:rsid w:val="4C9B0A1F"/>
    <w:rsid w:val="4CA40DFE"/>
    <w:rsid w:val="4CA5CE58"/>
    <w:rsid w:val="4CA61DF8"/>
    <w:rsid w:val="4CA7565F"/>
    <w:rsid w:val="4CA8E85C"/>
    <w:rsid w:val="4CA9D343"/>
    <w:rsid w:val="4CAA79F5"/>
    <w:rsid w:val="4CAFD064"/>
    <w:rsid w:val="4CB4034D"/>
    <w:rsid w:val="4CB62149"/>
    <w:rsid w:val="4CB8B866"/>
    <w:rsid w:val="4CB8E84D"/>
    <w:rsid w:val="4CBC42F6"/>
    <w:rsid w:val="4CBC4FF5"/>
    <w:rsid w:val="4CBD1A86"/>
    <w:rsid w:val="4CC09A46"/>
    <w:rsid w:val="4CC28B6B"/>
    <w:rsid w:val="4CCD1EF7"/>
    <w:rsid w:val="4CCD2C78"/>
    <w:rsid w:val="4CCFF091"/>
    <w:rsid w:val="4CD18737"/>
    <w:rsid w:val="4CD4A60E"/>
    <w:rsid w:val="4CD8DBEE"/>
    <w:rsid w:val="4CDA1329"/>
    <w:rsid w:val="4CDA6421"/>
    <w:rsid w:val="4CDAC22D"/>
    <w:rsid w:val="4CDBED18"/>
    <w:rsid w:val="4CE258AF"/>
    <w:rsid w:val="4CE37AE9"/>
    <w:rsid w:val="4CE41364"/>
    <w:rsid w:val="4CE5D701"/>
    <w:rsid w:val="4CE60431"/>
    <w:rsid w:val="4CEBDE73"/>
    <w:rsid w:val="4CEE2CF7"/>
    <w:rsid w:val="4CEF1977"/>
    <w:rsid w:val="4CF04765"/>
    <w:rsid w:val="4CF791C9"/>
    <w:rsid w:val="4CFB3620"/>
    <w:rsid w:val="4CFC1097"/>
    <w:rsid w:val="4CFD64AD"/>
    <w:rsid w:val="4CFED8FB"/>
    <w:rsid w:val="4D01A87A"/>
    <w:rsid w:val="4D023ADF"/>
    <w:rsid w:val="4D041CAF"/>
    <w:rsid w:val="4D0A2631"/>
    <w:rsid w:val="4D0F2640"/>
    <w:rsid w:val="4D0FFC57"/>
    <w:rsid w:val="4D11EFC8"/>
    <w:rsid w:val="4D124621"/>
    <w:rsid w:val="4D1695AF"/>
    <w:rsid w:val="4D1C5088"/>
    <w:rsid w:val="4D1DA62D"/>
    <w:rsid w:val="4D22BF7E"/>
    <w:rsid w:val="4D2707D8"/>
    <w:rsid w:val="4D29677C"/>
    <w:rsid w:val="4D2D7438"/>
    <w:rsid w:val="4D2E62B6"/>
    <w:rsid w:val="4D31EE90"/>
    <w:rsid w:val="4D32D0A4"/>
    <w:rsid w:val="4D33D3EA"/>
    <w:rsid w:val="4D34D1D4"/>
    <w:rsid w:val="4D371210"/>
    <w:rsid w:val="4D436355"/>
    <w:rsid w:val="4D46872D"/>
    <w:rsid w:val="4D4E9ACC"/>
    <w:rsid w:val="4D4EFB17"/>
    <w:rsid w:val="4D538B45"/>
    <w:rsid w:val="4D5673AF"/>
    <w:rsid w:val="4D629152"/>
    <w:rsid w:val="4D6A88C9"/>
    <w:rsid w:val="4D7619F7"/>
    <w:rsid w:val="4D78DADF"/>
    <w:rsid w:val="4D7A9689"/>
    <w:rsid w:val="4D7E0666"/>
    <w:rsid w:val="4D808D61"/>
    <w:rsid w:val="4D8232CC"/>
    <w:rsid w:val="4D852FF9"/>
    <w:rsid w:val="4D85934E"/>
    <w:rsid w:val="4D8A567F"/>
    <w:rsid w:val="4D8AFB77"/>
    <w:rsid w:val="4D8D3CBD"/>
    <w:rsid w:val="4D8EB850"/>
    <w:rsid w:val="4D9205A1"/>
    <w:rsid w:val="4D92066D"/>
    <w:rsid w:val="4D9749F8"/>
    <w:rsid w:val="4DA899C2"/>
    <w:rsid w:val="4DAABEE9"/>
    <w:rsid w:val="4DAC2697"/>
    <w:rsid w:val="4DB3EEAD"/>
    <w:rsid w:val="4DB73FF6"/>
    <w:rsid w:val="4DB89513"/>
    <w:rsid w:val="4DBC2A47"/>
    <w:rsid w:val="4DBCFACC"/>
    <w:rsid w:val="4DBD56D6"/>
    <w:rsid w:val="4DBDF0AF"/>
    <w:rsid w:val="4DBEB6B6"/>
    <w:rsid w:val="4DBFAE4F"/>
    <w:rsid w:val="4DC2B078"/>
    <w:rsid w:val="4DC69A8A"/>
    <w:rsid w:val="4DC9902B"/>
    <w:rsid w:val="4DC9BBD7"/>
    <w:rsid w:val="4DCA3B29"/>
    <w:rsid w:val="4DCC3290"/>
    <w:rsid w:val="4DCEBDA7"/>
    <w:rsid w:val="4DD3443B"/>
    <w:rsid w:val="4DD5C5D6"/>
    <w:rsid w:val="4DDBC601"/>
    <w:rsid w:val="4DDE1FCD"/>
    <w:rsid w:val="4DDE89D4"/>
    <w:rsid w:val="4DE091CD"/>
    <w:rsid w:val="4DF4A44B"/>
    <w:rsid w:val="4DF692A1"/>
    <w:rsid w:val="4DF7728F"/>
    <w:rsid w:val="4DF96BB9"/>
    <w:rsid w:val="4DFCF48A"/>
    <w:rsid w:val="4DFDC397"/>
    <w:rsid w:val="4E078DCD"/>
    <w:rsid w:val="4E07A6E7"/>
    <w:rsid w:val="4E0A7E8A"/>
    <w:rsid w:val="4E0AC192"/>
    <w:rsid w:val="4E0E6A56"/>
    <w:rsid w:val="4E13738D"/>
    <w:rsid w:val="4E15446C"/>
    <w:rsid w:val="4E1A0F85"/>
    <w:rsid w:val="4E1AD874"/>
    <w:rsid w:val="4E1CC4CB"/>
    <w:rsid w:val="4E1D8C42"/>
    <w:rsid w:val="4E2E7847"/>
    <w:rsid w:val="4E3478A4"/>
    <w:rsid w:val="4E352AED"/>
    <w:rsid w:val="4E35B22F"/>
    <w:rsid w:val="4E3CFDB6"/>
    <w:rsid w:val="4E3D2AB4"/>
    <w:rsid w:val="4E3D3A59"/>
    <w:rsid w:val="4E3DC707"/>
    <w:rsid w:val="4E3E4345"/>
    <w:rsid w:val="4E3E4E19"/>
    <w:rsid w:val="4E411C0C"/>
    <w:rsid w:val="4E413C12"/>
    <w:rsid w:val="4E4437CE"/>
    <w:rsid w:val="4E4ED9A0"/>
    <w:rsid w:val="4E53FE2B"/>
    <w:rsid w:val="4E582056"/>
    <w:rsid w:val="4E5E2D55"/>
    <w:rsid w:val="4E63A446"/>
    <w:rsid w:val="4E672431"/>
    <w:rsid w:val="4E69E99C"/>
    <w:rsid w:val="4E7658BC"/>
    <w:rsid w:val="4E79D5B9"/>
    <w:rsid w:val="4E7F822F"/>
    <w:rsid w:val="4E832322"/>
    <w:rsid w:val="4E84D022"/>
    <w:rsid w:val="4E850A7E"/>
    <w:rsid w:val="4E866DC2"/>
    <w:rsid w:val="4E86CB6E"/>
    <w:rsid w:val="4E8EBB2D"/>
    <w:rsid w:val="4E8F028A"/>
    <w:rsid w:val="4E91759D"/>
    <w:rsid w:val="4E91CE44"/>
    <w:rsid w:val="4E955CD0"/>
    <w:rsid w:val="4E9575D5"/>
    <w:rsid w:val="4E97B4FE"/>
    <w:rsid w:val="4E98E19A"/>
    <w:rsid w:val="4E9ACCE2"/>
    <w:rsid w:val="4E9CBBA5"/>
    <w:rsid w:val="4EA7398D"/>
    <w:rsid w:val="4EA9DA8C"/>
    <w:rsid w:val="4EAA6EC1"/>
    <w:rsid w:val="4EAC41E5"/>
    <w:rsid w:val="4EADDED1"/>
    <w:rsid w:val="4EAFF7D2"/>
    <w:rsid w:val="4EB1106E"/>
    <w:rsid w:val="4EB27B6E"/>
    <w:rsid w:val="4EB6C4F3"/>
    <w:rsid w:val="4EBBDEED"/>
    <w:rsid w:val="4EC70C46"/>
    <w:rsid w:val="4EC77095"/>
    <w:rsid w:val="4EC918A8"/>
    <w:rsid w:val="4EC97171"/>
    <w:rsid w:val="4ECC660A"/>
    <w:rsid w:val="4ED26A85"/>
    <w:rsid w:val="4ED5A196"/>
    <w:rsid w:val="4ED6EA42"/>
    <w:rsid w:val="4ED95AE2"/>
    <w:rsid w:val="4EDA5947"/>
    <w:rsid w:val="4EDAA5CC"/>
    <w:rsid w:val="4EDD3788"/>
    <w:rsid w:val="4EE28904"/>
    <w:rsid w:val="4EE557B7"/>
    <w:rsid w:val="4EE8E9CC"/>
    <w:rsid w:val="4EE92FE8"/>
    <w:rsid w:val="4EEB94D3"/>
    <w:rsid w:val="4EEF6BC7"/>
    <w:rsid w:val="4EF0CF67"/>
    <w:rsid w:val="4EF5FD94"/>
    <w:rsid w:val="4EF8C3DC"/>
    <w:rsid w:val="4EFA54B9"/>
    <w:rsid w:val="4F00A8CF"/>
    <w:rsid w:val="4F04A819"/>
    <w:rsid w:val="4F0A534C"/>
    <w:rsid w:val="4F0B0F0F"/>
    <w:rsid w:val="4F0C3BDD"/>
    <w:rsid w:val="4F0C5267"/>
    <w:rsid w:val="4F0F5069"/>
    <w:rsid w:val="4F109EE2"/>
    <w:rsid w:val="4F15B854"/>
    <w:rsid w:val="4F1B41EF"/>
    <w:rsid w:val="4F1D45A4"/>
    <w:rsid w:val="4F20D979"/>
    <w:rsid w:val="4F268C72"/>
    <w:rsid w:val="4F268D56"/>
    <w:rsid w:val="4F2921B0"/>
    <w:rsid w:val="4F29E200"/>
    <w:rsid w:val="4F2CDF22"/>
    <w:rsid w:val="4F2E92C3"/>
    <w:rsid w:val="4F391091"/>
    <w:rsid w:val="4F396D67"/>
    <w:rsid w:val="4F40D820"/>
    <w:rsid w:val="4F4510DC"/>
    <w:rsid w:val="4F46FDA2"/>
    <w:rsid w:val="4F488636"/>
    <w:rsid w:val="4F4C8128"/>
    <w:rsid w:val="4F4FF7C8"/>
    <w:rsid w:val="4F50D741"/>
    <w:rsid w:val="4F540378"/>
    <w:rsid w:val="4F57D4EC"/>
    <w:rsid w:val="4F592737"/>
    <w:rsid w:val="4F668F4B"/>
    <w:rsid w:val="4F66A9F4"/>
    <w:rsid w:val="4F66FF81"/>
    <w:rsid w:val="4F68F60D"/>
    <w:rsid w:val="4F695615"/>
    <w:rsid w:val="4F69E5A0"/>
    <w:rsid w:val="4F6B34BC"/>
    <w:rsid w:val="4F7085A5"/>
    <w:rsid w:val="4F72AE30"/>
    <w:rsid w:val="4F754F17"/>
    <w:rsid w:val="4F76E616"/>
    <w:rsid w:val="4F7E8D8A"/>
    <w:rsid w:val="4F83C292"/>
    <w:rsid w:val="4F83CB6E"/>
    <w:rsid w:val="4F84DAF1"/>
    <w:rsid w:val="4F85E5D5"/>
    <w:rsid w:val="4F8A4C44"/>
    <w:rsid w:val="4F8B8C85"/>
    <w:rsid w:val="4F8CD9B9"/>
    <w:rsid w:val="4F93B353"/>
    <w:rsid w:val="4F94D15F"/>
    <w:rsid w:val="4F95F151"/>
    <w:rsid w:val="4F9A7382"/>
    <w:rsid w:val="4F9A8CE5"/>
    <w:rsid w:val="4F9ABC53"/>
    <w:rsid w:val="4F9DFEFB"/>
    <w:rsid w:val="4FA87AF4"/>
    <w:rsid w:val="4FA87FBE"/>
    <w:rsid w:val="4FAB76B3"/>
    <w:rsid w:val="4FAB8B5F"/>
    <w:rsid w:val="4FACFB20"/>
    <w:rsid w:val="4FAEA58D"/>
    <w:rsid w:val="4FB0E285"/>
    <w:rsid w:val="4FBB2F65"/>
    <w:rsid w:val="4FBDDF3E"/>
    <w:rsid w:val="4FBE04EE"/>
    <w:rsid w:val="4FC750E6"/>
    <w:rsid w:val="4FC9ADEC"/>
    <w:rsid w:val="4FD66E0A"/>
    <w:rsid w:val="4FD7A597"/>
    <w:rsid w:val="4FD89E00"/>
    <w:rsid w:val="4FD95C10"/>
    <w:rsid w:val="4FDA1E7A"/>
    <w:rsid w:val="4FDCDB76"/>
    <w:rsid w:val="4FDEF721"/>
    <w:rsid w:val="4FE675FE"/>
    <w:rsid w:val="4FE7EE88"/>
    <w:rsid w:val="4FF22F48"/>
    <w:rsid w:val="4FF35297"/>
    <w:rsid w:val="4FF6BDF4"/>
    <w:rsid w:val="4FF74354"/>
    <w:rsid w:val="4FFBC2BD"/>
    <w:rsid w:val="50030B10"/>
    <w:rsid w:val="500585BF"/>
    <w:rsid w:val="50093A7F"/>
    <w:rsid w:val="500C439D"/>
    <w:rsid w:val="501409B9"/>
    <w:rsid w:val="50143B56"/>
    <w:rsid w:val="501526A2"/>
    <w:rsid w:val="5016ADE8"/>
    <w:rsid w:val="5018FADE"/>
    <w:rsid w:val="501AE2A2"/>
    <w:rsid w:val="5024ACC6"/>
    <w:rsid w:val="5025B404"/>
    <w:rsid w:val="5025CBDC"/>
    <w:rsid w:val="502AD2EB"/>
    <w:rsid w:val="502CEED3"/>
    <w:rsid w:val="502D8547"/>
    <w:rsid w:val="50301E0B"/>
    <w:rsid w:val="5031E3D7"/>
    <w:rsid w:val="50326C2A"/>
    <w:rsid w:val="5034DF27"/>
    <w:rsid w:val="50385904"/>
    <w:rsid w:val="503D3451"/>
    <w:rsid w:val="50438493"/>
    <w:rsid w:val="504B7A6C"/>
    <w:rsid w:val="504BC36D"/>
    <w:rsid w:val="504DE011"/>
    <w:rsid w:val="50524936"/>
    <w:rsid w:val="50543F7C"/>
    <w:rsid w:val="5056D49D"/>
    <w:rsid w:val="505ECEE1"/>
    <w:rsid w:val="506E90D1"/>
    <w:rsid w:val="507012FB"/>
    <w:rsid w:val="507099E6"/>
    <w:rsid w:val="50710139"/>
    <w:rsid w:val="50751DD7"/>
    <w:rsid w:val="50757B8A"/>
    <w:rsid w:val="5075AA08"/>
    <w:rsid w:val="507D2171"/>
    <w:rsid w:val="507D746F"/>
    <w:rsid w:val="507E205B"/>
    <w:rsid w:val="50828ED8"/>
    <w:rsid w:val="50840818"/>
    <w:rsid w:val="50842824"/>
    <w:rsid w:val="508A18A3"/>
    <w:rsid w:val="508F569B"/>
    <w:rsid w:val="508FE652"/>
    <w:rsid w:val="50914F13"/>
    <w:rsid w:val="50916DEA"/>
    <w:rsid w:val="50944B1C"/>
    <w:rsid w:val="509D6026"/>
    <w:rsid w:val="50A67D57"/>
    <w:rsid w:val="50A8E161"/>
    <w:rsid w:val="50B0844A"/>
    <w:rsid w:val="50B188B5"/>
    <w:rsid w:val="50B8ECAC"/>
    <w:rsid w:val="50BA636A"/>
    <w:rsid w:val="50BE544C"/>
    <w:rsid w:val="50C6B0F7"/>
    <w:rsid w:val="50CA0CD4"/>
    <w:rsid w:val="50CC9137"/>
    <w:rsid w:val="50CFCF9A"/>
    <w:rsid w:val="50D1C351"/>
    <w:rsid w:val="50D537ED"/>
    <w:rsid w:val="50DCC9BF"/>
    <w:rsid w:val="50E19FA6"/>
    <w:rsid w:val="50E26854"/>
    <w:rsid w:val="50E369B7"/>
    <w:rsid w:val="50E8EA1E"/>
    <w:rsid w:val="50EA1CD3"/>
    <w:rsid w:val="50EB720A"/>
    <w:rsid w:val="50F13C5E"/>
    <w:rsid w:val="50F14D31"/>
    <w:rsid w:val="50F9CF11"/>
    <w:rsid w:val="50FC082A"/>
    <w:rsid w:val="50FC11EF"/>
    <w:rsid w:val="50FC3A6D"/>
    <w:rsid w:val="50FCEA8D"/>
    <w:rsid w:val="50FF186B"/>
    <w:rsid w:val="5100DE98"/>
    <w:rsid w:val="5104DCC3"/>
    <w:rsid w:val="510720B4"/>
    <w:rsid w:val="510B7379"/>
    <w:rsid w:val="510D6698"/>
    <w:rsid w:val="51116B90"/>
    <w:rsid w:val="5112F1BB"/>
    <w:rsid w:val="51132311"/>
    <w:rsid w:val="5114327C"/>
    <w:rsid w:val="51199AB6"/>
    <w:rsid w:val="511A55E7"/>
    <w:rsid w:val="511B9634"/>
    <w:rsid w:val="511E71F7"/>
    <w:rsid w:val="51265E3C"/>
    <w:rsid w:val="512E1A3E"/>
    <w:rsid w:val="512E6E8F"/>
    <w:rsid w:val="5131D282"/>
    <w:rsid w:val="513325B6"/>
    <w:rsid w:val="51353A3A"/>
    <w:rsid w:val="5135AFB5"/>
    <w:rsid w:val="5135B92D"/>
    <w:rsid w:val="51369AF2"/>
    <w:rsid w:val="51379158"/>
    <w:rsid w:val="5137FC9F"/>
    <w:rsid w:val="5139CF5C"/>
    <w:rsid w:val="514370EA"/>
    <w:rsid w:val="5144051B"/>
    <w:rsid w:val="51460C8E"/>
    <w:rsid w:val="514764F2"/>
    <w:rsid w:val="5147DDC0"/>
    <w:rsid w:val="514B9A21"/>
    <w:rsid w:val="514BCC46"/>
    <w:rsid w:val="514C0278"/>
    <w:rsid w:val="514FAC5A"/>
    <w:rsid w:val="51523621"/>
    <w:rsid w:val="51550930"/>
    <w:rsid w:val="5157502F"/>
    <w:rsid w:val="51583988"/>
    <w:rsid w:val="515C7F8C"/>
    <w:rsid w:val="5164C0B7"/>
    <w:rsid w:val="51677FE0"/>
    <w:rsid w:val="516BDCE9"/>
    <w:rsid w:val="5170BD9F"/>
    <w:rsid w:val="5172979E"/>
    <w:rsid w:val="51754866"/>
    <w:rsid w:val="517837E2"/>
    <w:rsid w:val="517E2D83"/>
    <w:rsid w:val="5180105B"/>
    <w:rsid w:val="51843DBE"/>
    <w:rsid w:val="518631E2"/>
    <w:rsid w:val="5186E938"/>
    <w:rsid w:val="518B81F8"/>
    <w:rsid w:val="518DEEF6"/>
    <w:rsid w:val="51926BF8"/>
    <w:rsid w:val="519B6760"/>
    <w:rsid w:val="519B8A11"/>
    <w:rsid w:val="51A12CB8"/>
    <w:rsid w:val="51A1E4F6"/>
    <w:rsid w:val="51AAD97F"/>
    <w:rsid w:val="51ABD1FA"/>
    <w:rsid w:val="51B2B6F5"/>
    <w:rsid w:val="51B62D63"/>
    <w:rsid w:val="51B7AE95"/>
    <w:rsid w:val="51B82B73"/>
    <w:rsid w:val="51BFC0CF"/>
    <w:rsid w:val="51C771C2"/>
    <w:rsid w:val="51C8CB5E"/>
    <w:rsid w:val="51C96F06"/>
    <w:rsid w:val="51CDB438"/>
    <w:rsid w:val="51D012ED"/>
    <w:rsid w:val="51D284E8"/>
    <w:rsid w:val="51D5A1BE"/>
    <w:rsid w:val="51D927CE"/>
    <w:rsid w:val="51DBE2C8"/>
    <w:rsid w:val="51DDADB7"/>
    <w:rsid w:val="51DE3C71"/>
    <w:rsid w:val="51DF3FDB"/>
    <w:rsid w:val="51E57F93"/>
    <w:rsid w:val="51EE2A64"/>
    <w:rsid w:val="51F185F8"/>
    <w:rsid w:val="51F2AEC9"/>
    <w:rsid w:val="51F38932"/>
    <w:rsid w:val="51F573B3"/>
    <w:rsid w:val="51FE10A9"/>
    <w:rsid w:val="51FE8714"/>
    <w:rsid w:val="51FE9FE0"/>
    <w:rsid w:val="5206ED1F"/>
    <w:rsid w:val="520A042E"/>
    <w:rsid w:val="5219548B"/>
    <w:rsid w:val="52195D5F"/>
    <w:rsid w:val="5226FBFA"/>
    <w:rsid w:val="522B9DBD"/>
    <w:rsid w:val="522BFB08"/>
    <w:rsid w:val="52349F45"/>
    <w:rsid w:val="52366BFE"/>
    <w:rsid w:val="52385AE6"/>
    <w:rsid w:val="52393087"/>
    <w:rsid w:val="523BC335"/>
    <w:rsid w:val="523FF6DC"/>
    <w:rsid w:val="52432B3B"/>
    <w:rsid w:val="5251A5BC"/>
    <w:rsid w:val="52571BF2"/>
    <w:rsid w:val="5258A11C"/>
    <w:rsid w:val="525B9646"/>
    <w:rsid w:val="525D70FD"/>
    <w:rsid w:val="525EBDBD"/>
    <w:rsid w:val="5267FBF2"/>
    <w:rsid w:val="526A44FE"/>
    <w:rsid w:val="526F1AA7"/>
    <w:rsid w:val="527055F8"/>
    <w:rsid w:val="5272AB7E"/>
    <w:rsid w:val="5274EC45"/>
    <w:rsid w:val="52773012"/>
    <w:rsid w:val="52786774"/>
    <w:rsid w:val="527B1A34"/>
    <w:rsid w:val="527F8D22"/>
    <w:rsid w:val="5280A25C"/>
    <w:rsid w:val="5281B902"/>
    <w:rsid w:val="5282FC83"/>
    <w:rsid w:val="52839AD7"/>
    <w:rsid w:val="52850A22"/>
    <w:rsid w:val="52855F8B"/>
    <w:rsid w:val="5286FD65"/>
    <w:rsid w:val="528A2D97"/>
    <w:rsid w:val="528CA7C1"/>
    <w:rsid w:val="528CDBDD"/>
    <w:rsid w:val="528D3FC5"/>
    <w:rsid w:val="528FD027"/>
    <w:rsid w:val="528FF8A0"/>
    <w:rsid w:val="529452DB"/>
    <w:rsid w:val="529C7144"/>
    <w:rsid w:val="529D1F51"/>
    <w:rsid w:val="52A3CEAA"/>
    <w:rsid w:val="52A68381"/>
    <w:rsid w:val="52A8760B"/>
    <w:rsid w:val="52AB895F"/>
    <w:rsid w:val="52ABB976"/>
    <w:rsid w:val="52AD9C53"/>
    <w:rsid w:val="52AFCC95"/>
    <w:rsid w:val="52B19391"/>
    <w:rsid w:val="52BAC789"/>
    <w:rsid w:val="52BF214A"/>
    <w:rsid w:val="52BF939A"/>
    <w:rsid w:val="52C1709A"/>
    <w:rsid w:val="52C2D9D9"/>
    <w:rsid w:val="52CA75C0"/>
    <w:rsid w:val="52CA77D9"/>
    <w:rsid w:val="52CC20DF"/>
    <w:rsid w:val="52CE3578"/>
    <w:rsid w:val="52D60772"/>
    <w:rsid w:val="52D90537"/>
    <w:rsid w:val="52DD3FE7"/>
    <w:rsid w:val="52DEB0A2"/>
    <w:rsid w:val="52E0BCD0"/>
    <w:rsid w:val="52E1284D"/>
    <w:rsid w:val="52E589F4"/>
    <w:rsid w:val="52E6BEBE"/>
    <w:rsid w:val="52EB6CA1"/>
    <w:rsid w:val="52F4FB30"/>
    <w:rsid w:val="52F58000"/>
    <w:rsid w:val="52F726E1"/>
    <w:rsid w:val="52F88DB2"/>
    <w:rsid w:val="52F93C48"/>
    <w:rsid w:val="52FA6BB7"/>
    <w:rsid w:val="52FF6D62"/>
    <w:rsid w:val="530E9640"/>
    <w:rsid w:val="5313C3CF"/>
    <w:rsid w:val="53159014"/>
    <w:rsid w:val="53164824"/>
    <w:rsid w:val="53190EA3"/>
    <w:rsid w:val="531A7E20"/>
    <w:rsid w:val="532112EA"/>
    <w:rsid w:val="532514E9"/>
    <w:rsid w:val="532791E2"/>
    <w:rsid w:val="532B9179"/>
    <w:rsid w:val="532BC4FD"/>
    <w:rsid w:val="532C7996"/>
    <w:rsid w:val="532F1006"/>
    <w:rsid w:val="532F9D18"/>
    <w:rsid w:val="533029A7"/>
    <w:rsid w:val="5330F8DD"/>
    <w:rsid w:val="533433A2"/>
    <w:rsid w:val="53347AD8"/>
    <w:rsid w:val="53365A4A"/>
    <w:rsid w:val="533CEECB"/>
    <w:rsid w:val="533EA0AF"/>
    <w:rsid w:val="533F6F38"/>
    <w:rsid w:val="5342147C"/>
    <w:rsid w:val="53446C4C"/>
    <w:rsid w:val="534C1D70"/>
    <w:rsid w:val="534CBF9C"/>
    <w:rsid w:val="534EBD5C"/>
    <w:rsid w:val="535001C6"/>
    <w:rsid w:val="5353A12A"/>
    <w:rsid w:val="535545B5"/>
    <w:rsid w:val="535B59E8"/>
    <w:rsid w:val="5360555D"/>
    <w:rsid w:val="53606FEC"/>
    <w:rsid w:val="536A8CBB"/>
    <w:rsid w:val="536C41DE"/>
    <w:rsid w:val="536E78F0"/>
    <w:rsid w:val="536FFF83"/>
    <w:rsid w:val="53709799"/>
    <w:rsid w:val="5371728F"/>
    <w:rsid w:val="53726A91"/>
    <w:rsid w:val="5375BC3D"/>
    <w:rsid w:val="5378B14A"/>
    <w:rsid w:val="53793B7A"/>
    <w:rsid w:val="537E72C8"/>
    <w:rsid w:val="537F81F0"/>
    <w:rsid w:val="537FD13C"/>
    <w:rsid w:val="53806637"/>
    <w:rsid w:val="5382391A"/>
    <w:rsid w:val="5382A76F"/>
    <w:rsid w:val="5383BB93"/>
    <w:rsid w:val="53893177"/>
    <w:rsid w:val="538A1BCE"/>
    <w:rsid w:val="538B8159"/>
    <w:rsid w:val="538C1305"/>
    <w:rsid w:val="538C55EB"/>
    <w:rsid w:val="538C79FE"/>
    <w:rsid w:val="538CE7B1"/>
    <w:rsid w:val="538D884E"/>
    <w:rsid w:val="538D9060"/>
    <w:rsid w:val="539CE6A2"/>
    <w:rsid w:val="539EF1C6"/>
    <w:rsid w:val="53A66CD5"/>
    <w:rsid w:val="53A704C7"/>
    <w:rsid w:val="53A8232D"/>
    <w:rsid w:val="53AAFBB6"/>
    <w:rsid w:val="53B6E939"/>
    <w:rsid w:val="53BE089C"/>
    <w:rsid w:val="53C1A483"/>
    <w:rsid w:val="53C29B64"/>
    <w:rsid w:val="53C7D174"/>
    <w:rsid w:val="53CEF617"/>
    <w:rsid w:val="53D1A5FC"/>
    <w:rsid w:val="53D6237C"/>
    <w:rsid w:val="53D9077C"/>
    <w:rsid w:val="53DAAAC0"/>
    <w:rsid w:val="53EBE718"/>
    <w:rsid w:val="53F0515A"/>
    <w:rsid w:val="53F5258F"/>
    <w:rsid w:val="53FD9364"/>
    <w:rsid w:val="540070F5"/>
    <w:rsid w:val="5402ECCF"/>
    <w:rsid w:val="54042B8C"/>
    <w:rsid w:val="54092E7B"/>
    <w:rsid w:val="5409D3BE"/>
    <w:rsid w:val="540F2C81"/>
    <w:rsid w:val="54103D71"/>
    <w:rsid w:val="5412EC38"/>
    <w:rsid w:val="541851D9"/>
    <w:rsid w:val="541B5D83"/>
    <w:rsid w:val="541B8EC6"/>
    <w:rsid w:val="542D0B0F"/>
    <w:rsid w:val="5430233C"/>
    <w:rsid w:val="543485E0"/>
    <w:rsid w:val="5441C94E"/>
    <w:rsid w:val="5442F6AE"/>
    <w:rsid w:val="54480E16"/>
    <w:rsid w:val="544E062F"/>
    <w:rsid w:val="544E491A"/>
    <w:rsid w:val="54573C91"/>
    <w:rsid w:val="545847C1"/>
    <w:rsid w:val="5459AD44"/>
    <w:rsid w:val="545B7870"/>
    <w:rsid w:val="54636BCF"/>
    <w:rsid w:val="5465E46F"/>
    <w:rsid w:val="5468BABE"/>
    <w:rsid w:val="546C66C1"/>
    <w:rsid w:val="546C7B7D"/>
    <w:rsid w:val="546CCF5B"/>
    <w:rsid w:val="546DA897"/>
    <w:rsid w:val="547090CC"/>
    <w:rsid w:val="5470EA1A"/>
    <w:rsid w:val="5471D7D3"/>
    <w:rsid w:val="547792FD"/>
    <w:rsid w:val="5478C33A"/>
    <w:rsid w:val="547A96EC"/>
    <w:rsid w:val="547E968C"/>
    <w:rsid w:val="547FFAF0"/>
    <w:rsid w:val="54803DDE"/>
    <w:rsid w:val="548EE802"/>
    <w:rsid w:val="5490A0AD"/>
    <w:rsid w:val="5491BF79"/>
    <w:rsid w:val="5491E312"/>
    <w:rsid w:val="5494154F"/>
    <w:rsid w:val="549BBF3E"/>
    <w:rsid w:val="549C15CB"/>
    <w:rsid w:val="54A02458"/>
    <w:rsid w:val="54A2768C"/>
    <w:rsid w:val="54A5729F"/>
    <w:rsid w:val="54A9974D"/>
    <w:rsid w:val="54AA2527"/>
    <w:rsid w:val="54AAD16B"/>
    <w:rsid w:val="54B00270"/>
    <w:rsid w:val="54B12F7E"/>
    <w:rsid w:val="54B1C607"/>
    <w:rsid w:val="54B3D622"/>
    <w:rsid w:val="54B64E81"/>
    <w:rsid w:val="54BE89FA"/>
    <w:rsid w:val="54C28ED8"/>
    <w:rsid w:val="54CE4A94"/>
    <w:rsid w:val="54D2901B"/>
    <w:rsid w:val="54D35844"/>
    <w:rsid w:val="54D7C089"/>
    <w:rsid w:val="54D8A732"/>
    <w:rsid w:val="54DA5C89"/>
    <w:rsid w:val="54E23CE2"/>
    <w:rsid w:val="54E7BB7F"/>
    <w:rsid w:val="54EB5F52"/>
    <w:rsid w:val="54EC5A5B"/>
    <w:rsid w:val="54EDCE25"/>
    <w:rsid w:val="54EDE8B3"/>
    <w:rsid w:val="54F2BB84"/>
    <w:rsid w:val="54F56F2B"/>
    <w:rsid w:val="54F8BE3A"/>
    <w:rsid w:val="54F96137"/>
    <w:rsid w:val="550044E2"/>
    <w:rsid w:val="5503EA33"/>
    <w:rsid w:val="55069C73"/>
    <w:rsid w:val="55091CB8"/>
    <w:rsid w:val="550A4951"/>
    <w:rsid w:val="550C6D84"/>
    <w:rsid w:val="550D949F"/>
    <w:rsid w:val="550F9F65"/>
    <w:rsid w:val="5510973D"/>
    <w:rsid w:val="55144EAC"/>
    <w:rsid w:val="55187F18"/>
    <w:rsid w:val="55224A8B"/>
    <w:rsid w:val="55260D6F"/>
    <w:rsid w:val="5526E53D"/>
    <w:rsid w:val="5528264C"/>
    <w:rsid w:val="552856A9"/>
    <w:rsid w:val="552E4B73"/>
    <w:rsid w:val="552F4681"/>
    <w:rsid w:val="5532E0C6"/>
    <w:rsid w:val="55406A87"/>
    <w:rsid w:val="55478849"/>
    <w:rsid w:val="55487E1C"/>
    <w:rsid w:val="5549F68E"/>
    <w:rsid w:val="554A3713"/>
    <w:rsid w:val="554AB851"/>
    <w:rsid w:val="554DEDA9"/>
    <w:rsid w:val="5555CA9A"/>
    <w:rsid w:val="55562FE8"/>
    <w:rsid w:val="555986B6"/>
    <w:rsid w:val="555FD398"/>
    <w:rsid w:val="556173CC"/>
    <w:rsid w:val="55635FE8"/>
    <w:rsid w:val="556575DD"/>
    <w:rsid w:val="55661CC8"/>
    <w:rsid w:val="5567A863"/>
    <w:rsid w:val="55683126"/>
    <w:rsid w:val="556BD17B"/>
    <w:rsid w:val="55717621"/>
    <w:rsid w:val="5577C3BA"/>
    <w:rsid w:val="557C2DA5"/>
    <w:rsid w:val="557D0F2B"/>
    <w:rsid w:val="5583A769"/>
    <w:rsid w:val="5583D8AA"/>
    <w:rsid w:val="558A0620"/>
    <w:rsid w:val="558B949B"/>
    <w:rsid w:val="558ED778"/>
    <w:rsid w:val="55908221"/>
    <w:rsid w:val="5591B212"/>
    <w:rsid w:val="55953AE6"/>
    <w:rsid w:val="55953B1B"/>
    <w:rsid w:val="559556B2"/>
    <w:rsid w:val="55992384"/>
    <w:rsid w:val="559C4156"/>
    <w:rsid w:val="55A26116"/>
    <w:rsid w:val="55A4978D"/>
    <w:rsid w:val="55A5A41F"/>
    <w:rsid w:val="55A6CBC3"/>
    <w:rsid w:val="55AF62A5"/>
    <w:rsid w:val="55B72DE4"/>
    <w:rsid w:val="55B8E756"/>
    <w:rsid w:val="55BE9B56"/>
    <w:rsid w:val="55BF3F70"/>
    <w:rsid w:val="55C2F6E9"/>
    <w:rsid w:val="55C70935"/>
    <w:rsid w:val="55C7C7A1"/>
    <w:rsid w:val="55C8C6DA"/>
    <w:rsid w:val="55D0A453"/>
    <w:rsid w:val="55D13ACA"/>
    <w:rsid w:val="55D5C00C"/>
    <w:rsid w:val="55D668E4"/>
    <w:rsid w:val="55D840F7"/>
    <w:rsid w:val="55DD3D5B"/>
    <w:rsid w:val="55DFF386"/>
    <w:rsid w:val="55E19118"/>
    <w:rsid w:val="55E209CF"/>
    <w:rsid w:val="55E409A0"/>
    <w:rsid w:val="55E4CC5A"/>
    <w:rsid w:val="55E5CFA5"/>
    <w:rsid w:val="55EA5670"/>
    <w:rsid w:val="55EFED39"/>
    <w:rsid w:val="55F7345C"/>
    <w:rsid w:val="55FC7796"/>
    <w:rsid w:val="55FCECC0"/>
    <w:rsid w:val="56089FBC"/>
    <w:rsid w:val="560A71BE"/>
    <w:rsid w:val="560A9693"/>
    <w:rsid w:val="560AA6C1"/>
    <w:rsid w:val="560BF95A"/>
    <w:rsid w:val="56187693"/>
    <w:rsid w:val="56188B6D"/>
    <w:rsid w:val="561B1995"/>
    <w:rsid w:val="561EA040"/>
    <w:rsid w:val="563315C2"/>
    <w:rsid w:val="56331A2C"/>
    <w:rsid w:val="56375937"/>
    <w:rsid w:val="5638C1AE"/>
    <w:rsid w:val="5638C561"/>
    <w:rsid w:val="563A2DA8"/>
    <w:rsid w:val="563CA56A"/>
    <w:rsid w:val="563F8513"/>
    <w:rsid w:val="56414300"/>
    <w:rsid w:val="5642E0C1"/>
    <w:rsid w:val="56444A4B"/>
    <w:rsid w:val="5646A236"/>
    <w:rsid w:val="56495FFE"/>
    <w:rsid w:val="564B5AFF"/>
    <w:rsid w:val="564BB53C"/>
    <w:rsid w:val="564E4D4C"/>
    <w:rsid w:val="56575DB1"/>
    <w:rsid w:val="5657AB8D"/>
    <w:rsid w:val="5657CEBE"/>
    <w:rsid w:val="5658FAA4"/>
    <w:rsid w:val="565DB86B"/>
    <w:rsid w:val="565E65FD"/>
    <w:rsid w:val="565EA93E"/>
    <w:rsid w:val="56633596"/>
    <w:rsid w:val="5666164A"/>
    <w:rsid w:val="566966BB"/>
    <w:rsid w:val="566CE8DB"/>
    <w:rsid w:val="5670E9E9"/>
    <w:rsid w:val="567F858D"/>
    <w:rsid w:val="56827516"/>
    <w:rsid w:val="5682E0E4"/>
    <w:rsid w:val="56871EC8"/>
    <w:rsid w:val="56898C94"/>
    <w:rsid w:val="568AF84E"/>
    <w:rsid w:val="5690EAF2"/>
    <w:rsid w:val="5693EE4A"/>
    <w:rsid w:val="5694CC3C"/>
    <w:rsid w:val="569A547C"/>
    <w:rsid w:val="569B5CBD"/>
    <w:rsid w:val="569D8835"/>
    <w:rsid w:val="56A2C6E3"/>
    <w:rsid w:val="56AB835E"/>
    <w:rsid w:val="56AD9CA3"/>
    <w:rsid w:val="56AF8B61"/>
    <w:rsid w:val="56B6CB5F"/>
    <w:rsid w:val="56B88E09"/>
    <w:rsid w:val="56B942B5"/>
    <w:rsid w:val="56B9C4D3"/>
    <w:rsid w:val="56BC4D69"/>
    <w:rsid w:val="56C29AA6"/>
    <w:rsid w:val="56C44BF3"/>
    <w:rsid w:val="56C6033A"/>
    <w:rsid w:val="56CCB398"/>
    <w:rsid w:val="56D82CDA"/>
    <w:rsid w:val="56DC0156"/>
    <w:rsid w:val="56DE0D97"/>
    <w:rsid w:val="56DF487A"/>
    <w:rsid w:val="56E748EA"/>
    <w:rsid w:val="56E75830"/>
    <w:rsid w:val="56E9BDDC"/>
    <w:rsid w:val="56ED2A28"/>
    <w:rsid w:val="56ED61DF"/>
    <w:rsid w:val="56F0699C"/>
    <w:rsid w:val="56F56779"/>
    <w:rsid w:val="56FDE681"/>
    <w:rsid w:val="56FE3664"/>
    <w:rsid w:val="5700FC1F"/>
    <w:rsid w:val="5701D6E4"/>
    <w:rsid w:val="570FF7B7"/>
    <w:rsid w:val="57123F07"/>
    <w:rsid w:val="5715E275"/>
    <w:rsid w:val="5716EE9D"/>
    <w:rsid w:val="5717A7D1"/>
    <w:rsid w:val="572A3C59"/>
    <w:rsid w:val="572EEB88"/>
    <w:rsid w:val="5731F276"/>
    <w:rsid w:val="573CBC3A"/>
    <w:rsid w:val="573E62CC"/>
    <w:rsid w:val="5742F3AA"/>
    <w:rsid w:val="574378E1"/>
    <w:rsid w:val="57493F2B"/>
    <w:rsid w:val="574B5842"/>
    <w:rsid w:val="574D2AAA"/>
    <w:rsid w:val="574DE01F"/>
    <w:rsid w:val="574EB42C"/>
    <w:rsid w:val="57522048"/>
    <w:rsid w:val="575A0647"/>
    <w:rsid w:val="5764F585"/>
    <w:rsid w:val="576923C9"/>
    <w:rsid w:val="5769933D"/>
    <w:rsid w:val="576C26A2"/>
    <w:rsid w:val="5770FA8A"/>
    <w:rsid w:val="5772E087"/>
    <w:rsid w:val="57786D44"/>
    <w:rsid w:val="577E0BB7"/>
    <w:rsid w:val="577E6A8E"/>
    <w:rsid w:val="577F48A4"/>
    <w:rsid w:val="57879007"/>
    <w:rsid w:val="578891F3"/>
    <w:rsid w:val="5788DBBA"/>
    <w:rsid w:val="57899B73"/>
    <w:rsid w:val="578AB300"/>
    <w:rsid w:val="5795D26C"/>
    <w:rsid w:val="57A01FF4"/>
    <w:rsid w:val="57A2860C"/>
    <w:rsid w:val="57A365A5"/>
    <w:rsid w:val="57A4BD20"/>
    <w:rsid w:val="57AA78D5"/>
    <w:rsid w:val="57AD210A"/>
    <w:rsid w:val="57AD4166"/>
    <w:rsid w:val="57BDFD83"/>
    <w:rsid w:val="57BE94FE"/>
    <w:rsid w:val="57C0EA51"/>
    <w:rsid w:val="57C85AE7"/>
    <w:rsid w:val="57CE2116"/>
    <w:rsid w:val="57D58A48"/>
    <w:rsid w:val="57D9CA67"/>
    <w:rsid w:val="57DC6819"/>
    <w:rsid w:val="57DF6A54"/>
    <w:rsid w:val="57E0949D"/>
    <w:rsid w:val="57E4A668"/>
    <w:rsid w:val="57E6B3BE"/>
    <w:rsid w:val="57E9A3AC"/>
    <w:rsid w:val="57EB70FC"/>
    <w:rsid w:val="57EC9211"/>
    <w:rsid w:val="57F07CE1"/>
    <w:rsid w:val="57F4410C"/>
    <w:rsid w:val="57F88DDA"/>
    <w:rsid w:val="57F8B12C"/>
    <w:rsid w:val="57FD8604"/>
    <w:rsid w:val="58103CA7"/>
    <w:rsid w:val="58115AE7"/>
    <w:rsid w:val="5811F0DC"/>
    <w:rsid w:val="58155C71"/>
    <w:rsid w:val="58183BA8"/>
    <w:rsid w:val="581C37E8"/>
    <w:rsid w:val="58300607"/>
    <w:rsid w:val="5832BEC1"/>
    <w:rsid w:val="5832E6FE"/>
    <w:rsid w:val="58389C4D"/>
    <w:rsid w:val="583CACDB"/>
    <w:rsid w:val="583E9744"/>
    <w:rsid w:val="5848D2B8"/>
    <w:rsid w:val="5849E8EC"/>
    <w:rsid w:val="584B74E3"/>
    <w:rsid w:val="584F3F30"/>
    <w:rsid w:val="584FC609"/>
    <w:rsid w:val="584FD21B"/>
    <w:rsid w:val="585415D5"/>
    <w:rsid w:val="5854C117"/>
    <w:rsid w:val="5855E447"/>
    <w:rsid w:val="58578927"/>
    <w:rsid w:val="58582C82"/>
    <w:rsid w:val="5859899B"/>
    <w:rsid w:val="585DB23B"/>
    <w:rsid w:val="586BF0D7"/>
    <w:rsid w:val="586CB3B5"/>
    <w:rsid w:val="5870625E"/>
    <w:rsid w:val="5872BC00"/>
    <w:rsid w:val="5874697C"/>
    <w:rsid w:val="58763E69"/>
    <w:rsid w:val="5879DDF8"/>
    <w:rsid w:val="58835E1A"/>
    <w:rsid w:val="58837B00"/>
    <w:rsid w:val="5885648C"/>
    <w:rsid w:val="588CBD04"/>
    <w:rsid w:val="588DD246"/>
    <w:rsid w:val="58901006"/>
    <w:rsid w:val="5891D4C7"/>
    <w:rsid w:val="589622FE"/>
    <w:rsid w:val="589F9E38"/>
    <w:rsid w:val="58A334A7"/>
    <w:rsid w:val="58A50D74"/>
    <w:rsid w:val="58A91B05"/>
    <w:rsid w:val="58A996C0"/>
    <w:rsid w:val="58ACEF2D"/>
    <w:rsid w:val="58AE2E5B"/>
    <w:rsid w:val="58AEAC9F"/>
    <w:rsid w:val="58AFB75D"/>
    <w:rsid w:val="58AFEFEA"/>
    <w:rsid w:val="58B4D213"/>
    <w:rsid w:val="58B76F32"/>
    <w:rsid w:val="58BA869B"/>
    <w:rsid w:val="58C24B2D"/>
    <w:rsid w:val="58C5A384"/>
    <w:rsid w:val="58C6A592"/>
    <w:rsid w:val="58CA9655"/>
    <w:rsid w:val="58CB0382"/>
    <w:rsid w:val="58D8B1CC"/>
    <w:rsid w:val="58DB8245"/>
    <w:rsid w:val="58E0413B"/>
    <w:rsid w:val="58E05BC5"/>
    <w:rsid w:val="58E5FD10"/>
    <w:rsid w:val="58E7598C"/>
    <w:rsid w:val="58EA3CB7"/>
    <w:rsid w:val="58EA6242"/>
    <w:rsid w:val="58EF884C"/>
    <w:rsid w:val="58EF8871"/>
    <w:rsid w:val="58F442CB"/>
    <w:rsid w:val="58FF3A24"/>
    <w:rsid w:val="5900097D"/>
    <w:rsid w:val="5900C282"/>
    <w:rsid w:val="590334FA"/>
    <w:rsid w:val="59080FAD"/>
    <w:rsid w:val="59089133"/>
    <w:rsid w:val="590A7473"/>
    <w:rsid w:val="5910E0FF"/>
    <w:rsid w:val="5914B7D8"/>
    <w:rsid w:val="59158068"/>
    <w:rsid w:val="591726D9"/>
    <w:rsid w:val="591E2979"/>
    <w:rsid w:val="59217270"/>
    <w:rsid w:val="5924505D"/>
    <w:rsid w:val="59263592"/>
    <w:rsid w:val="59264170"/>
    <w:rsid w:val="592A739E"/>
    <w:rsid w:val="592C808C"/>
    <w:rsid w:val="59310016"/>
    <w:rsid w:val="59352214"/>
    <w:rsid w:val="59368BB6"/>
    <w:rsid w:val="594F066F"/>
    <w:rsid w:val="59501F49"/>
    <w:rsid w:val="59509993"/>
    <w:rsid w:val="5951238E"/>
    <w:rsid w:val="5954A9FA"/>
    <w:rsid w:val="59556FC5"/>
    <w:rsid w:val="5956319A"/>
    <w:rsid w:val="5959131D"/>
    <w:rsid w:val="595AB928"/>
    <w:rsid w:val="59608DF1"/>
    <w:rsid w:val="5960FEC2"/>
    <w:rsid w:val="5968495C"/>
    <w:rsid w:val="596D9F4F"/>
    <w:rsid w:val="596ECC33"/>
    <w:rsid w:val="59711FCC"/>
    <w:rsid w:val="597CD658"/>
    <w:rsid w:val="597CE0CE"/>
    <w:rsid w:val="5981ED11"/>
    <w:rsid w:val="5985626C"/>
    <w:rsid w:val="5986B83A"/>
    <w:rsid w:val="598A7819"/>
    <w:rsid w:val="598BF212"/>
    <w:rsid w:val="599131B3"/>
    <w:rsid w:val="5993B5AA"/>
    <w:rsid w:val="59A4C4EB"/>
    <w:rsid w:val="59A973DA"/>
    <w:rsid w:val="59AA0FCE"/>
    <w:rsid w:val="59AAE289"/>
    <w:rsid w:val="59AE4E55"/>
    <w:rsid w:val="59AF1116"/>
    <w:rsid w:val="59B03554"/>
    <w:rsid w:val="59B0A50B"/>
    <w:rsid w:val="59B0ABF0"/>
    <w:rsid w:val="59C043F7"/>
    <w:rsid w:val="59C2355C"/>
    <w:rsid w:val="59C511FE"/>
    <w:rsid w:val="59D0A510"/>
    <w:rsid w:val="59D341C3"/>
    <w:rsid w:val="59D51A51"/>
    <w:rsid w:val="59DD4EE9"/>
    <w:rsid w:val="59E06A45"/>
    <w:rsid w:val="59E262BE"/>
    <w:rsid w:val="59E31749"/>
    <w:rsid w:val="59EBCF8C"/>
    <w:rsid w:val="59ECDF5B"/>
    <w:rsid w:val="59EF5B91"/>
    <w:rsid w:val="59F66CE5"/>
    <w:rsid w:val="59F757D8"/>
    <w:rsid w:val="59FE6AF8"/>
    <w:rsid w:val="59FF30F5"/>
    <w:rsid w:val="5A0857A1"/>
    <w:rsid w:val="5A0B164B"/>
    <w:rsid w:val="5A169B12"/>
    <w:rsid w:val="5A1A1C5E"/>
    <w:rsid w:val="5A2647DF"/>
    <w:rsid w:val="5A29090D"/>
    <w:rsid w:val="5A2AA423"/>
    <w:rsid w:val="5A2D7740"/>
    <w:rsid w:val="5A328CAA"/>
    <w:rsid w:val="5A35E192"/>
    <w:rsid w:val="5A38A434"/>
    <w:rsid w:val="5A3B7C9E"/>
    <w:rsid w:val="5A3F0508"/>
    <w:rsid w:val="5A3F5D56"/>
    <w:rsid w:val="5A4024D1"/>
    <w:rsid w:val="5A44B1CF"/>
    <w:rsid w:val="5A477DB4"/>
    <w:rsid w:val="5A480804"/>
    <w:rsid w:val="5A4A48DB"/>
    <w:rsid w:val="5A4FFC6B"/>
    <w:rsid w:val="5A594886"/>
    <w:rsid w:val="5A618E6D"/>
    <w:rsid w:val="5A653448"/>
    <w:rsid w:val="5A668C4A"/>
    <w:rsid w:val="5A6B2D36"/>
    <w:rsid w:val="5A755056"/>
    <w:rsid w:val="5A799C01"/>
    <w:rsid w:val="5A7A21AE"/>
    <w:rsid w:val="5A7ACDA8"/>
    <w:rsid w:val="5A7C2A98"/>
    <w:rsid w:val="5A7CA78F"/>
    <w:rsid w:val="5A7DC796"/>
    <w:rsid w:val="5A834B5A"/>
    <w:rsid w:val="5A8DDE2B"/>
    <w:rsid w:val="5A90C78B"/>
    <w:rsid w:val="5A97052D"/>
    <w:rsid w:val="5A9B0A85"/>
    <w:rsid w:val="5AA063C7"/>
    <w:rsid w:val="5AABC0A2"/>
    <w:rsid w:val="5AADB281"/>
    <w:rsid w:val="5AAF12C6"/>
    <w:rsid w:val="5AAF4020"/>
    <w:rsid w:val="5AB0AE7E"/>
    <w:rsid w:val="5AB1C743"/>
    <w:rsid w:val="5AB5B89A"/>
    <w:rsid w:val="5ABC3664"/>
    <w:rsid w:val="5ABD9740"/>
    <w:rsid w:val="5AC46663"/>
    <w:rsid w:val="5AC5FB20"/>
    <w:rsid w:val="5ACA6672"/>
    <w:rsid w:val="5ACFC3ED"/>
    <w:rsid w:val="5AD17230"/>
    <w:rsid w:val="5AD46164"/>
    <w:rsid w:val="5AD587A5"/>
    <w:rsid w:val="5ADA9F17"/>
    <w:rsid w:val="5ADB048A"/>
    <w:rsid w:val="5ADCB8E4"/>
    <w:rsid w:val="5AE4546B"/>
    <w:rsid w:val="5AE919C8"/>
    <w:rsid w:val="5AEB25D0"/>
    <w:rsid w:val="5AF1580F"/>
    <w:rsid w:val="5AF842CC"/>
    <w:rsid w:val="5AFC5886"/>
    <w:rsid w:val="5AFCC9E3"/>
    <w:rsid w:val="5AFDFD5D"/>
    <w:rsid w:val="5AFE1D4C"/>
    <w:rsid w:val="5B034EBD"/>
    <w:rsid w:val="5B03ECDF"/>
    <w:rsid w:val="5B0880A7"/>
    <w:rsid w:val="5B0882BF"/>
    <w:rsid w:val="5B09AE5C"/>
    <w:rsid w:val="5B0A7EF0"/>
    <w:rsid w:val="5B102B73"/>
    <w:rsid w:val="5B1099E8"/>
    <w:rsid w:val="5B135152"/>
    <w:rsid w:val="5B14D68D"/>
    <w:rsid w:val="5B194268"/>
    <w:rsid w:val="5B1A6F56"/>
    <w:rsid w:val="5B2535B6"/>
    <w:rsid w:val="5B2733C4"/>
    <w:rsid w:val="5B2943FA"/>
    <w:rsid w:val="5B2F8F54"/>
    <w:rsid w:val="5B3608A2"/>
    <w:rsid w:val="5B37EA8C"/>
    <w:rsid w:val="5B3FFC70"/>
    <w:rsid w:val="5B4105E7"/>
    <w:rsid w:val="5B47020D"/>
    <w:rsid w:val="5B47DD69"/>
    <w:rsid w:val="5B4CA235"/>
    <w:rsid w:val="5B4D7E20"/>
    <w:rsid w:val="5B4E0E13"/>
    <w:rsid w:val="5B502244"/>
    <w:rsid w:val="5B516562"/>
    <w:rsid w:val="5B529618"/>
    <w:rsid w:val="5B550CAA"/>
    <w:rsid w:val="5B56128A"/>
    <w:rsid w:val="5B581525"/>
    <w:rsid w:val="5B5ACB86"/>
    <w:rsid w:val="5B610019"/>
    <w:rsid w:val="5B62D386"/>
    <w:rsid w:val="5B6A87C0"/>
    <w:rsid w:val="5B6FFB46"/>
    <w:rsid w:val="5B70356B"/>
    <w:rsid w:val="5B71DCBC"/>
    <w:rsid w:val="5B74FD8C"/>
    <w:rsid w:val="5B7D572B"/>
    <w:rsid w:val="5B7E61FA"/>
    <w:rsid w:val="5B8189AE"/>
    <w:rsid w:val="5B820D19"/>
    <w:rsid w:val="5B82E4DE"/>
    <w:rsid w:val="5B840A6A"/>
    <w:rsid w:val="5B858832"/>
    <w:rsid w:val="5B8B60B8"/>
    <w:rsid w:val="5B8BFB50"/>
    <w:rsid w:val="5B8FDFAC"/>
    <w:rsid w:val="5B903975"/>
    <w:rsid w:val="5B95F8F6"/>
    <w:rsid w:val="5B96B10C"/>
    <w:rsid w:val="5B982646"/>
    <w:rsid w:val="5B98446D"/>
    <w:rsid w:val="5B98E840"/>
    <w:rsid w:val="5B9A3B59"/>
    <w:rsid w:val="5B9E0557"/>
    <w:rsid w:val="5B9E4D61"/>
    <w:rsid w:val="5BA2BB32"/>
    <w:rsid w:val="5BAAF3FF"/>
    <w:rsid w:val="5BB0902D"/>
    <w:rsid w:val="5BB17D0E"/>
    <w:rsid w:val="5BB4C831"/>
    <w:rsid w:val="5BB5ECBF"/>
    <w:rsid w:val="5BC34761"/>
    <w:rsid w:val="5BC6A161"/>
    <w:rsid w:val="5BC73F56"/>
    <w:rsid w:val="5BC931E8"/>
    <w:rsid w:val="5BC966B0"/>
    <w:rsid w:val="5BCA79BA"/>
    <w:rsid w:val="5BCBE342"/>
    <w:rsid w:val="5BCDACA0"/>
    <w:rsid w:val="5BCE0D6A"/>
    <w:rsid w:val="5BD9795D"/>
    <w:rsid w:val="5BE09C9A"/>
    <w:rsid w:val="5BE24802"/>
    <w:rsid w:val="5BE8735B"/>
    <w:rsid w:val="5BEA581A"/>
    <w:rsid w:val="5BEDBFF6"/>
    <w:rsid w:val="5BEF8C86"/>
    <w:rsid w:val="5BF5F5C8"/>
    <w:rsid w:val="5BF91489"/>
    <w:rsid w:val="5BFB070E"/>
    <w:rsid w:val="5BFC0673"/>
    <w:rsid w:val="5BFC9933"/>
    <w:rsid w:val="5BFE0016"/>
    <w:rsid w:val="5C002DEC"/>
    <w:rsid w:val="5C01FCD5"/>
    <w:rsid w:val="5C050223"/>
    <w:rsid w:val="5C087167"/>
    <w:rsid w:val="5C09246E"/>
    <w:rsid w:val="5C0D750F"/>
    <w:rsid w:val="5C0F1F69"/>
    <w:rsid w:val="5C1270F5"/>
    <w:rsid w:val="5C1F4852"/>
    <w:rsid w:val="5C1F8D1A"/>
    <w:rsid w:val="5C2245A3"/>
    <w:rsid w:val="5C261CE6"/>
    <w:rsid w:val="5C2D0BE4"/>
    <w:rsid w:val="5C2F5220"/>
    <w:rsid w:val="5C34A62E"/>
    <w:rsid w:val="5C369CAB"/>
    <w:rsid w:val="5C36DAE6"/>
    <w:rsid w:val="5C3869D7"/>
    <w:rsid w:val="5C38FE3A"/>
    <w:rsid w:val="5C3AD5BC"/>
    <w:rsid w:val="5C3B4C7C"/>
    <w:rsid w:val="5C3DAFFA"/>
    <w:rsid w:val="5C401CAD"/>
    <w:rsid w:val="5C40C91B"/>
    <w:rsid w:val="5C4171B8"/>
    <w:rsid w:val="5C42ABC6"/>
    <w:rsid w:val="5C46110F"/>
    <w:rsid w:val="5C4837A7"/>
    <w:rsid w:val="5C4B5E4D"/>
    <w:rsid w:val="5C4E4855"/>
    <w:rsid w:val="5C4EBF1E"/>
    <w:rsid w:val="5C4FB6C5"/>
    <w:rsid w:val="5C51072B"/>
    <w:rsid w:val="5C51DBB1"/>
    <w:rsid w:val="5C52C473"/>
    <w:rsid w:val="5C5488D9"/>
    <w:rsid w:val="5C55F331"/>
    <w:rsid w:val="5C56896B"/>
    <w:rsid w:val="5C5BDB15"/>
    <w:rsid w:val="5C5FB714"/>
    <w:rsid w:val="5C64C8B6"/>
    <w:rsid w:val="5C6512BC"/>
    <w:rsid w:val="5C6675E0"/>
    <w:rsid w:val="5C6777EF"/>
    <w:rsid w:val="5C6C3109"/>
    <w:rsid w:val="5C77AF38"/>
    <w:rsid w:val="5C77DD40"/>
    <w:rsid w:val="5C788945"/>
    <w:rsid w:val="5C7F07A3"/>
    <w:rsid w:val="5C81C587"/>
    <w:rsid w:val="5C924ECD"/>
    <w:rsid w:val="5C92928D"/>
    <w:rsid w:val="5C937A95"/>
    <w:rsid w:val="5C94F937"/>
    <w:rsid w:val="5C9828E7"/>
    <w:rsid w:val="5C992C4D"/>
    <w:rsid w:val="5C9A7D02"/>
    <w:rsid w:val="5C9B7D98"/>
    <w:rsid w:val="5C9BF50A"/>
    <w:rsid w:val="5C9E4A51"/>
    <w:rsid w:val="5C9EA79D"/>
    <w:rsid w:val="5CA1B481"/>
    <w:rsid w:val="5CA5758E"/>
    <w:rsid w:val="5CA9FCD7"/>
    <w:rsid w:val="5CB0FC7D"/>
    <w:rsid w:val="5CB1C528"/>
    <w:rsid w:val="5CB71939"/>
    <w:rsid w:val="5CB80431"/>
    <w:rsid w:val="5CB921C3"/>
    <w:rsid w:val="5CB94B62"/>
    <w:rsid w:val="5CBDE881"/>
    <w:rsid w:val="5CC07F92"/>
    <w:rsid w:val="5CC33116"/>
    <w:rsid w:val="5CC44ECF"/>
    <w:rsid w:val="5CC464B5"/>
    <w:rsid w:val="5CC556DF"/>
    <w:rsid w:val="5CC771B2"/>
    <w:rsid w:val="5CCAD905"/>
    <w:rsid w:val="5CCC080A"/>
    <w:rsid w:val="5CCC0E3D"/>
    <w:rsid w:val="5CCDCAEF"/>
    <w:rsid w:val="5CD1E3CE"/>
    <w:rsid w:val="5CD5A944"/>
    <w:rsid w:val="5CD6EA87"/>
    <w:rsid w:val="5CDD392A"/>
    <w:rsid w:val="5CDF60F7"/>
    <w:rsid w:val="5CE3ADCA"/>
    <w:rsid w:val="5CE5090B"/>
    <w:rsid w:val="5CE83F0C"/>
    <w:rsid w:val="5CEE5CD4"/>
    <w:rsid w:val="5CEE6EDA"/>
    <w:rsid w:val="5CEE71FD"/>
    <w:rsid w:val="5CF0D751"/>
    <w:rsid w:val="5CF34655"/>
    <w:rsid w:val="5CF76A55"/>
    <w:rsid w:val="5CF8405B"/>
    <w:rsid w:val="5CF8CE04"/>
    <w:rsid w:val="5CF8EEF4"/>
    <w:rsid w:val="5CF9799E"/>
    <w:rsid w:val="5CFF45CD"/>
    <w:rsid w:val="5D0CD207"/>
    <w:rsid w:val="5D155B36"/>
    <w:rsid w:val="5D172B44"/>
    <w:rsid w:val="5D17A3E1"/>
    <w:rsid w:val="5D1A325B"/>
    <w:rsid w:val="5D1BF667"/>
    <w:rsid w:val="5D21F282"/>
    <w:rsid w:val="5D23433E"/>
    <w:rsid w:val="5D2566D7"/>
    <w:rsid w:val="5D28016C"/>
    <w:rsid w:val="5D29EEA4"/>
    <w:rsid w:val="5D2B9DA5"/>
    <w:rsid w:val="5D2C49E3"/>
    <w:rsid w:val="5D2CABE6"/>
    <w:rsid w:val="5D33F4E8"/>
    <w:rsid w:val="5D33F6A7"/>
    <w:rsid w:val="5D3668A2"/>
    <w:rsid w:val="5D382E3C"/>
    <w:rsid w:val="5D3C0B9F"/>
    <w:rsid w:val="5D3E1C64"/>
    <w:rsid w:val="5D4292B4"/>
    <w:rsid w:val="5D43C1DE"/>
    <w:rsid w:val="5D4D0F79"/>
    <w:rsid w:val="5D4E4825"/>
    <w:rsid w:val="5D51BD20"/>
    <w:rsid w:val="5D529C26"/>
    <w:rsid w:val="5D5A6177"/>
    <w:rsid w:val="5D5DE03F"/>
    <w:rsid w:val="5D606225"/>
    <w:rsid w:val="5D6244E5"/>
    <w:rsid w:val="5D69CF74"/>
    <w:rsid w:val="5D6EB3BA"/>
    <w:rsid w:val="5D6EEB70"/>
    <w:rsid w:val="5D6EF1D6"/>
    <w:rsid w:val="5D717D6F"/>
    <w:rsid w:val="5D865C5E"/>
    <w:rsid w:val="5D879CBD"/>
    <w:rsid w:val="5D9069C1"/>
    <w:rsid w:val="5D91F2DE"/>
    <w:rsid w:val="5D92CD62"/>
    <w:rsid w:val="5D932930"/>
    <w:rsid w:val="5D97F6B1"/>
    <w:rsid w:val="5D99E8B1"/>
    <w:rsid w:val="5D9AE0E8"/>
    <w:rsid w:val="5D9E840D"/>
    <w:rsid w:val="5DA0AF1C"/>
    <w:rsid w:val="5DA94F69"/>
    <w:rsid w:val="5DB26E6A"/>
    <w:rsid w:val="5DB48E29"/>
    <w:rsid w:val="5DB51725"/>
    <w:rsid w:val="5DB70874"/>
    <w:rsid w:val="5DB84243"/>
    <w:rsid w:val="5DB8BD33"/>
    <w:rsid w:val="5DBC4696"/>
    <w:rsid w:val="5DC00B18"/>
    <w:rsid w:val="5DC184C3"/>
    <w:rsid w:val="5DC21C25"/>
    <w:rsid w:val="5DC2E855"/>
    <w:rsid w:val="5DC5234F"/>
    <w:rsid w:val="5DC79FD9"/>
    <w:rsid w:val="5DCF4825"/>
    <w:rsid w:val="5DDAA031"/>
    <w:rsid w:val="5DE0A7A0"/>
    <w:rsid w:val="5DE43096"/>
    <w:rsid w:val="5DE625C6"/>
    <w:rsid w:val="5DE79D95"/>
    <w:rsid w:val="5DEB58AB"/>
    <w:rsid w:val="5DEB7BA6"/>
    <w:rsid w:val="5DECA2FD"/>
    <w:rsid w:val="5DEE3087"/>
    <w:rsid w:val="5DF491FF"/>
    <w:rsid w:val="5DF4D211"/>
    <w:rsid w:val="5DF51F68"/>
    <w:rsid w:val="5DF55A6E"/>
    <w:rsid w:val="5DF9E24E"/>
    <w:rsid w:val="5DFF4298"/>
    <w:rsid w:val="5DFFBE98"/>
    <w:rsid w:val="5E055166"/>
    <w:rsid w:val="5E07CE0F"/>
    <w:rsid w:val="5E089337"/>
    <w:rsid w:val="5E089726"/>
    <w:rsid w:val="5E0901CA"/>
    <w:rsid w:val="5E0BC8E0"/>
    <w:rsid w:val="5E11B167"/>
    <w:rsid w:val="5E12C328"/>
    <w:rsid w:val="5E14C215"/>
    <w:rsid w:val="5E18D855"/>
    <w:rsid w:val="5E1B75A3"/>
    <w:rsid w:val="5E20DC12"/>
    <w:rsid w:val="5E219159"/>
    <w:rsid w:val="5E234FDE"/>
    <w:rsid w:val="5E247B3B"/>
    <w:rsid w:val="5E25F88D"/>
    <w:rsid w:val="5E284C96"/>
    <w:rsid w:val="5E2A69B1"/>
    <w:rsid w:val="5E2CFFE0"/>
    <w:rsid w:val="5E2E9621"/>
    <w:rsid w:val="5E2FE38E"/>
    <w:rsid w:val="5E30B7D6"/>
    <w:rsid w:val="5E459C3B"/>
    <w:rsid w:val="5E50E32A"/>
    <w:rsid w:val="5E574E6F"/>
    <w:rsid w:val="5E5A41B4"/>
    <w:rsid w:val="5E5E4F32"/>
    <w:rsid w:val="5E62B3A5"/>
    <w:rsid w:val="5E66611B"/>
    <w:rsid w:val="5E671DD8"/>
    <w:rsid w:val="5E6FD07D"/>
    <w:rsid w:val="5E7224FE"/>
    <w:rsid w:val="5E729E9B"/>
    <w:rsid w:val="5E76C541"/>
    <w:rsid w:val="5E777B9B"/>
    <w:rsid w:val="5E7B5B21"/>
    <w:rsid w:val="5E7F0ED3"/>
    <w:rsid w:val="5E7F38E2"/>
    <w:rsid w:val="5E86D505"/>
    <w:rsid w:val="5E8F5F5E"/>
    <w:rsid w:val="5E8FEA67"/>
    <w:rsid w:val="5E920EED"/>
    <w:rsid w:val="5E9445D2"/>
    <w:rsid w:val="5E947C01"/>
    <w:rsid w:val="5E952E93"/>
    <w:rsid w:val="5E975F6B"/>
    <w:rsid w:val="5E977E8C"/>
    <w:rsid w:val="5E97C717"/>
    <w:rsid w:val="5E98CF8F"/>
    <w:rsid w:val="5E9917A3"/>
    <w:rsid w:val="5E995EB0"/>
    <w:rsid w:val="5E9A7448"/>
    <w:rsid w:val="5E9BEC5E"/>
    <w:rsid w:val="5E9CAB84"/>
    <w:rsid w:val="5E9CF14E"/>
    <w:rsid w:val="5E9D2721"/>
    <w:rsid w:val="5E9FE5E2"/>
    <w:rsid w:val="5EA22882"/>
    <w:rsid w:val="5EA22EC9"/>
    <w:rsid w:val="5EA5A091"/>
    <w:rsid w:val="5EA6F6BD"/>
    <w:rsid w:val="5EA76C26"/>
    <w:rsid w:val="5EA7F20F"/>
    <w:rsid w:val="5EADFC16"/>
    <w:rsid w:val="5EAE089A"/>
    <w:rsid w:val="5EBCAC63"/>
    <w:rsid w:val="5EBDBB13"/>
    <w:rsid w:val="5EBF6899"/>
    <w:rsid w:val="5EC135BF"/>
    <w:rsid w:val="5EC13738"/>
    <w:rsid w:val="5EC44DE5"/>
    <w:rsid w:val="5EC76E06"/>
    <w:rsid w:val="5ECFC708"/>
    <w:rsid w:val="5ED0BA62"/>
    <w:rsid w:val="5ED19B96"/>
    <w:rsid w:val="5ED4BE00"/>
    <w:rsid w:val="5ED8DA81"/>
    <w:rsid w:val="5EDB9F55"/>
    <w:rsid w:val="5EDCB20E"/>
    <w:rsid w:val="5EE19B55"/>
    <w:rsid w:val="5EE3AB00"/>
    <w:rsid w:val="5EE8A411"/>
    <w:rsid w:val="5EEBCAC9"/>
    <w:rsid w:val="5EEDA894"/>
    <w:rsid w:val="5EEE8627"/>
    <w:rsid w:val="5EF5EB0F"/>
    <w:rsid w:val="5EF630CE"/>
    <w:rsid w:val="5EF9B73E"/>
    <w:rsid w:val="5EFBD637"/>
    <w:rsid w:val="5EFEEED4"/>
    <w:rsid w:val="5F0055E4"/>
    <w:rsid w:val="5F0407AD"/>
    <w:rsid w:val="5F0832B8"/>
    <w:rsid w:val="5F0958D9"/>
    <w:rsid w:val="5F0CBB88"/>
    <w:rsid w:val="5F0CCB04"/>
    <w:rsid w:val="5F275165"/>
    <w:rsid w:val="5F2BF59A"/>
    <w:rsid w:val="5F2CFA70"/>
    <w:rsid w:val="5F2D00F7"/>
    <w:rsid w:val="5F366204"/>
    <w:rsid w:val="5F388705"/>
    <w:rsid w:val="5F3F74FF"/>
    <w:rsid w:val="5F40D5D3"/>
    <w:rsid w:val="5F442949"/>
    <w:rsid w:val="5F480EAA"/>
    <w:rsid w:val="5F4C69F1"/>
    <w:rsid w:val="5F563C0E"/>
    <w:rsid w:val="5F591D28"/>
    <w:rsid w:val="5F5F56D0"/>
    <w:rsid w:val="5F60C04C"/>
    <w:rsid w:val="5F646ED3"/>
    <w:rsid w:val="5F6C1009"/>
    <w:rsid w:val="5F6CDAAB"/>
    <w:rsid w:val="5F7C6E4F"/>
    <w:rsid w:val="5F7F351C"/>
    <w:rsid w:val="5F7F9D03"/>
    <w:rsid w:val="5F805DEE"/>
    <w:rsid w:val="5F86CF7D"/>
    <w:rsid w:val="5F8722A2"/>
    <w:rsid w:val="5F8C4A5F"/>
    <w:rsid w:val="5F8E19A0"/>
    <w:rsid w:val="5F945F92"/>
    <w:rsid w:val="5F952875"/>
    <w:rsid w:val="5F98186E"/>
    <w:rsid w:val="5F9DF3A9"/>
    <w:rsid w:val="5FA0432F"/>
    <w:rsid w:val="5FA30544"/>
    <w:rsid w:val="5FA6D7BE"/>
    <w:rsid w:val="5FA79951"/>
    <w:rsid w:val="5FAA1567"/>
    <w:rsid w:val="5FADB297"/>
    <w:rsid w:val="5FB83115"/>
    <w:rsid w:val="5FBAD33D"/>
    <w:rsid w:val="5FBCDD43"/>
    <w:rsid w:val="5FC207A6"/>
    <w:rsid w:val="5FC2C96D"/>
    <w:rsid w:val="5FC66906"/>
    <w:rsid w:val="5FC78C59"/>
    <w:rsid w:val="5FD40263"/>
    <w:rsid w:val="5FD69637"/>
    <w:rsid w:val="5FD734D1"/>
    <w:rsid w:val="5FE252B6"/>
    <w:rsid w:val="5FE4BFF0"/>
    <w:rsid w:val="5FE8DB33"/>
    <w:rsid w:val="5FE9F8A7"/>
    <w:rsid w:val="5FEA2762"/>
    <w:rsid w:val="5FEC588B"/>
    <w:rsid w:val="5FEE84A7"/>
    <w:rsid w:val="5FF57202"/>
    <w:rsid w:val="6001691A"/>
    <w:rsid w:val="6007836D"/>
    <w:rsid w:val="600A4D65"/>
    <w:rsid w:val="6011A034"/>
    <w:rsid w:val="60124E09"/>
    <w:rsid w:val="601368D0"/>
    <w:rsid w:val="60147069"/>
    <w:rsid w:val="60185074"/>
    <w:rsid w:val="6018EF9A"/>
    <w:rsid w:val="601D854C"/>
    <w:rsid w:val="601FFEEA"/>
    <w:rsid w:val="60223E48"/>
    <w:rsid w:val="6025944B"/>
    <w:rsid w:val="60270308"/>
    <w:rsid w:val="602A309B"/>
    <w:rsid w:val="602FAAD6"/>
    <w:rsid w:val="602FB29C"/>
    <w:rsid w:val="602FF35E"/>
    <w:rsid w:val="603A1954"/>
    <w:rsid w:val="603BE3C2"/>
    <w:rsid w:val="603C11FA"/>
    <w:rsid w:val="603D53C0"/>
    <w:rsid w:val="603DA811"/>
    <w:rsid w:val="60406AE7"/>
    <w:rsid w:val="60412689"/>
    <w:rsid w:val="60424428"/>
    <w:rsid w:val="6044C2B6"/>
    <w:rsid w:val="60461BA6"/>
    <w:rsid w:val="604D3205"/>
    <w:rsid w:val="60528CEC"/>
    <w:rsid w:val="60598B74"/>
    <w:rsid w:val="605D31D9"/>
    <w:rsid w:val="605E2F0A"/>
    <w:rsid w:val="6066B951"/>
    <w:rsid w:val="60694E70"/>
    <w:rsid w:val="606B0963"/>
    <w:rsid w:val="606D73B6"/>
    <w:rsid w:val="606F3857"/>
    <w:rsid w:val="606FEFA3"/>
    <w:rsid w:val="60785FAB"/>
    <w:rsid w:val="607A5D7F"/>
    <w:rsid w:val="607F7B61"/>
    <w:rsid w:val="608473A2"/>
    <w:rsid w:val="6086AFB1"/>
    <w:rsid w:val="6086C7FD"/>
    <w:rsid w:val="6089F2FC"/>
    <w:rsid w:val="608CE22D"/>
    <w:rsid w:val="608EAFC6"/>
    <w:rsid w:val="6090825A"/>
    <w:rsid w:val="609193E4"/>
    <w:rsid w:val="6091FD82"/>
    <w:rsid w:val="6093C128"/>
    <w:rsid w:val="60975393"/>
    <w:rsid w:val="60A4E1D8"/>
    <w:rsid w:val="60A999F6"/>
    <w:rsid w:val="60A9DF61"/>
    <w:rsid w:val="60BF86C7"/>
    <w:rsid w:val="60C005B9"/>
    <w:rsid w:val="60C015E4"/>
    <w:rsid w:val="60C58F76"/>
    <w:rsid w:val="60C701D5"/>
    <w:rsid w:val="60CF15A2"/>
    <w:rsid w:val="60D15618"/>
    <w:rsid w:val="60D1785D"/>
    <w:rsid w:val="60D87E81"/>
    <w:rsid w:val="60DA306A"/>
    <w:rsid w:val="60DCCA00"/>
    <w:rsid w:val="60E3C3B1"/>
    <w:rsid w:val="60E6D762"/>
    <w:rsid w:val="60E77ABD"/>
    <w:rsid w:val="60E818D9"/>
    <w:rsid w:val="60ED5F12"/>
    <w:rsid w:val="60F1D896"/>
    <w:rsid w:val="60FF4829"/>
    <w:rsid w:val="610270ED"/>
    <w:rsid w:val="6102FCA6"/>
    <w:rsid w:val="6103CBA8"/>
    <w:rsid w:val="6104626D"/>
    <w:rsid w:val="610B27C1"/>
    <w:rsid w:val="610D0B8E"/>
    <w:rsid w:val="610E9F9B"/>
    <w:rsid w:val="610ECE07"/>
    <w:rsid w:val="61164CF5"/>
    <w:rsid w:val="611758FD"/>
    <w:rsid w:val="61181154"/>
    <w:rsid w:val="611B057D"/>
    <w:rsid w:val="611B818F"/>
    <w:rsid w:val="611D48ED"/>
    <w:rsid w:val="611DF400"/>
    <w:rsid w:val="6121B978"/>
    <w:rsid w:val="6122F303"/>
    <w:rsid w:val="61279D66"/>
    <w:rsid w:val="612C59FF"/>
    <w:rsid w:val="612D44A5"/>
    <w:rsid w:val="612E3C78"/>
    <w:rsid w:val="61318310"/>
    <w:rsid w:val="61335D1A"/>
    <w:rsid w:val="6136149F"/>
    <w:rsid w:val="6137AC06"/>
    <w:rsid w:val="613B7616"/>
    <w:rsid w:val="613BCA94"/>
    <w:rsid w:val="613ECEFD"/>
    <w:rsid w:val="613EEBBD"/>
    <w:rsid w:val="61456052"/>
    <w:rsid w:val="6145C545"/>
    <w:rsid w:val="614CA5C8"/>
    <w:rsid w:val="614CF394"/>
    <w:rsid w:val="614D3B90"/>
    <w:rsid w:val="614F68A6"/>
    <w:rsid w:val="6153509F"/>
    <w:rsid w:val="61573E1A"/>
    <w:rsid w:val="615D5AD7"/>
    <w:rsid w:val="615F07BC"/>
    <w:rsid w:val="615F43B3"/>
    <w:rsid w:val="616013E2"/>
    <w:rsid w:val="6164DE0F"/>
    <w:rsid w:val="616757E6"/>
    <w:rsid w:val="61707070"/>
    <w:rsid w:val="617218C0"/>
    <w:rsid w:val="61752970"/>
    <w:rsid w:val="6175836D"/>
    <w:rsid w:val="617B3F2F"/>
    <w:rsid w:val="617B9ABC"/>
    <w:rsid w:val="617D20D5"/>
    <w:rsid w:val="617E0940"/>
    <w:rsid w:val="6183C755"/>
    <w:rsid w:val="618883EC"/>
    <w:rsid w:val="6191A764"/>
    <w:rsid w:val="61963AE7"/>
    <w:rsid w:val="6197D0F2"/>
    <w:rsid w:val="61985C98"/>
    <w:rsid w:val="6199C3DB"/>
    <w:rsid w:val="619C0235"/>
    <w:rsid w:val="61A07C84"/>
    <w:rsid w:val="61B5D112"/>
    <w:rsid w:val="61B73B50"/>
    <w:rsid w:val="61B75072"/>
    <w:rsid w:val="61B821DE"/>
    <w:rsid w:val="61B96ABF"/>
    <w:rsid w:val="61C54ED6"/>
    <w:rsid w:val="61C5A7E9"/>
    <w:rsid w:val="61C70B9C"/>
    <w:rsid w:val="61C8DCFF"/>
    <w:rsid w:val="61CB5613"/>
    <w:rsid w:val="61D1E4E5"/>
    <w:rsid w:val="61D637E1"/>
    <w:rsid w:val="61D844D7"/>
    <w:rsid w:val="61E06D8A"/>
    <w:rsid w:val="61E65151"/>
    <w:rsid w:val="61E9352A"/>
    <w:rsid w:val="61EC278E"/>
    <w:rsid w:val="61ECE41A"/>
    <w:rsid w:val="61EE292E"/>
    <w:rsid w:val="61EE60C0"/>
    <w:rsid w:val="61F1CA0E"/>
    <w:rsid w:val="61F631A1"/>
    <w:rsid w:val="61F6B058"/>
    <w:rsid w:val="61F91C86"/>
    <w:rsid w:val="61F9D1ED"/>
    <w:rsid w:val="61FAE4BD"/>
    <w:rsid w:val="61FF0EC8"/>
    <w:rsid w:val="62008705"/>
    <w:rsid w:val="62060BFF"/>
    <w:rsid w:val="6207161F"/>
    <w:rsid w:val="62087307"/>
    <w:rsid w:val="621624C2"/>
    <w:rsid w:val="6219CFD2"/>
    <w:rsid w:val="621C0314"/>
    <w:rsid w:val="62252E43"/>
    <w:rsid w:val="622FDACD"/>
    <w:rsid w:val="6230A7A1"/>
    <w:rsid w:val="6234AAE1"/>
    <w:rsid w:val="623876C7"/>
    <w:rsid w:val="6238BFF1"/>
    <w:rsid w:val="623C0A8B"/>
    <w:rsid w:val="62408B3B"/>
    <w:rsid w:val="62425C7C"/>
    <w:rsid w:val="6244D02F"/>
    <w:rsid w:val="62482526"/>
    <w:rsid w:val="624A6B7A"/>
    <w:rsid w:val="624E0A23"/>
    <w:rsid w:val="62577A1D"/>
    <w:rsid w:val="625781D2"/>
    <w:rsid w:val="625B280C"/>
    <w:rsid w:val="625BDA85"/>
    <w:rsid w:val="6266ED1E"/>
    <w:rsid w:val="6268F645"/>
    <w:rsid w:val="62693C66"/>
    <w:rsid w:val="626BE8D9"/>
    <w:rsid w:val="626C0F6E"/>
    <w:rsid w:val="626E02C6"/>
    <w:rsid w:val="626EA774"/>
    <w:rsid w:val="626F6C1F"/>
    <w:rsid w:val="626F86AD"/>
    <w:rsid w:val="626FABA7"/>
    <w:rsid w:val="6272F3AB"/>
    <w:rsid w:val="627379AD"/>
    <w:rsid w:val="62776488"/>
    <w:rsid w:val="6281B6AE"/>
    <w:rsid w:val="6282B1E4"/>
    <w:rsid w:val="6299C0B2"/>
    <w:rsid w:val="629EAA9B"/>
    <w:rsid w:val="629F0D27"/>
    <w:rsid w:val="629F9C09"/>
    <w:rsid w:val="62A18C01"/>
    <w:rsid w:val="62A3F355"/>
    <w:rsid w:val="62A67368"/>
    <w:rsid w:val="62A69FA5"/>
    <w:rsid w:val="62AF2BDB"/>
    <w:rsid w:val="62B108FE"/>
    <w:rsid w:val="62B6D5DE"/>
    <w:rsid w:val="62BEC364"/>
    <w:rsid w:val="62C0EEAA"/>
    <w:rsid w:val="62C6601E"/>
    <w:rsid w:val="62CDFA67"/>
    <w:rsid w:val="62CF7A94"/>
    <w:rsid w:val="62D3AD98"/>
    <w:rsid w:val="62DA9F5E"/>
    <w:rsid w:val="62DC1BA5"/>
    <w:rsid w:val="62DD98A4"/>
    <w:rsid w:val="62DE1DA1"/>
    <w:rsid w:val="62E32880"/>
    <w:rsid w:val="62E47C6E"/>
    <w:rsid w:val="62E5D44F"/>
    <w:rsid w:val="62F25DED"/>
    <w:rsid w:val="62F65286"/>
    <w:rsid w:val="630DE921"/>
    <w:rsid w:val="630E1D58"/>
    <w:rsid w:val="631089C0"/>
    <w:rsid w:val="6313EA64"/>
    <w:rsid w:val="6316613D"/>
    <w:rsid w:val="6318797E"/>
    <w:rsid w:val="63198650"/>
    <w:rsid w:val="631B6A98"/>
    <w:rsid w:val="631DDDD4"/>
    <w:rsid w:val="631EEA00"/>
    <w:rsid w:val="6324E874"/>
    <w:rsid w:val="632D12C4"/>
    <w:rsid w:val="632EE175"/>
    <w:rsid w:val="6330479B"/>
    <w:rsid w:val="633738FF"/>
    <w:rsid w:val="6339CA44"/>
    <w:rsid w:val="6339D23E"/>
    <w:rsid w:val="633B66E7"/>
    <w:rsid w:val="633B7785"/>
    <w:rsid w:val="63412552"/>
    <w:rsid w:val="63422D0B"/>
    <w:rsid w:val="6347FC12"/>
    <w:rsid w:val="63496280"/>
    <w:rsid w:val="6356F436"/>
    <w:rsid w:val="635841E6"/>
    <w:rsid w:val="63610730"/>
    <w:rsid w:val="63678347"/>
    <w:rsid w:val="636859B5"/>
    <w:rsid w:val="636B6046"/>
    <w:rsid w:val="636DE56B"/>
    <w:rsid w:val="636F7D0E"/>
    <w:rsid w:val="63750BCF"/>
    <w:rsid w:val="637C6029"/>
    <w:rsid w:val="637CC496"/>
    <w:rsid w:val="637FF92F"/>
    <w:rsid w:val="6380FE80"/>
    <w:rsid w:val="638198CA"/>
    <w:rsid w:val="63822B20"/>
    <w:rsid w:val="63829490"/>
    <w:rsid w:val="6386A17E"/>
    <w:rsid w:val="6386A7FC"/>
    <w:rsid w:val="638C4D2C"/>
    <w:rsid w:val="638C9B93"/>
    <w:rsid w:val="638D84B4"/>
    <w:rsid w:val="638ED40B"/>
    <w:rsid w:val="639E978E"/>
    <w:rsid w:val="63A035A3"/>
    <w:rsid w:val="63A0E39F"/>
    <w:rsid w:val="63A1141C"/>
    <w:rsid w:val="63A129C4"/>
    <w:rsid w:val="63A98E2C"/>
    <w:rsid w:val="63B16ED0"/>
    <w:rsid w:val="63B32A0C"/>
    <w:rsid w:val="63B480F3"/>
    <w:rsid w:val="63B4E028"/>
    <w:rsid w:val="63C37C68"/>
    <w:rsid w:val="63C3F475"/>
    <w:rsid w:val="63CA4D97"/>
    <w:rsid w:val="63CB8BDE"/>
    <w:rsid w:val="63CBCE16"/>
    <w:rsid w:val="63CF0D86"/>
    <w:rsid w:val="63D1F445"/>
    <w:rsid w:val="63D32A7C"/>
    <w:rsid w:val="63DB57C2"/>
    <w:rsid w:val="63E39B0D"/>
    <w:rsid w:val="63E6DD34"/>
    <w:rsid w:val="63E87C26"/>
    <w:rsid w:val="63E96DB2"/>
    <w:rsid w:val="63EEA868"/>
    <w:rsid w:val="63EEBB94"/>
    <w:rsid w:val="63F6C859"/>
    <w:rsid w:val="63F771B3"/>
    <w:rsid w:val="63FAFC48"/>
    <w:rsid w:val="64045FC8"/>
    <w:rsid w:val="64086751"/>
    <w:rsid w:val="6408BFFD"/>
    <w:rsid w:val="640B041E"/>
    <w:rsid w:val="640B2459"/>
    <w:rsid w:val="640C4705"/>
    <w:rsid w:val="640E50C1"/>
    <w:rsid w:val="64132B5A"/>
    <w:rsid w:val="641A1262"/>
    <w:rsid w:val="641C4FD9"/>
    <w:rsid w:val="641F5875"/>
    <w:rsid w:val="64210BB9"/>
    <w:rsid w:val="64222AC0"/>
    <w:rsid w:val="642B081F"/>
    <w:rsid w:val="642BA06E"/>
    <w:rsid w:val="642F7837"/>
    <w:rsid w:val="64302FF6"/>
    <w:rsid w:val="643124A5"/>
    <w:rsid w:val="64312F0E"/>
    <w:rsid w:val="6433E631"/>
    <w:rsid w:val="6434E751"/>
    <w:rsid w:val="6436CE73"/>
    <w:rsid w:val="643AB8D5"/>
    <w:rsid w:val="643C4B30"/>
    <w:rsid w:val="6441CEEF"/>
    <w:rsid w:val="6442BC24"/>
    <w:rsid w:val="6445C3AD"/>
    <w:rsid w:val="6446B618"/>
    <w:rsid w:val="6452A63F"/>
    <w:rsid w:val="645712FA"/>
    <w:rsid w:val="645B03B9"/>
    <w:rsid w:val="645C107B"/>
    <w:rsid w:val="645E6B4F"/>
    <w:rsid w:val="645EE9CA"/>
    <w:rsid w:val="645F5611"/>
    <w:rsid w:val="6461A85E"/>
    <w:rsid w:val="6461E67C"/>
    <w:rsid w:val="6462307F"/>
    <w:rsid w:val="6464C4F4"/>
    <w:rsid w:val="64709381"/>
    <w:rsid w:val="647DBEA5"/>
    <w:rsid w:val="6482886E"/>
    <w:rsid w:val="64849DF9"/>
    <w:rsid w:val="648A300F"/>
    <w:rsid w:val="648B0B38"/>
    <w:rsid w:val="648B5516"/>
    <w:rsid w:val="648B98F0"/>
    <w:rsid w:val="648D8DDF"/>
    <w:rsid w:val="648F0E4D"/>
    <w:rsid w:val="64906CAA"/>
    <w:rsid w:val="64963CA8"/>
    <w:rsid w:val="649E8C7A"/>
    <w:rsid w:val="649FA568"/>
    <w:rsid w:val="64A18D30"/>
    <w:rsid w:val="64A29978"/>
    <w:rsid w:val="64A33313"/>
    <w:rsid w:val="64A503CB"/>
    <w:rsid w:val="64A5D36B"/>
    <w:rsid w:val="64AB7C47"/>
    <w:rsid w:val="64B06D0E"/>
    <w:rsid w:val="64B44809"/>
    <w:rsid w:val="64B713CE"/>
    <w:rsid w:val="64B83A5B"/>
    <w:rsid w:val="64BA5AE0"/>
    <w:rsid w:val="64BE8A4A"/>
    <w:rsid w:val="64BFC08E"/>
    <w:rsid w:val="64C464C7"/>
    <w:rsid w:val="64C6B921"/>
    <w:rsid w:val="64C90E4F"/>
    <w:rsid w:val="64C97E7E"/>
    <w:rsid w:val="64CAFBAF"/>
    <w:rsid w:val="64D095C7"/>
    <w:rsid w:val="64D4900D"/>
    <w:rsid w:val="64D5EC03"/>
    <w:rsid w:val="64DF79F5"/>
    <w:rsid w:val="64E30C67"/>
    <w:rsid w:val="64E3F0BD"/>
    <w:rsid w:val="64E9FFAA"/>
    <w:rsid w:val="64EE5604"/>
    <w:rsid w:val="64EEDC12"/>
    <w:rsid w:val="64F404DD"/>
    <w:rsid w:val="64F571BB"/>
    <w:rsid w:val="64F600AB"/>
    <w:rsid w:val="64F63EF0"/>
    <w:rsid w:val="64F8A2CB"/>
    <w:rsid w:val="64FA1CEA"/>
    <w:rsid w:val="64FC7088"/>
    <w:rsid w:val="64FD1CDA"/>
    <w:rsid w:val="64FED042"/>
    <w:rsid w:val="6504641F"/>
    <w:rsid w:val="65067B8A"/>
    <w:rsid w:val="650A1059"/>
    <w:rsid w:val="650B14AE"/>
    <w:rsid w:val="650F2766"/>
    <w:rsid w:val="65106631"/>
    <w:rsid w:val="6510DC30"/>
    <w:rsid w:val="65121325"/>
    <w:rsid w:val="65125E06"/>
    <w:rsid w:val="651572E1"/>
    <w:rsid w:val="651733EB"/>
    <w:rsid w:val="65199B4E"/>
    <w:rsid w:val="651A4C53"/>
    <w:rsid w:val="651E336B"/>
    <w:rsid w:val="65254440"/>
    <w:rsid w:val="6525DE70"/>
    <w:rsid w:val="65292082"/>
    <w:rsid w:val="652C2BC7"/>
    <w:rsid w:val="652F64C5"/>
    <w:rsid w:val="65305114"/>
    <w:rsid w:val="65311F76"/>
    <w:rsid w:val="653255C7"/>
    <w:rsid w:val="65328B6A"/>
    <w:rsid w:val="6533441F"/>
    <w:rsid w:val="653AF306"/>
    <w:rsid w:val="653CC34A"/>
    <w:rsid w:val="653FF702"/>
    <w:rsid w:val="65412748"/>
    <w:rsid w:val="654443AF"/>
    <w:rsid w:val="6546FB15"/>
    <w:rsid w:val="654A7427"/>
    <w:rsid w:val="654C4A35"/>
    <w:rsid w:val="654E4730"/>
    <w:rsid w:val="654F8214"/>
    <w:rsid w:val="6554C264"/>
    <w:rsid w:val="655C8166"/>
    <w:rsid w:val="655E61D2"/>
    <w:rsid w:val="655F5D9F"/>
    <w:rsid w:val="6569CC8E"/>
    <w:rsid w:val="656F8BE6"/>
    <w:rsid w:val="656FBAE2"/>
    <w:rsid w:val="65751208"/>
    <w:rsid w:val="65770B94"/>
    <w:rsid w:val="657A6862"/>
    <w:rsid w:val="657D3713"/>
    <w:rsid w:val="657F604D"/>
    <w:rsid w:val="65904914"/>
    <w:rsid w:val="659507CB"/>
    <w:rsid w:val="659C72AB"/>
    <w:rsid w:val="65A0993F"/>
    <w:rsid w:val="65A5B670"/>
    <w:rsid w:val="65A7AAFE"/>
    <w:rsid w:val="65AEB683"/>
    <w:rsid w:val="65B026D2"/>
    <w:rsid w:val="65B36E4B"/>
    <w:rsid w:val="65B39010"/>
    <w:rsid w:val="65B5E2C3"/>
    <w:rsid w:val="65B857D6"/>
    <w:rsid w:val="65BEF655"/>
    <w:rsid w:val="65C0FF12"/>
    <w:rsid w:val="65CFE494"/>
    <w:rsid w:val="65D5831F"/>
    <w:rsid w:val="65D7E758"/>
    <w:rsid w:val="65DB1274"/>
    <w:rsid w:val="65DE11A3"/>
    <w:rsid w:val="65DE142A"/>
    <w:rsid w:val="65DEDFC0"/>
    <w:rsid w:val="65DFA81D"/>
    <w:rsid w:val="65E1912C"/>
    <w:rsid w:val="65E49404"/>
    <w:rsid w:val="65EF026E"/>
    <w:rsid w:val="65F5E9FD"/>
    <w:rsid w:val="65F6D986"/>
    <w:rsid w:val="660C885D"/>
    <w:rsid w:val="660F0C64"/>
    <w:rsid w:val="6618FEDA"/>
    <w:rsid w:val="66265797"/>
    <w:rsid w:val="66277910"/>
    <w:rsid w:val="6630586F"/>
    <w:rsid w:val="66350ED5"/>
    <w:rsid w:val="6636313F"/>
    <w:rsid w:val="6637F3D8"/>
    <w:rsid w:val="663DCF2E"/>
    <w:rsid w:val="6640BE6A"/>
    <w:rsid w:val="66430621"/>
    <w:rsid w:val="6647800F"/>
    <w:rsid w:val="664CC182"/>
    <w:rsid w:val="66538FEA"/>
    <w:rsid w:val="6659829E"/>
    <w:rsid w:val="665FC0EF"/>
    <w:rsid w:val="6663361E"/>
    <w:rsid w:val="66646A1A"/>
    <w:rsid w:val="66686F63"/>
    <w:rsid w:val="666AD936"/>
    <w:rsid w:val="6675B838"/>
    <w:rsid w:val="6676256A"/>
    <w:rsid w:val="66795539"/>
    <w:rsid w:val="667CBEB9"/>
    <w:rsid w:val="6680DB90"/>
    <w:rsid w:val="6682482A"/>
    <w:rsid w:val="66856121"/>
    <w:rsid w:val="6685B691"/>
    <w:rsid w:val="6688DBCD"/>
    <w:rsid w:val="668A2263"/>
    <w:rsid w:val="668EEDF6"/>
    <w:rsid w:val="6690F23E"/>
    <w:rsid w:val="6696B7AC"/>
    <w:rsid w:val="669B99C4"/>
    <w:rsid w:val="669EA69D"/>
    <w:rsid w:val="669FA34F"/>
    <w:rsid w:val="66A11653"/>
    <w:rsid w:val="66A86C14"/>
    <w:rsid w:val="66AFAC6B"/>
    <w:rsid w:val="66B10EC0"/>
    <w:rsid w:val="66B145F4"/>
    <w:rsid w:val="66B43B1C"/>
    <w:rsid w:val="66B79104"/>
    <w:rsid w:val="66B799F1"/>
    <w:rsid w:val="66B9BB00"/>
    <w:rsid w:val="66BA03CC"/>
    <w:rsid w:val="66BBBA49"/>
    <w:rsid w:val="66BC219F"/>
    <w:rsid w:val="66C10B85"/>
    <w:rsid w:val="66C38CDD"/>
    <w:rsid w:val="66C6A98F"/>
    <w:rsid w:val="66C7C7C3"/>
    <w:rsid w:val="66CA2088"/>
    <w:rsid w:val="66CAAA76"/>
    <w:rsid w:val="66CF5532"/>
    <w:rsid w:val="66D0CDDF"/>
    <w:rsid w:val="66D0F9DA"/>
    <w:rsid w:val="66D143A7"/>
    <w:rsid w:val="66D55E08"/>
    <w:rsid w:val="66D670C1"/>
    <w:rsid w:val="66D8FD6B"/>
    <w:rsid w:val="66DAB719"/>
    <w:rsid w:val="66DFAF95"/>
    <w:rsid w:val="66DFE05B"/>
    <w:rsid w:val="66E12453"/>
    <w:rsid w:val="66E4BEF1"/>
    <w:rsid w:val="66E83467"/>
    <w:rsid w:val="66EBBF3A"/>
    <w:rsid w:val="66ED90ED"/>
    <w:rsid w:val="66F1D8CB"/>
    <w:rsid w:val="66F2CE2B"/>
    <w:rsid w:val="66F614B8"/>
    <w:rsid w:val="66FA5431"/>
    <w:rsid w:val="670708F9"/>
    <w:rsid w:val="670A1B93"/>
    <w:rsid w:val="670BE487"/>
    <w:rsid w:val="6712D37C"/>
    <w:rsid w:val="67149E6E"/>
    <w:rsid w:val="6714A9BB"/>
    <w:rsid w:val="67260C30"/>
    <w:rsid w:val="67269E43"/>
    <w:rsid w:val="6726AC48"/>
    <w:rsid w:val="672793DE"/>
    <w:rsid w:val="672BDEAF"/>
    <w:rsid w:val="673783B4"/>
    <w:rsid w:val="6739DCD8"/>
    <w:rsid w:val="67423676"/>
    <w:rsid w:val="6742DD42"/>
    <w:rsid w:val="674A061D"/>
    <w:rsid w:val="674AE513"/>
    <w:rsid w:val="674AEAA6"/>
    <w:rsid w:val="6756F937"/>
    <w:rsid w:val="675701B4"/>
    <w:rsid w:val="675AD032"/>
    <w:rsid w:val="6764F64C"/>
    <w:rsid w:val="6768DB4A"/>
    <w:rsid w:val="676B1CB8"/>
    <w:rsid w:val="676BAD87"/>
    <w:rsid w:val="676E301E"/>
    <w:rsid w:val="6772C15D"/>
    <w:rsid w:val="677A5CE6"/>
    <w:rsid w:val="6781910F"/>
    <w:rsid w:val="67824FDE"/>
    <w:rsid w:val="6787DD9E"/>
    <w:rsid w:val="678A03FF"/>
    <w:rsid w:val="678C2FA9"/>
    <w:rsid w:val="678DA59E"/>
    <w:rsid w:val="678E0EDB"/>
    <w:rsid w:val="678F901A"/>
    <w:rsid w:val="6795EEA3"/>
    <w:rsid w:val="679689C1"/>
    <w:rsid w:val="67975B8E"/>
    <w:rsid w:val="679A97A8"/>
    <w:rsid w:val="679AD4E7"/>
    <w:rsid w:val="679B1483"/>
    <w:rsid w:val="67A19F50"/>
    <w:rsid w:val="67A63058"/>
    <w:rsid w:val="67A6ED8A"/>
    <w:rsid w:val="67AD84D3"/>
    <w:rsid w:val="67AFC80C"/>
    <w:rsid w:val="67B04995"/>
    <w:rsid w:val="67B0E759"/>
    <w:rsid w:val="67BA578D"/>
    <w:rsid w:val="67C4F1DC"/>
    <w:rsid w:val="67C51A69"/>
    <w:rsid w:val="67C67EB4"/>
    <w:rsid w:val="67CA3BF0"/>
    <w:rsid w:val="67CAB456"/>
    <w:rsid w:val="67CDF5B7"/>
    <w:rsid w:val="67D094E1"/>
    <w:rsid w:val="67D29CA7"/>
    <w:rsid w:val="67D3C930"/>
    <w:rsid w:val="67D5D94C"/>
    <w:rsid w:val="67DA151F"/>
    <w:rsid w:val="67DE63F9"/>
    <w:rsid w:val="67E8B94C"/>
    <w:rsid w:val="67E948C0"/>
    <w:rsid w:val="67F42225"/>
    <w:rsid w:val="67F9A557"/>
    <w:rsid w:val="67FB0D37"/>
    <w:rsid w:val="67FD1B52"/>
    <w:rsid w:val="6803E7C6"/>
    <w:rsid w:val="68043E11"/>
    <w:rsid w:val="68057C8F"/>
    <w:rsid w:val="68071E37"/>
    <w:rsid w:val="680870D2"/>
    <w:rsid w:val="680C2DAD"/>
    <w:rsid w:val="680FEEF7"/>
    <w:rsid w:val="681A9791"/>
    <w:rsid w:val="681C04DA"/>
    <w:rsid w:val="681C1D5F"/>
    <w:rsid w:val="681FD8B2"/>
    <w:rsid w:val="682540C1"/>
    <w:rsid w:val="68267D6A"/>
    <w:rsid w:val="6826B0DB"/>
    <w:rsid w:val="682ADD1D"/>
    <w:rsid w:val="682C1ED9"/>
    <w:rsid w:val="682E2DD3"/>
    <w:rsid w:val="682EFA53"/>
    <w:rsid w:val="68317E2B"/>
    <w:rsid w:val="68336FF7"/>
    <w:rsid w:val="68360D0D"/>
    <w:rsid w:val="6837820F"/>
    <w:rsid w:val="68392B05"/>
    <w:rsid w:val="683A483B"/>
    <w:rsid w:val="683AD07D"/>
    <w:rsid w:val="683C1E0B"/>
    <w:rsid w:val="683CC753"/>
    <w:rsid w:val="683DCEAC"/>
    <w:rsid w:val="683E7F41"/>
    <w:rsid w:val="684966A4"/>
    <w:rsid w:val="68557294"/>
    <w:rsid w:val="6857F200"/>
    <w:rsid w:val="68593D10"/>
    <w:rsid w:val="685A2F6C"/>
    <w:rsid w:val="6861D952"/>
    <w:rsid w:val="68668188"/>
    <w:rsid w:val="6867C61C"/>
    <w:rsid w:val="6869CC1C"/>
    <w:rsid w:val="686B4CDC"/>
    <w:rsid w:val="686E50E4"/>
    <w:rsid w:val="6871FB8A"/>
    <w:rsid w:val="6872165C"/>
    <w:rsid w:val="6874EB68"/>
    <w:rsid w:val="687544D0"/>
    <w:rsid w:val="6875CA9B"/>
    <w:rsid w:val="68767001"/>
    <w:rsid w:val="6879BE9D"/>
    <w:rsid w:val="687C4FE5"/>
    <w:rsid w:val="6880874A"/>
    <w:rsid w:val="6880D42D"/>
    <w:rsid w:val="6881DC62"/>
    <w:rsid w:val="68825FF9"/>
    <w:rsid w:val="68835301"/>
    <w:rsid w:val="688C55DA"/>
    <w:rsid w:val="68904847"/>
    <w:rsid w:val="6891901D"/>
    <w:rsid w:val="6893E0C7"/>
    <w:rsid w:val="689984AB"/>
    <w:rsid w:val="689C4DA1"/>
    <w:rsid w:val="689CD83B"/>
    <w:rsid w:val="68AB4943"/>
    <w:rsid w:val="68B04BB4"/>
    <w:rsid w:val="68B57272"/>
    <w:rsid w:val="68BA5AD9"/>
    <w:rsid w:val="68C71FA2"/>
    <w:rsid w:val="68C7BC2E"/>
    <w:rsid w:val="68C83891"/>
    <w:rsid w:val="68C94078"/>
    <w:rsid w:val="68C9EC1C"/>
    <w:rsid w:val="68CCE4CF"/>
    <w:rsid w:val="68CD2EE8"/>
    <w:rsid w:val="68D0A3C7"/>
    <w:rsid w:val="68D3EA34"/>
    <w:rsid w:val="68D509B0"/>
    <w:rsid w:val="68D9BD7A"/>
    <w:rsid w:val="68E79676"/>
    <w:rsid w:val="68E82B8D"/>
    <w:rsid w:val="68EBE851"/>
    <w:rsid w:val="68EC6C82"/>
    <w:rsid w:val="68F12EB1"/>
    <w:rsid w:val="68F95D6A"/>
    <w:rsid w:val="68FA3306"/>
    <w:rsid w:val="68FB44EC"/>
    <w:rsid w:val="690690FE"/>
    <w:rsid w:val="6906D7E7"/>
    <w:rsid w:val="690FCB22"/>
    <w:rsid w:val="6910B0BB"/>
    <w:rsid w:val="69129EB6"/>
    <w:rsid w:val="6915C23F"/>
    <w:rsid w:val="69165941"/>
    <w:rsid w:val="6917D201"/>
    <w:rsid w:val="691F3919"/>
    <w:rsid w:val="69269E31"/>
    <w:rsid w:val="692AFE84"/>
    <w:rsid w:val="69310C7D"/>
    <w:rsid w:val="693842B8"/>
    <w:rsid w:val="6939A846"/>
    <w:rsid w:val="693D4C3B"/>
    <w:rsid w:val="69429747"/>
    <w:rsid w:val="69442729"/>
    <w:rsid w:val="694937B8"/>
    <w:rsid w:val="69539837"/>
    <w:rsid w:val="695A605A"/>
    <w:rsid w:val="6960C23D"/>
    <w:rsid w:val="69656DAE"/>
    <w:rsid w:val="6967285B"/>
    <w:rsid w:val="69692C78"/>
    <w:rsid w:val="696BC73F"/>
    <w:rsid w:val="696C0735"/>
    <w:rsid w:val="696C6F34"/>
    <w:rsid w:val="697090E8"/>
    <w:rsid w:val="6972A93F"/>
    <w:rsid w:val="697B84D9"/>
    <w:rsid w:val="697BE68E"/>
    <w:rsid w:val="697CF85D"/>
    <w:rsid w:val="697FD94F"/>
    <w:rsid w:val="698259B2"/>
    <w:rsid w:val="69841E9D"/>
    <w:rsid w:val="698F09A6"/>
    <w:rsid w:val="69900D0D"/>
    <w:rsid w:val="699C4086"/>
    <w:rsid w:val="699C52E3"/>
    <w:rsid w:val="699C5448"/>
    <w:rsid w:val="699EB929"/>
    <w:rsid w:val="69A309CB"/>
    <w:rsid w:val="69A584B0"/>
    <w:rsid w:val="69A9F4F8"/>
    <w:rsid w:val="69ABA74B"/>
    <w:rsid w:val="69ABCA93"/>
    <w:rsid w:val="69B53B76"/>
    <w:rsid w:val="69B8A4D9"/>
    <w:rsid w:val="69BE2434"/>
    <w:rsid w:val="69BEFF79"/>
    <w:rsid w:val="69BF6F57"/>
    <w:rsid w:val="69C544A5"/>
    <w:rsid w:val="69C59644"/>
    <w:rsid w:val="69C66C60"/>
    <w:rsid w:val="69C8773C"/>
    <w:rsid w:val="69C887DA"/>
    <w:rsid w:val="69CA1E58"/>
    <w:rsid w:val="69CF6616"/>
    <w:rsid w:val="69D02F08"/>
    <w:rsid w:val="69D03ADD"/>
    <w:rsid w:val="69D171A8"/>
    <w:rsid w:val="69D33A86"/>
    <w:rsid w:val="69D5DF71"/>
    <w:rsid w:val="69D6DE31"/>
    <w:rsid w:val="69DA721C"/>
    <w:rsid w:val="69DD26EF"/>
    <w:rsid w:val="69DF2FDD"/>
    <w:rsid w:val="69E46465"/>
    <w:rsid w:val="69E5F94E"/>
    <w:rsid w:val="69E74D2D"/>
    <w:rsid w:val="69E7BB40"/>
    <w:rsid w:val="69E872B3"/>
    <w:rsid w:val="69E88F89"/>
    <w:rsid w:val="69EC30C2"/>
    <w:rsid w:val="69ECA8F8"/>
    <w:rsid w:val="69ECCE45"/>
    <w:rsid w:val="69F1FCB2"/>
    <w:rsid w:val="69F24AF9"/>
    <w:rsid w:val="69FD138F"/>
    <w:rsid w:val="69FDCAFC"/>
    <w:rsid w:val="6A0076F7"/>
    <w:rsid w:val="6A065160"/>
    <w:rsid w:val="6A0F6722"/>
    <w:rsid w:val="6A117B77"/>
    <w:rsid w:val="6A119AFC"/>
    <w:rsid w:val="6A12FB6E"/>
    <w:rsid w:val="6A196732"/>
    <w:rsid w:val="6A1B6C14"/>
    <w:rsid w:val="6A24AF11"/>
    <w:rsid w:val="6A271ABB"/>
    <w:rsid w:val="6A2B67BD"/>
    <w:rsid w:val="6A2E4110"/>
    <w:rsid w:val="6A2FF289"/>
    <w:rsid w:val="6A36D81A"/>
    <w:rsid w:val="6A3D3FCB"/>
    <w:rsid w:val="6A40AA93"/>
    <w:rsid w:val="6A423B9C"/>
    <w:rsid w:val="6A430B85"/>
    <w:rsid w:val="6A4435B9"/>
    <w:rsid w:val="6A444232"/>
    <w:rsid w:val="6A46A517"/>
    <w:rsid w:val="6A4ACE19"/>
    <w:rsid w:val="6A4C313A"/>
    <w:rsid w:val="6A4E88AD"/>
    <w:rsid w:val="6A4F9640"/>
    <w:rsid w:val="6A50A836"/>
    <w:rsid w:val="6A5618AE"/>
    <w:rsid w:val="6A571649"/>
    <w:rsid w:val="6A5A7D84"/>
    <w:rsid w:val="6A5C092F"/>
    <w:rsid w:val="6A5CDBAA"/>
    <w:rsid w:val="6A62972B"/>
    <w:rsid w:val="6A63F95C"/>
    <w:rsid w:val="6A678008"/>
    <w:rsid w:val="6A694091"/>
    <w:rsid w:val="6A6CDB97"/>
    <w:rsid w:val="6A6E90B6"/>
    <w:rsid w:val="6A70CF59"/>
    <w:rsid w:val="6A77FFB7"/>
    <w:rsid w:val="6A7BA38F"/>
    <w:rsid w:val="6A95E660"/>
    <w:rsid w:val="6A96B32E"/>
    <w:rsid w:val="6A991607"/>
    <w:rsid w:val="6A9ACABB"/>
    <w:rsid w:val="6AA03852"/>
    <w:rsid w:val="6AA38FF0"/>
    <w:rsid w:val="6AA56981"/>
    <w:rsid w:val="6AA7D25A"/>
    <w:rsid w:val="6AA973D4"/>
    <w:rsid w:val="6AA9A589"/>
    <w:rsid w:val="6AA9F02A"/>
    <w:rsid w:val="6AAB2893"/>
    <w:rsid w:val="6AACB93D"/>
    <w:rsid w:val="6AB229A2"/>
    <w:rsid w:val="6AB3528E"/>
    <w:rsid w:val="6AB86A9B"/>
    <w:rsid w:val="6ABF6F7D"/>
    <w:rsid w:val="6AC0E9B8"/>
    <w:rsid w:val="6AC2E76A"/>
    <w:rsid w:val="6AC565EF"/>
    <w:rsid w:val="6AC9D549"/>
    <w:rsid w:val="6AC9E45E"/>
    <w:rsid w:val="6ACAF3C4"/>
    <w:rsid w:val="6ACB3586"/>
    <w:rsid w:val="6ACD8507"/>
    <w:rsid w:val="6ADD5223"/>
    <w:rsid w:val="6ADDC966"/>
    <w:rsid w:val="6ADDCC49"/>
    <w:rsid w:val="6AE13E4A"/>
    <w:rsid w:val="6AE3957D"/>
    <w:rsid w:val="6AE4D8E2"/>
    <w:rsid w:val="6AF1C0B5"/>
    <w:rsid w:val="6AF46FD8"/>
    <w:rsid w:val="6AFB279B"/>
    <w:rsid w:val="6AFD9D8B"/>
    <w:rsid w:val="6B03AA23"/>
    <w:rsid w:val="6B055300"/>
    <w:rsid w:val="6B05F219"/>
    <w:rsid w:val="6B063B90"/>
    <w:rsid w:val="6B07CE7A"/>
    <w:rsid w:val="6B08A268"/>
    <w:rsid w:val="6B09B693"/>
    <w:rsid w:val="6B0BC29E"/>
    <w:rsid w:val="6B0EB6C3"/>
    <w:rsid w:val="6B108BF0"/>
    <w:rsid w:val="6B1E12D5"/>
    <w:rsid w:val="6B27E1DB"/>
    <w:rsid w:val="6B28EFB9"/>
    <w:rsid w:val="6B30E331"/>
    <w:rsid w:val="6B34C307"/>
    <w:rsid w:val="6B382381"/>
    <w:rsid w:val="6B39E122"/>
    <w:rsid w:val="6B3D48A0"/>
    <w:rsid w:val="6B3D55ED"/>
    <w:rsid w:val="6B3F3AC2"/>
    <w:rsid w:val="6B406382"/>
    <w:rsid w:val="6B470046"/>
    <w:rsid w:val="6B4B34B8"/>
    <w:rsid w:val="6B5371C2"/>
    <w:rsid w:val="6B54A838"/>
    <w:rsid w:val="6B58035A"/>
    <w:rsid w:val="6B5BD6F0"/>
    <w:rsid w:val="6B5D9386"/>
    <w:rsid w:val="6B5DA9D8"/>
    <w:rsid w:val="6B60CF05"/>
    <w:rsid w:val="6B65EEB9"/>
    <w:rsid w:val="6B6C5E5E"/>
    <w:rsid w:val="6B72AE92"/>
    <w:rsid w:val="6B7AD9CD"/>
    <w:rsid w:val="6B7EC085"/>
    <w:rsid w:val="6B822E06"/>
    <w:rsid w:val="6B8296CF"/>
    <w:rsid w:val="6B834C67"/>
    <w:rsid w:val="6B88604A"/>
    <w:rsid w:val="6B8A6849"/>
    <w:rsid w:val="6B8EBB12"/>
    <w:rsid w:val="6B8F38B3"/>
    <w:rsid w:val="6B9A88A4"/>
    <w:rsid w:val="6BA6600D"/>
    <w:rsid w:val="6BABB882"/>
    <w:rsid w:val="6BB42F38"/>
    <w:rsid w:val="6BB5F457"/>
    <w:rsid w:val="6BB68129"/>
    <w:rsid w:val="6BB841C9"/>
    <w:rsid w:val="6BBA00BB"/>
    <w:rsid w:val="6BC312D3"/>
    <w:rsid w:val="6BC96258"/>
    <w:rsid w:val="6BCBC2EA"/>
    <w:rsid w:val="6BCE86CF"/>
    <w:rsid w:val="6BCFE654"/>
    <w:rsid w:val="6BD32C0E"/>
    <w:rsid w:val="6BD5DB44"/>
    <w:rsid w:val="6BD925FB"/>
    <w:rsid w:val="6BE11098"/>
    <w:rsid w:val="6BE1401E"/>
    <w:rsid w:val="6BE174A5"/>
    <w:rsid w:val="6BEAAD8D"/>
    <w:rsid w:val="6BF3D3DB"/>
    <w:rsid w:val="6BF4E999"/>
    <w:rsid w:val="6BFAC91B"/>
    <w:rsid w:val="6C057283"/>
    <w:rsid w:val="6C06DA82"/>
    <w:rsid w:val="6C1C8887"/>
    <w:rsid w:val="6C1F000C"/>
    <w:rsid w:val="6C211756"/>
    <w:rsid w:val="6C267658"/>
    <w:rsid w:val="6C2971D0"/>
    <w:rsid w:val="6C2C56DB"/>
    <w:rsid w:val="6C349232"/>
    <w:rsid w:val="6C3A31EE"/>
    <w:rsid w:val="6C3D0D19"/>
    <w:rsid w:val="6C41B4D5"/>
    <w:rsid w:val="6C4234A3"/>
    <w:rsid w:val="6C4897A9"/>
    <w:rsid w:val="6C4D0435"/>
    <w:rsid w:val="6C4EA784"/>
    <w:rsid w:val="6C500032"/>
    <w:rsid w:val="6C517D5D"/>
    <w:rsid w:val="6C551A75"/>
    <w:rsid w:val="6C568AFD"/>
    <w:rsid w:val="6C5D17F2"/>
    <w:rsid w:val="6C5E3BB8"/>
    <w:rsid w:val="6C5E9948"/>
    <w:rsid w:val="6C6042C9"/>
    <w:rsid w:val="6C6144EA"/>
    <w:rsid w:val="6C642BFF"/>
    <w:rsid w:val="6C67C5A7"/>
    <w:rsid w:val="6C6AE035"/>
    <w:rsid w:val="6C6BCEF3"/>
    <w:rsid w:val="6C6D01BD"/>
    <w:rsid w:val="6C6D0541"/>
    <w:rsid w:val="6C78B890"/>
    <w:rsid w:val="6C7AD0FC"/>
    <w:rsid w:val="6C7B78C4"/>
    <w:rsid w:val="6C7ED999"/>
    <w:rsid w:val="6C80D87A"/>
    <w:rsid w:val="6C8A714B"/>
    <w:rsid w:val="6C945DD5"/>
    <w:rsid w:val="6C96C550"/>
    <w:rsid w:val="6C97FA52"/>
    <w:rsid w:val="6C9BBE3A"/>
    <w:rsid w:val="6C9D0A21"/>
    <w:rsid w:val="6CA3ECEC"/>
    <w:rsid w:val="6CAA36F7"/>
    <w:rsid w:val="6CAB39C0"/>
    <w:rsid w:val="6CADD952"/>
    <w:rsid w:val="6CB13395"/>
    <w:rsid w:val="6CB493C2"/>
    <w:rsid w:val="6CB9F5FF"/>
    <w:rsid w:val="6CBAC7EE"/>
    <w:rsid w:val="6CBB997A"/>
    <w:rsid w:val="6CBC09FB"/>
    <w:rsid w:val="6CBC6237"/>
    <w:rsid w:val="6CC0D69D"/>
    <w:rsid w:val="6CC3425C"/>
    <w:rsid w:val="6CCB43CF"/>
    <w:rsid w:val="6CCBD15F"/>
    <w:rsid w:val="6CCFDBE7"/>
    <w:rsid w:val="6CD07691"/>
    <w:rsid w:val="6CD47CE5"/>
    <w:rsid w:val="6CDB1E20"/>
    <w:rsid w:val="6CDD6416"/>
    <w:rsid w:val="6CDF1048"/>
    <w:rsid w:val="6CE4F9BC"/>
    <w:rsid w:val="6CE9B261"/>
    <w:rsid w:val="6CF3F9A0"/>
    <w:rsid w:val="6CF7E739"/>
    <w:rsid w:val="6D00E16D"/>
    <w:rsid w:val="6D082EBF"/>
    <w:rsid w:val="6D0AC7FE"/>
    <w:rsid w:val="6D0B97F9"/>
    <w:rsid w:val="6D0BB94E"/>
    <w:rsid w:val="6D0CA52C"/>
    <w:rsid w:val="6D0CE751"/>
    <w:rsid w:val="6D0F2722"/>
    <w:rsid w:val="6D128412"/>
    <w:rsid w:val="6D17E76E"/>
    <w:rsid w:val="6D190352"/>
    <w:rsid w:val="6D1F8EED"/>
    <w:rsid w:val="6D2127FB"/>
    <w:rsid w:val="6D21BA5E"/>
    <w:rsid w:val="6D2B941C"/>
    <w:rsid w:val="6D2C41E2"/>
    <w:rsid w:val="6D2CEFA0"/>
    <w:rsid w:val="6D2CF5DA"/>
    <w:rsid w:val="6D32CE61"/>
    <w:rsid w:val="6D3457B0"/>
    <w:rsid w:val="6D3551C5"/>
    <w:rsid w:val="6D40B29E"/>
    <w:rsid w:val="6D4144BA"/>
    <w:rsid w:val="6D423ADC"/>
    <w:rsid w:val="6D429A11"/>
    <w:rsid w:val="6D45B975"/>
    <w:rsid w:val="6D4A18B2"/>
    <w:rsid w:val="6D50CC30"/>
    <w:rsid w:val="6D5207F7"/>
    <w:rsid w:val="6D534944"/>
    <w:rsid w:val="6D58F4D1"/>
    <w:rsid w:val="6D5DA621"/>
    <w:rsid w:val="6D665FCD"/>
    <w:rsid w:val="6D695388"/>
    <w:rsid w:val="6D6FF3D9"/>
    <w:rsid w:val="6D73157B"/>
    <w:rsid w:val="6D7ED2CB"/>
    <w:rsid w:val="6D8363FA"/>
    <w:rsid w:val="6D840CDD"/>
    <w:rsid w:val="6D8CB06D"/>
    <w:rsid w:val="6D95A315"/>
    <w:rsid w:val="6D98CE77"/>
    <w:rsid w:val="6D9E0738"/>
    <w:rsid w:val="6DA3E39F"/>
    <w:rsid w:val="6DA4FAA5"/>
    <w:rsid w:val="6DA67510"/>
    <w:rsid w:val="6DA88E5A"/>
    <w:rsid w:val="6DA8E470"/>
    <w:rsid w:val="6DA94D86"/>
    <w:rsid w:val="6DAD0902"/>
    <w:rsid w:val="6DAD6FB5"/>
    <w:rsid w:val="6DAED594"/>
    <w:rsid w:val="6DAEFA98"/>
    <w:rsid w:val="6DAF5FF4"/>
    <w:rsid w:val="6DAF9C8F"/>
    <w:rsid w:val="6DB8006E"/>
    <w:rsid w:val="6DBA0D68"/>
    <w:rsid w:val="6DBB0342"/>
    <w:rsid w:val="6DBD7B38"/>
    <w:rsid w:val="6DC6A6A6"/>
    <w:rsid w:val="6DCA4536"/>
    <w:rsid w:val="6DCD5E22"/>
    <w:rsid w:val="6DD6CE83"/>
    <w:rsid w:val="6DD81F2C"/>
    <w:rsid w:val="6DDA0B0A"/>
    <w:rsid w:val="6DE1197A"/>
    <w:rsid w:val="6DE794EA"/>
    <w:rsid w:val="6DEB8627"/>
    <w:rsid w:val="6DF0055D"/>
    <w:rsid w:val="6DF6DDBB"/>
    <w:rsid w:val="6E01760B"/>
    <w:rsid w:val="6E040F2E"/>
    <w:rsid w:val="6E09F303"/>
    <w:rsid w:val="6E0E9BDA"/>
    <w:rsid w:val="6E13A317"/>
    <w:rsid w:val="6E142872"/>
    <w:rsid w:val="6E166A9C"/>
    <w:rsid w:val="6E1CFB8F"/>
    <w:rsid w:val="6E216689"/>
    <w:rsid w:val="6E226921"/>
    <w:rsid w:val="6E24484D"/>
    <w:rsid w:val="6E268B06"/>
    <w:rsid w:val="6E27B0B3"/>
    <w:rsid w:val="6E28445F"/>
    <w:rsid w:val="6E2DD30F"/>
    <w:rsid w:val="6E2E1A5F"/>
    <w:rsid w:val="6E325320"/>
    <w:rsid w:val="6E327D9E"/>
    <w:rsid w:val="6E32D9A8"/>
    <w:rsid w:val="6E35135C"/>
    <w:rsid w:val="6E3630A0"/>
    <w:rsid w:val="6E38DA82"/>
    <w:rsid w:val="6E39BADB"/>
    <w:rsid w:val="6E3AE71D"/>
    <w:rsid w:val="6E3E0D7B"/>
    <w:rsid w:val="6E3F8F83"/>
    <w:rsid w:val="6E427B80"/>
    <w:rsid w:val="6E429C5C"/>
    <w:rsid w:val="6E49415A"/>
    <w:rsid w:val="6E4D61C3"/>
    <w:rsid w:val="6E4D959E"/>
    <w:rsid w:val="6E50A0ED"/>
    <w:rsid w:val="6E50DE05"/>
    <w:rsid w:val="6E5479DB"/>
    <w:rsid w:val="6E54D0F9"/>
    <w:rsid w:val="6E591D2C"/>
    <w:rsid w:val="6E59C51B"/>
    <w:rsid w:val="6E5A8526"/>
    <w:rsid w:val="6E5F790C"/>
    <w:rsid w:val="6E61525B"/>
    <w:rsid w:val="6E65AE25"/>
    <w:rsid w:val="6E671430"/>
    <w:rsid w:val="6E6BFA02"/>
    <w:rsid w:val="6E6F1286"/>
    <w:rsid w:val="6E6F33CC"/>
    <w:rsid w:val="6E71AEDB"/>
    <w:rsid w:val="6E72ABF3"/>
    <w:rsid w:val="6E79E396"/>
    <w:rsid w:val="6E7A6A2A"/>
    <w:rsid w:val="6E7CE3B3"/>
    <w:rsid w:val="6E7FF50E"/>
    <w:rsid w:val="6E8015E8"/>
    <w:rsid w:val="6E804F8D"/>
    <w:rsid w:val="6E8889D2"/>
    <w:rsid w:val="6E8C5686"/>
    <w:rsid w:val="6E8CFC23"/>
    <w:rsid w:val="6E98ECDE"/>
    <w:rsid w:val="6E9BA25B"/>
    <w:rsid w:val="6E9CB41F"/>
    <w:rsid w:val="6EA6A581"/>
    <w:rsid w:val="6EA74CDA"/>
    <w:rsid w:val="6EA9CFEF"/>
    <w:rsid w:val="6EAAAF26"/>
    <w:rsid w:val="6EACB79D"/>
    <w:rsid w:val="6EAF75EE"/>
    <w:rsid w:val="6EB3E3F6"/>
    <w:rsid w:val="6EB56D7D"/>
    <w:rsid w:val="6EB82B86"/>
    <w:rsid w:val="6EBB8055"/>
    <w:rsid w:val="6EBDFE8B"/>
    <w:rsid w:val="6EC3FC4F"/>
    <w:rsid w:val="6EC5212B"/>
    <w:rsid w:val="6EC7F765"/>
    <w:rsid w:val="6ED03481"/>
    <w:rsid w:val="6ED1D16A"/>
    <w:rsid w:val="6ED21628"/>
    <w:rsid w:val="6ED82AFD"/>
    <w:rsid w:val="6EDB35EC"/>
    <w:rsid w:val="6EDBB617"/>
    <w:rsid w:val="6EDC2532"/>
    <w:rsid w:val="6EE189D6"/>
    <w:rsid w:val="6EE3BC37"/>
    <w:rsid w:val="6EE50498"/>
    <w:rsid w:val="6EE6BE1B"/>
    <w:rsid w:val="6EE8A77C"/>
    <w:rsid w:val="6EEB4287"/>
    <w:rsid w:val="6EECDF96"/>
    <w:rsid w:val="6EECF95B"/>
    <w:rsid w:val="6EED5077"/>
    <w:rsid w:val="6EEE21EB"/>
    <w:rsid w:val="6EF235FD"/>
    <w:rsid w:val="6EF42EAE"/>
    <w:rsid w:val="6EF83E0C"/>
    <w:rsid w:val="6EFDE6C7"/>
    <w:rsid w:val="6F01084C"/>
    <w:rsid w:val="6F01A338"/>
    <w:rsid w:val="6F0363AC"/>
    <w:rsid w:val="6F05E5E6"/>
    <w:rsid w:val="6F0A51C0"/>
    <w:rsid w:val="6F0A96B9"/>
    <w:rsid w:val="6F1064B2"/>
    <w:rsid w:val="6F18516D"/>
    <w:rsid w:val="6F21A515"/>
    <w:rsid w:val="6F23F300"/>
    <w:rsid w:val="6F244A98"/>
    <w:rsid w:val="6F283ECB"/>
    <w:rsid w:val="6F2EC6E0"/>
    <w:rsid w:val="6F2FB932"/>
    <w:rsid w:val="6F316A19"/>
    <w:rsid w:val="6F338B91"/>
    <w:rsid w:val="6F34CCBF"/>
    <w:rsid w:val="6F35FC94"/>
    <w:rsid w:val="6F361D2A"/>
    <w:rsid w:val="6F38404A"/>
    <w:rsid w:val="6F3BB160"/>
    <w:rsid w:val="6F41BF63"/>
    <w:rsid w:val="6F42D161"/>
    <w:rsid w:val="6F43A8B4"/>
    <w:rsid w:val="6F4B2D9C"/>
    <w:rsid w:val="6F4C91F5"/>
    <w:rsid w:val="6F4CB145"/>
    <w:rsid w:val="6F539BDA"/>
    <w:rsid w:val="6F575095"/>
    <w:rsid w:val="6F58B110"/>
    <w:rsid w:val="6F5F593B"/>
    <w:rsid w:val="6F615E69"/>
    <w:rsid w:val="6F62F0E3"/>
    <w:rsid w:val="6F66FC9D"/>
    <w:rsid w:val="6F682F31"/>
    <w:rsid w:val="6F6FB1C4"/>
    <w:rsid w:val="6F77BED6"/>
    <w:rsid w:val="6F77D0D1"/>
    <w:rsid w:val="6F827E18"/>
    <w:rsid w:val="6F856ECB"/>
    <w:rsid w:val="6F8697E2"/>
    <w:rsid w:val="6F8D5C51"/>
    <w:rsid w:val="6F91D174"/>
    <w:rsid w:val="6F935A43"/>
    <w:rsid w:val="6F97BA01"/>
    <w:rsid w:val="6F98D712"/>
    <w:rsid w:val="6F996386"/>
    <w:rsid w:val="6F9C6DC5"/>
    <w:rsid w:val="6F9E282A"/>
    <w:rsid w:val="6F9E3D19"/>
    <w:rsid w:val="6FA18118"/>
    <w:rsid w:val="6FA1C650"/>
    <w:rsid w:val="6FA1F913"/>
    <w:rsid w:val="6FA3D5AC"/>
    <w:rsid w:val="6FA44E22"/>
    <w:rsid w:val="6FA6C66A"/>
    <w:rsid w:val="6FA78DC3"/>
    <w:rsid w:val="6FA837E3"/>
    <w:rsid w:val="6FAA5F79"/>
    <w:rsid w:val="6FAAA267"/>
    <w:rsid w:val="6FB5E0DA"/>
    <w:rsid w:val="6FB703F1"/>
    <w:rsid w:val="6FBF7440"/>
    <w:rsid w:val="6FC1CBD4"/>
    <w:rsid w:val="6FC38F82"/>
    <w:rsid w:val="6FC88DC4"/>
    <w:rsid w:val="6FC8DA8F"/>
    <w:rsid w:val="6FD01A36"/>
    <w:rsid w:val="6FD3851F"/>
    <w:rsid w:val="6FD69EDF"/>
    <w:rsid w:val="6FD72F0E"/>
    <w:rsid w:val="6FDAC835"/>
    <w:rsid w:val="6FF25239"/>
    <w:rsid w:val="6FF799A7"/>
    <w:rsid w:val="6FF86DCB"/>
    <w:rsid w:val="6FFCB835"/>
    <w:rsid w:val="6FFE1399"/>
    <w:rsid w:val="7000BE8F"/>
    <w:rsid w:val="70077147"/>
    <w:rsid w:val="700BE270"/>
    <w:rsid w:val="700F6460"/>
    <w:rsid w:val="7010314D"/>
    <w:rsid w:val="7015E0AE"/>
    <w:rsid w:val="70169330"/>
    <w:rsid w:val="70171278"/>
    <w:rsid w:val="701BE1DA"/>
    <w:rsid w:val="701E3F2E"/>
    <w:rsid w:val="701FB406"/>
    <w:rsid w:val="70224838"/>
    <w:rsid w:val="703DFEC4"/>
    <w:rsid w:val="7045CB82"/>
    <w:rsid w:val="704619E6"/>
    <w:rsid w:val="7052C573"/>
    <w:rsid w:val="7053AA9B"/>
    <w:rsid w:val="7057FA5E"/>
    <w:rsid w:val="705DC395"/>
    <w:rsid w:val="70611454"/>
    <w:rsid w:val="70621FD5"/>
    <w:rsid w:val="7062ACAA"/>
    <w:rsid w:val="7065046B"/>
    <w:rsid w:val="706C8435"/>
    <w:rsid w:val="706CD435"/>
    <w:rsid w:val="707229F1"/>
    <w:rsid w:val="707672C6"/>
    <w:rsid w:val="70791FDA"/>
    <w:rsid w:val="7079964B"/>
    <w:rsid w:val="707B9A3C"/>
    <w:rsid w:val="708109A2"/>
    <w:rsid w:val="70849AC0"/>
    <w:rsid w:val="7088512C"/>
    <w:rsid w:val="708983C0"/>
    <w:rsid w:val="7089D913"/>
    <w:rsid w:val="7089F24C"/>
    <w:rsid w:val="708CA890"/>
    <w:rsid w:val="708DB013"/>
    <w:rsid w:val="708E2581"/>
    <w:rsid w:val="709070B0"/>
    <w:rsid w:val="7090B893"/>
    <w:rsid w:val="7097A92C"/>
    <w:rsid w:val="70A2E4AC"/>
    <w:rsid w:val="70A623CE"/>
    <w:rsid w:val="70A86160"/>
    <w:rsid w:val="70AC789D"/>
    <w:rsid w:val="70AE7131"/>
    <w:rsid w:val="70B68CF7"/>
    <w:rsid w:val="70B70AF6"/>
    <w:rsid w:val="70BB6152"/>
    <w:rsid w:val="70C282A0"/>
    <w:rsid w:val="70C4ACB5"/>
    <w:rsid w:val="70CCB02A"/>
    <w:rsid w:val="70CCBEDF"/>
    <w:rsid w:val="70CF4A85"/>
    <w:rsid w:val="70CFA566"/>
    <w:rsid w:val="70D05D01"/>
    <w:rsid w:val="70E1577A"/>
    <w:rsid w:val="70E364E6"/>
    <w:rsid w:val="70E9BF88"/>
    <w:rsid w:val="70EB9088"/>
    <w:rsid w:val="70ED583C"/>
    <w:rsid w:val="70F2832E"/>
    <w:rsid w:val="70F43F4C"/>
    <w:rsid w:val="70F98C1A"/>
    <w:rsid w:val="70FB6765"/>
    <w:rsid w:val="70FC4DDD"/>
    <w:rsid w:val="7100A44D"/>
    <w:rsid w:val="71029BCA"/>
    <w:rsid w:val="710A0B69"/>
    <w:rsid w:val="710B01A2"/>
    <w:rsid w:val="710D940D"/>
    <w:rsid w:val="710E4457"/>
    <w:rsid w:val="7114F24B"/>
    <w:rsid w:val="7117D6F0"/>
    <w:rsid w:val="7117F1DB"/>
    <w:rsid w:val="71184D26"/>
    <w:rsid w:val="711862F3"/>
    <w:rsid w:val="711AC828"/>
    <w:rsid w:val="711FEE70"/>
    <w:rsid w:val="712F8149"/>
    <w:rsid w:val="713F4572"/>
    <w:rsid w:val="71442CED"/>
    <w:rsid w:val="71462320"/>
    <w:rsid w:val="71463C9C"/>
    <w:rsid w:val="714972F1"/>
    <w:rsid w:val="714B0C80"/>
    <w:rsid w:val="714F8447"/>
    <w:rsid w:val="7151B13B"/>
    <w:rsid w:val="7162952E"/>
    <w:rsid w:val="7162DA79"/>
    <w:rsid w:val="7165009E"/>
    <w:rsid w:val="71663C9E"/>
    <w:rsid w:val="7169DDEF"/>
    <w:rsid w:val="7171B4CC"/>
    <w:rsid w:val="71753C23"/>
    <w:rsid w:val="71764956"/>
    <w:rsid w:val="7179C632"/>
    <w:rsid w:val="717B4973"/>
    <w:rsid w:val="717D3167"/>
    <w:rsid w:val="717E7605"/>
    <w:rsid w:val="71812778"/>
    <w:rsid w:val="71872385"/>
    <w:rsid w:val="718864BE"/>
    <w:rsid w:val="718B0DBB"/>
    <w:rsid w:val="718E2723"/>
    <w:rsid w:val="718E79AC"/>
    <w:rsid w:val="718FAEC9"/>
    <w:rsid w:val="71941F06"/>
    <w:rsid w:val="71941F89"/>
    <w:rsid w:val="7194C966"/>
    <w:rsid w:val="7196BF48"/>
    <w:rsid w:val="71989FF5"/>
    <w:rsid w:val="71A90EF4"/>
    <w:rsid w:val="71AA23F5"/>
    <w:rsid w:val="71AA87E8"/>
    <w:rsid w:val="71ABBD2E"/>
    <w:rsid w:val="71AC80EA"/>
    <w:rsid w:val="71AFF49E"/>
    <w:rsid w:val="71B07AF8"/>
    <w:rsid w:val="71B16CB0"/>
    <w:rsid w:val="71BD38D6"/>
    <w:rsid w:val="71C1FDDF"/>
    <w:rsid w:val="71C27C9A"/>
    <w:rsid w:val="71C2BA5A"/>
    <w:rsid w:val="71CCA0EA"/>
    <w:rsid w:val="71CED192"/>
    <w:rsid w:val="71D454E1"/>
    <w:rsid w:val="71D5F56E"/>
    <w:rsid w:val="71D9CF25"/>
    <w:rsid w:val="71DB89E4"/>
    <w:rsid w:val="71DB9C1C"/>
    <w:rsid w:val="71E176A7"/>
    <w:rsid w:val="71E40A88"/>
    <w:rsid w:val="71E831EC"/>
    <w:rsid w:val="71EA9EEB"/>
    <w:rsid w:val="71EED079"/>
    <w:rsid w:val="71F088A0"/>
    <w:rsid w:val="71F17A32"/>
    <w:rsid w:val="71F25434"/>
    <w:rsid w:val="71F25F12"/>
    <w:rsid w:val="71FED8D2"/>
    <w:rsid w:val="7207602F"/>
    <w:rsid w:val="720781A9"/>
    <w:rsid w:val="7208BB69"/>
    <w:rsid w:val="72093851"/>
    <w:rsid w:val="720DB265"/>
    <w:rsid w:val="720FE880"/>
    <w:rsid w:val="72120308"/>
    <w:rsid w:val="721427DD"/>
    <w:rsid w:val="7215ABFF"/>
    <w:rsid w:val="7219A14C"/>
    <w:rsid w:val="721E8195"/>
    <w:rsid w:val="721E885C"/>
    <w:rsid w:val="7220EFAC"/>
    <w:rsid w:val="72280579"/>
    <w:rsid w:val="72297BA7"/>
    <w:rsid w:val="722B9DC1"/>
    <w:rsid w:val="72312908"/>
    <w:rsid w:val="72358789"/>
    <w:rsid w:val="72362EE5"/>
    <w:rsid w:val="723C10C3"/>
    <w:rsid w:val="723E4372"/>
    <w:rsid w:val="723EF834"/>
    <w:rsid w:val="723F6146"/>
    <w:rsid w:val="72481DA8"/>
    <w:rsid w:val="724F031F"/>
    <w:rsid w:val="724F9D37"/>
    <w:rsid w:val="725C586A"/>
    <w:rsid w:val="72630904"/>
    <w:rsid w:val="72659A96"/>
    <w:rsid w:val="72675BF0"/>
    <w:rsid w:val="72676DF1"/>
    <w:rsid w:val="72682730"/>
    <w:rsid w:val="726A7139"/>
    <w:rsid w:val="726CCC16"/>
    <w:rsid w:val="726D9EBB"/>
    <w:rsid w:val="726EA3EA"/>
    <w:rsid w:val="726FC2C9"/>
    <w:rsid w:val="7272AF13"/>
    <w:rsid w:val="7277F599"/>
    <w:rsid w:val="7279ECCF"/>
    <w:rsid w:val="727CA398"/>
    <w:rsid w:val="72803A31"/>
    <w:rsid w:val="72828006"/>
    <w:rsid w:val="7283A802"/>
    <w:rsid w:val="7286448D"/>
    <w:rsid w:val="7289FB51"/>
    <w:rsid w:val="7296D0A3"/>
    <w:rsid w:val="729A5A1C"/>
    <w:rsid w:val="729E2EE0"/>
    <w:rsid w:val="72A27FC9"/>
    <w:rsid w:val="72A60628"/>
    <w:rsid w:val="72AB74F8"/>
    <w:rsid w:val="72B10A82"/>
    <w:rsid w:val="72B5FA44"/>
    <w:rsid w:val="72B7E2F1"/>
    <w:rsid w:val="72B9B767"/>
    <w:rsid w:val="72BDCB68"/>
    <w:rsid w:val="72BF5709"/>
    <w:rsid w:val="72C40BEA"/>
    <w:rsid w:val="72C4F96E"/>
    <w:rsid w:val="72C4FD13"/>
    <w:rsid w:val="72CB0961"/>
    <w:rsid w:val="72CD3594"/>
    <w:rsid w:val="72D1198A"/>
    <w:rsid w:val="72D3E3C9"/>
    <w:rsid w:val="72D7841D"/>
    <w:rsid w:val="72D86396"/>
    <w:rsid w:val="72D971AA"/>
    <w:rsid w:val="72D98AB9"/>
    <w:rsid w:val="72DA6935"/>
    <w:rsid w:val="72DA6BE4"/>
    <w:rsid w:val="72DAC039"/>
    <w:rsid w:val="72DB0EAC"/>
    <w:rsid w:val="72DB1CE9"/>
    <w:rsid w:val="72DBD364"/>
    <w:rsid w:val="72E18992"/>
    <w:rsid w:val="72E27D3D"/>
    <w:rsid w:val="72ECC79E"/>
    <w:rsid w:val="72EDBB1E"/>
    <w:rsid w:val="72EF0B21"/>
    <w:rsid w:val="72F0AC7A"/>
    <w:rsid w:val="72F2E07E"/>
    <w:rsid w:val="72FC06A5"/>
    <w:rsid w:val="72FDCD1D"/>
    <w:rsid w:val="72FE1873"/>
    <w:rsid w:val="72FEAADA"/>
    <w:rsid w:val="72FFB21B"/>
    <w:rsid w:val="7300B1F5"/>
    <w:rsid w:val="730152E7"/>
    <w:rsid w:val="730254A4"/>
    <w:rsid w:val="7306AB9F"/>
    <w:rsid w:val="73086554"/>
    <w:rsid w:val="7311C88D"/>
    <w:rsid w:val="73157168"/>
    <w:rsid w:val="73165529"/>
    <w:rsid w:val="731A03DF"/>
    <w:rsid w:val="731D3E3B"/>
    <w:rsid w:val="7321AE27"/>
    <w:rsid w:val="7324351F"/>
    <w:rsid w:val="73250CFD"/>
    <w:rsid w:val="73274FB6"/>
    <w:rsid w:val="7328C06C"/>
    <w:rsid w:val="732AACAB"/>
    <w:rsid w:val="732B0A85"/>
    <w:rsid w:val="732CE59B"/>
    <w:rsid w:val="732F1500"/>
    <w:rsid w:val="732F91AA"/>
    <w:rsid w:val="7330F905"/>
    <w:rsid w:val="733163F8"/>
    <w:rsid w:val="73317E6B"/>
    <w:rsid w:val="7335A4FD"/>
    <w:rsid w:val="733CC573"/>
    <w:rsid w:val="733EEB5C"/>
    <w:rsid w:val="7340C6DC"/>
    <w:rsid w:val="7343711E"/>
    <w:rsid w:val="73444F72"/>
    <w:rsid w:val="7344C6A9"/>
    <w:rsid w:val="7347A7E7"/>
    <w:rsid w:val="73495CBE"/>
    <w:rsid w:val="73504C81"/>
    <w:rsid w:val="73552F77"/>
    <w:rsid w:val="7359750C"/>
    <w:rsid w:val="7369FAF0"/>
    <w:rsid w:val="736B6782"/>
    <w:rsid w:val="737264AB"/>
    <w:rsid w:val="737267B6"/>
    <w:rsid w:val="7372694F"/>
    <w:rsid w:val="7377FA96"/>
    <w:rsid w:val="737C403A"/>
    <w:rsid w:val="738306F3"/>
    <w:rsid w:val="73831F5D"/>
    <w:rsid w:val="738356C3"/>
    <w:rsid w:val="738728F2"/>
    <w:rsid w:val="73894A19"/>
    <w:rsid w:val="73899DDC"/>
    <w:rsid w:val="738A4E43"/>
    <w:rsid w:val="738DBA75"/>
    <w:rsid w:val="73932482"/>
    <w:rsid w:val="73944C25"/>
    <w:rsid w:val="7394D02B"/>
    <w:rsid w:val="7395830A"/>
    <w:rsid w:val="7397766D"/>
    <w:rsid w:val="739B9D3C"/>
    <w:rsid w:val="739C4B00"/>
    <w:rsid w:val="739C799A"/>
    <w:rsid w:val="739C8501"/>
    <w:rsid w:val="739CAB47"/>
    <w:rsid w:val="739D6990"/>
    <w:rsid w:val="739ED434"/>
    <w:rsid w:val="73A031D9"/>
    <w:rsid w:val="73A8E15A"/>
    <w:rsid w:val="73A90600"/>
    <w:rsid w:val="73B17C60"/>
    <w:rsid w:val="73B550EE"/>
    <w:rsid w:val="73B69579"/>
    <w:rsid w:val="73B6F7B0"/>
    <w:rsid w:val="73B7447B"/>
    <w:rsid w:val="73BC3B78"/>
    <w:rsid w:val="73C085FB"/>
    <w:rsid w:val="73C13AA9"/>
    <w:rsid w:val="73C24E5A"/>
    <w:rsid w:val="73C9409E"/>
    <w:rsid w:val="73CB1CBB"/>
    <w:rsid w:val="73CD0026"/>
    <w:rsid w:val="73E0084E"/>
    <w:rsid w:val="73E7E32D"/>
    <w:rsid w:val="73EB9615"/>
    <w:rsid w:val="73EEA576"/>
    <w:rsid w:val="73EF7F82"/>
    <w:rsid w:val="73F309DA"/>
    <w:rsid w:val="73F45E0C"/>
    <w:rsid w:val="73FDF3FB"/>
    <w:rsid w:val="7401B46A"/>
    <w:rsid w:val="74075BEB"/>
    <w:rsid w:val="740FA750"/>
    <w:rsid w:val="741320C1"/>
    <w:rsid w:val="741325C6"/>
    <w:rsid w:val="7417CF15"/>
    <w:rsid w:val="74196A8C"/>
    <w:rsid w:val="7426799A"/>
    <w:rsid w:val="742789F6"/>
    <w:rsid w:val="7427A016"/>
    <w:rsid w:val="74288322"/>
    <w:rsid w:val="742C58D2"/>
    <w:rsid w:val="7431E3B2"/>
    <w:rsid w:val="7432CB92"/>
    <w:rsid w:val="7433FBE9"/>
    <w:rsid w:val="7438450F"/>
    <w:rsid w:val="7439591C"/>
    <w:rsid w:val="74397B5F"/>
    <w:rsid w:val="743F2640"/>
    <w:rsid w:val="7442D9D9"/>
    <w:rsid w:val="7445AAEB"/>
    <w:rsid w:val="744938EA"/>
    <w:rsid w:val="744E140F"/>
    <w:rsid w:val="744F9A4F"/>
    <w:rsid w:val="744FE4AC"/>
    <w:rsid w:val="74517361"/>
    <w:rsid w:val="745355E9"/>
    <w:rsid w:val="7457145D"/>
    <w:rsid w:val="745742DB"/>
    <w:rsid w:val="7459F658"/>
    <w:rsid w:val="745A6F3C"/>
    <w:rsid w:val="745CC3BA"/>
    <w:rsid w:val="746BB801"/>
    <w:rsid w:val="747086F3"/>
    <w:rsid w:val="7471BA58"/>
    <w:rsid w:val="747AB7EF"/>
    <w:rsid w:val="74816BA7"/>
    <w:rsid w:val="7484E855"/>
    <w:rsid w:val="748A9DBD"/>
    <w:rsid w:val="748E8ABA"/>
    <w:rsid w:val="748FE46C"/>
    <w:rsid w:val="749113B2"/>
    <w:rsid w:val="74969581"/>
    <w:rsid w:val="7497CDF7"/>
    <w:rsid w:val="74A02944"/>
    <w:rsid w:val="74A0A957"/>
    <w:rsid w:val="74A1A95A"/>
    <w:rsid w:val="74A89886"/>
    <w:rsid w:val="74A9558E"/>
    <w:rsid w:val="74B4CC6C"/>
    <w:rsid w:val="74B5D440"/>
    <w:rsid w:val="74B73AB5"/>
    <w:rsid w:val="74B99FD6"/>
    <w:rsid w:val="74BAA677"/>
    <w:rsid w:val="74BE5D42"/>
    <w:rsid w:val="74C12BEA"/>
    <w:rsid w:val="74C3E8DC"/>
    <w:rsid w:val="74C4E14E"/>
    <w:rsid w:val="74CAA80C"/>
    <w:rsid w:val="74CE600A"/>
    <w:rsid w:val="74D17124"/>
    <w:rsid w:val="74DA19ED"/>
    <w:rsid w:val="74DC4C71"/>
    <w:rsid w:val="74DD7AAF"/>
    <w:rsid w:val="74DF50F2"/>
    <w:rsid w:val="74E1C4B7"/>
    <w:rsid w:val="74E24E82"/>
    <w:rsid w:val="74EB4D6F"/>
    <w:rsid w:val="74EEF6FE"/>
    <w:rsid w:val="74F002E2"/>
    <w:rsid w:val="74F0180C"/>
    <w:rsid w:val="74F518B4"/>
    <w:rsid w:val="74F66BFA"/>
    <w:rsid w:val="74F68BA6"/>
    <w:rsid w:val="74F92F13"/>
    <w:rsid w:val="74FAB5AF"/>
    <w:rsid w:val="74FB0703"/>
    <w:rsid w:val="74FC0DBA"/>
    <w:rsid w:val="74FCB688"/>
    <w:rsid w:val="74FDF2F7"/>
    <w:rsid w:val="750644C6"/>
    <w:rsid w:val="75069C52"/>
    <w:rsid w:val="7506DA83"/>
    <w:rsid w:val="7506F4B6"/>
    <w:rsid w:val="7508C85A"/>
    <w:rsid w:val="751187E3"/>
    <w:rsid w:val="7517D94C"/>
    <w:rsid w:val="751F6CCF"/>
    <w:rsid w:val="752CECB9"/>
    <w:rsid w:val="752D3C1D"/>
    <w:rsid w:val="752D72B0"/>
    <w:rsid w:val="752FBAB7"/>
    <w:rsid w:val="75308193"/>
    <w:rsid w:val="7531AD09"/>
    <w:rsid w:val="753A98B1"/>
    <w:rsid w:val="753C8482"/>
    <w:rsid w:val="753CB06D"/>
    <w:rsid w:val="753EB06B"/>
    <w:rsid w:val="7541DC3E"/>
    <w:rsid w:val="7545655F"/>
    <w:rsid w:val="7548AB78"/>
    <w:rsid w:val="754A0B88"/>
    <w:rsid w:val="754C8642"/>
    <w:rsid w:val="754D4CC1"/>
    <w:rsid w:val="755092F1"/>
    <w:rsid w:val="7558B566"/>
    <w:rsid w:val="75596502"/>
    <w:rsid w:val="755E9575"/>
    <w:rsid w:val="755EE41A"/>
    <w:rsid w:val="755F6C69"/>
    <w:rsid w:val="755FF7B4"/>
    <w:rsid w:val="756074B2"/>
    <w:rsid w:val="756429B6"/>
    <w:rsid w:val="75670079"/>
    <w:rsid w:val="75684A65"/>
    <w:rsid w:val="756DBCF5"/>
    <w:rsid w:val="75706ACF"/>
    <w:rsid w:val="7571D1A8"/>
    <w:rsid w:val="75723FBD"/>
    <w:rsid w:val="7572A530"/>
    <w:rsid w:val="757348EB"/>
    <w:rsid w:val="7575CA72"/>
    <w:rsid w:val="7578DB75"/>
    <w:rsid w:val="75790CE1"/>
    <w:rsid w:val="757A6865"/>
    <w:rsid w:val="757DE140"/>
    <w:rsid w:val="7582F355"/>
    <w:rsid w:val="75835730"/>
    <w:rsid w:val="75860191"/>
    <w:rsid w:val="758EE8BC"/>
    <w:rsid w:val="75958ACD"/>
    <w:rsid w:val="759B6454"/>
    <w:rsid w:val="759B75C6"/>
    <w:rsid w:val="759D74BF"/>
    <w:rsid w:val="759F383D"/>
    <w:rsid w:val="75A2CA0F"/>
    <w:rsid w:val="75B39F76"/>
    <w:rsid w:val="75B67075"/>
    <w:rsid w:val="75B7DAF3"/>
    <w:rsid w:val="75B87B28"/>
    <w:rsid w:val="75B94A9C"/>
    <w:rsid w:val="75BB4B7C"/>
    <w:rsid w:val="75BC4BFB"/>
    <w:rsid w:val="75BE5025"/>
    <w:rsid w:val="75C01B52"/>
    <w:rsid w:val="75C2D464"/>
    <w:rsid w:val="75C4E5A1"/>
    <w:rsid w:val="75CDC880"/>
    <w:rsid w:val="75CDDB6C"/>
    <w:rsid w:val="75D13862"/>
    <w:rsid w:val="75D1633A"/>
    <w:rsid w:val="75D2DF04"/>
    <w:rsid w:val="75D54BC0"/>
    <w:rsid w:val="75D692C9"/>
    <w:rsid w:val="75DD7652"/>
    <w:rsid w:val="75E00E73"/>
    <w:rsid w:val="75E2F77E"/>
    <w:rsid w:val="75E37D3F"/>
    <w:rsid w:val="75E5E024"/>
    <w:rsid w:val="75E66DEE"/>
    <w:rsid w:val="75E66FFC"/>
    <w:rsid w:val="75E79995"/>
    <w:rsid w:val="75E8143F"/>
    <w:rsid w:val="75EA97C2"/>
    <w:rsid w:val="75EC2EAA"/>
    <w:rsid w:val="75F2BCF6"/>
    <w:rsid w:val="75F3E67B"/>
    <w:rsid w:val="7606C130"/>
    <w:rsid w:val="76078723"/>
    <w:rsid w:val="76140AF1"/>
    <w:rsid w:val="761438C6"/>
    <w:rsid w:val="76184685"/>
    <w:rsid w:val="7619842A"/>
    <w:rsid w:val="761D42AC"/>
    <w:rsid w:val="761D4706"/>
    <w:rsid w:val="761D9149"/>
    <w:rsid w:val="7625024A"/>
    <w:rsid w:val="76266E1E"/>
    <w:rsid w:val="7627AEED"/>
    <w:rsid w:val="762CB23F"/>
    <w:rsid w:val="762D7863"/>
    <w:rsid w:val="762F58AF"/>
    <w:rsid w:val="7632369F"/>
    <w:rsid w:val="763394D2"/>
    <w:rsid w:val="763652C7"/>
    <w:rsid w:val="7638F3A9"/>
    <w:rsid w:val="7639104E"/>
    <w:rsid w:val="76397CA3"/>
    <w:rsid w:val="763F55A5"/>
    <w:rsid w:val="76400EC7"/>
    <w:rsid w:val="7643AAE4"/>
    <w:rsid w:val="7647CABD"/>
    <w:rsid w:val="764830D3"/>
    <w:rsid w:val="76496FED"/>
    <w:rsid w:val="764B9CC7"/>
    <w:rsid w:val="76512662"/>
    <w:rsid w:val="765DE073"/>
    <w:rsid w:val="765E4BAC"/>
    <w:rsid w:val="7661EAB9"/>
    <w:rsid w:val="76625297"/>
    <w:rsid w:val="76662813"/>
    <w:rsid w:val="766A306B"/>
    <w:rsid w:val="766B0758"/>
    <w:rsid w:val="76705676"/>
    <w:rsid w:val="76730D72"/>
    <w:rsid w:val="7673AADC"/>
    <w:rsid w:val="767692AD"/>
    <w:rsid w:val="767D4BAF"/>
    <w:rsid w:val="767D8F67"/>
    <w:rsid w:val="767DC5C0"/>
    <w:rsid w:val="76806219"/>
    <w:rsid w:val="7680D5B3"/>
    <w:rsid w:val="7685F9AD"/>
    <w:rsid w:val="768AC6A7"/>
    <w:rsid w:val="7692A9CF"/>
    <w:rsid w:val="7693E702"/>
    <w:rsid w:val="769589B3"/>
    <w:rsid w:val="7699A8EF"/>
    <w:rsid w:val="76A0A929"/>
    <w:rsid w:val="76A4C66E"/>
    <w:rsid w:val="76A7D80C"/>
    <w:rsid w:val="76A8BC71"/>
    <w:rsid w:val="76A98D90"/>
    <w:rsid w:val="76B75DD7"/>
    <w:rsid w:val="76B897BF"/>
    <w:rsid w:val="76B90EBA"/>
    <w:rsid w:val="76B94E05"/>
    <w:rsid w:val="76BAEAD0"/>
    <w:rsid w:val="76BD25F1"/>
    <w:rsid w:val="76C1F0A9"/>
    <w:rsid w:val="76C38A69"/>
    <w:rsid w:val="76C755C3"/>
    <w:rsid w:val="76C760FD"/>
    <w:rsid w:val="76CB0B9E"/>
    <w:rsid w:val="76CC61EC"/>
    <w:rsid w:val="76CE24F0"/>
    <w:rsid w:val="76D1D838"/>
    <w:rsid w:val="76D5833E"/>
    <w:rsid w:val="76D62406"/>
    <w:rsid w:val="76DA80CC"/>
    <w:rsid w:val="76DBDEF6"/>
    <w:rsid w:val="76DCDBC8"/>
    <w:rsid w:val="76E06939"/>
    <w:rsid w:val="76E210E1"/>
    <w:rsid w:val="76E7A3E9"/>
    <w:rsid w:val="76E89F84"/>
    <w:rsid w:val="76E91D22"/>
    <w:rsid w:val="76E97450"/>
    <w:rsid w:val="76EBCA7F"/>
    <w:rsid w:val="76F2E926"/>
    <w:rsid w:val="77019B9F"/>
    <w:rsid w:val="7704459D"/>
    <w:rsid w:val="77061E16"/>
    <w:rsid w:val="770B0FDE"/>
    <w:rsid w:val="770FF6F5"/>
    <w:rsid w:val="7710486E"/>
    <w:rsid w:val="77118208"/>
    <w:rsid w:val="771287EB"/>
    <w:rsid w:val="771A5BDB"/>
    <w:rsid w:val="771C0172"/>
    <w:rsid w:val="771EDA94"/>
    <w:rsid w:val="77219452"/>
    <w:rsid w:val="7722FAF6"/>
    <w:rsid w:val="772CA08B"/>
    <w:rsid w:val="7738B1B1"/>
    <w:rsid w:val="773B41F1"/>
    <w:rsid w:val="773F6D0D"/>
    <w:rsid w:val="77482C5A"/>
    <w:rsid w:val="775392F2"/>
    <w:rsid w:val="775571E6"/>
    <w:rsid w:val="7758A6BD"/>
    <w:rsid w:val="775E1963"/>
    <w:rsid w:val="775F588A"/>
    <w:rsid w:val="7760B499"/>
    <w:rsid w:val="77645D7E"/>
    <w:rsid w:val="7765A2C6"/>
    <w:rsid w:val="77663FC3"/>
    <w:rsid w:val="776B1335"/>
    <w:rsid w:val="776F8E9A"/>
    <w:rsid w:val="77701795"/>
    <w:rsid w:val="777089B7"/>
    <w:rsid w:val="7770FF15"/>
    <w:rsid w:val="777250B6"/>
    <w:rsid w:val="777788BA"/>
    <w:rsid w:val="7777E8E6"/>
    <w:rsid w:val="777C9481"/>
    <w:rsid w:val="777D6A23"/>
    <w:rsid w:val="777DE400"/>
    <w:rsid w:val="777EE28B"/>
    <w:rsid w:val="777F2B6A"/>
    <w:rsid w:val="77848516"/>
    <w:rsid w:val="77860281"/>
    <w:rsid w:val="77898391"/>
    <w:rsid w:val="7794DE20"/>
    <w:rsid w:val="7796A702"/>
    <w:rsid w:val="779BD925"/>
    <w:rsid w:val="779C2AC5"/>
    <w:rsid w:val="77ACC59D"/>
    <w:rsid w:val="77AE5037"/>
    <w:rsid w:val="77AEE76D"/>
    <w:rsid w:val="77AFA9DC"/>
    <w:rsid w:val="77B752FA"/>
    <w:rsid w:val="77B88EEE"/>
    <w:rsid w:val="77BA060B"/>
    <w:rsid w:val="77BC4E0C"/>
    <w:rsid w:val="77C0B4C4"/>
    <w:rsid w:val="77C237E1"/>
    <w:rsid w:val="77C765FC"/>
    <w:rsid w:val="77C9CE22"/>
    <w:rsid w:val="77CA28DC"/>
    <w:rsid w:val="77CA7582"/>
    <w:rsid w:val="77CB958E"/>
    <w:rsid w:val="77CFE419"/>
    <w:rsid w:val="77D138E8"/>
    <w:rsid w:val="77DB3AF4"/>
    <w:rsid w:val="77DC08D6"/>
    <w:rsid w:val="77DCD5A7"/>
    <w:rsid w:val="77E67A58"/>
    <w:rsid w:val="77EB914B"/>
    <w:rsid w:val="77ECF6C3"/>
    <w:rsid w:val="77F1D979"/>
    <w:rsid w:val="77F3EF29"/>
    <w:rsid w:val="77F881F6"/>
    <w:rsid w:val="77F9B0D4"/>
    <w:rsid w:val="77FF063E"/>
    <w:rsid w:val="77FFC7DF"/>
    <w:rsid w:val="78003E37"/>
    <w:rsid w:val="78016C2B"/>
    <w:rsid w:val="780445DE"/>
    <w:rsid w:val="78045C80"/>
    <w:rsid w:val="78051A18"/>
    <w:rsid w:val="7806927C"/>
    <w:rsid w:val="78075CC5"/>
    <w:rsid w:val="7808C04B"/>
    <w:rsid w:val="78096C9A"/>
    <w:rsid w:val="7815D6C0"/>
    <w:rsid w:val="781688EA"/>
    <w:rsid w:val="7816CFBB"/>
    <w:rsid w:val="781DC600"/>
    <w:rsid w:val="78248991"/>
    <w:rsid w:val="78279043"/>
    <w:rsid w:val="782863CC"/>
    <w:rsid w:val="782B88FD"/>
    <w:rsid w:val="782E6AC4"/>
    <w:rsid w:val="783265E3"/>
    <w:rsid w:val="7834CE2A"/>
    <w:rsid w:val="783A2E02"/>
    <w:rsid w:val="783B63D3"/>
    <w:rsid w:val="783D12EE"/>
    <w:rsid w:val="78414753"/>
    <w:rsid w:val="78424548"/>
    <w:rsid w:val="7851D87A"/>
    <w:rsid w:val="785208EA"/>
    <w:rsid w:val="78523214"/>
    <w:rsid w:val="7853DE01"/>
    <w:rsid w:val="785456AD"/>
    <w:rsid w:val="785694E8"/>
    <w:rsid w:val="78570283"/>
    <w:rsid w:val="785B698E"/>
    <w:rsid w:val="785B9420"/>
    <w:rsid w:val="785CEF49"/>
    <w:rsid w:val="785DA621"/>
    <w:rsid w:val="78657D04"/>
    <w:rsid w:val="786797E6"/>
    <w:rsid w:val="78698E1C"/>
    <w:rsid w:val="786E97E7"/>
    <w:rsid w:val="7872FB85"/>
    <w:rsid w:val="7878DD3D"/>
    <w:rsid w:val="787C48C2"/>
    <w:rsid w:val="787DAC24"/>
    <w:rsid w:val="787DE131"/>
    <w:rsid w:val="787E3137"/>
    <w:rsid w:val="7881B95C"/>
    <w:rsid w:val="7884ED83"/>
    <w:rsid w:val="7885489E"/>
    <w:rsid w:val="78855D9B"/>
    <w:rsid w:val="7885EE08"/>
    <w:rsid w:val="78862ACE"/>
    <w:rsid w:val="7886752B"/>
    <w:rsid w:val="78896D6C"/>
    <w:rsid w:val="788C59E3"/>
    <w:rsid w:val="788CAD51"/>
    <w:rsid w:val="788DE703"/>
    <w:rsid w:val="789CF26B"/>
    <w:rsid w:val="78A32FDD"/>
    <w:rsid w:val="78A4C90D"/>
    <w:rsid w:val="78A63AE6"/>
    <w:rsid w:val="78A7E560"/>
    <w:rsid w:val="78A9E07F"/>
    <w:rsid w:val="78AA672A"/>
    <w:rsid w:val="78ADAF22"/>
    <w:rsid w:val="78B102A8"/>
    <w:rsid w:val="78B77E11"/>
    <w:rsid w:val="78BC61AD"/>
    <w:rsid w:val="78C1FD6D"/>
    <w:rsid w:val="78CA4CC1"/>
    <w:rsid w:val="78CC4FC1"/>
    <w:rsid w:val="78CDCBBB"/>
    <w:rsid w:val="78D51DCD"/>
    <w:rsid w:val="78DD7696"/>
    <w:rsid w:val="78DFE234"/>
    <w:rsid w:val="78E16E82"/>
    <w:rsid w:val="78E6DB3B"/>
    <w:rsid w:val="78EB0EB9"/>
    <w:rsid w:val="78EC1DB5"/>
    <w:rsid w:val="78EF6B91"/>
    <w:rsid w:val="78EF72EC"/>
    <w:rsid w:val="78EF7BB5"/>
    <w:rsid w:val="78F0B0D2"/>
    <w:rsid w:val="78F168D9"/>
    <w:rsid w:val="78F175B8"/>
    <w:rsid w:val="78F1B3BA"/>
    <w:rsid w:val="78F303F5"/>
    <w:rsid w:val="78F95B6A"/>
    <w:rsid w:val="78F9F7DA"/>
    <w:rsid w:val="78FBAB33"/>
    <w:rsid w:val="78FEC4EC"/>
    <w:rsid w:val="79002DDF"/>
    <w:rsid w:val="79017327"/>
    <w:rsid w:val="79023560"/>
    <w:rsid w:val="7903D958"/>
    <w:rsid w:val="79050B0E"/>
    <w:rsid w:val="7905E4C6"/>
    <w:rsid w:val="7907527B"/>
    <w:rsid w:val="790D7180"/>
    <w:rsid w:val="790DAF35"/>
    <w:rsid w:val="790E7E0B"/>
    <w:rsid w:val="790FC806"/>
    <w:rsid w:val="79131684"/>
    <w:rsid w:val="79150E66"/>
    <w:rsid w:val="791E7E28"/>
    <w:rsid w:val="791EB432"/>
    <w:rsid w:val="7920C207"/>
    <w:rsid w:val="79219B14"/>
    <w:rsid w:val="792553F2"/>
    <w:rsid w:val="7925EE12"/>
    <w:rsid w:val="79261D3E"/>
    <w:rsid w:val="792AE10F"/>
    <w:rsid w:val="792C5470"/>
    <w:rsid w:val="792F71BF"/>
    <w:rsid w:val="792F9EB6"/>
    <w:rsid w:val="79309798"/>
    <w:rsid w:val="79332F48"/>
    <w:rsid w:val="79354CD5"/>
    <w:rsid w:val="7935AFB8"/>
    <w:rsid w:val="794482DD"/>
    <w:rsid w:val="79459CBC"/>
    <w:rsid w:val="79500991"/>
    <w:rsid w:val="7950CB16"/>
    <w:rsid w:val="79523A99"/>
    <w:rsid w:val="795843F6"/>
    <w:rsid w:val="7958D665"/>
    <w:rsid w:val="795CD499"/>
    <w:rsid w:val="795EC684"/>
    <w:rsid w:val="795F0EAC"/>
    <w:rsid w:val="7962AE8A"/>
    <w:rsid w:val="79634B6C"/>
    <w:rsid w:val="7964649F"/>
    <w:rsid w:val="7966278E"/>
    <w:rsid w:val="796D0419"/>
    <w:rsid w:val="796D0949"/>
    <w:rsid w:val="7973B2D9"/>
    <w:rsid w:val="797447AD"/>
    <w:rsid w:val="7975F2D7"/>
    <w:rsid w:val="79783709"/>
    <w:rsid w:val="79799A12"/>
    <w:rsid w:val="7979A738"/>
    <w:rsid w:val="797A68CB"/>
    <w:rsid w:val="797CF4CD"/>
    <w:rsid w:val="797DC394"/>
    <w:rsid w:val="797F8955"/>
    <w:rsid w:val="79804C0E"/>
    <w:rsid w:val="7981BEDF"/>
    <w:rsid w:val="7982F123"/>
    <w:rsid w:val="79885898"/>
    <w:rsid w:val="79959F84"/>
    <w:rsid w:val="79970077"/>
    <w:rsid w:val="79971C5B"/>
    <w:rsid w:val="79A12D2F"/>
    <w:rsid w:val="79A30B09"/>
    <w:rsid w:val="79AB30A8"/>
    <w:rsid w:val="79ABE2B2"/>
    <w:rsid w:val="79B136EA"/>
    <w:rsid w:val="79B6414D"/>
    <w:rsid w:val="79BC213E"/>
    <w:rsid w:val="79C1D5E9"/>
    <w:rsid w:val="79C4D513"/>
    <w:rsid w:val="79C5E130"/>
    <w:rsid w:val="79D05C27"/>
    <w:rsid w:val="79D0A5B7"/>
    <w:rsid w:val="79D1F514"/>
    <w:rsid w:val="79D6B250"/>
    <w:rsid w:val="79D7C0F3"/>
    <w:rsid w:val="79DCC1F1"/>
    <w:rsid w:val="79E1348D"/>
    <w:rsid w:val="79EAD4E0"/>
    <w:rsid w:val="79EF37A2"/>
    <w:rsid w:val="79F32603"/>
    <w:rsid w:val="79F64652"/>
    <w:rsid w:val="79F860F2"/>
    <w:rsid w:val="79F8C24B"/>
    <w:rsid w:val="79F935FD"/>
    <w:rsid w:val="79FB2BD7"/>
    <w:rsid w:val="7A0007C1"/>
    <w:rsid w:val="7A061C4E"/>
    <w:rsid w:val="7A0A176A"/>
    <w:rsid w:val="7A0BAF1E"/>
    <w:rsid w:val="7A0EC38B"/>
    <w:rsid w:val="7A0F5445"/>
    <w:rsid w:val="7A0F7306"/>
    <w:rsid w:val="7A0FBA39"/>
    <w:rsid w:val="7A117DE1"/>
    <w:rsid w:val="7A162F28"/>
    <w:rsid w:val="7A165DAE"/>
    <w:rsid w:val="7A18A383"/>
    <w:rsid w:val="7A266002"/>
    <w:rsid w:val="7A34D75B"/>
    <w:rsid w:val="7A34F3CB"/>
    <w:rsid w:val="7A39EBDF"/>
    <w:rsid w:val="7A3C3E1A"/>
    <w:rsid w:val="7A3E78AD"/>
    <w:rsid w:val="7A3F53AF"/>
    <w:rsid w:val="7A43F528"/>
    <w:rsid w:val="7A49267C"/>
    <w:rsid w:val="7A4D9EDA"/>
    <w:rsid w:val="7A549314"/>
    <w:rsid w:val="7A57AA19"/>
    <w:rsid w:val="7A5ABDE7"/>
    <w:rsid w:val="7A5AC36B"/>
    <w:rsid w:val="7A5F4719"/>
    <w:rsid w:val="7A688E91"/>
    <w:rsid w:val="7A699C1C"/>
    <w:rsid w:val="7A69A561"/>
    <w:rsid w:val="7A6C46E6"/>
    <w:rsid w:val="7A7173E0"/>
    <w:rsid w:val="7A73B70A"/>
    <w:rsid w:val="7A76BB23"/>
    <w:rsid w:val="7A7781CD"/>
    <w:rsid w:val="7A79F1C9"/>
    <w:rsid w:val="7A7BA42E"/>
    <w:rsid w:val="7A7E081D"/>
    <w:rsid w:val="7A7F3988"/>
    <w:rsid w:val="7A864931"/>
    <w:rsid w:val="7A88781C"/>
    <w:rsid w:val="7A938C75"/>
    <w:rsid w:val="7A95BA25"/>
    <w:rsid w:val="7A9E179A"/>
    <w:rsid w:val="7A9F1C42"/>
    <w:rsid w:val="7AA35BE3"/>
    <w:rsid w:val="7AA66556"/>
    <w:rsid w:val="7AA85545"/>
    <w:rsid w:val="7AAF1CF3"/>
    <w:rsid w:val="7AB15497"/>
    <w:rsid w:val="7AB24FFF"/>
    <w:rsid w:val="7AB4E5FD"/>
    <w:rsid w:val="7AB76FAE"/>
    <w:rsid w:val="7ABC138E"/>
    <w:rsid w:val="7AC4777E"/>
    <w:rsid w:val="7AC55753"/>
    <w:rsid w:val="7AC95614"/>
    <w:rsid w:val="7AC9C0B2"/>
    <w:rsid w:val="7AD764B7"/>
    <w:rsid w:val="7ADFBD10"/>
    <w:rsid w:val="7AE32B9A"/>
    <w:rsid w:val="7AE44C5A"/>
    <w:rsid w:val="7AE727AE"/>
    <w:rsid w:val="7AE795CD"/>
    <w:rsid w:val="7AE8EC7B"/>
    <w:rsid w:val="7AEA5E7F"/>
    <w:rsid w:val="7AEE5EFB"/>
    <w:rsid w:val="7AFC6125"/>
    <w:rsid w:val="7B02A81D"/>
    <w:rsid w:val="7B049DAF"/>
    <w:rsid w:val="7B07940D"/>
    <w:rsid w:val="7B085284"/>
    <w:rsid w:val="7B088798"/>
    <w:rsid w:val="7B09C5A4"/>
    <w:rsid w:val="7B0D3A51"/>
    <w:rsid w:val="7B1128C5"/>
    <w:rsid w:val="7B147669"/>
    <w:rsid w:val="7B24C5E6"/>
    <w:rsid w:val="7B24CCC5"/>
    <w:rsid w:val="7B2987A9"/>
    <w:rsid w:val="7B301EE2"/>
    <w:rsid w:val="7B332A60"/>
    <w:rsid w:val="7B33D251"/>
    <w:rsid w:val="7B372074"/>
    <w:rsid w:val="7B37A4C8"/>
    <w:rsid w:val="7B411F31"/>
    <w:rsid w:val="7B413F74"/>
    <w:rsid w:val="7B43B639"/>
    <w:rsid w:val="7B441023"/>
    <w:rsid w:val="7B45E732"/>
    <w:rsid w:val="7B4BF9A2"/>
    <w:rsid w:val="7B4D726D"/>
    <w:rsid w:val="7B515EB8"/>
    <w:rsid w:val="7B5435FA"/>
    <w:rsid w:val="7B5A0613"/>
    <w:rsid w:val="7B65378A"/>
    <w:rsid w:val="7B6645D6"/>
    <w:rsid w:val="7B669C9E"/>
    <w:rsid w:val="7B691B2F"/>
    <w:rsid w:val="7B707695"/>
    <w:rsid w:val="7B72ECC9"/>
    <w:rsid w:val="7B79E57A"/>
    <w:rsid w:val="7B7B05A6"/>
    <w:rsid w:val="7B7BA5DD"/>
    <w:rsid w:val="7B7C62ED"/>
    <w:rsid w:val="7B868FFF"/>
    <w:rsid w:val="7B89A390"/>
    <w:rsid w:val="7B89AF31"/>
    <w:rsid w:val="7B8D3421"/>
    <w:rsid w:val="7B9981EA"/>
    <w:rsid w:val="7B9A90AD"/>
    <w:rsid w:val="7B9BF0C7"/>
    <w:rsid w:val="7B9E59EF"/>
    <w:rsid w:val="7B9EBF05"/>
    <w:rsid w:val="7BA2A2F5"/>
    <w:rsid w:val="7BA30184"/>
    <w:rsid w:val="7BA36277"/>
    <w:rsid w:val="7BA3BC79"/>
    <w:rsid w:val="7BA52A2E"/>
    <w:rsid w:val="7BA70582"/>
    <w:rsid w:val="7BAA4861"/>
    <w:rsid w:val="7BAA5062"/>
    <w:rsid w:val="7BB33144"/>
    <w:rsid w:val="7BB81637"/>
    <w:rsid w:val="7BBAA790"/>
    <w:rsid w:val="7BBAEF7F"/>
    <w:rsid w:val="7BBC8E45"/>
    <w:rsid w:val="7BC00C58"/>
    <w:rsid w:val="7BC06E1C"/>
    <w:rsid w:val="7BC36527"/>
    <w:rsid w:val="7BC3FAA5"/>
    <w:rsid w:val="7BC93A4D"/>
    <w:rsid w:val="7BC9B45D"/>
    <w:rsid w:val="7BCBFD5B"/>
    <w:rsid w:val="7BD06777"/>
    <w:rsid w:val="7BD0B2B2"/>
    <w:rsid w:val="7BD4CB3A"/>
    <w:rsid w:val="7BD658F5"/>
    <w:rsid w:val="7BD8120B"/>
    <w:rsid w:val="7BDAC20E"/>
    <w:rsid w:val="7BDE3A5F"/>
    <w:rsid w:val="7BE0184B"/>
    <w:rsid w:val="7BE10EC6"/>
    <w:rsid w:val="7BE30B95"/>
    <w:rsid w:val="7BE50BF6"/>
    <w:rsid w:val="7BEE3A6B"/>
    <w:rsid w:val="7BF23E68"/>
    <w:rsid w:val="7BF28B75"/>
    <w:rsid w:val="7C033EE6"/>
    <w:rsid w:val="7C06C31B"/>
    <w:rsid w:val="7C07BB36"/>
    <w:rsid w:val="7C0958EC"/>
    <w:rsid w:val="7C09CCCC"/>
    <w:rsid w:val="7C0A11A0"/>
    <w:rsid w:val="7C0F6195"/>
    <w:rsid w:val="7C1025A4"/>
    <w:rsid w:val="7C144580"/>
    <w:rsid w:val="7C1C2A15"/>
    <w:rsid w:val="7C23A2EB"/>
    <w:rsid w:val="7C28E245"/>
    <w:rsid w:val="7C2B8FB5"/>
    <w:rsid w:val="7C2C213F"/>
    <w:rsid w:val="7C2C857E"/>
    <w:rsid w:val="7C2F1A38"/>
    <w:rsid w:val="7C30F58B"/>
    <w:rsid w:val="7C31F9A6"/>
    <w:rsid w:val="7C3213BF"/>
    <w:rsid w:val="7C341BD1"/>
    <w:rsid w:val="7C385BF1"/>
    <w:rsid w:val="7C43E722"/>
    <w:rsid w:val="7C442682"/>
    <w:rsid w:val="7C479BE2"/>
    <w:rsid w:val="7C558F2A"/>
    <w:rsid w:val="7C5AA482"/>
    <w:rsid w:val="7C5D1CBE"/>
    <w:rsid w:val="7C66A01D"/>
    <w:rsid w:val="7C702A08"/>
    <w:rsid w:val="7C7406D1"/>
    <w:rsid w:val="7C7D8263"/>
    <w:rsid w:val="7C81F5C9"/>
    <w:rsid w:val="7C87678D"/>
    <w:rsid w:val="7C8B5343"/>
    <w:rsid w:val="7C8BE2F3"/>
    <w:rsid w:val="7C9457BF"/>
    <w:rsid w:val="7C95AFA2"/>
    <w:rsid w:val="7C96AF6E"/>
    <w:rsid w:val="7C96C7FE"/>
    <w:rsid w:val="7C98EEAD"/>
    <w:rsid w:val="7C9AE63C"/>
    <w:rsid w:val="7CA2CBBE"/>
    <w:rsid w:val="7CAEB308"/>
    <w:rsid w:val="7CAEF6E5"/>
    <w:rsid w:val="7CB81CCB"/>
    <w:rsid w:val="7CBD5B6C"/>
    <w:rsid w:val="7CBEBC4C"/>
    <w:rsid w:val="7CBFAB84"/>
    <w:rsid w:val="7CC04EAD"/>
    <w:rsid w:val="7CC1C497"/>
    <w:rsid w:val="7CC34D71"/>
    <w:rsid w:val="7CC642FA"/>
    <w:rsid w:val="7CC84847"/>
    <w:rsid w:val="7CC85525"/>
    <w:rsid w:val="7CC99903"/>
    <w:rsid w:val="7CCFF650"/>
    <w:rsid w:val="7CD2733D"/>
    <w:rsid w:val="7CD6177E"/>
    <w:rsid w:val="7CD64D62"/>
    <w:rsid w:val="7CDD1149"/>
    <w:rsid w:val="7CDEA4F9"/>
    <w:rsid w:val="7CE8E9FA"/>
    <w:rsid w:val="7D056E9D"/>
    <w:rsid w:val="7D05A36C"/>
    <w:rsid w:val="7D07F21F"/>
    <w:rsid w:val="7D07FCE9"/>
    <w:rsid w:val="7D0A3D17"/>
    <w:rsid w:val="7D10A716"/>
    <w:rsid w:val="7D1DF20E"/>
    <w:rsid w:val="7D2263C2"/>
    <w:rsid w:val="7D22EF17"/>
    <w:rsid w:val="7D24A4D7"/>
    <w:rsid w:val="7D25E71A"/>
    <w:rsid w:val="7D281334"/>
    <w:rsid w:val="7D2B0D94"/>
    <w:rsid w:val="7D2D5192"/>
    <w:rsid w:val="7D327F26"/>
    <w:rsid w:val="7D401CCF"/>
    <w:rsid w:val="7D48DDE1"/>
    <w:rsid w:val="7D49922E"/>
    <w:rsid w:val="7D4E5CB3"/>
    <w:rsid w:val="7D52FB55"/>
    <w:rsid w:val="7D63E593"/>
    <w:rsid w:val="7D65B2CD"/>
    <w:rsid w:val="7D68A9A9"/>
    <w:rsid w:val="7D695921"/>
    <w:rsid w:val="7D7369AF"/>
    <w:rsid w:val="7D76D054"/>
    <w:rsid w:val="7D77096B"/>
    <w:rsid w:val="7D7B1064"/>
    <w:rsid w:val="7D7DB715"/>
    <w:rsid w:val="7D83CBDA"/>
    <w:rsid w:val="7D8575A4"/>
    <w:rsid w:val="7D8C2135"/>
    <w:rsid w:val="7D8D510A"/>
    <w:rsid w:val="7D8DA3A4"/>
    <w:rsid w:val="7D9D273C"/>
    <w:rsid w:val="7D9D79AC"/>
    <w:rsid w:val="7D9F8F34"/>
    <w:rsid w:val="7DA3438C"/>
    <w:rsid w:val="7DA71B89"/>
    <w:rsid w:val="7DAB8B0A"/>
    <w:rsid w:val="7DB02F96"/>
    <w:rsid w:val="7DB2A7BE"/>
    <w:rsid w:val="7DB4E40D"/>
    <w:rsid w:val="7DBAE26E"/>
    <w:rsid w:val="7DC1BBFE"/>
    <w:rsid w:val="7DC33F1B"/>
    <w:rsid w:val="7DC4B36A"/>
    <w:rsid w:val="7DC8239D"/>
    <w:rsid w:val="7DCCF3E9"/>
    <w:rsid w:val="7DD1941C"/>
    <w:rsid w:val="7DD57A86"/>
    <w:rsid w:val="7DD98E2F"/>
    <w:rsid w:val="7DDB34AC"/>
    <w:rsid w:val="7DE14EB4"/>
    <w:rsid w:val="7DE3E71F"/>
    <w:rsid w:val="7DE62AEA"/>
    <w:rsid w:val="7DEE0B74"/>
    <w:rsid w:val="7DF072EF"/>
    <w:rsid w:val="7DF674E3"/>
    <w:rsid w:val="7DFF902B"/>
    <w:rsid w:val="7E007238"/>
    <w:rsid w:val="7E023B6B"/>
    <w:rsid w:val="7E07AF1B"/>
    <w:rsid w:val="7E07CA48"/>
    <w:rsid w:val="7E08D4B6"/>
    <w:rsid w:val="7E0A3227"/>
    <w:rsid w:val="7E106ABC"/>
    <w:rsid w:val="7E10853D"/>
    <w:rsid w:val="7E25CA3A"/>
    <w:rsid w:val="7E2BA942"/>
    <w:rsid w:val="7E33ADBE"/>
    <w:rsid w:val="7E34FBD4"/>
    <w:rsid w:val="7E35AAB7"/>
    <w:rsid w:val="7E39BB51"/>
    <w:rsid w:val="7E3E498C"/>
    <w:rsid w:val="7E3FACBB"/>
    <w:rsid w:val="7E40789B"/>
    <w:rsid w:val="7E40946B"/>
    <w:rsid w:val="7E462508"/>
    <w:rsid w:val="7E462898"/>
    <w:rsid w:val="7E49324D"/>
    <w:rsid w:val="7E58D1A9"/>
    <w:rsid w:val="7E5A8CAD"/>
    <w:rsid w:val="7E5FB7D9"/>
    <w:rsid w:val="7E6121EA"/>
    <w:rsid w:val="7E685BCC"/>
    <w:rsid w:val="7E6C6FBE"/>
    <w:rsid w:val="7E6E5109"/>
    <w:rsid w:val="7E71BC57"/>
    <w:rsid w:val="7E7212AC"/>
    <w:rsid w:val="7E749E52"/>
    <w:rsid w:val="7E7BDF56"/>
    <w:rsid w:val="7E7F7CFF"/>
    <w:rsid w:val="7E840BAF"/>
    <w:rsid w:val="7E84A80D"/>
    <w:rsid w:val="7E865871"/>
    <w:rsid w:val="7E999CCF"/>
    <w:rsid w:val="7EA35460"/>
    <w:rsid w:val="7EA3CD4A"/>
    <w:rsid w:val="7EA54CB7"/>
    <w:rsid w:val="7EAB8654"/>
    <w:rsid w:val="7EADB0B4"/>
    <w:rsid w:val="7EB8B9E7"/>
    <w:rsid w:val="7EB9A81E"/>
    <w:rsid w:val="7EC062E5"/>
    <w:rsid w:val="7ECCA70A"/>
    <w:rsid w:val="7ECD8C18"/>
    <w:rsid w:val="7ECF90EB"/>
    <w:rsid w:val="7ED33096"/>
    <w:rsid w:val="7ED5FAB1"/>
    <w:rsid w:val="7ED6DB48"/>
    <w:rsid w:val="7EE17AF7"/>
    <w:rsid w:val="7EE24A50"/>
    <w:rsid w:val="7EE32701"/>
    <w:rsid w:val="7EEB12C0"/>
    <w:rsid w:val="7EEE9A28"/>
    <w:rsid w:val="7EF77B44"/>
    <w:rsid w:val="7EF7EFD7"/>
    <w:rsid w:val="7EFBD149"/>
    <w:rsid w:val="7EFC1C8D"/>
    <w:rsid w:val="7F022D9B"/>
    <w:rsid w:val="7F023C16"/>
    <w:rsid w:val="7F027C40"/>
    <w:rsid w:val="7F042B9C"/>
    <w:rsid w:val="7F04C981"/>
    <w:rsid w:val="7F05EC0D"/>
    <w:rsid w:val="7F0CD3C8"/>
    <w:rsid w:val="7F0EB333"/>
    <w:rsid w:val="7F0ED930"/>
    <w:rsid w:val="7F12F2F1"/>
    <w:rsid w:val="7F1F7B5B"/>
    <w:rsid w:val="7F22CE54"/>
    <w:rsid w:val="7F2365E3"/>
    <w:rsid w:val="7F30B0D7"/>
    <w:rsid w:val="7F320B61"/>
    <w:rsid w:val="7F37DF73"/>
    <w:rsid w:val="7F3F211A"/>
    <w:rsid w:val="7F404D42"/>
    <w:rsid w:val="7F4CE8AB"/>
    <w:rsid w:val="7F4F8E96"/>
    <w:rsid w:val="7F5085BD"/>
    <w:rsid w:val="7F50EFB9"/>
    <w:rsid w:val="7F52ACAD"/>
    <w:rsid w:val="7F553C8C"/>
    <w:rsid w:val="7F5683D7"/>
    <w:rsid w:val="7F569678"/>
    <w:rsid w:val="7F584A09"/>
    <w:rsid w:val="7F5B4298"/>
    <w:rsid w:val="7F5D8312"/>
    <w:rsid w:val="7F63FD6B"/>
    <w:rsid w:val="7F664896"/>
    <w:rsid w:val="7F66D99E"/>
    <w:rsid w:val="7F69399E"/>
    <w:rsid w:val="7F6CD046"/>
    <w:rsid w:val="7F6D1AD1"/>
    <w:rsid w:val="7F767A5A"/>
    <w:rsid w:val="7F791A89"/>
    <w:rsid w:val="7F7E8D1F"/>
    <w:rsid w:val="7F8323F7"/>
    <w:rsid w:val="7F83C19B"/>
    <w:rsid w:val="7F85374D"/>
    <w:rsid w:val="7F8647D5"/>
    <w:rsid w:val="7F89AEEA"/>
    <w:rsid w:val="7F8DA86B"/>
    <w:rsid w:val="7F98F105"/>
    <w:rsid w:val="7F9D002A"/>
    <w:rsid w:val="7F9E5DDF"/>
    <w:rsid w:val="7FA40D84"/>
    <w:rsid w:val="7FA61F95"/>
    <w:rsid w:val="7FA87CD6"/>
    <w:rsid w:val="7FAA9B83"/>
    <w:rsid w:val="7FAB75CC"/>
    <w:rsid w:val="7FAB94EF"/>
    <w:rsid w:val="7FAD8943"/>
    <w:rsid w:val="7FB5507C"/>
    <w:rsid w:val="7FB8D285"/>
    <w:rsid w:val="7FBB6658"/>
    <w:rsid w:val="7FBB666F"/>
    <w:rsid w:val="7FBCF7EA"/>
    <w:rsid w:val="7FC17C1D"/>
    <w:rsid w:val="7FC1C0F7"/>
    <w:rsid w:val="7FC47430"/>
    <w:rsid w:val="7FC6B898"/>
    <w:rsid w:val="7FC7C600"/>
    <w:rsid w:val="7FC887A9"/>
    <w:rsid w:val="7FCD054C"/>
    <w:rsid w:val="7FCE5030"/>
    <w:rsid w:val="7FD58C5A"/>
    <w:rsid w:val="7FDB834E"/>
    <w:rsid w:val="7FDDB8AC"/>
    <w:rsid w:val="7FDE29FE"/>
    <w:rsid w:val="7FDF06F2"/>
    <w:rsid w:val="7FE14662"/>
    <w:rsid w:val="7FEDF88D"/>
    <w:rsid w:val="7FEE5974"/>
    <w:rsid w:val="7FF10063"/>
    <w:rsid w:val="7FF14C2D"/>
    <w:rsid w:val="7FF2BC33"/>
    <w:rsid w:val="7FF808A8"/>
    <w:rsid w:val="7FF83DE8"/>
    <w:rsid w:val="7FF9B793"/>
    <w:rsid w:val="7FFBEAEF"/>
    <w:rsid w:val="7FFE62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532A03"/>
  <w15:docId w15:val="{39C58805-690C-47E2-BCB4-13115A40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A6E"/>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754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0F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2F5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BB3"/>
    <w:pPr>
      <w:ind w:left="720"/>
      <w:contextualSpacing/>
    </w:pPr>
  </w:style>
  <w:style w:type="paragraph" w:styleId="FootnoteText">
    <w:name w:val="footnote text"/>
    <w:aliases w:val="Footnotes Text,FSFootnotes Text,FSFootnote Text"/>
    <w:basedOn w:val="Normal"/>
    <w:autoRedefine/>
    <w:uiPriority w:val="99"/>
    <w:unhideWhenUsed/>
    <w:rsid w:val="00A16EF6"/>
    <w:pPr>
      <w:keepNext/>
      <w:keepLines/>
      <w:spacing w:after="0"/>
      <w:ind w:left="284" w:hanging="284"/>
    </w:pPr>
    <w:rPr>
      <w:bCs/>
      <w:sz w:val="20"/>
      <w:szCs w:val="20"/>
    </w:rPr>
  </w:style>
  <w:style w:type="character" w:customStyle="1" w:styleId="FootnoteTextChar">
    <w:name w:val="Footnote Text Char"/>
    <w:aliases w:val="Footnotes Text Char,FSFootnotes Text Char,FSFootnote Text Char"/>
    <w:basedOn w:val="DefaultParagraphFont"/>
    <w:uiPriority w:val="99"/>
    <w:rsid w:val="00DB4A7E"/>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link w:val="Footnotesrefs"/>
    <w:uiPriority w:val="99"/>
    <w:qFormat/>
    <w:rsid w:val="00100569"/>
    <w:rPr>
      <w:shd w:val="clear" w:color="auto" w:fill="auto"/>
      <w:vertAlign w:val="superscript"/>
    </w:rPr>
  </w:style>
  <w:style w:type="character" w:styleId="Hyperlink">
    <w:name w:val="Hyperlink"/>
    <w:rsid w:val="00100569"/>
    <w:rPr>
      <w:color w:val="0000FF"/>
      <w:u w:val="single"/>
      <w:shd w:val="clear" w:color="auto" w:fill="auto"/>
    </w:rPr>
  </w:style>
  <w:style w:type="paragraph" w:styleId="Header">
    <w:name w:val="header"/>
    <w:basedOn w:val="Normal"/>
    <w:link w:val="HeaderChar"/>
    <w:uiPriority w:val="99"/>
    <w:unhideWhenUsed/>
    <w:rsid w:val="009D573F"/>
    <w:pPr>
      <w:tabs>
        <w:tab w:val="center" w:pos="4535"/>
        <w:tab w:val="right" w:pos="9071"/>
      </w:tabs>
    </w:pPr>
  </w:style>
  <w:style w:type="character" w:customStyle="1" w:styleId="HeaderChar">
    <w:name w:val="Header Char"/>
    <w:basedOn w:val="DefaultParagraphFont"/>
    <w:link w:val="Header"/>
    <w:uiPriority w:val="99"/>
    <w:rsid w:val="009D573F"/>
    <w:rPr>
      <w:rFonts w:ascii="Times New Roman" w:hAnsi="Times New Roman" w:cs="Times New Roman"/>
      <w:sz w:val="24"/>
    </w:rPr>
  </w:style>
  <w:style w:type="paragraph" w:styleId="Footer">
    <w:name w:val="footer"/>
    <w:basedOn w:val="Normal"/>
    <w:link w:val="FooterChar"/>
    <w:uiPriority w:val="99"/>
    <w:unhideWhenUsed/>
    <w:rsid w:val="009D573F"/>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sid w:val="009D573F"/>
    <w:rPr>
      <w:rFonts w:ascii="Times New Roman" w:hAnsi="Times New Roman" w:cs="Times New Roman"/>
      <w:sz w:val="24"/>
    </w:rPr>
  </w:style>
  <w:style w:type="paragraph" w:styleId="NormalWeb">
    <w:name w:val="Normal (Web)"/>
    <w:basedOn w:val="Normal"/>
    <w:uiPriority w:val="99"/>
    <w:unhideWhenUsed/>
    <w:rsid w:val="00733D9C"/>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A865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82"/>
    <w:rPr>
      <w:rFonts w:ascii="Tahoma" w:hAnsi="Tahoma" w:cs="Tahoma"/>
      <w:sz w:val="16"/>
      <w:szCs w:val="16"/>
    </w:rPr>
  </w:style>
  <w:style w:type="character" w:styleId="FollowedHyperlink">
    <w:name w:val="FollowedHyperlink"/>
    <w:basedOn w:val="DefaultParagraphFont"/>
    <w:uiPriority w:val="99"/>
    <w:semiHidden/>
    <w:unhideWhenUsed/>
    <w:rsid w:val="004F3132"/>
    <w:rPr>
      <w:color w:val="800080" w:themeColor="followedHyperlink"/>
      <w:u w:val="single"/>
    </w:rPr>
  </w:style>
  <w:style w:type="character" w:styleId="Strong">
    <w:name w:val="Strong"/>
    <w:basedOn w:val="DefaultParagraphFont"/>
    <w:uiPriority w:val="22"/>
    <w:qFormat/>
    <w:rsid w:val="00EB2A04"/>
    <w:rPr>
      <w:b/>
      <w:bCs/>
    </w:rPr>
  </w:style>
  <w:style w:type="character" w:styleId="CommentReference">
    <w:name w:val="annotation reference"/>
    <w:basedOn w:val="DefaultParagraphFont"/>
    <w:uiPriority w:val="99"/>
    <w:semiHidden/>
    <w:unhideWhenUsed/>
    <w:rsid w:val="00A90056"/>
    <w:rPr>
      <w:sz w:val="16"/>
      <w:szCs w:val="16"/>
    </w:rPr>
  </w:style>
  <w:style w:type="paragraph" w:styleId="CommentText">
    <w:name w:val="annotation text"/>
    <w:basedOn w:val="Normal"/>
    <w:link w:val="CommentTextChar"/>
    <w:uiPriority w:val="99"/>
    <w:unhideWhenUsed/>
    <w:qFormat/>
    <w:rsid w:val="00A90056"/>
    <w:rPr>
      <w:sz w:val="20"/>
      <w:szCs w:val="20"/>
    </w:rPr>
  </w:style>
  <w:style w:type="character" w:customStyle="1" w:styleId="CommentTextChar">
    <w:name w:val="Comment Text Char"/>
    <w:basedOn w:val="DefaultParagraphFont"/>
    <w:link w:val="CommentText"/>
    <w:uiPriority w:val="99"/>
    <w:qFormat/>
    <w:rsid w:val="00A90056"/>
    <w:rPr>
      <w:sz w:val="20"/>
      <w:szCs w:val="20"/>
    </w:rPr>
  </w:style>
  <w:style w:type="paragraph" w:styleId="CommentSubject">
    <w:name w:val="annotation subject"/>
    <w:basedOn w:val="CommentText"/>
    <w:next w:val="CommentText"/>
    <w:link w:val="CommentSubjectChar"/>
    <w:uiPriority w:val="99"/>
    <w:semiHidden/>
    <w:unhideWhenUsed/>
    <w:rsid w:val="00A90056"/>
    <w:rPr>
      <w:b/>
      <w:bCs/>
    </w:rPr>
  </w:style>
  <w:style w:type="character" w:customStyle="1" w:styleId="CommentSubjectChar">
    <w:name w:val="Comment Subject Char"/>
    <w:basedOn w:val="CommentTextChar"/>
    <w:link w:val="CommentSubject"/>
    <w:uiPriority w:val="99"/>
    <w:semiHidden/>
    <w:rsid w:val="00A90056"/>
    <w:rPr>
      <w:b/>
      <w:bCs/>
      <w:sz w:val="20"/>
      <w:szCs w:val="20"/>
    </w:rPr>
  </w:style>
  <w:style w:type="character" w:customStyle="1" w:styleId="Marker">
    <w:name w:val="Marker"/>
    <w:basedOn w:val="DefaultParagraphFont"/>
    <w:rsid w:val="00FD6A4E"/>
    <w:rPr>
      <w:color w:val="0000FF"/>
      <w:shd w:val="clear" w:color="auto" w:fill="auto"/>
    </w:rPr>
  </w:style>
  <w:style w:type="paragraph" w:customStyle="1" w:styleId="Pagedecouverture">
    <w:name w:val="Page de couverture"/>
    <w:basedOn w:val="Normal"/>
    <w:next w:val="Normal"/>
    <w:rsid w:val="00FD6A4E"/>
    <w:pPr>
      <w:spacing w:after="0"/>
    </w:pPr>
  </w:style>
  <w:style w:type="paragraph" w:customStyle="1" w:styleId="FooterCoverPage">
    <w:name w:val="Footer Cover Page"/>
    <w:basedOn w:val="Normal"/>
    <w:link w:val="FooterCoverPageChar"/>
    <w:rsid w:val="00FD6A4E"/>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sid w:val="00FD6A4E"/>
    <w:rPr>
      <w:rFonts w:ascii="Times New Roman" w:hAnsi="Times New Roman" w:cs="Times New Roman"/>
      <w:sz w:val="24"/>
      <w:szCs w:val="24"/>
    </w:rPr>
  </w:style>
  <w:style w:type="paragraph" w:customStyle="1" w:styleId="HeaderCoverPage">
    <w:name w:val="Header Cover Page"/>
    <w:basedOn w:val="Normal"/>
    <w:link w:val="HeaderCoverPageChar"/>
    <w:rsid w:val="00FD6A4E"/>
    <w:pPr>
      <w:tabs>
        <w:tab w:val="center" w:pos="4535"/>
        <w:tab w:val="right" w:pos="9071"/>
      </w:tabs>
      <w:autoSpaceDE w:val="0"/>
      <w:autoSpaceDN w:val="0"/>
      <w:adjustRightInd w:val="0"/>
    </w:pPr>
  </w:style>
  <w:style w:type="character" w:customStyle="1" w:styleId="HeaderCoverPageChar">
    <w:name w:val="Header Cover Page Char"/>
    <w:basedOn w:val="DefaultParagraphFont"/>
    <w:link w:val="HeaderCoverPage"/>
    <w:rsid w:val="00FD6A4E"/>
    <w:rPr>
      <w:rFonts w:ascii="Times New Roman" w:hAnsi="Times New Roman" w:cs="Times New Roman"/>
      <w:sz w:val="24"/>
      <w:szCs w:val="24"/>
    </w:rPr>
  </w:style>
  <w:style w:type="paragraph" w:styleId="Revision">
    <w:name w:val="Revision"/>
    <w:hidden/>
    <w:uiPriority w:val="99"/>
    <w:semiHidden/>
    <w:rsid w:val="002F512F"/>
    <w:pPr>
      <w:spacing w:after="0" w:line="240" w:lineRule="auto"/>
    </w:pPr>
  </w:style>
  <w:style w:type="paragraph" w:customStyle="1" w:styleId="Default">
    <w:name w:val="Default"/>
    <w:rsid w:val="002D73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rsid w:val="009C7267"/>
    <w:pPr>
      <w:numPr>
        <w:numId w:val="1"/>
      </w:numPr>
      <w:spacing w:before="120"/>
    </w:pPr>
  </w:style>
  <w:style w:type="paragraph" w:customStyle="1" w:styleId="Tiret1">
    <w:name w:val="Tiret 1"/>
    <w:basedOn w:val="Normal"/>
    <w:rsid w:val="009C7267"/>
    <w:pPr>
      <w:numPr>
        <w:numId w:val="2"/>
      </w:numPr>
      <w:spacing w:before="120"/>
    </w:pPr>
  </w:style>
  <w:style w:type="character" w:customStyle="1" w:styleId="outputecli">
    <w:name w:val="outputecli"/>
    <w:basedOn w:val="DefaultParagraphFont"/>
    <w:rsid w:val="0092737B"/>
  </w:style>
  <w:style w:type="character" w:customStyle="1" w:styleId="outputecliaff">
    <w:name w:val="outputecliaff"/>
    <w:basedOn w:val="DefaultParagraphFont"/>
    <w:rsid w:val="0092737B"/>
  </w:style>
  <w:style w:type="paragraph" w:customStyle="1" w:styleId="Point0letter">
    <w:name w:val="Point 0 (letter)"/>
    <w:basedOn w:val="Normal"/>
    <w:rsid w:val="00E7325C"/>
    <w:pPr>
      <w:numPr>
        <w:ilvl w:val="1"/>
        <w:numId w:val="3"/>
      </w:numPr>
      <w:spacing w:before="120"/>
    </w:pPr>
    <w:rPr>
      <w:rFonts w:eastAsia="Times New Roman"/>
    </w:rPr>
  </w:style>
  <w:style w:type="paragraph" w:customStyle="1" w:styleId="Point0number">
    <w:name w:val="Point 0 (number)"/>
    <w:basedOn w:val="Normal"/>
    <w:rsid w:val="00E7325C"/>
    <w:pPr>
      <w:numPr>
        <w:numId w:val="3"/>
      </w:numPr>
      <w:spacing w:before="120"/>
    </w:pPr>
    <w:rPr>
      <w:rFonts w:eastAsia="Times New Roman"/>
    </w:rPr>
  </w:style>
  <w:style w:type="paragraph" w:customStyle="1" w:styleId="Point1letter">
    <w:name w:val="Point 1 (letter)"/>
    <w:basedOn w:val="Normal"/>
    <w:rsid w:val="00E7325C"/>
    <w:pPr>
      <w:numPr>
        <w:ilvl w:val="3"/>
        <w:numId w:val="3"/>
      </w:numPr>
      <w:spacing w:before="120"/>
    </w:pPr>
    <w:rPr>
      <w:rFonts w:eastAsia="Times New Roman"/>
    </w:rPr>
  </w:style>
  <w:style w:type="paragraph" w:customStyle="1" w:styleId="Point1number">
    <w:name w:val="Point 1 (number)"/>
    <w:basedOn w:val="Normal"/>
    <w:rsid w:val="00E7325C"/>
    <w:pPr>
      <w:numPr>
        <w:ilvl w:val="2"/>
        <w:numId w:val="3"/>
      </w:numPr>
      <w:spacing w:before="120"/>
    </w:pPr>
    <w:rPr>
      <w:rFonts w:eastAsia="Times New Roman"/>
    </w:rPr>
  </w:style>
  <w:style w:type="paragraph" w:customStyle="1" w:styleId="Point2letter">
    <w:name w:val="Point 2 (letter)"/>
    <w:basedOn w:val="Normal"/>
    <w:rsid w:val="00E7325C"/>
    <w:pPr>
      <w:numPr>
        <w:ilvl w:val="5"/>
        <w:numId w:val="3"/>
      </w:numPr>
      <w:spacing w:before="120"/>
    </w:pPr>
    <w:rPr>
      <w:rFonts w:eastAsia="Times New Roman"/>
    </w:rPr>
  </w:style>
  <w:style w:type="paragraph" w:customStyle="1" w:styleId="Point2number">
    <w:name w:val="Point 2 (number)"/>
    <w:basedOn w:val="Normal"/>
    <w:rsid w:val="00E7325C"/>
    <w:pPr>
      <w:numPr>
        <w:ilvl w:val="4"/>
        <w:numId w:val="3"/>
      </w:numPr>
      <w:spacing w:before="120"/>
    </w:pPr>
    <w:rPr>
      <w:rFonts w:eastAsia="Times New Roman"/>
    </w:rPr>
  </w:style>
  <w:style w:type="paragraph" w:customStyle="1" w:styleId="Point3letter">
    <w:name w:val="Point 3 (letter)"/>
    <w:basedOn w:val="Normal"/>
    <w:rsid w:val="00E7325C"/>
    <w:pPr>
      <w:numPr>
        <w:ilvl w:val="7"/>
        <w:numId w:val="3"/>
      </w:numPr>
      <w:spacing w:before="120"/>
    </w:pPr>
    <w:rPr>
      <w:rFonts w:eastAsia="Times New Roman"/>
    </w:rPr>
  </w:style>
  <w:style w:type="paragraph" w:customStyle="1" w:styleId="Point3number">
    <w:name w:val="Point 3 (number)"/>
    <w:basedOn w:val="Normal"/>
    <w:rsid w:val="00E7325C"/>
    <w:pPr>
      <w:numPr>
        <w:ilvl w:val="6"/>
        <w:numId w:val="3"/>
      </w:numPr>
      <w:spacing w:before="120"/>
    </w:pPr>
    <w:rPr>
      <w:rFonts w:eastAsia="Times New Roman"/>
    </w:rPr>
  </w:style>
  <w:style w:type="paragraph" w:customStyle="1" w:styleId="Point4letter">
    <w:name w:val="Point 4 (letter)"/>
    <w:basedOn w:val="Normal"/>
    <w:rsid w:val="00E7325C"/>
    <w:pPr>
      <w:numPr>
        <w:ilvl w:val="8"/>
        <w:numId w:val="3"/>
      </w:numPr>
      <w:spacing w:before="120"/>
    </w:pPr>
    <w:rPr>
      <w:rFonts w:eastAsia="Times New Roman"/>
    </w:rPr>
  </w:style>
  <w:style w:type="paragraph" w:customStyle="1" w:styleId="Declassification">
    <w:name w:val="Declassification"/>
    <w:basedOn w:val="Normal"/>
    <w:next w:val="Normal"/>
    <w:rsid w:val="009D573F"/>
    <w:pPr>
      <w:spacing w:after="0"/>
    </w:pPr>
  </w:style>
  <w:style w:type="paragraph" w:customStyle="1" w:styleId="HeaderLandscape">
    <w:name w:val="HeaderLandscape"/>
    <w:basedOn w:val="Normal"/>
    <w:rsid w:val="009D573F"/>
    <w:pPr>
      <w:tabs>
        <w:tab w:val="center" w:pos="7285"/>
        <w:tab w:val="right" w:pos="14003"/>
      </w:tabs>
    </w:pPr>
  </w:style>
  <w:style w:type="paragraph" w:customStyle="1" w:styleId="HeaderSensitivity">
    <w:name w:val="Header Sensitivity"/>
    <w:basedOn w:val="Normal"/>
    <w:rsid w:val="009D573F"/>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rsid w:val="009D573F"/>
    <w:pPr>
      <w:tabs>
        <w:tab w:val="center" w:pos="7285"/>
        <w:tab w:val="center" w:pos="10913"/>
        <w:tab w:val="right" w:pos="15137"/>
      </w:tabs>
      <w:spacing w:before="360" w:after="0"/>
      <w:ind w:left="-567" w:right="-567"/>
    </w:pPr>
  </w:style>
  <w:style w:type="paragraph" w:customStyle="1" w:styleId="FooterSensitivity">
    <w:name w:val="Footer Sensitivity"/>
    <w:basedOn w:val="Normal"/>
    <w:rsid w:val="009D573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iceouttxt38">
    <w:name w:val="iceouttxt38"/>
    <w:basedOn w:val="DefaultParagraphFont"/>
    <w:rsid w:val="00F85217"/>
    <w:rPr>
      <w:sz w:val="24"/>
      <w:szCs w:val="24"/>
      <w:bdr w:val="none" w:sz="0" w:space="0" w:color="auto" w:frame="1"/>
      <w:vertAlign w:val="baseline"/>
    </w:rPr>
  </w:style>
  <w:style w:type="paragraph" w:customStyle="1" w:styleId="c01pointnumerotealtn">
    <w:name w:val="c01pointnumerotealtn"/>
    <w:basedOn w:val="Normal"/>
    <w:rsid w:val="00D00DA1"/>
    <w:pPr>
      <w:spacing w:before="100" w:beforeAutospacing="1" w:after="100" w:afterAutospacing="1"/>
    </w:pPr>
    <w:rPr>
      <w:lang w:eastAsia="en-GB"/>
    </w:rPr>
  </w:style>
  <w:style w:type="paragraph" w:styleId="ListBullet">
    <w:name w:val="List Bullet"/>
    <w:basedOn w:val="Normal"/>
    <w:rsid w:val="00856264"/>
    <w:pPr>
      <w:numPr>
        <w:numId w:val="4"/>
      </w:numPr>
      <w:spacing w:after="240"/>
    </w:pPr>
    <w:rPr>
      <w:rFonts w:eastAsia="Times New Roman"/>
      <w:szCs w:val="20"/>
    </w:rPr>
  </w:style>
  <w:style w:type="paragraph" w:customStyle="1" w:styleId="ListDash1">
    <w:name w:val="List Dash 1"/>
    <w:basedOn w:val="Normal"/>
    <w:rsid w:val="00856264"/>
    <w:pPr>
      <w:numPr>
        <w:numId w:val="5"/>
      </w:numPr>
      <w:spacing w:after="240"/>
    </w:pPr>
    <w:rPr>
      <w:rFonts w:eastAsia="Times New Roman"/>
      <w:szCs w:val="20"/>
    </w:rPr>
  </w:style>
  <w:style w:type="character" w:customStyle="1" w:styleId="st1">
    <w:name w:val="st1"/>
    <w:basedOn w:val="DefaultParagraphFont"/>
    <w:rsid w:val="00D27C93"/>
  </w:style>
  <w:style w:type="paragraph" w:customStyle="1" w:styleId="footnotetext1">
    <w:name w:val="footnote text1"/>
    <w:aliases w:val="footnote text,fußn,Fußnote,Footnotes,fn,Fussnote"/>
    <w:basedOn w:val="Normal"/>
    <w:uiPriority w:val="99"/>
    <w:qFormat/>
    <w:rsid w:val="001B05C6"/>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link w:val="BriefingtextChar"/>
    <w:qFormat/>
    <w:rsid w:val="00154B8A"/>
    <w:pPr>
      <w:spacing w:after="240"/>
    </w:pPr>
    <w:rPr>
      <w:rFonts w:ascii="Arial" w:eastAsia="Times New Roman" w:hAnsi="Arial" w:cs="Arial"/>
    </w:rPr>
  </w:style>
  <w:style w:type="paragraph" w:customStyle="1" w:styleId="SecurityMarking">
    <w:name w:val="SecurityMarking"/>
    <w:basedOn w:val="Normal"/>
    <w:rsid w:val="00801EFD"/>
    <w:pPr>
      <w:spacing w:after="0"/>
      <w:ind w:left="5103"/>
    </w:pPr>
    <w:rPr>
      <w:sz w:val="28"/>
    </w:rPr>
  </w:style>
  <w:style w:type="paragraph" w:customStyle="1" w:styleId="DateMarking">
    <w:name w:val="DateMarking"/>
    <w:basedOn w:val="Normal"/>
    <w:rsid w:val="00801EFD"/>
    <w:pPr>
      <w:spacing w:after="0"/>
      <w:ind w:left="5103"/>
    </w:pPr>
    <w:rPr>
      <w:i/>
      <w:sz w:val="28"/>
    </w:rPr>
  </w:style>
  <w:style w:type="paragraph" w:customStyle="1" w:styleId="ReleasableTo">
    <w:name w:val="ReleasableTo"/>
    <w:basedOn w:val="Normal"/>
    <w:rsid w:val="00801EFD"/>
    <w:pPr>
      <w:spacing w:after="0"/>
      <w:ind w:left="5103"/>
    </w:pPr>
    <w:rPr>
      <w:i/>
      <w:sz w:val="28"/>
    </w:rPr>
  </w:style>
  <w:style w:type="paragraph" w:customStyle="1" w:styleId="HeaderSensitivityRight">
    <w:name w:val="Header Sensitivity Right"/>
    <w:basedOn w:val="Normal"/>
    <w:rsid w:val="00801EFD"/>
    <w:pPr>
      <w:jc w:val="right"/>
    </w:pPr>
    <w:rPr>
      <w:sz w:val="28"/>
    </w:rPr>
  </w:style>
  <w:style w:type="character" w:customStyle="1" w:styleId="Heading1Char">
    <w:name w:val="Heading 1 Char"/>
    <w:basedOn w:val="DefaultParagraphFont"/>
    <w:link w:val="Heading1"/>
    <w:uiPriority w:val="9"/>
    <w:rsid w:val="000754AE"/>
    <w:rPr>
      <w:rFonts w:asciiTheme="majorHAnsi" w:eastAsiaTheme="majorEastAsia" w:hAnsiTheme="majorHAnsi" w:cstheme="majorBidi"/>
      <w:color w:val="365F91" w:themeColor="accent1" w:themeShade="BF"/>
      <w:sz w:val="32"/>
      <w:szCs w:val="32"/>
    </w:rPr>
  </w:style>
  <w:style w:type="character" w:customStyle="1" w:styleId="BriefingtextChar">
    <w:name w:val="Briefing text Char"/>
    <w:link w:val="Briefingtext"/>
    <w:qFormat/>
    <w:rsid w:val="006D7F59"/>
    <w:rPr>
      <w:rFonts w:ascii="Arial" w:eastAsia="Times New Roman" w:hAnsi="Arial" w:cs="Arial"/>
      <w:szCs w:val="24"/>
    </w:rPr>
  </w:style>
  <w:style w:type="character" w:customStyle="1" w:styleId="Footnote1">
    <w:name w:val="Footnote|1_"/>
    <w:basedOn w:val="DefaultParagraphFont"/>
    <w:link w:val="Footnote10"/>
    <w:locked/>
    <w:rsid w:val="00E71978"/>
  </w:style>
  <w:style w:type="paragraph" w:customStyle="1" w:styleId="Footnote10">
    <w:name w:val="Footnote|1"/>
    <w:basedOn w:val="Normal"/>
    <w:link w:val="Footnote1"/>
    <w:rsid w:val="00E71978"/>
    <w:pPr>
      <w:widowControl w:val="0"/>
      <w:spacing w:after="0"/>
      <w:ind w:left="300" w:hanging="300"/>
    </w:pPr>
  </w:style>
  <w:style w:type="character" w:customStyle="1" w:styleId="Bodytext1">
    <w:name w:val="Body text|1_"/>
    <w:basedOn w:val="DefaultParagraphFont"/>
    <w:link w:val="Bodytext10"/>
    <w:locked/>
    <w:rsid w:val="00E71978"/>
  </w:style>
  <w:style w:type="paragraph" w:customStyle="1" w:styleId="Bodytext10">
    <w:name w:val="Body text|1"/>
    <w:basedOn w:val="Normal"/>
    <w:link w:val="Bodytext1"/>
    <w:rsid w:val="00E71978"/>
    <w:pPr>
      <w:widowControl w:val="0"/>
    </w:pPr>
  </w:style>
  <w:style w:type="paragraph" w:customStyle="1" w:styleId="Footnotesrefs">
    <w:name w:val="Footnotes refs"/>
    <w:basedOn w:val="Normal"/>
    <w:link w:val="FootnoteReference"/>
    <w:uiPriority w:val="99"/>
    <w:rsid w:val="00E71978"/>
    <w:pPr>
      <w:spacing w:after="0" w:line="240" w:lineRule="exact"/>
    </w:pPr>
    <w:rPr>
      <w:vertAlign w:val="superscript"/>
    </w:rPr>
  </w:style>
  <w:style w:type="paragraph" w:customStyle="1" w:styleId="P68B1DB1-Normal6">
    <w:name w:val="P68B1DB1-Normal6"/>
    <w:basedOn w:val="Normal"/>
    <w:rsid w:val="00E71978"/>
    <w:pPr>
      <w:overflowPunct w:val="0"/>
      <w:autoSpaceDE w:val="0"/>
      <w:autoSpaceDN w:val="0"/>
      <w:adjustRightInd w:val="0"/>
      <w:spacing w:after="0" w:line="288" w:lineRule="auto"/>
    </w:pPr>
    <w:rPr>
      <w:rFonts w:eastAsia="Times New Roman"/>
      <w:i/>
      <w:sz w:val="28"/>
      <w:szCs w:val="20"/>
      <w:lang w:eastAsia="fr-BE"/>
    </w:rPr>
  </w:style>
  <w:style w:type="character" w:customStyle="1" w:styleId="Heading2Char">
    <w:name w:val="Heading 2 Char"/>
    <w:basedOn w:val="DefaultParagraphFont"/>
    <w:link w:val="Heading2"/>
    <w:uiPriority w:val="9"/>
    <w:semiHidden/>
    <w:rsid w:val="000F0FD3"/>
    <w:rPr>
      <w:rFonts w:asciiTheme="majorHAnsi" w:eastAsiaTheme="majorEastAsia" w:hAnsiTheme="majorHAnsi" w:cstheme="majorBidi"/>
      <w:color w:val="365F91" w:themeColor="accent1" w:themeShade="BF"/>
      <w:sz w:val="26"/>
      <w:szCs w:val="26"/>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E17FBB"/>
    <w:rPr>
      <w:color w:val="605E5C"/>
      <w:shd w:val="clear" w:color="auto" w:fill="E1DFDD"/>
    </w:rPr>
  </w:style>
  <w:style w:type="character" w:customStyle="1" w:styleId="Heading3Char">
    <w:name w:val="Heading 3 Char"/>
    <w:basedOn w:val="DefaultParagraphFont"/>
    <w:link w:val="Heading3"/>
    <w:uiPriority w:val="9"/>
    <w:semiHidden/>
    <w:rsid w:val="00F82F51"/>
    <w:rPr>
      <w:rFonts w:asciiTheme="majorHAnsi" w:eastAsiaTheme="majorEastAsia" w:hAnsiTheme="majorHAnsi" w:cstheme="majorBidi"/>
      <w:color w:val="243F60" w:themeColor="accent1" w:themeShade="7F"/>
      <w:sz w:val="24"/>
      <w:szCs w:val="24"/>
    </w:rPr>
  </w:style>
  <w:style w:type="paragraph" w:customStyle="1" w:styleId="Briefinglist1">
    <w:name w:val="Briefing list 1"/>
    <w:basedOn w:val="Normal"/>
    <w:qFormat/>
    <w:rsid w:val="00756F62"/>
    <w:pPr>
      <w:keepLines/>
      <w:numPr>
        <w:numId w:val="7"/>
      </w:numPr>
    </w:pPr>
    <w:rPr>
      <w:rFonts w:ascii="Arial" w:eastAsia="Times New Roman" w:hAnsi="Arial"/>
      <w:lang w:eastAsia="en-GB"/>
    </w:rPr>
  </w:style>
  <w:style w:type="character" w:customStyle="1" w:styleId="UnresolvedMention2">
    <w:name w:val="Unresolved Mention2"/>
    <w:basedOn w:val="DefaultParagraphFont"/>
    <w:uiPriority w:val="99"/>
    <w:semiHidden/>
    <w:unhideWhenUsed/>
    <w:rsid w:val="00137845"/>
    <w:rPr>
      <w:color w:val="605E5C"/>
      <w:shd w:val="clear" w:color="auto" w:fill="E1DFDD"/>
    </w:rPr>
  </w:style>
  <w:style w:type="paragraph" w:customStyle="1" w:styleId="3intertitre">
    <w:name w:val="3_intertitre"/>
    <w:basedOn w:val="Normal"/>
    <w:qFormat/>
    <w:rsid w:val="00AD486C"/>
    <w:pPr>
      <w:keepNext/>
      <w:keepLines/>
      <w:spacing w:before="240"/>
      <w:outlineLvl w:val="0"/>
    </w:pPr>
    <w:rPr>
      <w:rFonts w:eastAsiaTheme="majorEastAsia"/>
      <w:b/>
      <w:bCs/>
    </w:rPr>
  </w:style>
  <w:style w:type="paragraph" w:customStyle="1" w:styleId="1Titre1">
    <w:name w:val="1_Titre1"/>
    <w:basedOn w:val="Normal"/>
    <w:qFormat/>
    <w:rsid w:val="004E4A6E"/>
    <w:pPr>
      <w:keepNext/>
      <w:numPr>
        <w:numId w:val="8"/>
      </w:numPr>
      <w:spacing w:before="480" w:after="240"/>
      <w:jc w:val="left"/>
      <w:outlineLvl w:val="0"/>
    </w:pPr>
    <w:rPr>
      <w:b/>
      <w:smallCaps/>
    </w:rPr>
  </w:style>
  <w:style w:type="paragraph" w:customStyle="1" w:styleId="2Titre2">
    <w:name w:val="2_Titre2"/>
    <w:basedOn w:val="1Titre1"/>
    <w:qFormat/>
    <w:rsid w:val="004E4A6E"/>
    <w:pPr>
      <w:numPr>
        <w:ilvl w:val="1"/>
      </w:numPr>
    </w:pPr>
    <w:rPr>
      <w:iCs/>
    </w:rPr>
  </w:style>
  <w:style w:type="character" w:customStyle="1" w:styleId="UnresolvedMention3">
    <w:name w:val="Unresolved Mention3"/>
    <w:basedOn w:val="DefaultParagraphFont"/>
    <w:uiPriority w:val="99"/>
    <w:semiHidden/>
    <w:unhideWhenUsed/>
    <w:rsid w:val="00187877"/>
    <w:rPr>
      <w:color w:val="605E5C"/>
      <w:shd w:val="clear" w:color="auto" w:fill="E1DFDD"/>
    </w:rPr>
  </w:style>
  <w:style w:type="character" w:customStyle="1" w:styleId="UnresolvedMention4">
    <w:name w:val="Unresolved Mention4"/>
    <w:basedOn w:val="DefaultParagraphFont"/>
    <w:uiPriority w:val="99"/>
    <w:semiHidden/>
    <w:unhideWhenUsed/>
    <w:rsid w:val="00DB3200"/>
    <w:rPr>
      <w:color w:val="605E5C"/>
      <w:shd w:val="clear" w:color="auto" w:fill="E1DFDD"/>
    </w:rPr>
  </w:style>
  <w:style w:type="character" w:customStyle="1" w:styleId="UnresolvedMention">
    <w:name w:val="Unresolved Mention"/>
    <w:basedOn w:val="DefaultParagraphFont"/>
    <w:uiPriority w:val="99"/>
    <w:semiHidden/>
    <w:unhideWhenUsed/>
    <w:rsid w:val="00514572"/>
    <w:rPr>
      <w:color w:val="605E5C"/>
      <w:shd w:val="clear" w:color="auto" w:fill="E1DFDD"/>
    </w:rPr>
  </w:style>
  <w:style w:type="character" w:customStyle="1" w:styleId="normaltextrun">
    <w:name w:val="normaltextrun"/>
    <w:basedOn w:val="DefaultParagraphFont"/>
    <w:rsid w:val="00116A20"/>
  </w:style>
  <w:style w:type="character" w:customStyle="1" w:styleId="Mention">
    <w:name w:val="Mention"/>
    <w:basedOn w:val="DefaultParagraphFont"/>
    <w:uiPriority w:val="99"/>
    <w:unhideWhenUsed/>
    <w:rPr>
      <w:color w:val="2B579A"/>
      <w:shd w:val="clear" w:color="auto" w:fill="E6E6E6"/>
    </w:rPr>
  </w:style>
  <w:style w:type="paragraph" w:customStyle="1" w:styleId="Normal1">
    <w:name w:val="Normal1"/>
    <w:basedOn w:val="Normal"/>
    <w:rsid w:val="00125DEB"/>
    <w:pPr>
      <w:spacing w:before="100" w:beforeAutospacing="1" w:after="100" w:afterAutospacing="1"/>
      <w:jc w:val="left"/>
    </w:pPr>
    <w:rPr>
      <w:rFonts w:eastAsia="Times New Roman"/>
      <w:lang w:eastAsia="en-IE"/>
    </w:rPr>
  </w:style>
  <w:style w:type="character" w:customStyle="1" w:styleId="ui-provider">
    <w:name w:val="ui-provider"/>
    <w:basedOn w:val="DefaultParagraphFont"/>
    <w:rsid w:val="00921611"/>
  </w:style>
  <w:style w:type="character" w:customStyle="1" w:styleId="fui-styledtext">
    <w:name w:val="fui-styledtext"/>
    <w:basedOn w:val="DefaultParagraphFont"/>
    <w:rsid w:val="00921611"/>
  </w:style>
  <w:style w:type="character" w:customStyle="1" w:styleId="iceouttxt">
    <w:name w:val="iceouttxt"/>
    <w:basedOn w:val="DefaultParagraphFont"/>
    <w:rsid w:val="00C527DD"/>
  </w:style>
  <w:style w:type="paragraph" w:styleId="Caption">
    <w:name w:val="caption"/>
    <w:basedOn w:val="Normal"/>
    <w:next w:val="Normal"/>
    <w:uiPriority w:val="35"/>
    <w:unhideWhenUsed/>
    <w:qFormat/>
    <w:rsid w:val="004A0A37"/>
    <w:pPr>
      <w:spacing w:after="200"/>
    </w:pPr>
    <w:rPr>
      <w:i/>
      <w:iCs/>
      <w:color w:val="1F497D" w:themeColor="text2"/>
      <w:sz w:val="18"/>
      <w:szCs w:val="18"/>
    </w:rPr>
  </w:style>
  <w:style w:type="character" w:styleId="Emphasis">
    <w:name w:val="Emphasis"/>
    <w:basedOn w:val="DefaultParagraphFont"/>
    <w:uiPriority w:val="20"/>
    <w:qFormat/>
    <w:rsid w:val="003C33AA"/>
    <w:rPr>
      <w:i/>
      <w:iCs/>
    </w:rPr>
  </w:style>
  <w:style w:type="paragraph" w:customStyle="1" w:styleId="Normal2">
    <w:name w:val="Normal2"/>
    <w:basedOn w:val="Normal"/>
    <w:rsid w:val="009D372C"/>
    <w:pPr>
      <w:spacing w:before="100" w:beforeAutospacing="1" w:after="100" w:afterAutospacing="1"/>
      <w:jc w:val="left"/>
    </w:pPr>
    <w:rPr>
      <w:rFonts w:eastAsia="Times New Roman"/>
      <w:lang w:eastAsia="en-IE"/>
    </w:rPr>
  </w:style>
  <w:style w:type="paragraph" w:customStyle="1" w:styleId="pf0">
    <w:name w:val="pf0"/>
    <w:basedOn w:val="Normal"/>
    <w:rsid w:val="006666E6"/>
    <w:pPr>
      <w:spacing w:before="100" w:beforeAutospacing="1" w:after="100" w:afterAutospacing="1"/>
      <w:jc w:val="left"/>
    </w:pPr>
    <w:rPr>
      <w:rFonts w:eastAsia="Times New Roman"/>
      <w:lang w:eastAsia="en-IE"/>
    </w:rPr>
  </w:style>
  <w:style w:type="character" w:customStyle="1" w:styleId="cf01">
    <w:name w:val="cf01"/>
    <w:basedOn w:val="DefaultParagraphFont"/>
    <w:rsid w:val="006666E6"/>
    <w:rPr>
      <w:rFonts w:ascii="Segoe UI" w:hAnsi="Segoe UI" w:cs="Segoe UI" w:hint="default"/>
      <w:sz w:val="18"/>
      <w:szCs w:val="18"/>
      <w:shd w:val="clear" w:color="auto" w:fill="FFFF00"/>
    </w:rPr>
  </w:style>
  <w:style w:type="paragraph" w:styleId="TOC1">
    <w:name w:val="toc 1"/>
    <w:basedOn w:val="Normal"/>
    <w:next w:val="Normal"/>
    <w:uiPriority w:val="39"/>
    <w:unhideWhenUsed/>
    <w:rsid w:val="001033A5"/>
    <w:pPr>
      <w:spacing w:after="100" w:line="259" w:lineRule="auto"/>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345">
      <w:bodyDiv w:val="1"/>
      <w:marLeft w:val="0"/>
      <w:marRight w:val="0"/>
      <w:marTop w:val="0"/>
      <w:marBottom w:val="0"/>
      <w:divBdr>
        <w:top w:val="none" w:sz="0" w:space="0" w:color="auto"/>
        <w:left w:val="none" w:sz="0" w:space="0" w:color="auto"/>
        <w:bottom w:val="none" w:sz="0" w:space="0" w:color="auto"/>
        <w:right w:val="none" w:sz="0" w:space="0" w:color="auto"/>
      </w:divBdr>
    </w:div>
    <w:div w:id="7870875">
      <w:bodyDiv w:val="1"/>
      <w:marLeft w:val="0"/>
      <w:marRight w:val="0"/>
      <w:marTop w:val="0"/>
      <w:marBottom w:val="0"/>
      <w:divBdr>
        <w:top w:val="none" w:sz="0" w:space="0" w:color="auto"/>
        <w:left w:val="none" w:sz="0" w:space="0" w:color="auto"/>
        <w:bottom w:val="none" w:sz="0" w:space="0" w:color="auto"/>
        <w:right w:val="none" w:sz="0" w:space="0" w:color="auto"/>
      </w:divBdr>
    </w:div>
    <w:div w:id="23294291">
      <w:bodyDiv w:val="1"/>
      <w:marLeft w:val="0"/>
      <w:marRight w:val="0"/>
      <w:marTop w:val="0"/>
      <w:marBottom w:val="0"/>
      <w:divBdr>
        <w:top w:val="none" w:sz="0" w:space="0" w:color="auto"/>
        <w:left w:val="none" w:sz="0" w:space="0" w:color="auto"/>
        <w:bottom w:val="none" w:sz="0" w:space="0" w:color="auto"/>
        <w:right w:val="none" w:sz="0" w:space="0" w:color="auto"/>
      </w:divBdr>
    </w:div>
    <w:div w:id="45104581">
      <w:bodyDiv w:val="1"/>
      <w:marLeft w:val="0"/>
      <w:marRight w:val="0"/>
      <w:marTop w:val="0"/>
      <w:marBottom w:val="0"/>
      <w:divBdr>
        <w:top w:val="none" w:sz="0" w:space="0" w:color="auto"/>
        <w:left w:val="none" w:sz="0" w:space="0" w:color="auto"/>
        <w:bottom w:val="none" w:sz="0" w:space="0" w:color="auto"/>
        <w:right w:val="none" w:sz="0" w:space="0" w:color="auto"/>
      </w:divBdr>
    </w:div>
    <w:div w:id="56562372">
      <w:bodyDiv w:val="1"/>
      <w:marLeft w:val="0"/>
      <w:marRight w:val="0"/>
      <w:marTop w:val="0"/>
      <w:marBottom w:val="0"/>
      <w:divBdr>
        <w:top w:val="none" w:sz="0" w:space="0" w:color="auto"/>
        <w:left w:val="none" w:sz="0" w:space="0" w:color="auto"/>
        <w:bottom w:val="none" w:sz="0" w:space="0" w:color="auto"/>
        <w:right w:val="none" w:sz="0" w:space="0" w:color="auto"/>
      </w:divBdr>
    </w:div>
    <w:div w:id="64650446">
      <w:bodyDiv w:val="1"/>
      <w:marLeft w:val="0"/>
      <w:marRight w:val="0"/>
      <w:marTop w:val="0"/>
      <w:marBottom w:val="0"/>
      <w:divBdr>
        <w:top w:val="none" w:sz="0" w:space="0" w:color="auto"/>
        <w:left w:val="none" w:sz="0" w:space="0" w:color="auto"/>
        <w:bottom w:val="none" w:sz="0" w:space="0" w:color="auto"/>
        <w:right w:val="none" w:sz="0" w:space="0" w:color="auto"/>
      </w:divBdr>
    </w:div>
    <w:div w:id="67271176">
      <w:bodyDiv w:val="1"/>
      <w:marLeft w:val="0"/>
      <w:marRight w:val="0"/>
      <w:marTop w:val="0"/>
      <w:marBottom w:val="0"/>
      <w:divBdr>
        <w:top w:val="none" w:sz="0" w:space="0" w:color="auto"/>
        <w:left w:val="none" w:sz="0" w:space="0" w:color="auto"/>
        <w:bottom w:val="none" w:sz="0" w:space="0" w:color="auto"/>
        <w:right w:val="none" w:sz="0" w:space="0" w:color="auto"/>
      </w:divBdr>
      <w:divsChild>
        <w:div w:id="192428400">
          <w:marLeft w:val="0"/>
          <w:marRight w:val="0"/>
          <w:marTop w:val="0"/>
          <w:marBottom w:val="0"/>
          <w:divBdr>
            <w:top w:val="none" w:sz="0" w:space="0" w:color="auto"/>
            <w:left w:val="none" w:sz="0" w:space="0" w:color="auto"/>
            <w:bottom w:val="none" w:sz="0" w:space="0" w:color="auto"/>
            <w:right w:val="none" w:sz="0" w:space="0" w:color="auto"/>
          </w:divBdr>
        </w:div>
        <w:div w:id="669256007">
          <w:marLeft w:val="0"/>
          <w:marRight w:val="0"/>
          <w:marTop w:val="0"/>
          <w:marBottom w:val="0"/>
          <w:divBdr>
            <w:top w:val="none" w:sz="0" w:space="0" w:color="auto"/>
            <w:left w:val="none" w:sz="0" w:space="0" w:color="auto"/>
            <w:bottom w:val="none" w:sz="0" w:space="0" w:color="auto"/>
            <w:right w:val="none" w:sz="0" w:space="0" w:color="auto"/>
          </w:divBdr>
        </w:div>
        <w:div w:id="1498763023">
          <w:marLeft w:val="0"/>
          <w:marRight w:val="0"/>
          <w:marTop w:val="0"/>
          <w:marBottom w:val="0"/>
          <w:divBdr>
            <w:top w:val="none" w:sz="0" w:space="0" w:color="auto"/>
            <w:left w:val="none" w:sz="0" w:space="0" w:color="auto"/>
            <w:bottom w:val="none" w:sz="0" w:space="0" w:color="auto"/>
            <w:right w:val="none" w:sz="0" w:space="0" w:color="auto"/>
          </w:divBdr>
        </w:div>
      </w:divsChild>
    </w:div>
    <w:div w:id="67460188">
      <w:bodyDiv w:val="1"/>
      <w:marLeft w:val="0"/>
      <w:marRight w:val="0"/>
      <w:marTop w:val="0"/>
      <w:marBottom w:val="0"/>
      <w:divBdr>
        <w:top w:val="none" w:sz="0" w:space="0" w:color="auto"/>
        <w:left w:val="none" w:sz="0" w:space="0" w:color="auto"/>
        <w:bottom w:val="none" w:sz="0" w:space="0" w:color="auto"/>
        <w:right w:val="none" w:sz="0" w:space="0" w:color="auto"/>
      </w:divBdr>
    </w:div>
    <w:div w:id="76485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45">
          <w:marLeft w:val="0"/>
          <w:marRight w:val="0"/>
          <w:marTop w:val="0"/>
          <w:marBottom w:val="0"/>
          <w:divBdr>
            <w:top w:val="none" w:sz="0" w:space="0" w:color="auto"/>
            <w:left w:val="none" w:sz="0" w:space="0" w:color="auto"/>
            <w:bottom w:val="none" w:sz="0" w:space="0" w:color="auto"/>
            <w:right w:val="none" w:sz="0" w:space="0" w:color="auto"/>
          </w:divBdr>
          <w:divsChild>
            <w:div w:id="905804545">
              <w:marLeft w:val="0"/>
              <w:marRight w:val="0"/>
              <w:marTop w:val="0"/>
              <w:marBottom w:val="0"/>
              <w:divBdr>
                <w:top w:val="none" w:sz="0" w:space="0" w:color="auto"/>
                <w:left w:val="none" w:sz="0" w:space="0" w:color="auto"/>
                <w:bottom w:val="none" w:sz="0" w:space="0" w:color="auto"/>
                <w:right w:val="none" w:sz="0" w:space="0" w:color="auto"/>
              </w:divBdr>
              <w:divsChild>
                <w:div w:id="582227277">
                  <w:marLeft w:val="0"/>
                  <w:marRight w:val="0"/>
                  <w:marTop w:val="0"/>
                  <w:marBottom w:val="0"/>
                  <w:divBdr>
                    <w:top w:val="none" w:sz="0" w:space="0" w:color="auto"/>
                    <w:left w:val="none" w:sz="0" w:space="0" w:color="auto"/>
                    <w:bottom w:val="none" w:sz="0" w:space="0" w:color="auto"/>
                    <w:right w:val="none" w:sz="0" w:space="0" w:color="auto"/>
                  </w:divBdr>
                  <w:divsChild>
                    <w:div w:id="565722788">
                      <w:marLeft w:val="0"/>
                      <w:marRight w:val="0"/>
                      <w:marTop w:val="0"/>
                      <w:marBottom w:val="0"/>
                      <w:divBdr>
                        <w:top w:val="none" w:sz="0" w:space="0" w:color="auto"/>
                        <w:left w:val="none" w:sz="0" w:space="0" w:color="auto"/>
                        <w:bottom w:val="none" w:sz="0" w:space="0" w:color="auto"/>
                        <w:right w:val="none" w:sz="0" w:space="0" w:color="auto"/>
                      </w:divBdr>
                      <w:divsChild>
                        <w:div w:id="100953220">
                          <w:marLeft w:val="0"/>
                          <w:marRight w:val="0"/>
                          <w:marTop w:val="0"/>
                          <w:marBottom w:val="0"/>
                          <w:divBdr>
                            <w:top w:val="none" w:sz="0" w:space="0" w:color="auto"/>
                            <w:left w:val="none" w:sz="0" w:space="0" w:color="auto"/>
                            <w:bottom w:val="none" w:sz="0" w:space="0" w:color="auto"/>
                            <w:right w:val="none" w:sz="0" w:space="0" w:color="auto"/>
                          </w:divBdr>
                          <w:divsChild>
                            <w:div w:id="1646543376">
                              <w:marLeft w:val="0"/>
                              <w:marRight w:val="0"/>
                              <w:marTop w:val="0"/>
                              <w:marBottom w:val="0"/>
                              <w:divBdr>
                                <w:top w:val="none" w:sz="0" w:space="0" w:color="auto"/>
                                <w:left w:val="none" w:sz="0" w:space="0" w:color="auto"/>
                                <w:bottom w:val="none" w:sz="0" w:space="0" w:color="auto"/>
                                <w:right w:val="none" w:sz="0" w:space="0" w:color="auto"/>
                              </w:divBdr>
                              <w:divsChild>
                                <w:div w:id="1647935406">
                                  <w:marLeft w:val="0"/>
                                  <w:marRight w:val="0"/>
                                  <w:marTop w:val="0"/>
                                  <w:marBottom w:val="0"/>
                                  <w:divBdr>
                                    <w:top w:val="none" w:sz="0" w:space="0" w:color="auto"/>
                                    <w:left w:val="none" w:sz="0" w:space="0" w:color="auto"/>
                                    <w:bottom w:val="none" w:sz="0" w:space="0" w:color="auto"/>
                                    <w:right w:val="none" w:sz="0" w:space="0" w:color="auto"/>
                                  </w:divBdr>
                                  <w:divsChild>
                                    <w:div w:id="513496716">
                                      <w:marLeft w:val="0"/>
                                      <w:marRight w:val="0"/>
                                      <w:marTop w:val="0"/>
                                      <w:marBottom w:val="0"/>
                                      <w:divBdr>
                                        <w:top w:val="none" w:sz="0" w:space="0" w:color="auto"/>
                                        <w:left w:val="none" w:sz="0" w:space="0" w:color="auto"/>
                                        <w:bottom w:val="none" w:sz="0" w:space="0" w:color="auto"/>
                                        <w:right w:val="none" w:sz="0" w:space="0" w:color="auto"/>
                                      </w:divBdr>
                                      <w:divsChild>
                                        <w:div w:id="1171261681">
                                          <w:marLeft w:val="0"/>
                                          <w:marRight w:val="0"/>
                                          <w:marTop w:val="0"/>
                                          <w:marBottom w:val="0"/>
                                          <w:divBdr>
                                            <w:top w:val="single" w:sz="6" w:space="0" w:color="D9D9D9"/>
                                            <w:left w:val="single" w:sz="6" w:space="0" w:color="D9D9D9"/>
                                            <w:bottom w:val="single" w:sz="6" w:space="0" w:color="D9D9D9"/>
                                            <w:right w:val="single" w:sz="6" w:space="0" w:color="D9D9D9"/>
                                          </w:divBdr>
                                          <w:divsChild>
                                            <w:div w:id="648435113">
                                              <w:marLeft w:val="0"/>
                                              <w:marRight w:val="0"/>
                                              <w:marTop w:val="0"/>
                                              <w:marBottom w:val="0"/>
                                              <w:divBdr>
                                                <w:top w:val="none" w:sz="0" w:space="0" w:color="auto"/>
                                                <w:left w:val="none" w:sz="0" w:space="0" w:color="auto"/>
                                                <w:bottom w:val="none" w:sz="0" w:space="0" w:color="auto"/>
                                                <w:right w:val="none" w:sz="0" w:space="0" w:color="auto"/>
                                              </w:divBdr>
                                              <w:divsChild>
                                                <w:div w:id="1938053004">
                                                  <w:marLeft w:val="0"/>
                                                  <w:marRight w:val="0"/>
                                                  <w:marTop w:val="0"/>
                                                  <w:marBottom w:val="0"/>
                                                  <w:divBdr>
                                                    <w:top w:val="none" w:sz="0" w:space="0" w:color="auto"/>
                                                    <w:left w:val="none" w:sz="0" w:space="0" w:color="auto"/>
                                                    <w:bottom w:val="none" w:sz="0" w:space="0" w:color="auto"/>
                                                    <w:right w:val="none" w:sz="0" w:space="0" w:color="auto"/>
                                                  </w:divBdr>
                                                  <w:divsChild>
                                                    <w:div w:id="628779958">
                                                      <w:marLeft w:val="0"/>
                                                      <w:marRight w:val="0"/>
                                                      <w:marTop w:val="0"/>
                                                      <w:marBottom w:val="0"/>
                                                      <w:divBdr>
                                                        <w:top w:val="none" w:sz="0" w:space="0" w:color="auto"/>
                                                        <w:left w:val="none" w:sz="0" w:space="0" w:color="auto"/>
                                                        <w:bottom w:val="none" w:sz="0" w:space="0" w:color="auto"/>
                                                        <w:right w:val="none" w:sz="0" w:space="0" w:color="auto"/>
                                                      </w:divBdr>
                                                    </w:div>
                                                    <w:div w:id="1098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97357">
      <w:bodyDiv w:val="1"/>
      <w:marLeft w:val="0"/>
      <w:marRight w:val="0"/>
      <w:marTop w:val="0"/>
      <w:marBottom w:val="0"/>
      <w:divBdr>
        <w:top w:val="none" w:sz="0" w:space="0" w:color="auto"/>
        <w:left w:val="none" w:sz="0" w:space="0" w:color="auto"/>
        <w:bottom w:val="none" w:sz="0" w:space="0" w:color="auto"/>
        <w:right w:val="none" w:sz="0" w:space="0" w:color="auto"/>
      </w:divBdr>
      <w:divsChild>
        <w:div w:id="456878447">
          <w:marLeft w:val="0"/>
          <w:marRight w:val="0"/>
          <w:marTop w:val="0"/>
          <w:marBottom w:val="0"/>
          <w:divBdr>
            <w:top w:val="none" w:sz="0" w:space="0" w:color="auto"/>
            <w:left w:val="none" w:sz="0" w:space="0" w:color="auto"/>
            <w:bottom w:val="none" w:sz="0" w:space="0" w:color="auto"/>
            <w:right w:val="none" w:sz="0" w:space="0" w:color="auto"/>
          </w:divBdr>
        </w:div>
        <w:div w:id="2078167132">
          <w:marLeft w:val="0"/>
          <w:marRight w:val="0"/>
          <w:marTop w:val="0"/>
          <w:marBottom w:val="0"/>
          <w:divBdr>
            <w:top w:val="none" w:sz="0" w:space="0" w:color="auto"/>
            <w:left w:val="none" w:sz="0" w:space="0" w:color="auto"/>
            <w:bottom w:val="none" w:sz="0" w:space="0" w:color="auto"/>
            <w:right w:val="none" w:sz="0" w:space="0" w:color="auto"/>
          </w:divBdr>
        </w:div>
      </w:divsChild>
    </w:div>
    <w:div w:id="105975218">
      <w:bodyDiv w:val="1"/>
      <w:marLeft w:val="0"/>
      <w:marRight w:val="0"/>
      <w:marTop w:val="0"/>
      <w:marBottom w:val="0"/>
      <w:divBdr>
        <w:top w:val="none" w:sz="0" w:space="0" w:color="auto"/>
        <w:left w:val="none" w:sz="0" w:space="0" w:color="auto"/>
        <w:bottom w:val="none" w:sz="0" w:space="0" w:color="auto"/>
        <w:right w:val="none" w:sz="0" w:space="0" w:color="auto"/>
      </w:divBdr>
      <w:divsChild>
        <w:div w:id="1484203254">
          <w:marLeft w:val="0"/>
          <w:marRight w:val="0"/>
          <w:marTop w:val="0"/>
          <w:marBottom w:val="0"/>
          <w:divBdr>
            <w:top w:val="none" w:sz="0" w:space="0" w:color="auto"/>
            <w:left w:val="none" w:sz="0" w:space="0" w:color="auto"/>
            <w:bottom w:val="none" w:sz="0" w:space="0" w:color="auto"/>
            <w:right w:val="none" w:sz="0" w:space="0" w:color="auto"/>
          </w:divBdr>
          <w:divsChild>
            <w:div w:id="1144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5948">
      <w:bodyDiv w:val="1"/>
      <w:marLeft w:val="0"/>
      <w:marRight w:val="0"/>
      <w:marTop w:val="0"/>
      <w:marBottom w:val="0"/>
      <w:divBdr>
        <w:top w:val="none" w:sz="0" w:space="0" w:color="auto"/>
        <w:left w:val="none" w:sz="0" w:space="0" w:color="auto"/>
        <w:bottom w:val="none" w:sz="0" w:space="0" w:color="auto"/>
        <w:right w:val="none" w:sz="0" w:space="0" w:color="auto"/>
      </w:divBdr>
      <w:divsChild>
        <w:div w:id="1009723487">
          <w:marLeft w:val="0"/>
          <w:marRight w:val="0"/>
          <w:marTop w:val="0"/>
          <w:marBottom w:val="0"/>
          <w:divBdr>
            <w:top w:val="none" w:sz="0" w:space="0" w:color="auto"/>
            <w:left w:val="none" w:sz="0" w:space="0" w:color="auto"/>
            <w:bottom w:val="none" w:sz="0" w:space="0" w:color="auto"/>
            <w:right w:val="none" w:sz="0" w:space="0" w:color="auto"/>
          </w:divBdr>
        </w:div>
        <w:div w:id="1667971410">
          <w:marLeft w:val="0"/>
          <w:marRight w:val="0"/>
          <w:marTop w:val="0"/>
          <w:marBottom w:val="0"/>
          <w:divBdr>
            <w:top w:val="none" w:sz="0" w:space="0" w:color="auto"/>
            <w:left w:val="none" w:sz="0" w:space="0" w:color="auto"/>
            <w:bottom w:val="none" w:sz="0" w:space="0" w:color="auto"/>
            <w:right w:val="none" w:sz="0" w:space="0" w:color="auto"/>
          </w:divBdr>
        </w:div>
      </w:divsChild>
    </w:div>
    <w:div w:id="162823818">
      <w:bodyDiv w:val="1"/>
      <w:marLeft w:val="0"/>
      <w:marRight w:val="0"/>
      <w:marTop w:val="0"/>
      <w:marBottom w:val="0"/>
      <w:divBdr>
        <w:top w:val="none" w:sz="0" w:space="0" w:color="auto"/>
        <w:left w:val="none" w:sz="0" w:space="0" w:color="auto"/>
        <w:bottom w:val="none" w:sz="0" w:space="0" w:color="auto"/>
        <w:right w:val="none" w:sz="0" w:space="0" w:color="auto"/>
      </w:divBdr>
    </w:div>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250162248">
      <w:bodyDiv w:val="1"/>
      <w:marLeft w:val="0"/>
      <w:marRight w:val="0"/>
      <w:marTop w:val="0"/>
      <w:marBottom w:val="0"/>
      <w:divBdr>
        <w:top w:val="none" w:sz="0" w:space="0" w:color="auto"/>
        <w:left w:val="none" w:sz="0" w:space="0" w:color="auto"/>
        <w:bottom w:val="none" w:sz="0" w:space="0" w:color="auto"/>
        <w:right w:val="none" w:sz="0" w:space="0" w:color="auto"/>
      </w:divBdr>
      <w:divsChild>
        <w:div w:id="1051537812">
          <w:marLeft w:val="0"/>
          <w:marRight w:val="0"/>
          <w:marTop w:val="0"/>
          <w:marBottom w:val="0"/>
          <w:divBdr>
            <w:top w:val="none" w:sz="0" w:space="0" w:color="auto"/>
            <w:left w:val="none" w:sz="0" w:space="0" w:color="auto"/>
            <w:bottom w:val="none" w:sz="0" w:space="0" w:color="auto"/>
            <w:right w:val="none" w:sz="0" w:space="0" w:color="auto"/>
          </w:divBdr>
          <w:divsChild>
            <w:div w:id="1524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551">
      <w:bodyDiv w:val="1"/>
      <w:marLeft w:val="0"/>
      <w:marRight w:val="0"/>
      <w:marTop w:val="0"/>
      <w:marBottom w:val="0"/>
      <w:divBdr>
        <w:top w:val="none" w:sz="0" w:space="0" w:color="auto"/>
        <w:left w:val="none" w:sz="0" w:space="0" w:color="auto"/>
        <w:bottom w:val="none" w:sz="0" w:space="0" w:color="auto"/>
        <w:right w:val="none" w:sz="0" w:space="0" w:color="auto"/>
      </w:divBdr>
    </w:div>
    <w:div w:id="252134008">
      <w:bodyDiv w:val="1"/>
      <w:marLeft w:val="0"/>
      <w:marRight w:val="0"/>
      <w:marTop w:val="0"/>
      <w:marBottom w:val="0"/>
      <w:divBdr>
        <w:top w:val="none" w:sz="0" w:space="0" w:color="auto"/>
        <w:left w:val="none" w:sz="0" w:space="0" w:color="auto"/>
        <w:bottom w:val="none" w:sz="0" w:space="0" w:color="auto"/>
        <w:right w:val="none" w:sz="0" w:space="0" w:color="auto"/>
      </w:divBdr>
    </w:div>
    <w:div w:id="281425392">
      <w:bodyDiv w:val="1"/>
      <w:marLeft w:val="0"/>
      <w:marRight w:val="0"/>
      <w:marTop w:val="0"/>
      <w:marBottom w:val="0"/>
      <w:divBdr>
        <w:top w:val="none" w:sz="0" w:space="0" w:color="auto"/>
        <w:left w:val="none" w:sz="0" w:space="0" w:color="auto"/>
        <w:bottom w:val="none" w:sz="0" w:space="0" w:color="auto"/>
        <w:right w:val="none" w:sz="0" w:space="0" w:color="auto"/>
      </w:divBdr>
    </w:div>
    <w:div w:id="294407242">
      <w:bodyDiv w:val="1"/>
      <w:marLeft w:val="0"/>
      <w:marRight w:val="0"/>
      <w:marTop w:val="0"/>
      <w:marBottom w:val="0"/>
      <w:divBdr>
        <w:top w:val="none" w:sz="0" w:space="0" w:color="auto"/>
        <w:left w:val="none" w:sz="0" w:space="0" w:color="auto"/>
        <w:bottom w:val="none" w:sz="0" w:space="0" w:color="auto"/>
        <w:right w:val="none" w:sz="0" w:space="0" w:color="auto"/>
      </w:divBdr>
    </w:div>
    <w:div w:id="310865904">
      <w:bodyDiv w:val="1"/>
      <w:marLeft w:val="0"/>
      <w:marRight w:val="0"/>
      <w:marTop w:val="0"/>
      <w:marBottom w:val="0"/>
      <w:divBdr>
        <w:top w:val="none" w:sz="0" w:space="0" w:color="auto"/>
        <w:left w:val="none" w:sz="0" w:space="0" w:color="auto"/>
        <w:bottom w:val="none" w:sz="0" w:space="0" w:color="auto"/>
        <w:right w:val="none" w:sz="0" w:space="0" w:color="auto"/>
      </w:divBdr>
      <w:divsChild>
        <w:div w:id="746807357">
          <w:marLeft w:val="0"/>
          <w:marRight w:val="0"/>
          <w:marTop w:val="0"/>
          <w:marBottom w:val="0"/>
          <w:divBdr>
            <w:top w:val="none" w:sz="0" w:space="0" w:color="auto"/>
            <w:left w:val="none" w:sz="0" w:space="0" w:color="auto"/>
            <w:bottom w:val="none" w:sz="0" w:space="0" w:color="auto"/>
            <w:right w:val="none" w:sz="0" w:space="0" w:color="auto"/>
          </w:divBdr>
        </w:div>
        <w:div w:id="794100191">
          <w:marLeft w:val="0"/>
          <w:marRight w:val="0"/>
          <w:marTop w:val="0"/>
          <w:marBottom w:val="0"/>
          <w:divBdr>
            <w:top w:val="none" w:sz="0" w:space="0" w:color="auto"/>
            <w:left w:val="none" w:sz="0" w:space="0" w:color="auto"/>
            <w:bottom w:val="none" w:sz="0" w:space="0" w:color="auto"/>
            <w:right w:val="none" w:sz="0" w:space="0" w:color="auto"/>
          </w:divBdr>
        </w:div>
        <w:div w:id="851531196">
          <w:marLeft w:val="0"/>
          <w:marRight w:val="0"/>
          <w:marTop w:val="0"/>
          <w:marBottom w:val="0"/>
          <w:divBdr>
            <w:top w:val="none" w:sz="0" w:space="0" w:color="auto"/>
            <w:left w:val="none" w:sz="0" w:space="0" w:color="auto"/>
            <w:bottom w:val="none" w:sz="0" w:space="0" w:color="auto"/>
            <w:right w:val="none" w:sz="0" w:space="0" w:color="auto"/>
          </w:divBdr>
        </w:div>
        <w:div w:id="1121995678">
          <w:marLeft w:val="0"/>
          <w:marRight w:val="0"/>
          <w:marTop w:val="0"/>
          <w:marBottom w:val="0"/>
          <w:divBdr>
            <w:top w:val="none" w:sz="0" w:space="0" w:color="auto"/>
            <w:left w:val="none" w:sz="0" w:space="0" w:color="auto"/>
            <w:bottom w:val="none" w:sz="0" w:space="0" w:color="auto"/>
            <w:right w:val="none" w:sz="0" w:space="0" w:color="auto"/>
          </w:divBdr>
        </w:div>
        <w:div w:id="1435442386">
          <w:marLeft w:val="0"/>
          <w:marRight w:val="0"/>
          <w:marTop w:val="0"/>
          <w:marBottom w:val="0"/>
          <w:divBdr>
            <w:top w:val="none" w:sz="0" w:space="0" w:color="auto"/>
            <w:left w:val="none" w:sz="0" w:space="0" w:color="auto"/>
            <w:bottom w:val="none" w:sz="0" w:space="0" w:color="auto"/>
            <w:right w:val="none" w:sz="0" w:space="0" w:color="auto"/>
          </w:divBdr>
        </w:div>
      </w:divsChild>
    </w:div>
    <w:div w:id="313143526">
      <w:bodyDiv w:val="1"/>
      <w:marLeft w:val="0"/>
      <w:marRight w:val="0"/>
      <w:marTop w:val="0"/>
      <w:marBottom w:val="0"/>
      <w:divBdr>
        <w:top w:val="none" w:sz="0" w:space="0" w:color="auto"/>
        <w:left w:val="none" w:sz="0" w:space="0" w:color="auto"/>
        <w:bottom w:val="none" w:sz="0" w:space="0" w:color="auto"/>
        <w:right w:val="none" w:sz="0" w:space="0" w:color="auto"/>
      </w:divBdr>
    </w:div>
    <w:div w:id="322634564">
      <w:bodyDiv w:val="1"/>
      <w:marLeft w:val="0"/>
      <w:marRight w:val="0"/>
      <w:marTop w:val="0"/>
      <w:marBottom w:val="0"/>
      <w:divBdr>
        <w:top w:val="none" w:sz="0" w:space="0" w:color="auto"/>
        <w:left w:val="none" w:sz="0" w:space="0" w:color="auto"/>
        <w:bottom w:val="none" w:sz="0" w:space="0" w:color="auto"/>
        <w:right w:val="none" w:sz="0" w:space="0" w:color="auto"/>
      </w:divBdr>
    </w:div>
    <w:div w:id="323901462">
      <w:bodyDiv w:val="1"/>
      <w:marLeft w:val="0"/>
      <w:marRight w:val="0"/>
      <w:marTop w:val="0"/>
      <w:marBottom w:val="0"/>
      <w:divBdr>
        <w:top w:val="none" w:sz="0" w:space="0" w:color="auto"/>
        <w:left w:val="none" w:sz="0" w:space="0" w:color="auto"/>
        <w:bottom w:val="none" w:sz="0" w:space="0" w:color="auto"/>
        <w:right w:val="none" w:sz="0" w:space="0" w:color="auto"/>
      </w:divBdr>
    </w:div>
    <w:div w:id="329992152">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353310839">
      <w:bodyDiv w:val="1"/>
      <w:marLeft w:val="0"/>
      <w:marRight w:val="0"/>
      <w:marTop w:val="0"/>
      <w:marBottom w:val="0"/>
      <w:divBdr>
        <w:top w:val="none" w:sz="0" w:space="0" w:color="auto"/>
        <w:left w:val="none" w:sz="0" w:space="0" w:color="auto"/>
        <w:bottom w:val="none" w:sz="0" w:space="0" w:color="auto"/>
        <w:right w:val="none" w:sz="0" w:space="0" w:color="auto"/>
      </w:divBdr>
    </w:div>
    <w:div w:id="418982685">
      <w:bodyDiv w:val="1"/>
      <w:marLeft w:val="0"/>
      <w:marRight w:val="0"/>
      <w:marTop w:val="0"/>
      <w:marBottom w:val="0"/>
      <w:divBdr>
        <w:top w:val="none" w:sz="0" w:space="0" w:color="auto"/>
        <w:left w:val="none" w:sz="0" w:space="0" w:color="auto"/>
        <w:bottom w:val="none" w:sz="0" w:space="0" w:color="auto"/>
        <w:right w:val="none" w:sz="0" w:space="0" w:color="auto"/>
      </w:divBdr>
    </w:div>
    <w:div w:id="427391924">
      <w:bodyDiv w:val="1"/>
      <w:marLeft w:val="0"/>
      <w:marRight w:val="0"/>
      <w:marTop w:val="0"/>
      <w:marBottom w:val="0"/>
      <w:divBdr>
        <w:top w:val="none" w:sz="0" w:space="0" w:color="auto"/>
        <w:left w:val="none" w:sz="0" w:space="0" w:color="auto"/>
        <w:bottom w:val="none" w:sz="0" w:space="0" w:color="auto"/>
        <w:right w:val="none" w:sz="0" w:space="0" w:color="auto"/>
      </w:divBdr>
    </w:div>
    <w:div w:id="442959869">
      <w:bodyDiv w:val="1"/>
      <w:marLeft w:val="0"/>
      <w:marRight w:val="0"/>
      <w:marTop w:val="0"/>
      <w:marBottom w:val="0"/>
      <w:divBdr>
        <w:top w:val="none" w:sz="0" w:space="0" w:color="auto"/>
        <w:left w:val="none" w:sz="0" w:space="0" w:color="auto"/>
        <w:bottom w:val="none" w:sz="0" w:space="0" w:color="auto"/>
        <w:right w:val="none" w:sz="0" w:space="0" w:color="auto"/>
      </w:divBdr>
    </w:div>
    <w:div w:id="455299003">
      <w:bodyDiv w:val="1"/>
      <w:marLeft w:val="0"/>
      <w:marRight w:val="0"/>
      <w:marTop w:val="0"/>
      <w:marBottom w:val="0"/>
      <w:divBdr>
        <w:top w:val="none" w:sz="0" w:space="0" w:color="auto"/>
        <w:left w:val="none" w:sz="0" w:space="0" w:color="auto"/>
        <w:bottom w:val="none" w:sz="0" w:space="0" w:color="auto"/>
        <w:right w:val="none" w:sz="0" w:space="0" w:color="auto"/>
      </w:divBdr>
    </w:div>
    <w:div w:id="459348459">
      <w:bodyDiv w:val="1"/>
      <w:marLeft w:val="0"/>
      <w:marRight w:val="0"/>
      <w:marTop w:val="0"/>
      <w:marBottom w:val="0"/>
      <w:divBdr>
        <w:top w:val="none" w:sz="0" w:space="0" w:color="auto"/>
        <w:left w:val="none" w:sz="0" w:space="0" w:color="auto"/>
        <w:bottom w:val="none" w:sz="0" w:space="0" w:color="auto"/>
        <w:right w:val="none" w:sz="0" w:space="0" w:color="auto"/>
      </w:divBdr>
    </w:div>
    <w:div w:id="475881649">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505171891">
      <w:bodyDiv w:val="1"/>
      <w:marLeft w:val="0"/>
      <w:marRight w:val="0"/>
      <w:marTop w:val="0"/>
      <w:marBottom w:val="0"/>
      <w:divBdr>
        <w:top w:val="none" w:sz="0" w:space="0" w:color="auto"/>
        <w:left w:val="none" w:sz="0" w:space="0" w:color="auto"/>
        <w:bottom w:val="none" w:sz="0" w:space="0" w:color="auto"/>
        <w:right w:val="none" w:sz="0" w:space="0" w:color="auto"/>
      </w:divBdr>
    </w:div>
    <w:div w:id="515117813">
      <w:bodyDiv w:val="1"/>
      <w:marLeft w:val="0"/>
      <w:marRight w:val="0"/>
      <w:marTop w:val="0"/>
      <w:marBottom w:val="0"/>
      <w:divBdr>
        <w:top w:val="none" w:sz="0" w:space="0" w:color="auto"/>
        <w:left w:val="none" w:sz="0" w:space="0" w:color="auto"/>
        <w:bottom w:val="none" w:sz="0" w:space="0" w:color="auto"/>
        <w:right w:val="none" w:sz="0" w:space="0" w:color="auto"/>
      </w:divBdr>
    </w:div>
    <w:div w:id="524906744">
      <w:bodyDiv w:val="1"/>
      <w:marLeft w:val="0"/>
      <w:marRight w:val="0"/>
      <w:marTop w:val="0"/>
      <w:marBottom w:val="0"/>
      <w:divBdr>
        <w:top w:val="none" w:sz="0" w:space="0" w:color="auto"/>
        <w:left w:val="none" w:sz="0" w:space="0" w:color="auto"/>
        <w:bottom w:val="none" w:sz="0" w:space="0" w:color="auto"/>
        <w:right w:val="none" w:sz="0" w:space="0" w:color="auto"/>
      </w:divBdr>
    </w:div>
    <w:div w:id="532770718">
      <w:bodyDiv w:val="1"/>
      <w:marLeft w:val="0"/>
      <w:marRight w:val="0"/>
      <w:marTop w:val="0"/>
      <w:marBottom w:val="0"/>
      <w:divBdr>
        <w:top w:val="none" w:sz="0" w:space="0" w:color="auto"/>
        <w:left w:val="none" w:sz="0" w:space="0" w:color="auto"/>
        <w:bottom w:val="none" w:sz="0" w:space="0" w:color="auto"/>
        <w:right w:val="none" w:sz="0" w:space="0" w:color="auto"/>
      </w:divBdr>
    </w:div>
    <w:div w:id="590360554">
      <w:bodyDiv w:val="1"/>
      <w:marLeft w:val="0"/>
      <w:marRight w:val="0"/>
      <w:marTop w:val="0"/>
      <w:marBottom w:val="0"/>
      <w:divBdr>
        <w:top w:val="none" w:sz="0" w:space="0" w:color="auto"/>
        <w:left w:val="none" w:sz="0" w:space="0" w:color="auto"/>
        <w:bottom w:val="none" w:sz="0" w:space="0" w:color="auto"/>
        <w:right w:val="none" w:sz="0" w:space="0" w:color="auto"/>
      </w:divBdr>
    </w:div>
    <w:div w:id="597834350">
      <w:bodyDiv w:val="1"/>
      <w:marLeft w:val="0"/>
      <w:marRight w:val="0"/>
      <w:marTop w:val="0"/>
      <w:marBottom w:val="0"/>
      <w:divBdr>
        <w:top w:val="none" w:sz="0" w:space="0" w:color="auto"/>
        <w:left w:val="none" w:sz="0" w:space="0" w:color="auto"/>
        <w:bottom w:val="none" w:sz="0" w:space="0" w:color="auto"/>
        <w:right w:val="none" w:sz="0" w:space="0" w:color="auto"/>
      </w:divBdr>
    </w:div>
    <w:div w:id="610940332">
      <w:bodyDiv w:val="1"/>
      <w:marLeft w:val="0"/>
      <w:marRight w:val="0"/>
      <w:marTop w:val="0"/>
      <w:marBottom w:val="0"/>
      <w:divBdr>
        <w:top w:val="none" w:sz="0" w:space="0" w:color="auto"/>
        <w:left w:val="none" w:sz="0" w:space="0" w:color="auto"/>
        <w:bottom w:val="none" w:sz="0" w:space="0" w:color="auto"/>
        <w:right w:val="none" w:sz="0" w:space="0" w:color="auto"/>
      </w:divBdr>
    </w:div>
    <w:div w:id="624821786">
      <w:bodyDiv w:val="1"/>
      <w:marLeft w:val="0"/>
      <w:marRight w:val="0"/>
      <w:marTop w:val="0"/>
      <w:marBottom w:val="0"/>
      <w:divBdr>
        <w:top w:val="none" w:sz="0" w:space="0" w:color="auto"/>
        <w:left w:val="none" w:sz="0" w:space="0" w:color="auto"/>
        <w:bottom w:val="none" w:sz="0" w:space="0" w:color="auto"/>
        <w:right w:val="none" w:sz="0" w:space="0" w:color="auto"/>
      </w:divBdr>
      <w:divsChild>
        <w:div w:id="22286967">
          <w:marLeft w:val="0"/>
          <w:marRight w:val="0"/>
          <w:marTop w:val="0"/>
          <w:marBottom w:val="0"/>
          <w:divBdr>
            <w:top w:val="none" w:sz="0" w:space="0" w:color="auto"/>
            <w:left w:val="none" w:sz="0" w:space="0" w:color="auto"/>
            <w:bottom w:val="none" w:sz="0" w:space="0" w:color="auto"/>
            <w:right w:val="none" w:sz="0" w:space="0" w:color="auto"/>
          </w:divBdr>
        </w:div>
        <w:div w:id="1868062391">
          <w:marLeft w:val="0"/>
          <w:marRight w:val="0"/>
          <w:marTop w:val="0"/>
          <w:marBottom w:val="0"/>
          <w:divBdr>
            <w:top w:val="none" w:sz="0" w:space="0" w:color="auto"/>
            <w:left w:val="none" w:sz="0" w:space="0" w:color="auto"/>
            <w:bottom w:val="none" w:sz="0" w:space="0" w:color="auto"/>
            <w:right w:val="none" w:sz="0" w:space="0" w:color="auto"/>
          </w:divBdr>
        </w:div>
      </w:divsChild>
    </w:div>
    <w:div w:id="645210426">
      <w:bodyDiv w:val="1"/>
      <w:marLeft w:val="0"/>
      <w:marRight w:val="0"/>
      <w:marTop w:val="0"/>
      <w:marBottom w:val="0"/>
      <w:divBdr>
        <w:top w:val="none" w:sz="0" w:space="0" w:color="auto"/>
        <w:left w:val="none" w:sz="0" w:space="0" w:color="auto"/>
        <w:bottom w:val="none" w:sz="0" w:space="0" w:color="auto"/>
        <w:right w:val="none" w:sz="0" w:space="0" w:color="auto"/>
      </w:divBdr>
      <w:divsChild>
        <w:div w:id="335773052">
          <w:marLeft w:val="0"/>
          <w:marRight w:val="0"/>
          <w:marTop w:val="0"/>
          <w:marBottom w:val="0"/>
          <w:divBdr>
            <w:top w:val="none" w:sz="0" w:space="0" w:color="auto"/>
            <w:left w:val="none" w:sz="0" w:space="0" w:color="auto"/>
            <w:bottom w:val="none" w:sz="0" w:space="0" w:color="auto"/>
            <w:right w:val="none" w:sz="0" w:space="0" w:color="auto"/>
          </w:divBdr>
        </w:div>
      </w:divsChild>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519967">
      <w:bodyDiv w:val="1"/>
      <w:marLeft w:val="0"/>
      <w:marRight w:val="0"/>
      <w:marTop w:val="0"/>
      <w:marBottom w:val="0"/>
      <w:divBdr>
        <w:top w:val="none" w:sz="0" w:space="0" w:color="auto"/>
        <w:left w:val="none" w:sz="0" w:space="0" w:color="auto"/>
        <w:bottom w:val="none" w:sz="0" w:space="0" w:color="auto"/>
        <w:right w:val="none" w:sz="0" w:space="0" w:color="auto"/>
      </w:divBdr>
    </w:div>
    <w:div w:id="658265261">
      <w:bodyDiv w:val="1"/>
      <w:marLeft w:val="0"/>
      <w:marRight w:val="0"/>
      <w:marTop w:val="0"/>
      <w:marBottom w:val="0"/>
      <w:divBdr>
        <w:top w:val="none" w:sz="0" w:space="0" w:color="auto"/>
        <w:left w:val="none" w:sz="0" w:space="0" w:color="auto"/>
        <w:bottom w:val="none" w:sz="0" w:space="0" w:color="auto"/>
        <w:right w:val="none" w:sz="0" w:space="0" w:color="auto"/>
      </w:divBdr>
    </w:div>
    <w:div w:id="669257344">
      <w:bodyDiv w:val="1"/>
      <w:marLeft w:val="0"/>
      <w:marRight w:val="0"/>
      <w:marTop w:val="0"/>
      <w:marBottom w:val="0"/>
      <w:divBdr>
        <w:top w:val="none" w:sz="0" w:space="0" w:color="auto"/>
        <w:left w:val="none" w:sz="0" w:space="0" w:color="auto"/>
        <w:bottom w:val="none" w:sz="0" w:space="0" w:color="auto"/>
        <w:right w:val="none" w:sz="0" w:space="0" w:color="auto"/>
      </w:divBdr>
    </w:div>
    <w:div w:id="676886949">
      <w:bodyDiv w:val="1"/>
      <w:marLeft w:val="0"/>
      <w:marRight w:val="0"/>
      <w:marTop w:val="0"/>
      <w:marBottom w:val="0"/>
      <w:divBdr>
        <w:top w:val="none" w:sz="0" w:space="0" w:color="auto"/>
        <w:left w:val="none" w:sz="0" w:space="0" w:color="auto"/>
        <w:bottom w:val="none" w:sz="0" w:space="0" w:color="auto"/>
        <w:right w:val="none" w:sz="0" w:space="0" w:color="auto"/>
      </w:divBdr>
    </w:div>
    <w:div w:id="692613802">
      <w:bodyDiv w:val="1"/>
      <w:marLeft w:val="0"/>
      <w:marRight w:val="0"/>
      <w:marTop w:val="0"/>
      <w:marBottom w:val="0"/>
      <w:divBdr>
        <w:top w:val="none" w:sz="0" w:space="0" w:color="auto"/>
        <w:left w:val="none" w:sz="0" w:space="0" w:color="auto"/>
        <w:bottom w:val="none" w:sz="0" w:space="0" w:color="auto"/>
        <w:right w:val="none" w:sz="0" w:space="0" w:color="auto"/>
      </w:divBdr>
    </w:div>
    <w:div w:id="700781528">
      <w:bodyDiv w:val="1"/>
      <w:marLeft w:val="0"/>
      <w:marRight w:val="0"/>
      <w:marTop w:val="0"/>
      <w:marBottom w:val="0"/>
      <w:divBdr>
        <w:top w:val="none" w:sz="0" w:space="0" w:color="auto"/>
        <w:left w:val="none" w:sz="0" w:space="0" w:color="auto"/>
        <w:bottom w:val="none" w:sz="0" w:space="0" w:color="auto"/>
        <w:right w:val="none" w:sz="0" w:space="0" w:color="auto"/>
      </w:divBdr>
    </w:div>
    <w:div w:id="706955491">
      <w:bodyDiv w:val="1"/>
      <w:marLeft w:val="0"/>
      <w:marRight w:val="0"/>
      <w:marTop w:val="0"/>
      <w:marBottom w:val="0"/>
      <w:divBdr>
        <w:top w:val="none" w:sz="0" w:space="0" w:color="auto"/>
        <w:left w:val="none" w:sz="0" w:space="0" w:color="auto"/>
        <w:bottom w:val="none" w:sz="0" w:space="0" w:color="auto"/>
        <w:right w:val="none" w:sz="0" w:space="0" w:color="auto"/>
      </w:divBdr>
    </w:div>
    <w:div w:id="710878897">
      <w:bodyDiv w:val="1"/>
      <w:marLeft w:val="0"/>
      <w:marRight w:val="0"/>
      <w:marTop w:val="0"/>
      <w:marBottom w:val="0"/>
      <w:divBdr>
        <w:top w:val="none" w:sz="0" w:space="0" w:color="auto"/>
        <w:left w:val="none" w:sz="0" w:space="0" w:color="auto"/>
        <w:bottom w:val="none" w:sz="0" w:space="0" w:color="auto"/>
        <w:right w:val="none" w:sz="0" w:space="0" w:color="auto"/>
      </w:divBdr>
    </w:div>
    <w:div w:id="717238421">
      <w:bodyDiv w:val="1"/>
      <w:marLeft w:val="0"/>
      <w:marRight w:val="0"/>
      <w:marTop w:val="0"/>
      <w:marBottom w:val="0"/>
      <w:divBdr>
        <w:top w:val="none" w:sz="0" w:space="0" w:color="auto"/>
        <w:left w:val="none" w:sz="0" w:space="0" w:color="auto"/>
        <w:bottom w:val="none" w:sz="0" w:space="0" w:color="auto"/>
        <w:right w:val="none" w:sz="0" w:space="0" w:color="auto"/>
      </w:divBdr>
    </w:div>
    <w:div w:id="724068236">
      <w:bodyDiv w:val="1"/>
      <w:marLeft w:val="0"/>
      <w:marRight w:val="0"/>
      <w:marTop w:val="0"/>
      <w:marBottom w:val="0"/>
      <w:divBdr>
        <w:top w:val="none" w:sz="0" w:space="0" w:color="auto"/>
        <w:left w:val="none" w:sz="0" w:space="0" w:color="auto"/>
        <w:bottom w:val="none" w:sz="0" w:space="0" w:color="auto"/>
        <w:right w:val="none" w:sz="0" w:space="0" w:color="auto"/>
      </w:divBdr>
    </w:div>
    <w:div w:id="790438883">
      <w:bodyDiv w:val="1"/>
      <w:marLeft w:val="0"/>
      <w:marRight w:val="0"/>
      <w:marTop w:val="0"/>
      <w:marBottom w:val="0"/>
      <w:divBdr>
        <w:top w:val="none" w:sz="0" w:space="0" w:color="auto"/>
        <w:left w:val="none" w:sz="0" w:space="0" w:color="auto"/>
        <w:bottom w:val="none" w:sz="0" w:space="0" w:color="auto"/>
        <w:right w:val="none" w:sz="0" w:space="0" w:color="auto"/>
      </w:divBdr>
    </w:div>
    <w:div w:id="838232082">
      <w:bodyDiv w:val="1"/>
      <w:marLeft w:val="0"/>
      <w:marRight w:val="0"/>
      <w:marTop w:val="0"/>
      <w:marBottom w:val="0"/>
      <w:divBdr>
        <w:top w:val="none" w:sz="0" w:space="0" w:color="auto"/>
        <w:left w:val="none" w:sz="0" w:space="0" w:color="auto"/>
        <w:bottom w:val="none" w:sz="0" w:space="0" w:color="auto"/>
        <w:right w:val="none" w:sz="0" w:space="0" w:color="auto"/>
      </w:divBdr>
    </w:div>
    <w:div w:id="842823118">
      <w:bodyDiv w:val="1"/>
      <w:marLeft w:val="0"/>
      <w:marRight w:val="0"/>
      <w:marTop w:val="0"/>
      <w:marBottom w:val="0"/>
      <w:divBdr>
        <w:top w:val="none" w:sz="0" w:space="0" w:color="auto"/>
        <w:left w:val="none" w:sz="0" w:space="0" w:color="auto"/>
        <w:bottom w:val="none" w:sz="0" w:space="0" w:color="auto"/>
        <w:right w:val="none" w:sz="0" w:space="0" w:color="auto"/>
      </w:divBdr>
    </w:div>
    <w:div w:id="848064090">
      <w:bodyDiv w:val="1"/>
      <w:marLeft w:val="0"/>
      <w:marRight w:val="0"/>
      <w:marTop w:val="0"/>
      <w:marBottom w:val="0"/>
      <w:divBdr>
        <w:top w:val="none" w:sz="0" w:space="0" w:color="auto"/>
        <w:left w:val="none" w:sz="0" w:space="0" w:color="auto"/>
        <w:bottom w:val="none" w:sz="0" w:space="0" w:color="auto"/>
        <w:right w:val="none" w:sz="0" w:space="0" w:color="auto"/>
      </w:divBdr>
    </w:div>
    <w:div w:id="856042158">
      <w:bodyDiv w:val="1"/>
      <w:marLeft w:val="0"/>
      <w:marRight w:val="0"/>
      <w:marTop w:val="0"/>
      <w:marBottom w:val="0"/>
      <w:divBdr>
        <w:top w:val="none" w:sz="0" w:space="0" w:color="auto"/>
        <w:left w:val="none" w:sz="0" w:space="0" w:color="auto"/>
        <w:bottom w:val="none" w:sz="0" w:space="0" w:color="auto"/>
        <w:right w:val="none" w:sz="0" w:space="0" w:color="auto"/>
      </w:divBdr>
      <w:divsChild>
        <w:div w:id="169415082">
          <w:marLeft w:val="0"/>
          <w:marRight w:val="0"/>
          <w:marTop w:val="0"/>
          <w:marBottom w:val="0"/>
          <w:divBdr>
            <w:top w:val="none" w:sz="0" w:space="0" w:color="auto"/>
            <w:left w:val="none" w:sz="0" w:space="0" w:color="auto"/>
            <w:bottom w:val="none" w:sz="0" w:space="0" w:color="auto"/>
            <w:right w:val="none" w:sz="0" w:space="0" w:color="auto"/>
          </w:divBdr>
        </w:div>
        <w:div w:id="944504872">
          <w:marLeft w:val="0"/>
          <w:marRight w:val="0"/>
          <w:marTop w:val="0"/>
          <w:marBottom w:val="0"/>
          <w:divBdr>
            <w:top w:val="none" w:sz="0" w:space="0" w:color="auto"/>
            <w:left w:val="none" w:sz="0" w:space="0" w:color="auto"/>
            <w:bottom w:val="none" w:sz="0" w:space="0" w:color="auto"/>
            <w:right w:val="none" w:sz="0" w:space="0" w:color="auto"/>
          </w:divBdr>
        </w:div>
      </w:divsChild>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878397718">
      <w:bodyDiv w:val="1"/>
      <w:marLeft w:val="0"/>
      <w:marRight w:val="0"/>
      <w:marTop w:val="0"/>
      <w:marBottom w:val="0"/>
      <w:divBdr>
        <w:top w:val="none" w:sz="0" w:space="0" w:color="auto"/>
        <w:left w:val="none" w:sz="0" w:space="0" w:color="auto"/>
        <w:bottom w:val="none" w:sz="0" w:space="0" w:color="auto"/>
        <w:right w:val="none" w:sz="0" w:space="0" w:color="auto"/>
      </w:divBdr>
    </w:div>
    <w:div w:id="885260574">
      <w:bodyDiv w:val="1"/>
      <w:marLeft w:val="0"/>
      <w:marRight w:val="0"/>
      <w:marTop w:val="0"/>
      <w:marBottom w:val="0"/>
      <w:divBdr>
        <w:top w:val="none" w:sz="0" w:space="0" w:color="auto"/>
        <w:left w:val="none" w:sz="0" w:space="0" w:color="auto"/>
        <w:bottom w:val="none" w:sz="0" w:space="0" w:color="auto"/>
        <w:right w:val="none" w:sz="0" w:space="0" w:color="auto"/>
      </w:divBdr>
      <w:divsChild>
        <w:div w:id="577982579">
          <w:marLeft w:val="0"/>
          <w:marRight w:val="0"/>
          <w:marTop w:val="0"/>
          <w:marBottom w:val="0"/>
          <w:divBdr>
            <w:top w:val="none" w:sz="0" w:space="0" w:color="auto"/>
            <w:left w:val="none" w:sz="0" w:space="0" w:color="auto"/>
            <w:bottom w:val="none" w:sz="0" w:space="0" w:color="auto"/>
            <w:right w:val="none" w:sz="0" w:space="0" w:color="auto"/>
          </w:divBdr>
        </w:div>
        <w:div w:id="735737335">
          <w:marLeft w:val="0"/>
          <w:marRight w:val="0"/>
          <w:marTop w:val="0"/>
          <w:marBottom w:val="0"/>
          <w:divBdr>
            <w:top w:val="none" w:sz="0" w:space="0" w:color="auto"/>
            <w:left w:val="none" w:sz="0" w:space="0" w:color="auto"/>
            <w:bottom w:val="none" w:sz="0" w:space="0" w:color="auto"/>
            <w:right w:val="none" w:sz="0" w:space="0" w:color="auto"/>
          </w:divBdr>
        </w:div>
        <w:div w:id="1903128308">
          <w:marLeft w:val="0"/>
          <w:marRight w:val="0"/>
          <w:marTop w:val="0"/>
          <w:marBottom w:val="0"/>
          <w:divBdr>
            <w:top w:val="none" w:sz="0" w:space="0" w:color="auto"/>
            <w:left w:val="none" w:sz="0" w:space="0" w:color="auto"/>
            <w:bottom w:val="none" w:sz="0" w:space="0" w:color="auto"/>
            <w:right w:val="none" w:sz="0" w:space="0" w:color="auto"/>
          </w:divBdr>
        </w:div>
      </w:divsChild>
    </w:div>
    <w:div w:id="926884085">
      <w:bodyDiv w:val="1"/>
      <w:marLeft w:val="0"/>
      <w:marRight w:val="0"/>
      <w:marTop w:val="0"/>
      <w:marBottom w:val="0"/>
      <w:divBdr>
        <w:top w:val="none" w:sz="0" w:space="0" w:color="auto"/>
        <w:left w:val="none" w:sz="0" w:space="0" w:color="auto"/>
        <w:bottom w:val="none" w:sz="0" w:space="0" w:color="auto"/>
        <w:right w:val="none" w:sz="0" w:space="0" w:color="auto"/>
      </w:divBdr>
    </w:div>
    <w:div w:id="968314370">
      <w:bodyDiv w:val="1"/>
      <w:marLeft w:val="0"/>
      <w:marRight w:val="0"/>
      <w:marTop w:val="0"/>
      <w:marBottom w:val="0"/>
      <w:divBdr>
        <w:top w:val="none" w:sz="0" w:space="0" w:color="auto"/>
        <w:left w:val="none" w:sz="0" w:space="0" w:color="auto"/>
        <w:bottom w:val="none" w:sz="0" w:space="0" w:color="auto"/>
        <w:right w:val="none" w:sz="0" w:space="0" w:color="auto"/>
      </w:divBdr>
    </w:div>
    <w:div w:id="969288675">
      <w:bodyDiv w:val="1"/>
      <w:marLeft w:val="0"/>
      <w:marRight w:val="0"/>
      <w:marTop w:val="0"/>
      <w:marBottom w:val="0"/>
      <w:divBdr>
        <w:top w:val="none" w:sz="0" w:space="0" w:color="auto"/>
        <w:left w:val="none" w:sz="0" w:space="0" w:color="auto"/>
        <w:bottom w:val="none" w:sz="0" w:space="0" w:color="auto"/>
        <w:right w:val="none" w:sz="0" w:space="0" w:color="auto"/>
      </w:divBdr>
    </w:div>
    <w:div w:id="984745552">
      <w:bodyDiv w:val="1"/>
      <w:marLeft w:val="0"/>
      <w:marRight w:val="0"/>
      <w:marTop w:val="0"/>
      <w:marBottom w:val="0"/>
      <w:divBdr>
        <w:top w:val="none" w:sz="0" w:space="0" w:color="auto"/>
        <w:left w:val="none" w:sz="0" w:space="0" w:color="auto"/>
        <w:bottom w:val="none" w:sz="0" w:space="0" w:color="auto"/>
        <w:right w:val="none" w:sz="0" w:space="0" w:color="auto"/>
      </w:divBdr>
    </w:div>
    <w:div w:id="1006634186">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25061098">
      <w:bodyDiv w:val="1"/>
      <w:marLeft w:val="0"/>
      <w:marRight w:val="0"/>
      <w:marTop w:val="0"/>
      <w:marBottom w:val="0"/>
      <w:divBdr>
        <w:top w:val="none" w:sz="0" w:space="0" w:color="auto"/>
        <w:left w:val="none" w:sz="0" w:space="0" w:color="auto"/>
        <w:bottom w:val="none" w:sz="0" w:space="0" w:color="auto"/>
        <w:right w:val="none" w:sz="0" w:space="0" w:color="auto"/>
      </w:divBdr>
    </w:div>
    <w:div w:id="1029795773">
      <w:bodyDiv w:val="1"/>
      <w:marLeft w:val="0"/>
      <w:marRight w:val="0"/>
      <w:marTop w:val="0"/>
      <w:marBottom w:val="0"/>
      <w:divBdr>
        <w:top w:val="none" w:sz="0" w:space="0" w:color="auto"/>
        <w:left w:val="none" w:sz="0" w:space="0" w:color="auto"/>
        <w:bottom w:val="none" w:sz="0" w:space="0" w:color="auto"/>
        <w:right w:val="none" w:sz="0" w:space="0" w:color="auto"/>
      </w:divBdr>
    </w:div>
    <w:div w:id="1053307408">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073039452">
      <w:bodyDiv w:val="1"/>
      <w:marLeft w:val="0"/>
      <w:marRight w:val="0"/>
      <w:marTop w:val="0"/>
      <w:marBottom w:val="0"/>
      <w:divBdr>
        <w:top w:val="none" w:sz="0" w:space="0" w:color="auto"/>
        <w:left w:val="none" w:sz="0" w:space="0" w:color="auto"/>
        <w:bottom w:val="none" w:sz="0" w:space="0" w:color="auto"/>
        <w:right w:val="none" w:sz="0" w:space="0" w:color="auto"/>
      </w:divBdr>
    </w:div>
    <w:div w:id="1074476181">
      <w:bodyDiv w:val="1"/>
      <w:marLeft w:val="0"/>
      <w:marRight w:val="0"/>
      <w:marTop w:val="0"/>
      <w:marBottom w:val="0"/>
      <w:divBdr>
        <w:top w:val="none" w:sz="0" w:space="0" w:color="auto"/>
        <w:left w:val="none" w:sz="0" w:space="0" w:color="auto"/>
        <w:bottom w:val="none" w:sz="0" w:space="0" w:color="auto"/>
        <w:right w:val="none" w:sz="0" w:space="0" w:color="auto"/>
      </w:divBdr>
    </w:div>
    <w:div w:id="1077943688">
      <w:bodyDiv w:val="1"/>
      <w:marLeft w:val="0"/>
      <w:marRight w:val="0"/>
      <w:marTop w:val="0"/>
      <w:marBottom w:val="0"/>
      <w:divBdr>
        <w:top w:val="none" w:sz="0" w:space="0" w:color="auto"/>
        <w:left w:val="none" w:sz="0" w:space="0" w:color="auto"/>
        <w:bottom w:val="none" w:sz="0" w:space="0" w:color="auto"/>
        <w:right w:val="none" w:sz="0" w:space="0" w:color="auto"/>
      </w:divBdr>
    </w:div>
    <w:div w:id="1093354462">
      <w:bodyDiv w:val="1"/>
      <w:marLeft w:val="0"/>
      <w:marRight w:val="0"/>
      <w:marTop w:val="0"/>
      <w:marBottom w:val="0"/>
      <w:divBdr>
        <w:top w:val="none" w:sz="0" w:space="0" w:color="auto"/>
        <w:left w:val="none" w:sz="0" w:space="0" w:color="auto"/>
        <w:bottom w:val="none" w:sz="0" w:space="0" w:color="auto"/>
        <w:right w:val="none" w:sz="0" w:space="0" w:color="auto"/>
      </w:divBdr>
    </w:div>
    <w:div w:id="1107965313">
      <w:bodyDiv w:val="1"/>
      <w:marLeft w:val="0"/>
      <w:marRight w:val="0"/>
      <w:marTop w:val="0"/>
      <w:marBottom w:val="0"/>
      <w:divBdr>
        <w:top w:val="none" w:sz="0" w:space="0" w:color="auto"/>
        <w:left w:val="none" w:sz="0" w:space="0" w:color="auto"/>
        <w:bottom w:val="none" w:sz="0" w:space="0" w:color="auto"/>
        <w:right w:val="none" w:sz="0" w:space="0" w:color="auto"/>
      </w:divBdr>
    </w:div>
    <w:div w:id="1109200752">
      <w:bodyDiv w:val="1"/>
      <w:marLeft w:val="0"/>
      <w:marRight w:val="0"/>
      <w:marTop w:val="0"/>
      <w:marBottom w:val="0"/>
      <w:divBdr>
        <w:top w:val="none" w:sz="0" w:space="0" w:color="auto"/>
        <w:left w:val="none" w:sz="0" w:space="0" w:color="auto"/>
        <w:bottom w:val="none" w:sz="0" w:space="0" w:color="auto"/>
        <w:right w:val="none" w:sz="0" w:space="0" w:color="auto"/>
      </w:divBdr>
    </w:div>
    <w:div w:id="1113282111">
      <w:bodyDiv w:val="1"/>
      <w:marLeft w:val="0"/>
      <w:marRight w:val="0"/>
      <w:marTop w:val="0"/>
      <w:marBottom w:val="0"/>
      <w:divBdr>
        <w:top w:val="none" w:sz="0" w:space="0" w:color="auto"/>
        <w:left w:val="none" w:sz="0" w:space="0" w:color="auto"/>
        <w:bottom w:val="none" w:sz="0" w:space="0" w:color="auto"/>
        <w:right w:val="none" w:sz="0" w:space="0" w:color="auto"/>
      </w:divBdr>
    </w:div>
    <w:div w:id="1114255220">
      <w:bodyDiv w:val="1"/>
      <w:marLeft w:val="0"/>
      <w:marRight w:val="0"/>
      <w:marTop w:val="0"/>
      <w:marBottom w:val="0"/>
      <w:divBdr>
        <w:top w:val="none" w:sz="0" w:space="0" w:color="auto"/>
        <w:left w:val="none" w:sz="0" w:space="0" w:color="auto"/>
        <w:bottom w:val="none" w:sz="0" w:space="0" w:color="auto"/>
        <w:right w:val="none" w:sz="0" w:space="0" w:color="auto"/>
      </w:divBdr>
    </w:div>
    <w:div w:id="1191185827">
      <w:bodyDiv w:val="1"/>
      <w:marLeft w:val="0"/>
      <w:marRight w:val="0"/>
      <w:marTop w:val="0"/>
      <w:marBottom w:val="0"/>
      <w:divBdr>
        <w:top w:val="none" w:sz="0" w:space="0" w:color="auto"/>
        <w:left w:val="none" w:sz="0" w:space="0" w:color="auto"/>
        <w:bottom w:val="none" w:sz="0" w:space="0" w:color="auto"/>
        <w:right w:val="none" w:sz="0" w:space="0" w:color="auto"/>
      </w:divBdr>
    </w:div>
    <w:div w:id="1229848626">
      <w:bodyDiv w:val="1"/>
      <w:marLeft w:val="0"/>
      <w:marRight w:val="0"/>
      <w:marTop w:val="0"/>
      <w:marBottom w:val="0"/>
      <w:divBdr>
        <w:top w:val="none" w:sz="0" w:space="0" w:color="auto"/>
        <w:left w:val="none" w:sz="0" w:space="0" w:color="auto"/>
        <w:bottom w:val="none" w:sz="0" w:space="0" w:color="auto"/>
        <w:right w:val="none" w:sz="0" w:space="0" w:color="auto"/>
      </w:divBdr>
    </w:div>
    <w:div w:id="1230268455">
      <w:bodyDiv w:val="1"/>
      <w:marLeft w:val="0"/>
      <w:marRight w:val="0"/>
      <w:marTop w:val="0"/>
      <w:marBottom w:val="0"/>
      <w:divBdr>
        <w:top w:val="none" w:sz="0" w:space="0" w:color="auto"/>
        <w:left w:val="none" w:sz="0" w:space="0" w:color="auto"/>
        <w:bottom w:val="none" w:sz="0" w:space="0" w:color="auto"/>
        <w:right w:val="none" w:sz="0" w:space="0" w:color="auto"/>
      </w:divBdr>
    </w:div>
    <w:div w:id="1232041767">
      <w:bodyDiv w:val="1"/>
      <w:marLeft w:val="0"/>
      <w:marRight w:val="0"/>
      <w:marTop w:val="0"/>
      <w:marBottom w:val="0"/>
      <w:divBdr>
        <w:top w:val="none" w:sz="0" w:space="0" w:color="auto"/>
        <w:left w:val="none" w:sz="0" w:space="0" w:color="auto"/>
        <w:bottom w:val="none" w:sz="0" w:space="0" w:color="auto"/>
        <w:right w:val="none" w:sz="0" w:space="0" w:color="auto"/>
      </w:divBdr>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
    <w:div w:id="124336777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99602594">
      <w:bodyDiv w:val="1"/>
      <w:marLeft w:val="0"/>
      <w:marRight w:val="0"/>
      <w:marTop w:val="0"/>
      <w:marBottom w:val="0"/>
      <w:divBdr>
        <w:top w:val="none" w:sz="0" w:space="0" w:color="auto"/>
        <w:left w:val="none" w:sz="0" w:space="0" w:color="auto"/>
        <w:bottom w:val="none" w:sz="0" w:space="0" w:color="auto"/>
        <w:right w:val="none" w:sz="0" w:space="0" w:color="auto"/>
      </w:divBdr>
      <w:divsChild>
        <w:div w:id="60909537">
          <w:marLeft w:val="0"/>
          <w:marRight w:val="0"/>
          <w:marTop w:val="0"/>
          <w:marBottom w:val="0"/>
          <w:divBdr>
            <w:top w:val="none" w:sz="0" w:space="0" w:color="auto"/>
            <w:left w:val="none" w:sz="0" w:space="0" w:color="auto"/>
            <w:bottom w:val="none" w:sz="0" w:space="0" w:color="auto"/>
            <w:right w:val="none" w:sz="0" w:space="0" w:color="auto"/>
          </w:divBdr>
        </w:div>
        <w:div w:id="891041822">
          <w:marLeft w:val="0"/>
          <w:marRight w:val="0"/>
          <w:marTop w:val="0"/>
          <w:marBottom w:val="0"/>
          <w:divBdr>
            <w:top w:val="none" w:sz="0" w:space="0" w:color="auto"/>
            <w:left w:val="none" w:sz="0" w:space="0" w:color="auto"/>
            <w:bottom w:val="none" w:sz="0" w:space="0" w:color="auto"/>
            <w:right w:val="none" w:sz="0" w:space="0" w:color="auto"/>
          </w:divBdr>
        </w:div>
        <w:div w:id="2112821483">
          <w:marLeft w:val="0"/>
          <w:marRight w:val="0"/>
          <w:marTop w:val="0"/>
          <w:marBottom w:val="0"/>
          <w:divBdr>
            <w:top w:val="none" w:sz="0" w:space="0" w:color="auto"/>
            <w:left w:val="none" w:sz="0" w:space="0" w:color="auto"/>
            <w:bottom w:val="none" w:sz="0" w:space="0" w:color="auto"/>
            <w:right w:val="none" w:sz="0" w:space="0" w:color="auto"/>
          </w:divBdr>
        </w:div>
      </w:divsChild>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314136756">
      <w:bodyDiv w:val="1"/>
      <w:marLeft w:val="0"/>
      <w:marRight w:val="0"/>
      <w:marTop w:val="0"/>
      <w:marBottom w:val="0"/>
      <w:divBdr>
        <w:top w:val="none" w:sz="0" w:space="0" w:color="auto"/>
        <w:left w:val="none" w:sz="0" w:space="0" w:color="auto"/>
        <w:bottom w:val="none" w:sz="0" w:space="0" w:color="auto"/>
        <w:right w:val="none" w:sz="0" w:space="0" w:color="auto"/>
      </w:divBdr>
    </w:div>
    <w:div w:id="1323318412">
      <w:bodyDiv w:val="1"/>
      <w:marLeft w:val="0"/>
      <w:marRight w:val="0"/>
      <w:marTop w:val="0"/>
      <w:marBottom w:val="0"/>
      <w:divBdr>
        <w:top w:val="none" w:sz="0" w:space="0" w:color="auto"/>
        <w:left w:val="none" w:sz="0" w:space="0" w:color="auto"/>
        <w:bottom w:val="none" w:sz="0" w:space="0" w:color="auto"/>
        <w:right w:val="none" w:sz="0" w:space="0" w:color="auto"/>
      </w:divBdr>
    </w:div>
    <w:div w:id="1351103711">
      <w:bodyDiv w:val="1"/>
      <w:marLeft w:val="0"/>
      <w:marRight w:val="0"/>
      <w:marTop w:val="0"/>
      <w:marBottom w:val="0"/>
      <w:divBdr>
        <w:top w:val="none" w:sz="0" w:space="0" w:color="auto"/>
        <w:left w:val="none" w:sz="0" w:space="0" w:color="auto"/>
        <w:bottom w:val="none" w:sz="0" w:space="0" w:color="auto"/>
        <w:right w:val="none" w:sz="0" w:space="0" w:color="auto"/>
      </w:divBdr>
    </w:div>
    <w:div w:id="1364137132">
      <w:bodyDiv w:val="1"/>
      <w:marLeft w:val="0"/>
      <w:marRight w:val="0"/>
      <w:marTop w:val="0"/>
      <w:marBottom w:val="0"/>
      <w:divBdr>
        <w:top w:val="none" w:sz="0" w:space="0" w:color="auto"/>
        <w:left w:val="none" w:sz="0" w:space="0" w:color="auto"/>
        <w:bottom w:val="none" w:sz="0" w:space="0" w:color="auto"/>
        <w:right w:val="none" w:sz="0" w:space="0" w:color="auto"/>
      </w:divBdr>
    </w:div>
    <w:div w:id="1375959015">
      <w:bodyDiv w:val="1"/>
      <w:marLeft w:val="0"/>
      <w:marRight w:val="0"/>
      <w:marTop w:val="0"/>
      <w:marBottom w:val="0"/>
      <w:divBdr>
        <w:top w:val="none" w:sz="0" w:space="0" w:color="auto"/>
        <w:left w:val="none" w:sz="0" w:space="0" w:color="auto"/>
        <w:bottom w:val="none" w:sz="0" w:space="0" w:color="auto"/>
        <w:right w:val="none" w:sz="0" w:space="0" w:color="auto"/>
      </w:divBdr>
    </w:div>
    <w:div w:id="1378972617">
      <w:bodyDiv w:val="1"/>
      <w:marLeft w:val="0"/>
      <w:marRight w:val="0"/>
      <w:marTop w:val="0"/>
      <w:marBottom w:val="0"/>
      <w:divBdr>
        <w:top w:val="none" w:sz="0" w:space="0" w:color="auto"/>
        <w:left w:val="none" w:sz="0" w:space="0" w:color="auto"/>
        <w:bottom w:val="none" w:sz="0" w:space="0" w:color="auto"/>
        <w:right w:val="none" w:sz="0" w:space="0" w:color="auto"/>
      </w:divBdr>
    </w:div>
    <w:div w:id="1393113352">
      <w:bodyDiv w:val="1"/>
      <w:marLeft w:val="0"/>
      <w:marRight w:val="0"/>
      <w:marTop w:val="0"/>
      <w:marBottom w:val="0"/>
      <w:divBdr>
        <w:top w:val="none" w:sz="0" w:space="0" w:color="auto"/>
        <w:left w:val="none" w:sz="0" w:space="0" w:color="auto"/>
        <w:bottom w:val="none" w:sz="0" w:space="0" w:color="auto"/>
        <w:right w:val="none" w:sz="0" w:space="0" w:color="auto"/>
      </w:divBdr>
      <w:divsChild>
        <w:div w:id="217403600">
          <w:marLeft w:val="0"/>
          <w:marRight w:val="0"/>
          <w:marTop w:val="0"/>
          <w:marBottom w:val="0"/>
          <w:divBdr>
            <w:top w:val="none" w:sz="0" w:space="0" w:color="auto"/>
            <w:left w:val="none" w:sz="0" w:space="0" w:color="auto"/>
            <w:bottom w:val="none" w:sz="0" w:space="0" w:color="auto"/>
            <w:right w:val="none" w:sz="0" w:space="0" w:color="auto"/>
          </w:divBdr>
        </w:div>
        <w:div w:id="1644968122">
          <w:marLeft w:val="0"/>
          <w:marRight w:val="0"/>
          <w:marTop w:val="0"/>
          <w:marBottom w:val="0"/>
          <w:divBdr>
            <w:top w:val="none" w:sz="0" w:space="0" w:color="auto"/>
            <w:left w:val="none" w:sz="0" w:space="0" w:color="auto"/>
            <w:bottom w:val="none" w:sz="0" w:space="0" w:color="auto"/>
            <w:right w:val="none" w:sz="0" w:space="0" w:color="auto"/>
          </w:divBdr>
        </w:div>
      </w:divsChild>
    </w:div>
    <w:div w:id="1420907544">
      <w:bodyDiv w:val="1"/>
      <w:marLeft w:val="0"/>
      <w:marRight w:val="0"/>
      <w:marTop w:val="0"/>
      <w:marBottom w:val="0"/>
      <w:divBdr>
        <w:top w:val="none" w:sz="0" w:space="0" w:color="auto"/>
        <w:left w:val="none" w:sz="0" w:space="0" w:color="auto"/>
        <w:bottom w:val="none" w:sz="0" w:space="0" w:color="auto"/>
        <w:right w:val="none" w:sz="0" w:space="0" w:color="auto"/>
      </w:divBdr>
    </w:div>
    <w:div w:id="1435322310">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447848567">
      <w:bodyDiv w:val="1"/>
      <w:marLeft w:val="0"/>
      <w:marRight w:val="0"/>
      <w:marTop w:val="0"/>
      <w:marBottom w:val="0"/>
      <w:divBdr>
        <w:top w:val="none" w:sz="0" w:space="0" w:color="auto"/>
        <w:left w:val="none" w:sz="0" w:space="0" w:color="auto"/>
        <w:bottom w:val="none" w:sz="0" w:space="0" w:color="auto"/>
        <w:right w:val="none" w:sz="0" w:space="0" w:color="auto"/>
      </w:divBdr>
    </w:div>
    <w:div w:id="1471678824">
      <w:bodyDiv w:val="1"/>
      <w:marLeft w:val="0"/>
      <w:marRight w:val="0"/>
      <w:marTop w:val="0"/>
      <w:marBottom w:val="0"/>
      <w:divBdr>
        <w:top w:val="none" w:sz="0" w:space="0" w:color="auto"/>
        <w:left w:val="none" w:sz="0" w:space="0" w:color="auto"/>
        <w:bottom w:val="none" w:sz="0" w:space="0" w:color="auto"/>
        <w:right w:val="none" w:sz="0" w:space="0" w:color="auto"/>
      </w:divBdr>
    </w:div>
    <w:div w:id="1477843566">
      <w:bodyDiv w:val="1"/>
      <w:marLeft w:val="0"/>
      <w:marRight w:val="0"/>
      <w:marTop w:val="0"/>
      <w:marBottom w:val="0"/>
      <w:divBdr>
        <w:top w:val="none" w:sz="0" w:space="0" w:color="auto"/>
        <w:left w:val="none" w:sz="0" w:space="0" w:color="auto"/>
        <w:bottom w:val="none" w:sz="0" w:space="0" w:color="auto"/>
        <w:right w:val="none" w:sz="0" w:space="0" w:color="auto"/>
      </w:divBdr>
    </w:div>
    <w:div w:id="1512451343">
      <w:bodyDiv w:val="1"/>
      <w:marLeft w:val="0"/>
      <w:marRight w:val="0"/>
      <w:marTop w:val="0"/>
      <w:marBottom w:val="0"/>
      <w:divBdr>
        <w:top w:val="none" w:sz="0" w:space="0" w:color="auto"/>
        <w:left w:val="none" w:sz="0" w:space="0" w:color="auto"/>
        <w:bottom w:val="none" w:sz="0" w:space="0" w:color="auto"/>
        <w:right w:val="none" w:sz="0" w:space="0" w:color="auto"/>
      </w:divBdr>
    </w:div>
    <w:div w:id="1541476504">
      <w:bodyDiv w:val="1"/>
      <w:marLeft w:val="0"/>
      <w:marRight w:val="0"/>
      <w:marTop w:val="0"/>
      <w:marBottom w:val="0"/>
      <w:divBdr>
        <w:top w:val="none" w:sz="0" w:space="0" w:color="auto"/>
        <w:left w:val="none" w:sz="0" w:space="0" w:color="auto"/>
        <w:bottom w:val="none" w:sz="0" w:space="0" w:color="auto"/>
        <w:right w:val="none" w:sz="0" w:space="0" w:color="auto"/>
      </w:divBdr>
    </w:div>
    <w:div w:id="1542474841">
      <w:bodyDiv w:val="1"/>
      <w:marLeft w:val="0"/>
      <w:marRight w:val="0"/>
      <w:marTop w:val="0"/>
      <w:marBottom w:val="0"/>
      <w:divBdr>
        <w:top w:val="none" w:sz="0" w:space="0" w:color="auto"/>
        <w:left w:val="none" w:sz="0" w:space="0" w:color="auto"/>
        <w:bottom w:val="none" w:sz="0" w:space="0" w:color="auto"/>
        <w:right w:val="none" w:sz="0" w:space="0" w:color="auto"/>
      </w:divBdr>
      <w:divsChild>
        <w:div w:id="593713225">
          <w:marLeft w:val="0"/>
          <w:marRight w:val="0"/>
          <w:marTop w:val="0"/>
          <w:marBottom w:val="0"/>
          <w:divBdr>
            <w:top w:val="none" w:sz="0" w:space="0" w:color="auto"/>
            <w:left w:val="none" w:sz="0" w:space="0" w:color="auto"/>
            <w:bottom w:val="none" w:sz="0" w:space="0" w:color="auto"/>
            <w:right w:val="none" w:sz="0" w:space="0" w:color="auto"/>
          </w:divBdr>
        </w:div>
        <w:div w:id="907882561">
          <w:marLeft w:val="0"/>
          <w:marRight w:val="0"/>
          <w:marTop w:val="0"/>
          <w:marBottom w:val="0"/>
          <w:divBdr>
            <w:top w:val="none" w:sz="0" w:space="0" w:color="auto"/>
            <w:left w:val="none" w:sz="0" w:space="0" w:color="auto"/>
            <w:bottom w:val="none" w:sz="0" w:space="0" w:color="auto"/>
            <w:right w:val="none" w:sz="0" w:space="0" w:color="auto"/>
          </w:divBdr>
        </w:div>
        <w:div w:id="1098719088">
          <w:marLeft w:val="0"/>
          <w:marRight w:val="0"/>
          <w:marTop w:val="0"/>
          <w:marBottom w:val="0"/>
          <w:divBdr>
            <w:top w:val="none" w:sz="0" w:space="0" w:color="auto"/>
            <w:left w:val="none" w:sz="0" w:space="0" w:color="auto"/>
            <w:bottom w:val="none" w:sz="0" w:space="0" w:color="auto"/>
            <w:right w:val="none" w:sz="0" w:space="0" w:color="auto"/>
          </w:divBdr>
        </w:div>
        <w:div w:id="2027247331">
          <w:marLeft w:val="0"/>
          <w:marRight w:val="0"/>
          <w:marTop w:val="0"/>
          <w:marBottom w:val="0"/>
          <w:divBdr>
            <w:top w:val="none" w:sz="0" w:space="0" w:color="auto"/>
            <w:left w:val="none" w:sz="0" w:space="0" w:color="auto"/>
            <w:bottom w:val="none" w:sz="0" w:space="0" w:color="auto"/>
            <w:right w:val="none" w:sz="0" w:space="0" w:color="auto"/>
          </w:divBdr>
        </w:div>
      </w:divsChild>
    </w:div>
    <w:div w:id="1582370362">
      <w:bodyDiv w:val="1"/>
      <w:marLeft w:val="0"/>
      <w:marRight w:val="0"/>
      <w:marTop w:val="0"/>
      <w:marBottom w:val="0"/>
      <w:divBdr>
        <w:top w:val="none" w:sz="0" w:space="0" w:color="auto"/>
        <w:left w:val="none" w:sz="0" w:space="0" w:color="auto"/>
        <w:bottom w:val="none" w:sz="0" w:space="0" w:color="auto"/>
        <w:right w:val="none" w:sz="0" w:space="0" w:color="auto"/>
      </w:divBdr>
    </w:div>
    <w:div w:id="1590656397">
      <w:bodyDiv w:val="1"/>
      <w:marLeft w:val="0"/>
      <w:marRight w:val="0"/>
      <w:marTop w:val="0"/>
      <w:marBottom w:val="0"/>
      <w:divBdr>
        <w:top w:val="none" w:sz="0" w:space="0" w:color="auto"/>
        <w:left w:val="none" w:sz="0" w:space="0" w:color="auto"/>
        <w:bottom w:val="none" w:sz="0" w:space="0" w:color="auto"/>
        <w:right w:val="none" w:sz="0" w:space="0" w:color="auto"/>
      </w:divBdr>
    </w:div>
    <w:div w:id="1622110216">
      <w:bodyDiv w:val="1"/>
      <w:marLeft w:val="0"/>
      <w:marRight w:val="0"/>
      <w:marTop w:val="0"/>
      <w:marBottom w:val="0"/>
      <w:divBdr>
        <w:top w:val="none" w:sz="0" w:space="0" w:color="auto"/>
        <w:left w:val="none" w:sz="0" w:space="0" w:color="auto"/>
        <w:bottom w:val="none" w:sz="0" w:space="0" w:color="auto"/>
        <w:right w:val="none" w:sz="0" w:space="0" w:color="auto"/>
      </w:divBdr>
    </w:div>
    <w:div w:id="1651061624">
      <w:bodyDiv w:val="1"/>
      <w:marLeft w:val="0"/>
      <w:marRight w:val="0"/>
      <w:marTop w:val="0"/>
      <w:marBottom w:val="0"/>
      <w:divBdr>
        <w:top w:val="none" w:sz="0" w:space="0" w:color="auto"/>
        <w:left w:val="none" w:sz="0" w:space="0" w:color="auto"/>
        <w:bottom w:val="none" w:sz="0" w:space="0" w:color="auto"/>
        <w:right w:val="none" w:sz="0" w:space="0" w:color="auto"/>
      </w:divBdr>
    </w:div>
    <w:div w:id="1653947201">
      <w:bodyDiv w:val="1"/>
      <w:marLeft w:val="0"/>
      <w:marRight w:val="0"/>
      <w:marTop w:val="0"/>
      <w:marBottom w:val="0"/>
      <w:divBdr>
        <w:top w:val="none" w:sz="0" w:space="0" w:color="auto"/>
        <w:left w:val="none" w:sz="0" w:space="0" w:color="auto"/>
        <w:bottom w:val="none" w:sz="0" w:space="0" w:color="auto"/>
        <w:right w:val="none" w:sz="0" w:space="0" w:color="auto"/>
      </w:divBdr>
      <w:divsChild>
        <w:div w:id="318460199">
          <w:marLeft w:val="0"/>
          <w:marRight w:val="0"/>
          <w:marTop w:val="0"/>
          <w:marBottom w:val="0"/>
          <w:divBdr>
            <w:top w:val="none" w:sz="0" w:space="0" w:color="auto"/>
            <w:left w:val="none" w:sz="0" w:space="0" w:color="auto"/>
            <w:bottom w:val="none" w:sz="0" w:space="0" w:color="auto"/>
            <w:right w:val="none" w:sz="0" w:space="0" w:color="auto"/>
          </w:divBdr>
        </w:div>
        <w:div w:id="343752712">
          <w:marLeft w:val="0"/>
          <w:marRight w:val="0"/>
          <w:marTop w:val="0"/>
          <w:marBottom w:val="0"/>
          <w:divBdr>
            <w:top w:val="none" w:sz="0" w:space="0" w:color="auto"/>
            <w:left w:val="none" w:sz="0" w:space="0" w:color="auto"/>
            <w:bottom w:val="none" w:sz="0" w:space="0" w:color="auto"/>
            <w:right w:val="none" w:sz="0" w:space="0" w:color="auto"/>
          </w:divBdr>
        </w:div>
      </w:divsChild>
    </w:div>
    <w:div w:id="1661806411">
      <w:bodyDiv w:val="1"/>
      <w:marLeft w:val="0"/>
      <w:marRight w:val="0"/>
      <w:marTop w:val="0"/>
      <w:marBottom w:val="0"/>
      <w:divBdr>
        <w:top w:val="none" w:sz="0" w:space="0" w:color="auto"/>
        <w:left w:val="none" w:sz="0" w:space="0" w:color="auto"/>
        <w:bottom w:val="none" w:sz="0" w:space="0" w:color="auto"/>
        <w:right w:val="none" w:sz="0" w:space="0" w:color="auto"/>
      </w:divBdr>
    </w:div>
    <w:div w:id="1665165171">
      <w:bodyDiv w:val="1"/>
      <w:marLeft w:val="0"/>
      <w:marRight w:val="0"/>
      <w:marTop w:val="0"/>
      <w:marBottom w:val="0"/>
      <w:divBdr>
        <w:top w:val="none" w:sz="0" w:space="0" w:color="auto"/>
        <w:left w:val="none" w:sz="0" w:space="0" w:color="auto"/>
        <w:bottom w:val="none" w:sz="0" w:space="0" w:color="auto"/>
        <w:right w:val="none" w:sz="0" w:space="0" w:color="auto"/>
      </w:divBdr>
    </w:div>
    <w:div w:id="1666400803">
      <w:bodyDiv w:val="1"/>
      <w:marLeft w:val="0"/>
      <w:marRight w:val="0"/>
      <w:marTop w:val="0"/>
      <w:marBottom w:val="0"/>
      <w:divBdr>
        <w:top w:val="none" w:sz="0" w:space="0" w:color="auto"/>
        <w:left w:val="none" w:sz="0" w:space="0" w:color="auto"/>
        <w:bottom w:val="none" w:sz="0" w:space="0" w:color="auto"/>
        <w:right w:val="none" w:sz="0" w:space="0" w:color="auto"/>
      </w:divBdr>
    </w:div>
    <w:div w:id="1680543403">
      <w:bodyDiv w:val="1"/>
      <w:marLeft w:val="0"/>
      <w:marRight w:val="0"/>
      <w:marTop w:val="0"/>
      <w:marBottom w:val="0"/>
      <w:divBdr>
        <w:top w:val="none" w:sz="0" w:space="0" w:color="auto"/>
        <w:left w:val="none" w:sz="0" w:space="0" w:color="auto"/>
        <w:bottom w:val="none" w:sz="0" w:space="0" w:color="auto"/>
        <w:right w:val="none" w:sz="0" w:space="0" w:color="auto"/>
      </w:divBdr>
    </w:div>
    <w:div w:id="1686010608">
      <w:bodyDiv w:val="1"/>
      <w:marLeft w:val="0"/>
      <w:marRight w:val="0"/>
      <w:marTop w:val="0"/>
      <w:marBottom w:val="0"/>
      <w:divBdr>
        <w:top w:val="none" w:sz="0" w:space="0" w:color="auto"/>
        <w:left w:val="none" w:sz="0" w:space="0" w:color="auto"/>
        <w:bottom w:val="none" w:sz="0" w:space="0" w:color="auto"/>
        <w:right w:val="none" w:sz="0" w:space="0" w:color="auto"/>
      </w:divBdr>
    </w:div>
    <w:div w:id="1688435816">
      <w:bodyDiv w:val="1"/>
      <w:marLeft w:val="0"/>
      <w:marRight w:val="0"/>
      <w:marTop w:val="0"/>
      <w:marBottom w:val="0"/>
      <w:divBdr>
        <w:top w:val="none" w:sz="0" w:space="0" w:color="auto"/>
        <w:left w:val="none" w:sz="0" w:space="0" w:color="auto"/>
        <w:bottom w:val="none" w:sz="0" w:space="0" w:color="auto"/>
        <w:right w:val="none" w:sz="0" w:space="0" w:color="auto"/>
      </w:divBdr>
    </w:div>
    <w:div w:id="1690907061">
      <w:bodyDiv w:val="1"/>
      <w:marLeft w:val="0"/>
      <w:marRight w:val="0"/>
      <w:marTop w:val="0"/>
      <w:marBottom w:val="0"/>
      <w:divBdr>
        <w:top w:val="none" w:sz="0" w:space="0" w:color="auto"/>
        <w:left w:val="none" w:sz="0" w:space="0" w:color="auto"/>
        <w:bottom w:val="none" w:sz="0" w:space="0" w:color="auto"/>
        <w:right w:val="none" w:sz="0" w:space="0" w:color="auto"/>
      </w:divBdr>
    </w:div>
    <w:div w:id="1695425399">
      <w:bodyDiv w:val="1"/>
      <w:marLeft w:val="0"/>
      <w:marRight w:val="0"/>
      <w:marTop w:val="0"/>
      <w:marBottom w:val="0"/>
      <w:divBdr>
        <w:top w:val="none" w:sz="0" w:space="0" w:color="auto"/>
        <w:left w:val="none" w:sz="0" w:space="0" w:color="auto"/>
        <w:bottom w:val="none" w:sz="0" w:space="0" w:color="auto"/>
        <w:right w:val="none" w:sz="0" w:space="0" w:color="auto"/>
      </w:divBdr>
    </w:div>
    <w:div w:id="1702316486">
      <w:bodyDiv w:val="1"/>
      <w:marLeft w:val="0"/>
      <w:marRight w:val="0"/>
      <w:marTop w:val="0"/>
      <w:marBottom w:val="0"/>
      <w:divBdr>
        <w:top w:val="none" w:sz="0" w:space="0" w:color="auto"/>
        <w:left w:val="none" w:sz="0" w:space="0" w:color="auto"/>
        <w:bottom w:val="none" w:sz="0" w:space="0" w:color="auto"/>
        <w:right w:val="none" w:sz="0" w:space="0" w:color="auto"/>
      </w:divBdr>
    </w:div>
    <w:div w:id="1732387932">
      <w:bodyDiv w:val="1"/>
      <w:marLeft w:val="0"/>
      <w:marRight w:val="0"/>
      <w:marTop w:val="0"/>
      <w:marBottom w:val="0"/>
      <w:divBdr>
        <w:top w:val="none" w:sz="0" w:space="0" w:color="auto"/>
        <w:left w:val="none" w:sz="0" w:space="0" w:color="auto"/>
        <w:bottom w:val="none" w:sz="0" w:space="0" w:color="auto"/>
        <w:right w:val="none" w:sz="0" w:space="0" w:color="auto"/>
      </w:divBdr>
    </w:div>
    <w:div w:id="1771703210">
      <w:bodyDiv w:val="1"/>
      <w:marLeft w:val="0"/>
      <w:marRight w:val="0"/>
      <w:marTop w:val="0"/>
      <w:marBottom w:val="0"/>
      <w:divBdr>
        <w:top w:val="none" w:sz="0" w:space="0" w:color="auto"/>
        <w:left w:val="none" w:sz="0" w:space="0" w:color="auto"/>
        <w:bottom w:val="none" w:sz="0" w:space="0" w:color="auto"/>
        <w:right w:val="none" w:sz="0" w:space="0" w:color="auto"/>
      </w:divBdr>
    </w:div>
    <w:div w:id="1778527973">
      <w:bodyDiv w:val="1"/>
      <w:marLeft w:val="0"/>
      <w:marRight w:val="0"/>
      <w:marTop w:val="0"/>
      <w:marBottom w:val="0"/>
      <w:divBdr>
        <w:top w:val="none" w:sz="0" w:space="0" w:color="auto"/>
        <w:left w:val="none" w:sz="0" w:space="0" w:color="auto"/>
        <w:bottom w:val="none" w:sz="0" w:space="0" w:color="auto"/>
        <w:right w:val="none" w:sz="0" w:space="0" w:color="auto"/>
      </w:divBdr>
    </w:div>
    <w:div w:id="1790586248">
      <w:bodyDiv w:val="1"/>
      <w:marLeft w:val="0"/>
      <w:marRight w:val="0"/>
      <w:marTop w:val="0"/>
      <w:marBottom w:val="0"/>
      <w:divBdr>
        <w:top w:val="none" w:sz="0" w:space="0" w:color="auto"/>
        <w:left w:val="none" w:sz="0" w:space="0" w:color="auto"/>
        <w:bottom w:val="none" w:sz="0" w:space="0" w:color="auto"/>
        <w:right w:val="none" w:sz="0" w:space="0" w:color="auto"/>
      </w:divBdr>
    </w:div>
    <w:div w:id="1820994121">
      <w:bodyDiv w:val="1"/>
      <w:marLeft w:val="0"/>
      <w:marRight w:val="0"/>
      <w:marTop w:val="0"/>
      <w:marBottom w:val="0"/>
      <w:divBdr>
        <w:top w:val="none" w:sz="0" w:space="0" w:color="auto"/>
        <w:left w:val="none" w:sz="0" w:space="0" w:color="auto"/>
        <w:bottom w:val="none" w:sz="0" w:space="0" w:color="auto"/>
        <w:right w:val="none" w:sz="0" w:space="0" w:color="auto"/>
      </w:divBdr>
    </w:div>
    <w:div w:id="1822188449">
      <w:bodyDiv w:val="1"/>
      <w:marLeft w:val="0"/>
      <w:marRight w:val="0"/>
      <w:marTop w:val="0"/>
      <w:marBottom w:val="0"/>
      <w:divBdr>
        <w:top w:val="none" w:sz="0" w:space="0" w:color="auto"/>
        <w:left w:val="none" w:sz="0" w:space="0" w:color="auto"/>
        <w:bottom w:val="none" w:sz="0" w:space="0" w:color="auto"/>
        <w:right w:val="none" w:sz="0" w:space="0" w:color="auto"/>
      </w:divBdr>
    </w:div>
    <w:div w:id="1888637569">
      <w:bodyDiv w:val="1"/>
      <w:marLeft w:val="0"/>
      <w:marRight w:val="0"/>
      <w:marTop w:val="0"/>
      <w:marBottom w:val="0"/>
      <w:divBdr>
        <w:top w:val="none" w:sz="0" w:space="0" w:color="auto"/>
        <w:left w:val="none" w:sz="0" w:space="0" w:color="auto"/>
        <w:bottom w:val="none" w:sz="0" w:space="0" w:color="auto"/>
        <w:right w:val="none" w:sz="0" w:space="0" w:color="auto"/>
      </w:divBdr>
    </w:div>
    <w:div w:id="1897471409">
      <w:bodyDiv w:val="1"/>
      <w:marLeft w:val="0"/>
      <w:marRight w:val="0"/>
      <w:marTop w:val="0"/>
      <w:marBottom w:val="0"/>
      <w:divBdr>
        <w:top w:val="none" w:sz="0" w:space="0" w:color="auto"/>
        <w:left w:val="none" w:sz="0" w:space="0" w:color="auto"/>
        <w:bottom w:val="none" w:sz="0" w:space="0" w:color="auto"/>
        <w:right w:val="none" w:sz="0" w:space="0" w:color="auto"/>
      </w:divBdr>
      <w:divsChild>
        <w:div w:id="1897935468">
          <w:marLeft w:val="0"/>
          <w:marRight w:val="0"/>
          <w:marTop w:val="0"/>
          <w:marBottom w:val="0"/>
          <w:divBdr>
            <w:top w:val="none" w:sz="0" w:space="0" w:color="auto"/>
            <w:left w:val="none" w:sz="0" w:space="0" w:color="auto"/>
            <w:bottom w:val="none" w:sz="0" w:space="0" w:color="auto"/>
            <w:right w:val="none" w:sz="0" w:space="0" w:color="auto"/>
          </w:divBdr>
        </w:div>
        <w:div w:id="1962415619">
          <w:marLeft w:val="0"/>
          <w:marRight w:val="0"/>
          <w:marTop w:val="0"/>
          <w:marBottom w:val="0"/>
          <w:divBdr>
            <w:top w:val="none" w:sz="0" w:space="0" w:color="auto"/>
            <w:left w:val="none" w:sz="0" w:space="0" w:color="auto"/>
            <w:bottom w:val="none" w:sz="0" w:space="0" w:color="auto"/>
            <w:right w:val="none" w:sz="0" w:space="0" w:color="auto"/>
          </w:divBdr>
        </w:div>
      </w:divsChild>
    </w:div>
    <w:div w:id="1902135597">
      <w:bodyDiv w:val="1"/>
      <w:marLeft w:val="0"/>
      <w:marRight w:val="0"/>
      <w:marTop w:val="0"/>
      <w:marBottom w:val="0"/>
      <w:divBdr>
        <w:top w:val="none" w:sz="0" w:space="0" w:color="auto"/>
        <w:left w:val="none" w:sz="0" w:space="0" w:color="auto"/>
        <w:bottom w:val="none" w:sz="0" w:space="0" w:color="auto"/>
        <w:right w:val="none" w:sz="0" w:space="0" w:color="auto"/>
      </w:divBdr>
      <w:divsChild>
        <w:div w:id="639966396">
          <w:marLeft w:val="0"/>
          <w:marRight w:val="0"/>
          <w:marTop w:val="0"/>
          <w:marBottom w:val="0"/>
          <w:divBdr>
            <w:top w:val="none" w:sz="0" w:space="0" w:color="auto"/>
            <w:left w:val="none" w:sz="0" w:space="0" w:color="auto"/>
            <w:bottom w:val="none" w:sz="0" w:space="0" w:color="auto"/>
            <w:right w:val="none" w:sz="0" w:space="0" w:color="auto"/>
          </w:divBdr>
          <w:divsChild>
            <w:div w:id="1864517291">
              <w:marLeft w:val="0"/>
              <w:marRight w:val="0"/>
              <w:marTop w:val="0"/>
              <w:marBottom w:val="0"/>
              <w:divBdr>
                <w:top w:val="none" w:sz="0" w:space="0" w:color="auto"/>
                <w:left w:val="none" w:sz="0" w:space="0" w:color="auto"/>
                <w:bottom w:val="none" w:sz="0" w:space="0" w:color="auto"/>
                <w:right w:val="none" w:sz="0" w:space="0" w:color="auto"/>
              </w:divBdr>
              <w:divsChild>
                <w:div w:id="1266497059">
                  <w:marLeft w:val="0"/>
                  <w:marRight w:val="0"/>
                  <w:marTop w:val="0"/>
                  <w:marBottom w:val="0"/>
                  <w:divBdr>
                    <w:top w:val="none" w:sz="0" w:space="0" w:color="auto"/>
                    <w:left w:val="none" w:sz="0" w:space="0" w:color="auto"/>
                    <w:bottom w:val="none" w:sz="0" w:space="0" w:color="auto"/>
                    <w:right w:val="none" w:sz="0" w:space="0" w:color="auto"/>
                  </w:divBdr>
                  <w:divsChild>
                    <w:div w:id="1790783984">
                      <w:marLeft w:val="0"/>
                      <w:marRight w:val="0"/>
                      <w:marTop w:val="0"/>
                      <w:marBottom w:val="0"/>
                      <w:divBdr>
                        <w:top w:val="none" w:sz="0" w:space="0" w:color="auto"/>
                        <w:left w:val="none" w:sz="0" w:space="0" w:color="auto"/>
                        <w:bottom w:val="none" w:sz="0" w:space="0" w:color="auto"/>
                        <w:right w:val="none" w:sz="0" w:space="0" w:color="auto"/>
                      </w:divBdr>
                      <w:divsChild>
                        <w:div w:id="1492796220">
                          <w:marLeft w:val="0"/>
                          <w:marRight w:val="0"/>
                          <w:marTop w:val="0"/>
                          <w:marBottom w:val="0"/>
                          <w:divBdr>
                            <w:top w:val="none" w:sz="0" w:space="0" w:color="auto"/>
                            <w:left w:val="none" w:sz="0" w:space="0" w:color="auto"/>
                            <w:bottom w:val="none" w:sz="0" w:space="0" w:color="auto"/>
                            <w:right w:val="none" w:sz="0" w:space="0" w:color="auto"/>
                          </w:divBdr>
                          <w:divsChild>
                            <w:div w:id="1656566356">
                              <w:marLeft w:val="0"/>
                              <w:marRight w:val="0"/>
                              <w:marTop w:val="0"/>
                              <w:marBottom w:val="0"/>
                              <w:divBdr>
                                <w:top w:val="none" w:sz="0" w:space="0" w:color="auto"/>
                                <w:left w:val="none" w:sz="0" w:space="0" w:color="auto"/>
                                <w:bottom w:val="none" w:sz="0" w:space="0" w:color="auto"/>
                                <w:right w:val="none" w:sz="0" w:space="0" w:color="auto"/>
                              </w:divBdr>
                              <w:divsChild>
                                <w:div w:id="833109362">
                                  <w:marLeft w:val="0"/>
                                  <w:marRight w:val="0"/>
                                  <w:marTop w:val="0"/>
                                  <w:marBottom w:val="0"/>
                                  <w:divBdr>
                                    <w:top w:val="none" w:sz="0" w:space="0" w:color="auto"/>
                                    <w:left w:val="none" w:sz="0" w:space="0" w:color="auto"/>
                                    <w:bottom w:val="none" w:sz="0" w:space="0" w:color="auto"/>
                                    <w:right w:val="none" w:sz="0" w:space="0" w:color="auto"/>
                                  </w:divBdr>
                                  <w:divsChild>
                                    <w:div w:id="1833056862">
                                      <w:marLeft w:val="0"/>
                                      <w:marRight w:val="0"/>
                                      <w:marTop w:val="0"/>
                                      <w:marBottom w:val="0"/>
                                      <w:divBdr>
                                        <w:top w:val="none" w:sz="0" w:space="0" w:color="auto"/>
                                        <w:left w:val="none" w:sz="0" w:space="0" w:color="auto"/>
                                        <w:bottom w:val="none" w:sz="0" w:space="0" w:color="auto"/>
                                        <w:right w:val="none" w:sz="0" w:space="0" w:color="auto"/>
                                      </w:divBdr>
                                      <w:divsChild>
                                        <w:div w:id="2108770856">
                                          <w:marLeft w:val="0"/>
                                          <w:marRight w:val="0"/>
                                          <w:marTop w:val="0"/>
                                          <w:marBottom w:val="0"/>
                                          <w:divBdr>
                                            <w:top w:val="single" w:sz="6" w:space="0" w:color="D9D9D9"/>
                                            <w:left w:val="single" w:sz="6" w:space="0" w:color="D9D9D9"/>
                                            <w:bottom w:val="single" w:sz="6" w:space="0" w:color="D9D9D9"/>
                                            <w:right w:val="single" w:sz="6" w:space="0" w:color="D9D9D9"/>
                                          </w:divBdr>
                                          <w:divsChild>
                                            <w:div w:id="377356695">
                                              <w:marLeft w:val="0"/>
                                              <w:marRight w:val="0"/>
                                              <w:marTop w:val="0"/>
                                              <w:marBottom w:val="0"/>
                                              <w:divBdr>
                                                <w:top w:val="none" w:sz="0" w:space="0" w:color="auto"/>
                                                <w:left w:val="none" w:sz="0" w:space="0" w:color="auto"/>
                                                <w:bottom w:val="none" w:sz="0" w:space="0" w:color="auto"/>
                                                <w:right w:val="none" w:sz="0" w:space="0" w:color="auto"/>
                                              </w:divBdr>
                                              <w:divsChild>
                                                <w:div w:id="1426069376">
                                                  <w:marLeft w:val="0"/>
                                                  <w:marRight w:val="0"/>
                                                  <w:marTop w:val="0"/>
                                                  <w:marBottom w:val="0"/>
                                                  <w:divBdr>
                                                    <w:top w:val="none" w:sz="0" w:space="0" w:color="auto"/>
                                                    <w:left w:val="none" w:sz="0" w:space="0" w:color="auto"/>
                                                    <w:bottom w:val="none" w:sz="0" w:space="0" w:color="auto"/>
                                                    <w:right w:val="none" w:sz="0" w:space="0" w:color="auto"/>
                                                  </w:divBdr>
                                                  <w:divsChild>
                                                    <w:div w:id="759906398">
                                                      <w:marLeft w:val="0"/>
                                                      <w:marRight w:val="0"/>
                                                      <w:marTop w:val="0"/>
                                                      <w:marBottom w:val="0"/>
                                                      <w:divBdr>
                                                        <w:top w:val="none" w:sz="0" w:space="0" w:color="auto"/>
                                                        <w:left w:val="none" w:sz="0" w:space="0" w:color="auto"/>
                                                        <w:bottom w:val="none" w:sz="0" w:space="0" w:color="auto"/>
                                                        <w:right w:val="none" w:sz="0" w:space="0" w:color="auto"/>
                                                      </w:divBdr>
                                                    </w:div>
                                                    <w:div w:id="1586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686037">
      <w:bodyDiv w:val="1"/>
      <w:marLeft w:val="0"/>
      <w:marRight w:val="0"/>
      <w:marTop w:val="0"/>
      <w:marBottom w:val="0"/>
      <w:divBdr>
        <w:top w:val="none" w:sz="0" w:space="0" w:color="auto"/>
        <w:left w:val="none" w:sz="0" w:space="0" w:color="auto"/>
        <w:bottom w:val="none" w:sz="0" w:space="0" w:color="auto"/>
        <w:right w:val="none" w:sz="0" w:space="0" w:color="auto"/>
      </w:divBdr>
    </w:div>
    <w:div w:id="1916042447">
      <w:bodyDiv w:val="1"/>
      <w:marLeft w:val="0"/>
      <w:marRight w:val="0"/>
      <w:marTop w:val="0"/>
      <w:marBottom w:val="0"/>
      <w:divBdr>
        <w:top w:val="none" w:sz="0" w:space="0" w:color="auto"/>
        <w:left w:val="none" w:sz="0" w:space="0" w:color="auto"/>
        <w:bottom w:val="none" w:sz="0" w:space="0" w:color="auto"/>
        <w:right w:val="none" w:sz="0" w:space="0" w:color="auto"/>
      </w:divBdr>
    </w:div>
    <w:div w:id="1917780810">
      <w:bodyDiv w:val="1"/>
      <w:marLeft w:val="0"/>
      <w:marRight w:val="0"/>
      <w:marTop w:val="0"/>
      <w:marBottom w:val="0"/>
      <w:divBdr>
        <w:top w:val="none" w:sz="0" w:space="0" w:color="auto"/>
        <w:left w:val="none" w:sz="0" w:space="0" w:color="auto"/>
        <w:bottom w:val="none" w:sz="0" w:space="0" w:color="auto"/>
        <w:right w:val="none" w:sz="0" w:space="0" w:color="auto"/>
      </w:divBdr>
    </w:div>
    <w:div w:id="1927376415">
      <w:bodyDiv w:val="1"/>
      <w:marLeft w:val="0"/>
      <w:marRight w:val="0"/>
      <w:marTop w:val="0"/>
      <w:marBottom w:val="0"/>
      <w:divBdr>
        <w:top w:val="none" w:sz="0" w:space="0" w:color="auto"/>
        <w:left w:val="none" w:sz="0" w:space="0" w:color="auto"/>
        <w:bottom w:val="none" w:sz="0" w:space="0" w:color="auto"/>
        <w:right w:val="none" w:sz="0" w:space="0" w:color="auto"/>
      </w:divBdr>
    </w:div>
    <w:div w:id="1930845458">
      <w:bodyDiv w:val="1"/>
      <w:marLeft w:val="0"/>
      <w:marRight w:val="0"/>
      <w:marTop w:val="0"/>
      <w:marBottom w:val="0"/>
      <w:divBdr>
        <w:top w:val="none" w:sz="0" w:space="0" w:color="auto"/>
        <w:left w:val="none" w:sz="0" w:space="0" w:color="auto"/>
        <w:bottom w:val="none" w:sz="0" w:space="0" w:color="auto"/>
        <w:right w:val="none" w:sz="0" w:space="0" w:color="auto"/>
      </w:divBdr>
    </w:div>
    <w:div w:id="1954633220">
      <w:bodyDiv w:val="1"/>
      <w:marLeft w:val="0"/>
      <w:marRight w:val="0"/>
      <w:marTop w:val="0"/>
      <w:marBottom w:val="0"/>
      <w:divBdr>
        <w:top w:val="none" w:sz="0" w:space="0" w:color="auto"/>
        <w:left w:val="none" w:sz="0" w:space="0" w:color="auto"/>
        <w:bottom w:val="none" w:sz="0" w:space="0" w:color="auto"/>
        <w:right w:val="none" w:sz="0" w:space="0" w:color="auto"/>
      </w:divBdr>
    </w:div>
    <w:div w:id="1959019811">
      <w:bodyDiv w:val="1"/>
      <w:marLeft w:val="0"/>
      <w:marRight w:val="0"/>
      <w:marTop w:val="0"/>
      <w:marBottom w:val="0"/>
      <w:divBdr>
        <w:top w:val="none" w:sz="0" w:space="0" w:color="auto"/>
        <w:left w:val="none" w:sz="0" w:space="0" w:color="auto"/>
        <w:bottom w:val="none" w:sz="0" w:space="0" w:color="auto"/>
        <w:right w:val="none" w:sz="0" w:space="0" w:color="auto"/>
      </w:divBdr>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 w:id="1990862461">
      <w:bodyDiv w:val="1"/>
      <w:marLeft w:val="0"/>
      <w:marRight w:val="0"/>
      <w:marTop w:val="0"/>
      <w:marBottom w:val="0"/>
      <w:divBdr>
        <w:top w:val="none" w:sz="0" w:space="0" w:color="auto"/>
        <w:left w:val="none" w:sz="0" w:space="0" w:color="auto"/>
        <w:bottom w:val="none" w:sz="0" w:space="0" w:color="auto"/>
        <w:right w:val="none" w:sz="0" w:space="0" w:color="auto"/>
      </w:divBdr>
      <w:divsChild>
        <w:div w:id="1621642762">
          <w:marLeft w:val="0"/>
          <w:marRight w:val="0"/>
          <w:marTop w:val="0"/>
          <w:marBottom w:val="300"/>
          <w:divBdr>
            <w:top w:val="none" w:sz="0" w:space="0" w:color="auto"/>
            <w:left w:val="none" w:sz="0" w:space="0" w:color="auto"/>
            <w:bottom w:val="none" w:sz="0" w:space="0" w:color="auto"/>
            <w:right w:val="none" w:sz="0" w:space="0" w:color="auto"/>
          </w:divBdr>
        </w:div>
      </w:divsChild>
    </w:div>
    <w:div w:id="2021466804">
      <w:bodyDiv w:val="1"/>
      <w:marLeft w:val="0"/>
      <w:marRight w:val="0"/>
      <w:marTop w:val="0"/>
      <w:marBottom w:val="0"/>
      <w:divBdr>
        <w:top w:val="none" w:sz="0" w:space="0" w:color="auto"/>
        <w:left w:val="none" w:sz="0" w:space="0" w:color="auto"/>
        <w:bottom w:val="none" w:sz="0" w:space="0" w:color="auto"/>
        <w:right w:val="none" w:sz="0" w:space="0" w:color="auto"/>
      </w:divBdr>
    </w:div>
    <w:div w:id="2021815305">
      <w:bodyDiv w:val="1"/>
      <w:marLeft w:val="0"/>
      <w:marRight w:val="0"/>
      <w:marTop w:val="0"/>
      <w:marBottom w:val="0"/>
      <w:divBdr>
        <w:top w:val="none" w:sz="0" w:space="0" w:color="auto"/>
        <w:left w:val="none" w:sz="0" w:space="0" w:color="auto"/>
        <w:bottom w:val="none" w:sz="0" w:space="0" w:color="auto"/>
        <w:right w:val="none" w:sz="0" w:space="0" w:color="auto"/>
      </w:divBdr>
    </w:div>
    <w:div w:id="2038462383">
      <w:bodyDiv w:val="1"/>
      <w:marLeft w:val="0"/>
      <w:marRight w:val="0"/>
      <w:marTop w:val="0"/>
      <w:marBottom w:val="0"/>
      <w:divBdr>
        <w:top w:val="none" w:sz="0" w:space="0" w:color="auto"/>
        <w:left w:val="none" w:sz="0" w:space="0" w:color="auto"/>
        <w:bottom w:val="none" w:sz="0" w:space="0" w:color="auto"/>
        <w:right w:val="none" w:sz="0" w:space="0" w:color="auto"/>
      </w:divBdr>
    </w:div>
    <w:div w:id="2051951892">
      <w:bodyDiv w:val="1"/>
      <w:marLeft w:val="0"/>
      <w:marRight w:val="0"/>
      <w:marTop w:val="0"/>
      <w:marBottom w:val="0"/>
      <w:divBdr>
        <w:top w:val="none" w:sz="0" w:space="0" w:color="auto"/>
        <w:left w:val="none" w:sz="0" w:space="0" w:color="auto"/>
        <w:bottom w:val="none" w:sz="0" w:space="0" w:color="auto"/>
        <w:right w:val="none" w:sz="0" w:space="0" w:color="auto"/>
      </w:divBdr>
    </w:div>
    <w:div w:id="2082824460">
      <w:bodyDiv w:val="1"/>
      <w:marLeft w:val="0"/>
      <w:marRight w:val="0"/>
      <w:marTop w:val="0"/>
      <w:marBottom w:val="0"/>
      <w:divBdr>
        <w:top w:val="none" w:sz="0" w:space="0" w:color="auto"/>
        <w:left w:val="none" w:sz="0" w:space="0" w:color="auto"/>
        <w:bottom w:val="none" w:sz="0" w:space="0" w:color="auto"/>
        <w:right w:val="none" w:sz="0" w:space="0" w:color="auto"/>
      </w:divBdr>
    </w:div>
    <w:div w:id="2089376097">
      <w:bodyDiv w:val="1"/>
      <w:marLeft w:val="0"/>
      <w:marRight w:val="0"/>
      <w:marTop w:val="0"/>
      <w:marBottom w:val="0"/>
      <w:divBdr>
        <w:top w:val="none" w:sz="0" w:space="0" w:color="auto"/>
        <w:left w:val="none" w:sz="0" w:space="0" w:color="auto"/>
        <w:bottom w:val="none" w:sz="0" w:space="0" w:color="auto"/>
        <w:right w:val="none" w:sz="0" w:space="0" w:color="auto"/>
      </w:divBdr>
    </w:div>
    <w:div w:id="2123569167">
      <w:bodyDiv w:val="1"/>
      <w:marLeft w:val="0"/>
      <w:marRight w:val="0"/>
      <w:marTop w:val="0"/>
      <w:marBottom w:val="0"/>
      <w:divBdr>
        <w:top w:val="none" w:sz="0" w:space="0" w:color="auto"/>
        <w:left w:val="none" w:sz="0" w:space="0" w:color="auto"/>
        <w:bottom w:val="none" w:sz="0" w:space="0" w:color="auto"/>
        <w:right w:val="none" w:sz="0" w:space="0" w:color="auto"/>
      </w:divBdr>
    </w:div>
    <w:div w:id="2132169773">
      <w:bodyDiv w:val="1"/>
      <w:marLeft w:val="0"/>
      <w:marRight w:val="0"/>
      <w:marTop w:val="0"/>
      <w:marBottom w:val="0"/>
      <w:divBdr>
        <w:top w:val="none" w:sz="0" w:space="0" w:color="auto"/>
        <w:left w:val="none" w:sz="0" w:space="0" w:color="auto"/>
        <w:bottom w:val="none" w:sz="0" w:space="0" w:color="auto"/>
        <w:right w:val="none" w:sz="0" w:space="0" w:color="auto"/>
      </w:divBdr>
    </w:div>
    <w:div w:id="21377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emf"/><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commission.europa.eu/system/files/2023-11/final_opinion_2023_3_public_procurement.pdf" TargetMode="External"/><Relationship Id="rId18" Type="http://schemas.openxmlformats.org/officeDocument/2006/relationships/hyperlink" Target="https://commission.europa.eu/publications/regulatory-scrutiny-board-annual-report-2023_en" TargetMode="External"/><Relationship Id="rId26" Type="http://schemas.openxmlformats.org/officeDocument/2006/relationships/hyperlink" Target="https://eur-lex.europa.eu/legal-content/HR/TXT/?uri=CELEX:52020XR1392" TargetMode="External"/><Relationship Id="rId39" Type="http://schemas.openxmlformats.org/officeDocument/2006/relationships/hyperlink" Target="https://ec.europa.eu/info/law/law-making-process/adopting-eu-law/relations-national-parliaments_hr" TargetMode="External"/><Relationship Id="rId3" Type="http://schemas.openxmlformats.org/officeDocument/2006/relationships/hyperlink" Target="https://www.oecd.org/gov/oecd-regulatory-policy-outlook-2021-38b0fdb1-en.htm" TargetMode="External"/><Relationship Id="rId21" Type="http://schemas.openxmlformats.org/officeDocument/2006/relationships/hyperlink" Target="https://www.ipex.eu" TargetMode="External"/><Relationship Id="rId34" Type="http://schemas.openxmlformats.org/officeDocument/2006/relationships/hyperlink" Target="https://cor.europa.eu/en/engage/Documents/RegHub/green-deal-taking-stock-looking-ahead.pdf" TargetMode="External"/><Relationship Id="rId42" Type="http://schemas.openxmlformats.org/officeDocument/2006/relationships/hyperlink" Target="https://secure.ipex.eu/IPEXL-WEB/conferences/cosac" TargetMode="External"/><Relationship Id="rId47" Type="http://schemas.openxmlformats.org/officeDocument/2006/relationships/hyperlink" Target="https://ipex.eu/IPEXL-WEB/download/file/8a8629a8897176ae01897342df9e0048/Letter%20of%20VP%20Sefcovic.pdf" TargetMode="External"/><Relationship Id="rId50" Type="http://schemas.openxmlformats.org/officeDocument/2006/relationships/hyperlink" Target="https://secure.ipex.eu/IPEXL-WEB/download/file/8a8629a88e07d82e018e097519930015/Annex+Commission+reply+to+the+LXX+COSAC+Contribution.pdf" TargetMode="External"/><Relationship Id="rId7" Type="http://schemas.openxmlformats.org/officeDocument/2006/relationships/hyperlink" Target="https://commission.europa.eu/publications/annual-burden-survey_en" TargetMode="External"/><Relationship Id="rId12" Type="http://schemas.openxmlformats.org/officeDocument/2006/relationships/hyperlink" Target="https://commission.europa.eu/system/files/2023-06/Future-proof%20regulatory%20framework%20-%20Adopted%20opinion%20%282023%29.pdf" TargetMode="External"/><Relationship Id="rId17" Type="http://schemas.openxmlformats.org/officeDocument/2006/relationships/hyperlink" Target="https://commission.europa.eu/law/law-making-process/regulatory-scrutiny-board_hr" TargetMode="External"/><Relationship Id="rId25" Type="http://schemas.openxmlformats.org/officeDocument/2006/relationships/hyperlink" Target="https://www.europarl.europa.eu/at-your-service/hr/stay-informed/research-and-analysis" TargetMode="External"/><Relationship Id="rId33" Type="http://schemas.openxmlformats.org/officeDocument/2006/relationships/hyperlink" Target="https://portal.cor.europa.eu/subsidiarity/regpex/Pages/default.aspx" TargetMode="External"/><Relationship Id="rId38" Type="http://schemas.openxmlformats.org/officeDocument/2006/relationships/hyperlink" Target="https://commission.europa.eu/strategy-and-policy/priorities-2019-2024_hr" TargetMode="External"/><Relationship Id="rId46" Type="http://schemas.openxmlformats.org/officeDocument/2006/relationships/hyperlink" Target="https://ipex.eu/IPEXL-WEB/download/file/8a8629a88c42a971018c43bdae800005/Contribution%20of%20the%20LXX%20COSAC%2026-28%20November%202023%20Madrid%20EN.pdf" TargetMode="External"/><Relationship Id="rId2" Type="http://schemas.openxmlformats.org/officeDocument/2006/relationships/hyperlink" Target="https://www.oecd.org/gov/oecd-regulatory-policy-outlook-2021-38b0fdb1-en.htm" TargetMode="External"/><Relationship Id="rId16" Type="http://schemas.openxmlformats.org/officeDocument/2006/relationships/hyperlink" Target="https://portal.cor.europa.eu/reghub/Pages/default.aspx" TargetMode="External"/><Relationship Id="rId20" Type="http://schemas.openxmlformats.org/officeDocument/2006/relationships/hyperlink" Target="https://secure.ipex.eu/IPEXL-WEB/download/file/8a8629a88bcc3697018bcdb41d910010/3%20-%2040th%20Bi-annual%20Report%20of%20COSAC.pdf" TargetMode="External"/><Relationship Id="rId29" Type="http://schemas.openxmlformats.org/officeDocument/2006/relationships/hyperlink" Target="https://cor.europa.eu/hr/news/Pages/green-deal-going-local-working-group-strategic-foresight.aspx" TargetMode="External"/><Relationship Id="rId41" Type="http://schemas.openxmlformats.org/officeDocument/2006/relationships/hyperlink" Target="http://www.europarl.europa.eu/relnatparl/en/home/annual-reports.html" TargetMode="External"/><Relationship Id="rId1" Type="http://schemas.openxmlformats.org/officeDocument/2006/relationships/hyperlink" Target="https://www.oecd.org/gov/oecd-regulatory-policy-outlook-2021-38b0fdb1-en.htm" TargetMode="External"/><Relationship Id="rId6" Type="http://schemas.openxmlformats.org/officeDocument/2006/relationships/hyperlink" Target="https://commission.europa.eu/system/files/2023-09/BR%20toolbox%20-%20Jul%202023%20-%20FINAL.pdf" TargetMode="External"/><Relationship Id="rId11" Type="http://schemas.openxmlformats.org/officeDocument/2006/relationships/hyperlink" Target="https://commission.europa.eu/system/files/2023-11/final_opinion_2023_7_social_economy_entities.pdf" TargetMode="External"/><Relationship Id="rId24" Type="http://schemas.openxmlformats.org/officeDocument/2006/relationships/hyperlink" Target="https://www.europarl.europa.eu/doceo/document/TA-9-2024-0023_HR.html" TargetMode="External"/><Relationship Id="rId32" Type="http://schemas.openxmlformats.org/officeDocument/2006/relationships/hyperlink" Target="https://portal.cor.europa.eu/subsidiarity/Publications/Documents/Subsidiarity-Work-Programme/2023.pdf" TargetMode="External"/><Relationship Id="rId37" Type="http://schemas.openxmlformats.org/officeDocument/2006/relationships/hyperlink" Target="https://eur-lex.europa.eu/legal-content/HR/TXT/?uri=CELEX:32024Y02478" TargetMode="External"/><Relationship Id="rId40" Type="http://schemas.openxmlformats.org/officeDocument/2006/relationships/hyperlink" Target="https://ipexl.europarl.europa.eu/IPEXL-WEB/conferences/cosac/event/8a8629a88c42a971018c43c0bdee000a" TargetMode="External"/><Relationship Id="rId45" Type="http://schemas.openxmlformats.org/officeDocument/2006/relationships/hyperlink" Target="https://ipex.eu/IPEXL-WEB/download/file/8a8629a88827df1e018828991e660000/Contribution%20adopted%20by%20the%20LXIX%20COSAC.pdf" TargetMode="External"/><Relationship Id="rId5" Type="http://schemas.openxmlformats.org/officeDocument/2006/relationships/hyperlink" Target="https://commission.europa.eu/law/law-making-process/planning-and-proposing-law/better-regulation/better-regulation-guidelines-and-toolbox_en" TargetMode="External"/><Relationship Id="rId15" Type="http://schemas.openxmlformats.org/officeDocument/2006/relationships/hyperlink" Target="https://commission.europa.eu/document/download/a3708108-68ec-4993-8817-1f228853ca88_en?filename=final_opinion_2023_2_digital_europe.pdf" TargetMode="External"/><Relationship Id="rId23" Type="http://schemas.openxmlformats.org/officeDocument/2006/relationships/hyperlink" Target="https://www.europarl.europa.eu/doceo/document/TA-9-2023-0442_HR.html" TargetMode="External"/><Relationship Id="rId28" Type="http://schemas.openxmlformats.org/officeDocument/2006/relationships/hyperlink" Target="https://cor.europa.eu/hr/news/Pages/strategic-foresight-capacity-better-prepare-future.aspx" TargetMode="External"/><Relationship Id="rId36" Type="http://schemas.openxmlformats.org/officeDocument/2006/relationships/hyperlink" Target="https://cor.europa.eu/en/engage/Documents/RegHub/1st-report-regional-dimension-cap-strategic-plans.pdf" TargetMode="External"/><Relationship Id="rId49" Type="http://schemas.openxmlformats.org/officeDocument/2006/relationships/hyperlink" Target="https://secure.ipex.eu/IPEXL-WEB/download/file/8a8629a88e07d82e018e09748cfc0014/RE_EVP+SEFCOVIC_Commission+reply+to+the+LXX+COSAC+Contribution.pdf" TargetMode="External"/><Relationship Id="rId10" Type="http://schemas.openxmlformats.org/officeDocument/2006/relationships/hyperlink" Target="https://commission.europa.eu/law/law-making-process/evaluating-and-improving-existing-laws/refit-making-eu-law-simpler-less-costly-and-future-proof/fit-future-platform-f4f/adopted-opinions_hr" TargetMode="External"/><Relationship Id="rId19" Type="http://schemas.openxmlformats.org/officeDocument/2006/relationships/hyperlink" Target="https://secure.ipex.eu/IPEXL-WEB/download/file/8a8629a8881d935701881eeb09e40005/39th%20Bi-annual%20Report%20of%20COSAC.pdf" TargetMode="External"/><Relationship Id="rId31" Type="http://schemas.openxmlformats.org/officeDocument/2006/relationships/hyperlink" Target="https://eur-lex.europa.eu/legal-content/HR/TXT/?uri=OJ:C_202301321" TargetMode="External"/><Relationship Id="rId44" Type="http://schemas.openxmlformats.org/officeDocument/2006/relationships/hyperlink" Target="https://ipex.eu/IPEXL-WEB/download/file/8a8629a88c42a971018c43beab2f0007/CONCLUSIONS%20OF%20THE%20%20LXX%20COSAC,%20MADRID%2026-28%20NOVEMBER%202023.pdf" TargetMode="External"/><Relationship Id="rId4" Type="http://schemas.openxmlformats.org/officeDocument/2006/relationships/hyperlink" Target="https://commission.europa.eu/law/law-making-process/planning-and-proposing-law/better-regulation/better-regulation-guidelines-and-toolbox_en" TargetMode="External"/><Relationship Id="rId9" Type="http://schemas.openxmlformats.org/officeDocument/2006/relationships/hyperlink" Target="https://commission.europa.eu/law/law-making-process/evaluating-and-improving-existing-laws/refit-making-eu-law-simpler-less-costly-and-future-proof/fit-future-platform-f4f_hr" TargetMode="External"/><Relationship Id="rId14" Type="http://schemas.openxmlformats.org/officeDocument/2006/relationships/hyperlink" Target="https://commission.europa.eu/system/files/2023-11/final_opinion_2023_1_sme_test.pdf" TargetMode="External"/><Relationship Id="rId22" Type="http://schemas.openxmlformats.org/officeDocument/2006/relationships/hyperlink" Target="https://www.europarl.europa.eu/doceo/document/TA-9-2023-0427_HR.html" TargetMode="External"/><Relationship Id="rId27" Type="http://schemas.openxmlformats.org/officeDocument/2006/relationships/hyperlink" Target="https://cor.europa.eu/hr/our-work/Pages/Better-Regulation-and-Active-Subsidiarity.aspx" TargetMode="External"/><Relationship Id="rId30" Type="http://schemas.openxmlformats.org/officeDocument/2006/relationships/hyperlink" Target="https://eur-lex.europa.eu/search.html?qid=1703059324693&amp;name=browse-by%3Aregions&amp;type=named&amp;DD_YEAR=2023&amp;locale=hr" TargetMode="External"/><Relationship Id="rId35" Type="http://schemas.openxmlformats.org/officeDocument/2006/relationships/hyperlink" Target="https://cor.europa.eu/en/engage/brochures/Documents/EU%20Annual%20Report%20on%20the%20State%20of%20Regions%20and%20Cities%202023/4892%20-%202023%20Annual%20Report%20EN.pdf" TargetMode="External"/><Relationship Id="rId43" Type="http://schemas.openxmlformats.org/officeDocument/2006/relationships/hyperlink" Target="https://ipex.eu/IPEXL-WEB/download/file/8a8629a88827df1e018828997f130001/Conclusions%20adopted%20by%20the%20LXIX%20COSAC.pdf" TargetMode="External"/><Relationship Id="rId48" Type="http://schemas.openxmlformats.org/officeDocument/2006/relationships/hyperlink" Target="https://ipex.eu/IPEXL-WEB/download/file/8a8629a8897176ae0189734386570049/Annex_Commission%20reply%20to%20the%20LXIX%20COSAC%20Contribution.pdf" TargetMode="External"/><Relationship Id="rId8" Type="http://schemas.openxmlformats.org/officeDocument/2006/relationships/hyperlink" Target="https://commission.europa.eu/system/files/2023-09/BR%20toolbox%20-%20Jul%202023%20-%20FINAL.pdf" TargetMode="External"/><Relationship Id="rId51" Type="http://schemas.openxmlformats.org/officeDocument/2006/relationships/hyperlink" Target="http://portal.cor.europa.eu/subsidiarity/regpex/Pages/default.aspx" TargetMode="External"/></Relationships>
</file>

<file path=word/documenttasks/documenttasks1.xml><?xml version="1.0" encoding="utf-8"?>
<t:Tasks xmlns:t="http://schemas.microsoft.com/office/tasks/2019/documenttasks" xmlns:oel="http://schemas.microsoft.com/office/2019/extlst">
  <t:Task id="{6A792215-DD26-405E-98B1-7D3A824F85F8}">
    <t:Anchor>
      <t:Comment id="411145130"/>
    </t:Anchor>
    <t:History>
      <t:Event id="{896C9C5E-281D-43A9-AC45-F44B76C0FA05}" time="2023-02-24T13:20:40.117Z">
        <t:Attribution userId="S::laura.romero-diaz@ec.europa.eu::20bfcb95-2e81-4cde-8b66-6e702db65fe3" userProvider="AD" userName="ROMERO DIAZ Laura (SG)"/>
        <t:Anchor>
          <t:Comment id="160419212"/>
        </t:Anchor>
        <t:Create/>
      </t:Event>
      <t:Event id="{57D4FF5E-E5AC-4582-B5FE-90826D5D93B5}" time="2023-02-24T13:20:40.117Z">
        <t:Attribution userId="S::laura.romero-diaz@ec.europa.eu::20bfcb95-2e81-4cde-8b66-6e702db65fe3" userProvider="AD" userName="ROMERO DIAZ Laura (SG)"/>
        <t:Anchor>
          <t:Comment id="160419212"/>
        </t:Anchor>
        <t:Assign userId="S::Christoph.LENNERT@ec.europa.eu::229167c2-176d-46ad-9130-026295b56899" userProvider="AD" userName="LENNERT Christoph (SG)"/>
      </t:Event>
      <t:Event id="{62A93BD8-C34C-414E-A226-9F3F10A82D8E}" time="2023-02-24T13:20:40.117Z">
        <t:Attribution userId="S::laura.romero-diaz@ec.europa.eu::20bfcb95-2e81-4cde-8b66-6e702db65fe3" userProvider="AD" userName="ROMERO DIAZ Laura (SG)"/>
        <t:Anchor>
          <t:Comment id="160419212"/>
        </t:Anchor>
        <t:SetTitle title="@LENNERT Christoph (SG)"/>
      </t:Event>
    </t:History>
  </t:Task>
  <t:Task id="{FEEA61DC-FB78-4FFE-8F4C-6F0BF27A9217}">
    <t:Anchor>
      <t:Comment id="2100564208"/>
    </t:Anchor>
    <t:History>
      <t:Event id="{9A1390E5-8C50-4C09-A948-15A437E3126B}" time="2024-04-19T14:47:49.922Z">
        <t:Attribution userId="S::Laura.ROMERO-DIAZ@ec.europa.eu::20bfcb95-2e81-4cde-8b66-6e702db65fe3" userProvider="AD" userName="ROMERO DIAZ Laura (SG)"/>
        <t:Anchor>
          <t:Comment id="701308597"/>
        </t:Anchor>
        <t:Create/>
      </t:Event>
      <t:Event id="{7AF78AF3-A76B-4F3D-AC5F-9A9F5567C170}" time="2024-04-19T14:47:49.922Z">
        <t:Attribution userId="S::Laura.ROMERO-DIAZ@ec.europa.eu::20bfcb95-2e81-4cde-8b66-6e702db65fe3" userProvider="AD" userName="ROMERO DIAZ Laura (SG)"/>
        <t:Anchor>
          <t:Comment id="701308597"/>
        </t:Anchor>
        <t:Assign userId="S::Kristina.CHARRAD@ec.europa.eu::4cbab24e-03be-46f3-8ae2-1d48a9f06f62" userProvider="AD" userName="CHARRAD Kristina (SG)"/>
      </t:Event>
      <t:Event id="{8ACC40A4-22D8-4550-B5D4-D6C2BC9D579D}" time="2024-04-19T14:47:49.922Z">
        <t:Attribution userId="S::Laura.ROMERO-DIAZ@ec.europa.eu::20bfcb95-2e81-4cde-8b66-6e702db65fe3" userProvider="AD" userName="ROMERO DIAZ Laura (SG)"/>
        <t:Anchor>
          <t:Comment id="701308597"/>
        </t:Anchor>
        <t:SetTitle title="@CHARRAD Kristina (SG) Kristina, could you please include a summary of the four opinions received in 2024 on this proposal in a footnote, but not here, better in the previous section, where the other summaries are. Thanks!!"/>
      </t:Event>
    </t:History>
  </t:Task>
  <t:Task id="{48BD4C8F-AADA-4900-A489-2CAE31F3A2C2}">
    <t:Anchor>
      <t:Comment id="282020698"/>
    </t:Anchor>
    <t:History>
      <t:Event id="{0266E468-C6E8-456E-A107-6BE551768BF4}" time="2023-02-24T13:21:38.005Z">
        <t:Attribution userId="S::laura.romero-diaz@ec.europa.eu::20bfcb95-2e81-4cde-8b66-6e702db65fe3" userProvider="AD" userName="ROMERO DIAZ Laura (SG)"/>
        <t:Anchor>
          <t:Comment id="1987278086"/>
        </t:Anchor>
        <t:Create/>
      </t:Event>
      <t:Event id="{4DC6257F-6940-46F6-A2A1-A7CF7E927885}" time="2023-02-24T13:21:38.005Z">
        <t:Attribution userId="S::laura.romero-diaz@ec.europa.eu::20bfcb95-2e81-4cde-8b66-6e702db65fe3" userProvider="AD" userName="ROMERO DIAZ Laura (SG)"/>
        <t:Anchor>
          <t:Comment id="1987278086"/>
        </t:Anchor>
        <t:Assign userId="S::Christoph.LENNERT@ec.europa.eu::229167c2-176d-46ad-9130-026295b56899" userProvider="AD" userName="LENNERT Christoph (SG)"/>
      </t:Event>
      <t:Event id="{D456A762-68D5-4984-A408-D8D9BF34DE45}" time="2023-02-24T13:21:38.005Z">
        <t:Attribution userId="S::laura.romero-diaz@ec.europa.eu::20bfcb95-2e81-4cde-8b66-6e702db65fe3" userProvider="AD" userName="ROMERO DIAZ Laura (SG)"/>
        <t:Anchor>
          <t:Comment id="1987278086"/>
        </t:Anchor>
        <t:SetTitle title="@LENNERT Christoph (SG)"/>
      </t:Event>
    </t:History>
  </t:Task>
  <t:Task id="{6BCCC5E8-D414-4B4A-93DA-03498F965440}">
    <t:Anchor>
      <t:Comment id="1078692938"/>
    </t:Anchor>
    <t:History>
      <t:Event id="{B6FAC521-3FE5-4AF0-82BC-A35F0E3721B8}" time="2023-02-24T13:25:34.789Z">
        <t:Attribution userId="S::laura.romero-diaz@ec.europa.eu::20bfcb95-2e81-4cde-8b66-6e702db65fe3" userProvider="AD" userName="ROMERO DIAZ Laura (SG)"/>
        <t:Anchor>
          <t:Comment id="1037340040"/>
        </t:Anchor>
        <t:Create/>
      </t:Event>
      <t:Event id="{698E8D19-B723-4AB4-8369-F792858206DF}" time="2023-02-24T13:25:34.789Z">
        <t:Attribution userId="S::laura.romero-diaz@ec.europa.eu::20bfcb95-2e81-4cde-8b66-6e702db65fe3" userProvider="AD" userName="ROMERO DIAZ Laura (SG)"/>
        <t:Anchor>
          <t:Comment id="1037340040"/>
        </t:Anchor>
        <t:Assign userId="S::Kristina.CHARRAD@ec.europa.eu::4cbab24e-03be-46f3-8ae2-1d48a9f06f62" userProvider="AD" userName="CHARRAD Kristina (SG)"/>
      </t:Event>
      <t:Event id="{347BD789-D23B-4AB7-85F8-4D5F23E6EAC0}" time="2023-02-24T13:25:34.789Z">
        <t:Attribution userId="S::laura.romero-diaz@ec.europa.eu::20bfcb95-2e81-4cde-8b66-6e702db65fe3" userProvider="AD" userName="ROMERO DIAZ Laura (SG)"/>
        <t:Anchor>
          <t:Comment id="1037340040"/>
        </t:Anchor>
        <t:SetTitle title="@CHARRAD Kristina (SG)"/>
      </t:Event>
    </t:History>
  </t:Task>
  <t:Task id="{795926CE-E634-4197-A489-743D826BBF38}">
    <t:Anchor>
      <t:Comment id="729847167"/>
    </t:Anchor>
    <t:History>
      <t:Event id="{F86EE3AB-A1AB-45FD-AB1B-F94915CCDC75}" time="2023-02-24T13:25:50.429Z">
        <t:Attribution userId="S::laura.romero-diaz@ec.europa.eu::20bfcb95-2e81-4cde-8b66-6e702db65fe3" userProvider="AD" userName="ROMERO DIAZ Laura (SG)"/>
        <t:Anchor>
          <t:Comment id="1933835742"/>
        </t:Anchor>
        <t:Create/>
      </t:Event>
      <t:Event id="{012E5BC6-62DE-4EB7-8CFE-362BC6F3DDC6}" time="2023-02-24T13:25:50.429Z">
        <t:Attribution userId="S::laura.romero-diaz@ec.europa.eu::20bfcb95-2e81-4cde-8b66-6e702db65fe3" userProvider="AD" userName="ROMERO DIAZ Laura (SG)"/>
        <t:Anchor>
          <t:Comment id="1933835742"/>
        </t:Anchor>
        <t:Assign userId="S::Kristina.CHARRAD@ec.europa.eu::4cbab24e-03be-46f3-8ae2-1d48a9f06f62" userProvider="AD" userName="CHARRAD Kristina (SG)"/>
      </t:Event>
      <t:Event id="{2D5B2499-8AE1-4ED7-B181-EDEE5E674FF0}" time="2023-02-24T13:25:50.429Z">
        <t:Attribution userId="S::laura.romero-diaz@ec.europa.eu::20bfcb95-2e81-4cde-8b66-6e702db65fe3" userProvider="AD" userName="ROMERO DIAZ Laura (SG)"/>
        <t:Anchor>
          <t:Comment id="1933835742"/>
        </t:Anchor>
        <t:SetTitle title="@CHARRAD Kristina (S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A239B908BBE498C73AEE59BE8FAFB" ma:contentTypeVersion="8" ma:contentTypeDescription="Create a new document." ma:contentTypeScope="" ma:versionID="253e1638d266203ca66acf087fcb837a">
  <xsd:schema xmlns:xsd="http://www.w3.org/2001/XMLSchema" xmlns:xs="http://www.w3.org/2001/XMLSchema" xmlns:p="http://schemas.microsoft.com/office/2006/metadata/properties" xmlns:ns2="01bb61ae-4eb0-490b-ba48-c0c5dc4c96a6" xmlns:ns3="af05a2db-3601-44e1-93e6-f514361b52e2" targetNamespace="http://schemas.microsoft.com/office/2006/metadata/properties" ma:root="true" ma:fieldsID="2574a99e68632d574196c99e0bd0a1b3" ns2:_="" ns3:_="">
    <xsd:import namespace="01bb61ae-4eb0-490b-ba48-c0c5dc4c96a6"/>
    <xsd:import namespace="af05a2db-3601-44e1-93e6-f514361b5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61ae-4eb0-490b-ba48-c0c5dc4c9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5a2db-3601-44e1-93e6-f514361b52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22DE-712F-41E7-8186-5F23D7DB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61ae-4eb0-490b-ba48-c0c5dc4c96a6"/>
    <ds:schemaRef ds:uri="af05a2db-3601-44e1-93e6-f514361b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9B697-1FFD-449D-845F-828D9EC17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E0F3-D68B-423C-8887-DEFE1D90246A}">
  <ds:schemaRefs>
    <ds:schemaRef ds:uri="http://schemas.microsoft.com/sharepoint/v3/contenttype/forms"/>
  </ds:schemaRefs>
</ds:datastoreItem>
</file>

<file path=customXml/itemProps4.xml><?xml version="1.0" encoding="utf-8"?>
<ds:datastoreItem xmlns:ds="http://schemas.openxmlformats.org/officeDocument/2006/customXml" ds:itemID="{D2ECE800-770C-4948-866F-B83EFCA6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11429</Words>
  <Characters>65149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13</cp:revision>
  <cp:lastPrinted>2024-06-17T12:31:00Z</cp:lastPrinted>
  <dcterms:created xsi:type="dcterms:W3CDTF">2024-10-10T15:48:00Z</dcterms:created>
  <dcterms:modified xsi:type="dcterms:W3CDTF">2024-10-25T10:15:00Z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9.0, Build 20230317</vt:lpwstr>
  </property>
  <property fmtid="{D5CDD505-2E9C-101B-9397-08002B2CF9AE}" pid="8" name="Created using">
    <vt:lpwstr>LW 6.0.1, Build 20180503</vt:lpwstr>
  </property>
  <property fmtid="{D5CDD505-2E9C-101B-9397-08002B2CF9AE}" pid="9" name="CPTemplateID">
    <vt:lpwstr>CP-003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2022-03-04T06:18:43Z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0fa16001-8f6b-42d9-9cd1-138ab8e4ac49</vt:lpwstr>
  </property>
  <property fmtid="{D5CDD505-2E9C-101B-9397-08002B2CF9AE}" pid="16" name="MSIP_Label_6bd9ddd1-4d20-43f6-abfa-fc3c07406f94_ContentBits">
    <vt:lpwstr>0</vt:lpwstr>
  </property>
  <property fmtid="{D5CDD505-2E9C-101B-9397-08002B2CF9AE}" pid="17" name="_LW_INVALIDATED__LW_INVALIDATED_ContentTypeId">
    <vt:lpwstr>0x010100303A239B908BBE498C73AEE59BE8FAFB</vt:lpwstr>
  </property>
  <property fmtid="{D5CDD505-2E9C-101B-9397-08002B2CF9AE}" pid="18" name="ContentTypeId">
    <vt:lpwstr>0x010100303A239B908BBE498C73AEE59BE8FAFB</vt:lpwstr>
  </property>
  <property fmtid="{D5CDD505-2E9C-101B-9397-08002B2CF9AE}" pid="19" name="MediaServiceImageTags">
    <vt:lpwstr/>
  </property>
</Properties>
</file>