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0AE62" w14:textId="625BAE4E" w:rsidR="002C4FFA" w:rsidRDefault="00285510" w:rsidP="00285510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2E2B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0DBCC0BB-7337-436D-B4A9-E9BC9708C182" style="width:455.25pt;height:383.25pt">
            <v:imagedata r:id="rId7" o:title=""/>
          </v:shape>
        </w:pict>
      </w:r>
    </w:p>
    <w:bookmarkEnd w:id="0"/>
    <w:p w14:paraId="03D18A11" w14:textId="77777777" w:rsidR="002C4FFA" w:rsidRDefault="002C4FFA" w:rsidP="002C4FFA">
      <w:pPr>
        <w:rPr>
          <w:noProof/>
        </w:rPr>
        <w:sectPr w:rsidR="002C4FFA" w:rsidSect="002855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87A8FDB" w14:textId="5328CEC1" w:rsidR="002C4FFA" w:rsidRDefault="002C4FFA" w:rsidP="002C4FFA">
      <w:pPr>
        <w:pStyle w:val="Annexetitre"/>
        <w:rPr>
          <w:noProof/>
        </w:rPr>
      </w:pPr>
      <w:bookmarkStart w:id="1" w:name="_GoBack"/>
      <w:bookmarkEnd w:id="1"/>
      <w:r w:rsidRPr="007919AB">
        <w:rPr>
          <w:noProof/>
        </w:rPr>
        <w:lastRenderedPageBreak/>
        <w:t>ANNEX</w:t>
      </w:r>
    </w:p>
    <w:p w14:paraId="00ED9629" w14:textId="77777777" w:rsidR="002C4FFA" w:rsidRPr="006433BA" w:rsidRDefault="002C4FFA" w:rsidP="002C4FFA">
      <w:pPr>
        <w:rPr>
          <w:noProof/>
          <w:szCs w:val="24"/>
        </w:rPr>
      </w:pPr>
      <w:r>
        <w:rPr>
          <w:b/>
          <w:bCs/>
          <w:noProof/>
          <w:szCs w:val="24"/>
          <w:lang w:val="en-IE"/>
        </w:rPr>
        <w:t xml:space="preserve">Measures </w:t>
      </w:r>
      <w:r w:rsidRPr="00787215">
        <w:rPr>
          <w:b/>
          <w:bCs/>
          <w:noProof/>
          <w:szCs w:val="24"/>
          <w:lang w:val="en-IE"/>
        </w:rPr>
        <w:t xml:space="preserve">supporting Moldova’s </w:t>
      </w:r>
      <w:r>
        <w:rPr>
          <w:b/>
          <w:bCs/>
          <w:noProof/>
          <w:szCs w:val="24"/>
          <w:lang w:val="en-IE"/>
        </w:rPr>
        <w:t>i</w:t>
      </w:r>
      <w:r w:rsidRPr="00787215">
        <w:rPr>
          <w:b/>
          <w:bCs/>
          <w:noProof/>
          <w:szCs w:val="24"/>
          <w:lang w:val="en-IE"/>
        </w:rPr>
        <w:t xml:space="preserve">ntegration into the EU </w:t>
      </w:r>
      <w:r>
        <w:rPr>
          <w:b/>
          <w:bCs/>
          <w:noProof/>
          <w:szCs w:val="24"/>
          <w:lang w:val="en-IE"/>
        </w:rPr>
        <w:t>s</w:t>
      </w:r>
      <w:r w:rsidRPr="00787215">
        <w:rPr>
          <w:b/>
          <w:bCs/>
          <w:noProof/>
          <w:szCs w:val="24"/>
          <w:lang w:val="en-IE"/>
        </w:rPr>
        <w:t xml:space="preserve">ingle </w:t>
      </w:r>
      <w:r>
        <w:rPr>
          <w:b/>
          <w:bCs/>
          <w:noProof/>
          <w:szCs w:val="24"/>
          <w:lang w:val="en-IE"/>
        </w:rPr>
        <w:t>m</w:t>
      </w:r>
      <w:r w:rsidRPr="00787215">
        <w:rPr>
          <w:b/>
          <w:bCs/>
          <w:noProof/>
          <w:szCs w:val="24"/>
          <w:lang w:val="en-IE"/>
        </w:rPr>
        <w:t>arket</w:t>
      </w:r>
      <w:r>
        <w:rPr>
          <w:b/>
          <w:bCs/>
          <w:noProof/>
          <w:szCs w:val="24"/>
          <w:lang w:val="en-IE"/>
        </w:rPr>
        <w:t xml:space="preserve"> (Pillar 2)</w:t>
      </w:r>
    </w:p>
    <w:p w14:paraId="35A64EF4" w14:textId="77777777" w:rsidR="002C4FFA" w:rsidRPr="00787215" w:rsidRDefault="002C4FFA" w:rsidP="002C4FFA">
      <w:pPr>
        <w:rPr>
          <w:noProof/>
          <w:szCs w:val="24"/>
        </w:rPr>
      </w:pPr>
      <w:bookmarkStart w:id="2" w:name="_Hlk178781359"/>
      <w:r w:rsidRPr="00787215">
        <w:rPr>
          <w:b/>
          <w:bCs/>
          <w:noProof/>
          <w:szCs w:val="24"/>
        </w:rPr>
        <w:t>1.</w:t>
      </w:r>
      <w:r w:rsidRPr="00787215">
        <w:rPr>
          <w:noProof/>
          <w:szCs w:val="24"/>
        </w:rPr>
        <w:t xml:space="preserve"> </w:t>
      </w:r>
      <w:r w:rsidRPr="00787215">
        <w:rPr>
          <w:b/>
          <w:bCs/>
          <w:noProof/>
          <w:szCs w:val="24"/>
        </w:rPr>
        <w:t>Free movement of goods and integration in supply chains</w:t>
      </w:r>
      <w:r w:rsidRPr="00787215">
        <w:rPr>
          <w:noProof/>
          <w:szCs w:val="24"/>
        </w:rPr>
        <w:t xml:space="preserve"> </w:t>
      </w:r>
    </w:p>
    <w:p w14:paraId="482FB8FD" w14:textId="77777777" w:rsidR="002C4FFA" w:rsidRPr="00A84BB6" w:rsidRDefault="002C4FFA" w:rsidP="002C4FFA">
      <w:pPr>
        <w:pStyle w:val="Point0number"/>
        <w:numPr>
          <w:ilvl w:val="0"/>
          <w:numId w:val="2"/>
        </w:numPr>
        <w:rPr>
          <w:noProof/>
          <w:szCs w:val="24"/>
        </w:rPr>
      </w:pPr>
      <w:r>
        <w:rPr>
          <w:noProof/>
          <w:szCs w:val="24"/>
        </w:rPr>
        <w:t xml:space="preserve">Conclude </w:t>
      </w:r>
      <w:r w:rsidRPr="007A30CE">
        <w:rPr>
          <w:noProof/>
          <w:szCs w:val="24"/>
        </w:rPr>
        <w:t>an agreement</w:t>
      </w:r>
      <w:r w:rsidRPr="00787215">
        <w:rPr>
          <w:noProof/>
          <w:szCs w:val="24"/>
        </w:rPr>
        <w:t xml:space="preserve"> on conformity assessment and acceptance (ACAA) of industrial products to unlock the </w:t>
      </w:r>
      <w:r>
        <w:rPr>
          <w:noProof/>
          <w:szCs w:val="24"/>
        </w:rPr>
        <w:t>s</w:t>
      </w:r>
      <w:r w:rsidRPr="00787215">
        <w:rPr>
          <w:noProof/>
          <w:szCs w:val="24"/>
        </w:rPr>
        <w:t xml:space="preserve">ingle </w:t>
      </w:r>
      <w:r>
        <w:rPr>
          <w:noProof/>
          <w:szCs w:val="24"/>
        </w:rPr>
        <w:t>m</w:t>
      </w:r>
      <w:r w:rsidRPr="00787215">
        <w:rPr>
          <w:noProof/>
          <w:szCs w:val="24"/>
        </w:rPr>
        <w:t xml:space="preserve">arket for goods manufactured in Moldova following alignment with the relevant EU </w:t>
      </w:r>
      <w:r w:rsidRPr="00F60D25">
        <w:rPr>
          <w:i/>
          <w:iCs/>
          <w:noProof/>
          <w:szCs w:val="24"/>
        </w:rPr>
        <w:t>acquis</w:t>
      </w:r>
      <w:r w:rsidRPr="00787215">
        <w:rPr>
          <w:noProof/>
          <w:szCs w:val="24"/>
        </w:rPr>
        <w:t>.</w:t>
      </w:r>
    </w:p>
    <w:p w14:paraId="69D898C0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 xml:space="preserve">Explore solutions to strengthen the capacity </w:t>
      </w:r>
      <w:r>
        <w:rPr>
          <w:noProof/>
          <w:szCs w:val="24"/>
        </w:rPr>
        <w:t xml:space="preserve">and independence </w:t>
      </w:r>
      <w:r w:rsidRPr="00787215">
        <w:rPr>
          <w:noProof/>
          <w:szCs w:val="24"/>
        </w:rPr>
        <w:t xml:space="preserve">of </w:t>
      </w:r>
      <w:r>
        <w:rPr>
          <w:noProof/>
          <w:szCs w:val="24"/>
        </w:rPr>
        <w:t xml:space="preserve">its quality infrastructure (including laboratory testing and market surveillance) </w:t>
      </w:r>
      <w:r w:rsidRPr="00787215">
        <w:rPr>
          <w:noProof/>
          <w:szCs w:val="24"/>
        </w:rPr>
        <w:t xml:space="preserve">as well as </w:t>
      </w:r>
      <w:r>
        <w:rPr>
          <w:noProof/>
          <w:szCs w:val="24"/>
        </w:rPr>
        <w:t>promote</w:t>
      </w:r>
      <w:r w:rsidRPr="00787215">
        <w:rPr>
          <w:noProof/>
          <w:szCs w:val="24"/>
        </w:rPr>
        <w:t xml:space="preserve"> intelligence on EU market access and opportunities.</w:t>
      </w:r>
    </w:p>
    <w:p w14:paraId="3568EB99" w14:textId="77777777" w:rsidR="002C4FFA" w:rsidRPr="00787215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Promote full membership of the Moldovan national standardisation body to the three official European Standardisation Organisations, CEN, CENELEC and ETSI.</w:t>
      </w:r>
    </w:p>
    <w:p w14:paraId="15230B00" w14:textId="77777777" w:rsidR="002C4FFA" w:rsidRPr="00787215" w:rsidRDefault="002C4FFA" w:rsidP="002C4FFA">
      <w:pPr>
        <w:rPr>
          <w:b/>
          <w:bCs/>
          <w:noProof/>
          <w:szCs w:val="24"/>
        </w:rPr>
      </w:pPr>
      <w:r w:rsidRPr="30D41AF0">
        <w:rPr>
          <w:b/>
          <w:bCs/>
          <w:noProof/>
          <w:szCs w:val="24"/>
        </w:rPr>
        <w:t xml:space="preserve">2. Facilitation of </w:t>
      </w:r>
      <w:r>
        <w:rPr>
          <w:b/>
          <w:bCs/>
          <w:noProof/>
          <w:szCs w:val="24"/>
        </w:rPr>
        <w:t xml:space="preserve">legitimate </w:t>
      </w:r>
      <w:r w:rsidRPr="30D41AF0">
        <w:rPr>
          <w:b/>
          <w:bCs/>
          <w:noProof/>
          <w:szCs w:val="24"/>
        </w:rPr>
        <w:t xml:space="preserve">trade and transport connections as well </w:t>
      </w:r>
      <w:r>
        <w:rPr>
          <w:b/>
          <w:bCs/>
          <w:noProof/>
          <w:szCs w:val="24"/>
        </w:rPr>
        <w:t>as enhanced</w:t>
      </w:r>
      <w:r w:rsidRPr="30D41AF0">
        <w:rPr>
          <w:b/>
          <w:bCs/>
          <w:noProof/>
          <w:szCs w:val="24"/>
        </w:rPr>
        <w:t xml:space="preserve"> supply chain security</w:t>
      </w:r>
    </w:p>
    <w:p w14:paraId="7C69BE3C" w14:textId="77777777" w:rsidR="002C4FFA" w:rsidRPr="00787215" w:rsidRDefault="002C4FFA" w:rsidP="002C4FFA">
      <w:pPr>
        <w:rPr>
          <w:noProof/>
          <w:szCs w:val="24"/>
          <w:lang w:val="en-US"/>
        </w:rPr>
      </w:pPr>
      <w:r w:rsidRPr="30D41AF0">
        <w:rPr>
          <w:noProof/>
          <w:szCs w:val="24"/>
        </w:rPr>
        <w:t xml:space="preserve">Since May 2022, the Solidarity Lanes have helped improve the EU-Ukraine-Moldova transport </w:t>
      </w:r>
      <w:r>
        <w:rPr>
          <w:noProof/>
          <w:szCs w:val="24"/>
        </w:rPr>
        <w:t>connections, boosting trade via road, rail, and inland waterways.</w:t>
      </w:r>
      <w:r w:rsidRPr="30D41AF0">
        <w:rPr>
          <w:noProof/>
          <w:szCs w:val="24"/>
        </w:rPr>
        <w:t xml:space="preserve"> In addition, Moldova and the EU closely cooperate in customs, </w:t>
      </w:r>
      <w:r>
        <w:rPr>
          <w:noProof/>
          <w:szCs w:val="24"/>
        </w:rPr>
        <w:t>notably</w:t>
      </w:r>
      <w:r w:rsidRPr="30D41AF0">
        <w:rPr>
          <w:noProof/>
          <w:szCs w:val="24"/>
        </w:rPr>
        <w:t xml:space="preserve"> through the Mutual Recognition of Authorised Economic Operators (AEO) programmes. Moldova should </w:t>
      </w:r>
      <w:r>
        <w:rPr>
          <w:noProof/>
          <w:szCs w:val="24"/>
        </w:rPr>
        <w:t>accede</w:t>
      </w:r>
      <w:r w:rsidRPr="30D41AF0">
        <w:rPr>
          <w:noProof/>
          <w:szCs w:val="24"/>
        </w:rPr>
        <w:t xml:space="preserve"> to the Common Transit Convention (CTC) </w:t>
      </w:r>
      <w:r>
        <w:rPr>
          <w:noProof/>
          <w:szCs w:val="24"/>
        </w:rPr>
        <w:t>in</w:t>
      </w:r>
      <w:r w:rsidRPr="30D41AF0">
        <w:rPr>
          <w:noProof/>
          <w:szCs w:val="24"/>
        </w:rPr>
        <w:t xml:space="preserve"> 2025 </w:t>
      </w:r>
      <w:r>
        <w:rPr>
          <w:noProof/>
          <w:szCs w:val="24"/>
        </w:rPr>
        <w:t xml:space="preserve">and encourage its operators to make full use of the transit procedure </w:t>
      </w:r>
      <w:r w:rsidRPr="30D41AF0">
        <w:rPr>
          <w:noProof/>
          <w:szCs w:val="24"/>
        </w:rPr>
        <w:t xml:space="preserve">to </w:t>
      </w:r>
      <w:r w:rsidRPr="002A644A">
        <w:rPr>
          <w:noProof/>
          <w:szCs w:val="24"/>
        </w:rPr>
        <w:t>facilitate</w:t>
      </w:r>
      <w:r w:rsidRPr="30D41AF0">
        <w:rPr>
          <w:noProof/>
          <w:szCs w:val="24"/>
        </w:rPr>
        <w:t xml:space="preserve"> the border </w:t>
      </w:r>
      <w:r w:rsidRPr="002A644A">
        <w:rPr>
          <w:noProof/>
          <w:szCs w:val="24"/>
        </w:rPr>
        <w:t>crossing process</w:t>
      </w:r>
      <w:r w:rsidRPr="30D41AF0">
        <w:rPr>
          <w:noProof/>
          <w:szCs w:val="24"/>
        </w:rPr>
        <w:t>. Further steps will be explored, including:</w:t>
      </w:r>
    </w:p>
    <w:p w14:paraId="7FB40FAF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t>Providing expert assistance</w:t>
      </w:r>
      <w:r w:rsidRPr="30D41AF0">
        <w:rPr>
          <w:noProof/>
          <w:szCs w:val="24"/>
        </w:rPr>
        <w:t xml:space="preserve"> </w:t>
      </w:r>
      <w:r>
        <w:rPr>
          <w:noProof/>
          <w:szCs w:val="24"/>
        </w:rPr>
        <w:t xml:space="preserve">through the Customs Programme to simplify and digitalise </w:t>
      </w:r>
      <w:r w:rsidRPr="30D41AF0">
        <w:rPr>
          <w:noProof/>
          <w:szCs w:val="24"/>
        </w:rPr>
        <w:t xml:space="preserve">customs </w:t>
      </w:r>
      <w:r>
        <w:rPr>
          <w:noProof/>
          <w:szCs w:val="24"/>
        </w:rPr>
        <w:t>processes,</w:t>
      </w:r>
      <w:r w:rsidRPr="30D41AF0">
        <w:rPr>
          <w:noProof/>
          <w:szCs w:val="24"/>
        </w:rPr>
        <w:t xml:space="preserve"> </w:t>
      </w:r>
      <w:r>
        <w:rPr>
          <w:noProof/>
          <w:szCs w:val="24"/>
        </w:rPr>
        <w:t>aimed at supporting legitimate business activity</w:t>
      </w:r>
      <w:r w:rsidRPr="30D41AF0">
        <w:rPr>
          <w:noProof/>
          <w:szCs w:val="24"/>
        </w:rPr>
        <w:t xml:space="preserve"> </w:t>
      </w:r>
      <w:r>
        <w:rPr>
          <w:noProof/>
          <w:szCs w:val="24"/>
        </w:rPr>
        <w:t>as well as</w:t>
      </w:r>
      <w:r w:rsidRPr="30D41AF0">
        <w:rPr>
          <w:noProof/>
          <w:szCs w:val="24"/>
        </w:rPr>
        <w:t xml:space="preserve"> prepar</w:t>
      </w:r>
      <w:r>
        <w:rPr>
          <w:noProof/>
          <w:szCs w:val="24"/>
        </w:rPr>
        <w:t>ing</w:t>
      </w:r>
      <w:r w:rsidRPr="30D41AF0">
        <w:rPr>
          <w:noProof/>
          <w:szCs w:val="24"/>
        </w:rPr>
        <w:t xml:space="preserve"> the ground for </w:t>
      </w:r>
      <w:r>
        <w:rPr>
          <w:noProof/>
          <w:szCs w:val="24"/>
        </w:rPr>
        <w:t xml:space="preserve">interoperability </w:t>
      </w:r>
      <w:r w:rsidRPr="30D41AF0">
        <w:rPr>
          <w:noProof/>
          <w:szCs w:val="24"/>
        </w:rPr>
        <w:t xml:space="preserve">with the EU electronic customs environment. </w:t>
      </w:r>
    </w:p>
    <w:p w14:paraId="39CAB193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1E4AA6">
        <w:rPr>
          <w:noProof/>
          <w:szCs w:val="24"/>
        </w:rPr>
        <w:t>Provid</w:t>
      </w:r>
      <w:r>
        <w:rPr>
          <w:noProof/>
          <w:szCs w:val="24"/>
        </w:rPr>
        <w:t>ing</w:t>
      </w:r>
      <w:r w:rsidRPr="001E4AA6">
        <w:rPr>
          <w:noProof/>
          <w:szCs w:val="24"/>
        </w:rPr>
        <w:t xml:space="preserve"> further access to the Trade Control and Expert System (TRACES)</w:t>
      </w:r>
      <w:r>
        <w:rPr>
          <w:noProof/>
          <w:szCs w:val="24"/>
        </w:rPr>
        <w:t>.</w:t>
      </w:r>
    </w:p>
    <w:p w14:paraId="300B17C4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spacing w:before="240"/>
        <w:ind w:left="850" w:hanging="850"/>
        <w:rPr>
          <w:noProof/>
          <w:szCs w:val="24"/>
        </w:rPr>
      </w:pPr>
      <w:r>
        <w:rPr>
          <w:noProof/>
          <w:szCs w:val="24"/>
        </w:rPr>
        <w:t>Providing n</w:t>
      </w:r>
      <w:r w:rsidRPr="00787215">
        <w:rPr>
          <w:noProof/>
          <w:szCs w:val="24"/>
        </w:rPr>
        <w:t xml:space="preserve">ew investment opportunities for </w:t>
      </w:r>
      <w:r>
        <w:rPr>
          <w:noProof/>
          <w:szCs w:val="24"/>
        </w:rPr>
        <w:t xml:space="preserve">the </w:t>
      </w:r>
      <w:r w:rsidRPr="00787215">
        <w:rPr>
          <w:noProof/>
          <w:szCs w:val="24"/>
        </w:rPr>
        <w:t xml:space="preserve">development of the Trans-European Transport Network (TEN-T) priority </w:t>
      </w:r>
      <w:r>
        <w:rPr>
          <w:noProof/>
          <w:szCs w:val="24"/>
        </w:rPr>
        <w:t>b</w:t>
      </w:r>
      <w:r w:rsidRPr="00787215">
        <w:rPr>
          <w:noProof/>
          <w:szCs w:val="24"/>
        </w:rPr>
        <w:t xml:space="preserve">order </w:t>
      </w:r>
      <w:r>
        <w:rPr>
          <w:noProof/>
          <w:szCs w:val="24"/>
        </w:rPr>
        <w:t>c</w:t>
      </w:r>
      <w:r w:rsidRPr="00787215">
        <w:rPr>
          <w:noProof/>
          <w:szCs w:val="24"/>
        </w:rPr>
        <w:t xml:space="preserve">rossing </w:t>
      </w:r>
      <w:r>
        <w:rPr>
          <w:noProof/>
          <w:szCs w:val="24"/>
        </w:rPr>
        <w:t>p</w:t>
      </w:r>
      <w:r w:rsidRPr="00787215">
        <w:rPr>
          <w:noProof/>
          <w:szCs w:val="24"/>
        </w:rPr>
        <w:t>oints</w:t>
      </w:r>
      <w:r>
        <w:rPr>
          <w:noProof/>
          <w:szCs w:val="24"/>
        </w:rPr>
        <w:t>,</w:t>
      </w:r>
      <w:r w:rsidRPr="00787215">
        <w:rPr>
          <w:noProof/>
          <w:szCs w:val="24"/>
        </w:rPr>
        <w:t xml:space="preserve"> as well as ensuring </w:t>
      </w:r>
      <w:r>
        <w:rPr>
          <w:noProof/>
          <w:szCs w:val="24"/>
        </w:rPr>
        <w:t xml:space="preserve">the </w:t>
      </w:r>
      <w:r w:rsidRPr="00787215">
        <w:rPr>
          <w:noProof/>
          <w:szCs w:val="24"/>
        </w:rPr>
        <w:t xml:space="preserve">integration of Moldovan railway systems into the EU </w:t>
      </w:r>
      <w:r>
        <w:rPr>
          <w:noProof/>
          <w:szCs w:val="24"/>
        </w:rPr>
        <w:t>system</w:t>
      </w:r>
      <w:r w:rsidRPr="00787215">
        <w:rPr>
          <w:noProof/>
          <w:szCs w:val="24"/>
        </w:rPr>
        <w:t xml:space="preserve">, complementary to already ongoing investments supported </w:t>
      </w:r>
      <w:r>
        <w:rPr>
          <w:noProof/>
          <w:szCs w:val="24"/>
        </w:rPr>
        <w:t>through</w:t>
      </w:r>
      <w:r w:rsidRPr="00787215">
        <w:rPr>
          <w:noProof/>
          <w:szCs w:val="24"/>
        </w:rPr>
        <w:t xml:space="preserve"> the Connecting Europe Facility (CEF).</w:t>
      </w:r>
    </w:p>
    <w:p w14:paraId="349B78FE" w14:textId="77777777" w:rsidR="002C4FFA" w:rsidRPr="00787215" w:rsidRDefault="002C4FFA" w:rsidP="002C4FFA">
      <w:pPr>
        <w:pStyle w:val="Point0number"/>
        <w:tabs>
          <w:tab w:val="clear" w:pos="360"/>
          <w:tab w:val="num" w:pos="850"/>
        </w:tabs>
        <w:spacing w:before="240"/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Proposing the extension of the Road Transport Agreement beyond December 2025 and supporting road transport legislation alignment.</w:t>
      </w:r>
    </w:p>
    <w:p w14:paraId="4B7D8A5B" w14:textId="77777777" w:rsidR="002C4FFA" w:rsidRPr="00787215" w:rsidRDefault="002C4FFA" w:rsidP="002C4FFA">
      <w:pPr>
        <w:pStyle w:val="Point0number"/>
        <w:tabs>
          <w:tab w:val="clear" w:pos="360"/>
          <w:tab w:val="num" w:pos="850"/>
        </w:tabs>
        <w:spacing w:before="240"/>
        <w:ind w:left="850" w:hanging="850"/>
        <w:rPr>
          <w:noProof/>
          <w:szCs w:val="24"/>
        </w:rPr>
      </w:pPr>
      <w:r>
        <w:rPr>
          <w:noProof/>
          <w:szCs w:val="24"/>
        </w:rPr>
        <w:t>Reinforcing cooperation with the Transport Community, including through enhanced support and integrating Moldova into Transport Community Treaty (TCT) deliverables, notably action plans, and progress reports on acquis alignment and TEN-T development.</w:t>
      </w:r>
    </w:p>
    <w:p w14:paraId="2A3195FC" w14:textId="77777777" w:rsidR="002C4FFA" w:rsidRDefault="002C4FFA" w:rsidP="002C4FFA">
      <w:pPr>
        <w:rPr>
          <w:b/>
          <w:bCs/>
          <w:noProof/>
          <w:szCs w:val="24"/>
        </w:rPr>
      </w:pPr>
      <w:r w:rsidRPr="00787215">
        <w:rPr>
          <w:b/>
          <w:bCs/>
          <w:noProof/>
          <w:szCs w:val="24"/>
        </w:rPr>
        <w:t>3</w:t>
      </w:r>
      <w:r w:rsidRPr="00787215">
        <w:rPr>
          <w:noProof/>
          <w:szCs w:val="24"/>
        </w:rPr>
        <w:t xml:space="preserve">. </w:t>
      </w:r>
      <w:r w:rsidRPr="00787215">
        <w:rPr>
          <w:b/>
          <w:bCs/>
          <w:noProof/>
          <w:szCs w:val="24"/>
        </w:rPr>
        <w:t>Integration in the EU energy market and decarbonisation</w:t>
      </w:r>
    </w:p>
    <w:p w14:paraId="4B539E9E" w14:textId="77777777" w:rsidR="002C4FFA" w:rsidRDefault="002C4FFA" w:rsidP="002C4FFA">
      <w:pPr>
        <w:rPr>
          <w:noProof/>
          <w:szCs w:val="24"/>
        </w:rPr>
      </w:pPr>
      <w:r w:rsidRPr="00787215">
        <w:rPr>
          <w:noProof/>
          <w:szCs w:val="24"/>
        </w:rPr>
        <w:t>Based on the Joint Moldova-Energy</w:t>
      </w:r>
      <w:r>
        <w:rPr>
          <w:noProof/>
          <w:szCs w:val="24"/>
        </w:rPr>
        <w:t xml:space="preserve"> </w:t>
      </w:r>
      <w:r w:rsidRPr="00787215">
        <w:rPr>
          <w:noProof/>
          <w:szCs w:val="24"/>
        </w:rPr>
        <w:t xml:space="preserve">Community-European Commission Roadmap, support </w:t>
      </w:r>
      <w:r>
        <w:rPr>
          <w:noProof/>
          <w:szCs w:val="24"/>
        </w:rPr>
        <w:t xml:space="preserve">will be provided to: </w:t>
      </w:r>
    </w:p>
    <w:p w14:paraId="61F8E478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t>T</w:t>
      </w:r>
      <w:r w:rsidRPr="007E4D85">
        <w:rPr>
          <w:noProof/>
          <w:szCs w:val="24"/>
        </w:rPr>
        <w:t xml:space="preserve">he </w:t>
      </w:r>
      <w:r>
        <w:rPr>
          <w:noProof/>
          <w:szCs w:val="24"/>
        </w:rPr>
        <w:t xml:space="preserve">development of EU aligned legislation </w:t>
      </w:r>
      <w:r w:rsidRPr="007E4D85">
        <w:rPr>
          <w:noProof/>
          <w:szCs w:val="24"/>
        </w:rPr>
        <w:t xml:space="preserve">and </w:t>
      </w:r>
      <w:r>
        <w:rPr>
          <w:noProof/>
          <w:szCs w:val="24"/>
        </w:rPr>
        <w:t xml:space="preserve">related energy </w:t>
      </w:r>
      <w:r w:rsidRPr="007E4D85">
        <w:rPr>
          <w:noProof/>
          <w:szCs w:val="24"/>
        </w:rPr>
        <w:t>market reforms</w:t>
      </w:r>
      <w:r>
        <w:rPr>
          <w:noProof/>
          <w:szCs w:val="24"/>
        </w:rPr>
        <w:t>.</w:t>
      </w:r>
    </w:p>
    <w:p w14:paraId="2461BDF7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t>I</w:t>
      </w:r>
      <w:r w:rsidRPr="007E4D85">
        <w:rPr>
          <w:noProof/>
          <w:szCs w:val="24"/>
        </w:rPr>
        <w:t xml:space="preserve">nvestments </w:t>
      </w:r>
      <w:r>
        <w:rPr>
          <w:noProof/>
          <w:szCs w:val="24"/>
        </w:rPr>
        <w:t>needed</w:t>
      </w:r>
      <w:r w:rsidRPr="007E4D85">
        <w:rPr>
          <w:noProof/>
          <w:szCs w:val="24"/>
        </w:rPr>
        <w:t xml:space="preserve"> for the development of competitive and sustainable energy markets paving the way for their integration with the EU internal market</w:t>
      </w:r>
      <w:r>
        <w:rPr>
          <w:noProof/>
          <w:szCs w:val="24"/>
        </w:rPr>
        <w:t xml:space="preserve">. </w:t>
      </w:r>
    </w:p>
    <w:p w14:paraId="54C1758F" w14:textId="77777777" w:rsidR="002C4FFA" w:rsidRPr="002C6CF8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lastRenderedPageBreak/>
        <w:t>Measures to prepare</w:t>
      </w:r>
      <w:r w:rsidRPr="00E15325">
        <w:rPr>
          <w:noProof/>
          <w:szCs w:val="24"/>
        </w:rPr>
        <w:t xml:space="preserve"> in the implementation of </w:t>
      </w:r>
      <w:r w:rsidRPr="0FC39B39">
        <w:rPr>
          <w:noProof/>
          <w:szCs w:val="24"/>
        </w:rPr>
        <w:t>carbon</w:t>
      </w:r>
      <w:r w:rsidRPr="7A51DC01">
        <w:rPr>
          <w:noProof/>
          <w:szCs w:val="24"/>
        </w:rPr>
        <w:t xml:space="preserve"> </w:t>
      </w:r>
      <w:r w:rsidRPr="70FC603F">
        <w:rPr>
          <w:noProof/>
          <w:szCs w:val="24"/>
        </w:rPr>
        <w:t>pricing</w:t>
      </w:r>
      <w:r>
        <w:rPr>
          <w:noProof/>
          <w:szCs w:val="24"/>
        </w:rPr>
        <w:t>.</w:t>
      </w:r>
    </w:p>
    <w:p w14:paraId="1CC7DE12" w14:textId="77777777" w:rsidR="002C4FFA" w:rsidRPr="00E67821" w:rsidRDefault="002C4FFA" w:rsidP="002C4FFA">
      <w:pPr>
        <w:rPr>
          <w:b/>
          <w:bCs/>
          <w:noProof/>
          <w:szCs w:val="24"/>
        </w:rPr>
      </w:pPr>
      <w:r w:rsidRPr="00E67821">
        <w:rPr>
          <w:b/>
          <w:bCs/>
          <w:noProof/>
          <w:szCs w:val="24"/>
        </w:rPr>
        <w:t>4.</w:t>
      </w:r>
      <w:r>
        <w:rPr>
          <w:b/>
          <w:bCs/>
          <w:noProof/>
          <w:szCs w:val="24"/>
        </w:rPr>
        <w:t xml:space="preserve"> </w:t>
      </w:r>
      <w:r w:rsidRPr="00E67821">
        <w:rPr>
          <w:b/>
          <w:bCs/>
          <w:noProof/>
          <w:szCs w:val="24"/>
        </w:rPr>
        <w:t>Integration in the Digital Single Market</w:t>
      </w:r>
    </w:p>
    <w:p w14:paraId="3A9F1A54" w14:textId="77777777" w:rsidR="002C4FFA" w:rsidRPr="007E4D85" w:rsidRDefault="002C4FFA" w:rsidP="002C4FFA">
      <w:pPr>
        <w:rPr>
          <w:noProof/>
          <w:szCs w:val="24"/>
          <w:lang w:val="en-US"/>
        </w:rPr>
      </w:pPr>
      <w:r>
        <w:rPr>
          <w:noProof/>
          <w:szCs w:val="24"/>
        </w:rPr>
        <w:t>In the digital sector, the measures will</w:t>
      </w:r>
      <w:r w:rsidRPr="007E4D85">
        <w:rPr>
          <w:noProof/>
          <w:szCs w:val="24"/>
        </w:rPr>
        <w:t>:</w:t>
      </w:r>
    </w:p>
    <w:p w14:paraId="04C1CE6D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E4D85">
        <w:rPr>
          <w:noProof/>
          <w:szCs w:val="24"/>
        </w:rPr>
        <w:t xml:space="preserve">Facilitate the transposition </w:t>
      </w:r>
      <w:r>
        <w:rPr>
          <w:noProof/>
          <w:szCs w:val="24"/>
        </w:rPr>
        <w:t xml:space="preserve">and effective implementation </w:t>
      </w:r>
      <w:r w:rsidRPr="007E4D85">
        <w:rPr>
          <w:noProof/>
          <w:szCs w:val="24"/>
        </w:rPr>
        <w:t xml:space="preserve">of the roaming and telecommunications </w:t>
      </w:r>
      <w:r w:rsidRPr="00F60D25">
        <w:rPr>
          <w:i/>
          <w:iCs/>
          <w:noProof/>
          <w:szCs w:val="24"/>
        </w:rPr>
        <w:t>acquis</w:t>
      </w:r>
      <w:r w:rsidRPr="007E4D85">
        <w:rPr>
          <w:noProof/>
          <w:szCs w:val="24"/>
        </w:rPr>
        <w:t>, for</w:t>
      </w:r>
      <w:r>
        <w:rPr>
          <w:noProof/>
          <w:szCs w:val="24"/>
        </w:rPr>
        <w:t xml:space="preserve"> the </w:t>
      </w:r>
      <w:r w:rsidRPr="007E4D85">
        <w:rPr>
          <w:noProof/>
          <w:szCs w:val="24"/>
        </w:rPr>
        <w:t>integrat</w:t>
      </w:r>
      <w:r>
        <w:rPr>
          <w:noProof/>
          <w:szCs w:val="24"/>
        </w:rPr>
        <w:t>ion</w:t>
      </w:r>
      <w:r w:rsidRPr="007E4D85">
        <w:rPr>
          <w:noProof/>
          <w:szCs w:val="24"/>
        </w:rPr>
        <w:t xml:space="preserve"> in the EU “</w:t>
      </w:r>
      <w:r w:rsidRPr="007E4D85">
        <w:rPr>
          <w:i/>
          <w:iCs/>
          <w:noProof/>
          <w:szCs w:val="24"/>
        </w:rPr>
        <w:t>roam like at home</w:t>
      </w:r>
      <w:r w:rsidRPr="007E4D85">
        <w:rPr>
          <w:noProof/>
          <w:szCs w:val="24"/>
        </w:rPr>
        <w:t>” area</w:t>
      </w:r>
      <w:r>
        <w:rPr>
          <w:noProof/>
          <w:szCs w:val="24"/>
        </w:rPr>
        <w:t>.</w:t>
      </w:r>
    </w:p>
    <w:p w14:paraId="1A18F122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 xml:space="preserve">Support </w:t>
      </w:r>
      <w:r>
        <w:rPr>
          <w:noProof/>
          <w:szCs w:val="24"/>
        </w:rPr>
        <w:t>Moldovan</w:t>
      </w:r>
      <w:r w:rsidRPr="00787215">
        <w:rPr>
          <w:noProof/>
          <w:szCs w:val="24"/>
        </w:rPr>
        <w:t xml:space="preserve"> participation in the development and implementation of the future EU Digital Identity Wallet and to align national legislation with the EU Digital Identity framework as well as the E</w:t>
      </w:r>
      <w:r>
        <w:rPr>
          <w:noProof/>
          <w:szCs w:val="24"/>
        </w:rPr>
        <w:t>uropean</w:t>
      </w:r>
      <w:r w:rsidRPr="00787215">
        <w:rPr>
          <w:noProof/>
          <w:szCs w:val="24"/>
        </w:rPr>
        <w:t xml:space="preserve"> </w:t>
      </w:r>
      <w:r>
        <w:rPr>
          <w:noProof/>
          <w:szCs w:val="24"/>
        </w:rPr>
        <w:t>I</w:t>
      </w:r>
      <w:r w:rsidRPr="00787215">
        <w:rPr>
          <w:noProof/>
          <w:szCs w:val="24"/>
        </w:rPr>
        <w:t xml:space="preserve">nteroperability </w:t>
      </w:r>
      <w:r>
        <w:rPr>
          <w:noProof/>
          <w:szCs w:val="24"/>
        </w:rPr>
        <w:t>F</w:t>
      </w:r>
      <w:r w:rsidRPr="00787215">
        <w:rPr>
          <w:noProof/>
          <w:szCs w:val="24"/>
        </w:rPr>
        <w:t>ramework</w:t>
      </w:r>
      <w:r>
        <w:rPr>
          <w:noProof/>
          <w:szCs w:val="24"/>
        </w:rPr>
        <w:t xml:space="preserve"> (EIF)</w:t>
      </w:r>
      <w:r w:rsidRPr="00787215">
        <w:rPr>
          <w:noProof/>
          <w:szCs w:val="24"/>
        </w:rPr>
        <w:t xml:space="preserve"> for online </w:t>
      </w:r>
      <w:r>
        <w:rPr>
          <w:noProof/>
          <w:szCs w:val="24"/>
        </w:rPr>
        <w:t xml:space="preserve">public </w:t>
      </w:r>
      <w:r w:rsidRPr="00787215">
        <w:rPr>
          <w:noProof/>
          <w:szCs w:val="24"/>
        </w:rPr>
        <w:t>services</w:t>
      </w:r>
      <w:r>
        <w:rPr>
          <w:noProof/>
          <w:szCs w:val="24"/>
        </w:rPr>
        <w:t xml:space="preserve"> and cross-border exchange.</w:t>
      </w:r>
    </w:p>
    <w:p w14:paraId="49E76E68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Support the development and implementation of the provisions of the Digital Services Act and the Digital Markets Act</w:t>
      </w:r>
      <w:r>
        <w:rPr>
          <w:noProof/>
          <w:szCs w:val="24"/>
        </w:rPr>
        <w:t xml:space="preserve"> (including</w:t>
      </w:r>
      <w:r w:rsidRPr="00787215">
        <w:rPr>
          <w:noProof/>
          <w:szCs w:val="24"/>
        </w:rPr>
        <w:t xml:space="preserve"> </w:t>
      </w:r>
      <w:r>
        <w:rPr>
          <w:noProof/>
          <w:szCs w:val="24"/>
        </w:rPr>
        <w:t>a</w:t>
      </w:r>
      <w:r w:rsidRPr="00787215">
        <w:rPr>
          <w:noProof/>
          <w:szCs w:val="24"/>
        </w:rPr>
        <w:t>dditional assistance to address specific risks</w:t>
      </w:r>
      <w:r>
        <w:rPr>
          <w:noProof/>
          <w:szCs w:val="24"/>
        </w:rPr>
        <w:t>)</w:t>
      </w:r>
      <w:r w:rsidRPr="00787215">
        <w:rPr>
          <w:noProof/>
          <w:szCs w:val="24"/>
        </w:rPr>
        <w:t xml:space="preserve"> and explore possible cooperation mechanisms between the Union’s and Moldova’s enforcement authorities</w:t>
      </w:r>
      <w:r>
        <w:rPr>
          <w:noProof/>
          <w:szCs w:val="24"/>
        </w:rPr>
        <w:t>.</w:t>
      </w:r>
    </w:p>
    <w:p w14:paraId="4E836971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Further strengthen the digital infrastructure, security</w:t>
      </w:r>
      <w:r w:rsidRPr="6C172BF5">
        <w:rPr>
          <w:noProof/>
          <w:szCs w:val="24"/>
        </w:rPr>
        <w:t>,</w:t>
      </w:r>
      <w:r w:rsidRPr="00787215">
        <w:rPr>
          <w:noProof/>
          <w:szCs w:val="24"/>
        </w:rPr>
        <w:t xml:space="preserve"> and economy of Moldova</w:t>
      </w:r>
      <w:r>
        <w:rPr>
          <w:noProof/>
          <w:szCs w:val="24"/>
        </w:rPr>
        <w:t xml:space="preserve">; </w:t>
      </w:r>
      <w:r w:rsidRPr="7B3DAD49">
        <w:rPr>
          <w:noProof/>
          <w:szCs w:val="24"/>
        </w:rPr>
        <w:t>support</w:t>
      </w:r>
      <w:r>
        <w:rPr>
          <w:noProof/>
          <w:szCs w:val="24"/>
        </w:rPr>
        <w:t xml:space="preserve"> to roll-out</w:t>
      </w:r>
      <w:r w:rsidRPr="00787215">
        <w:rPr>
          <w:noProof/>
          <w:szCs w:val="24"/>
        </w:rPr>
        <w:t xml:space="preserve"> of broad-band </w:t>
      </w:r>
      <w:r>
        <w:rPr>
          <w:noProof/>
          <w:szCs w:val="24"/>
        </w:rPr>
        <w:t xml:space="preserve">network </w:t>
      </w:r>
      <w:r w:rsidRPr="00787215">
        <w:rPr>
          <w:noProof/>
          <w:szCs w:val="24"/>
        </w:rPr>
        <w:t>and uptake of digital skills in rural areas.</w:t>
      </w:r>
    </w:p>
    <w:p w14:paraId="2270EFD7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Strengthen the cyber resilience of critical sectors in Moldova, in particular, through alignment with the NIS2 Directive and with the EU 5G Cybersecurity Toolbox</w:t>
      </w:r>
      <w:r>
        <w:rPr>
          <w:noProof/>
          <w:szCs w:val="24"/>
        </w:rPr>
        <w:t xml:space="preserve">; </w:t>
      </w:r>
      <w:r w:rsidRPr="7B3DAD49">
        <w:rPr>
          <w:noProof/>
          <w:szCs w:val="24"/>
        </w:rPr>
        <w:t>considerably</w:t>
      </w:r>
      <w:r w:rsidRPr="00787215">
        <w:rPr>
          <w:noProof/>
          <w:szCs w:val="24"/>
        </w:rPr>
        <w:t xml:space="preserve"> increase the relevant administrative capacity, and potentially pave the way for Moldova’s access to EU Cybersecurity Reserve under the Cyber Solidarity Act.</w:t>
      </w:r>
    </w:p>
    <w:p w14:paraId="61ADD223" w14:textId="77777777" w:rsidR="002C4FFA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rFonts w:eastAsia="Times New Roman"/>
          <w:noProof/>
          <w:szCs w:val="24"/>
        </w:rPr>
      </w:pPr>
      <w:r w:rsidRPr="00787215">
        <w:rPr>
          <w:noProof/>
          <w:szCs w:val="24"/>
        </w:rPr>
        <w:t>Strengthen</w:t>
      </w:r>
      <w:r>
        <w:rPr>
          <w:noProof/>
          <w:szCs w:val="24"/>
        </w:rPr>
        <w:t xml:space="preserve"> the</w:t>
      </w:r>
      <w:r w:rsidRPr="00787215">
        <w:rPr>
          <w:noProof/>
          <w:szCs w:val="24"/>
        </w:rPr>
        <w:t xml:space="preserve"> implementation</w:t>
      </w:r>
      <w:r>
        <w:rPr>
          <w:noProof/>
          <w:szCs w:val="24"/>
        </w:rPr>
        <w:t xml:space="preserve"> </w:t>
      </w:r>
      <w:r w:rsidRPr="00787215">
        <w:rPr>
          <w:noProof/>
          <w:szCs w:val="24"/>
        </w:rPr>
        <w:t xml:space="preserve">of the principles and rules </w:t>
      </w:r>
      <w:r>
        <w:rPr>
          <w:noProof/>
          <w:szCs w:val="24"/>
        </w:rPr>
        <w:t xml:space="preserve">provided </w:t>
      </w:r>
      <w:r w:rsidRPr="00787215">
        <w:rPr>
          <w:noProof/>
          <w:szCs w:val="24"/>
        </w:rPr>
        <w:t xml:space="preserve">by the European </w:t>
      </w:r>
      <w:r>
        <w:rPr>
          <w:noProof/>
          <w:szCs w:val="24"/>
        </w:rPr>
        <w:t>s</w:t>
      </w:r>
      <w:r w:rsidRPr="00787215">
        <w:rPr>
          <w:noProof/>
          <w:szCs w:val="24"/>
        </w:rPr>
        <w:t>trateg</w:t>
      </w:r>
      <w:r>
        <w:rPr>
          <w:noProof/>
          <w:szCs w:val="24"/>
        </w:rPr>
        <w:t>y for da</w:t>
      </w:r>
      <w:r w:rsidRPr="00787215">
        <w:rPr>
          <w:noProof/>
          <w:szCs w:val="24"/>
        </w:rPr>
        <w:t xml:space="preserve">ta, such as the Data Governance Act, Data Act, </w:t>
      </w:r>
      <w:r w:rsidRPr="32B71512">
        <w:rPr>
          <w:noProof/>
          <w:szCs w:val="24"/>
        </w:rPr>
        <w:t xml:space="preserve">Open Data Directive and the </w:t>
      </w:r>
      <w:r w:rsidRPr="00787215">
        <w:rPr>
          <w:noProof/>
          <w:szCs w:val="24"/>
        </w:rPr>
        <w:t>Implementing Regulation</w:t>
      </w:r>
      <w:r w:rsidRPr="00787215">
        <w:rPr>
          <w:rFonts w:eastAsia="Times New Roman"/>
          <w:noProof/>
          <w:szCs w:val="24"/>
        </w:rPr>
        <w:t xml:space="preserve"> on High Value Data</w:t>
      </w:r>
      <w:r>
        <w:rPr>
          <w:rFonts w:eastAsia="Times New Roman"/>
          <w:noProof/>
          <w:szCs w:val="24"/>
        </w:rPr>
        <w:t xml:space="preserve"> </w:t>
      </w:r>
      <w:r w:rsidRPr="00787215">
        <w:rPr>
          <w:rFonts w:eastAsia="Times New Roman"/>
          <w:noProof/>
          <w:szCs w:val="24"/>
        </w:rPr>
        <w:t>sets.</w:t>
      </w:r>
    </w:p>
    <w:p w14:paraId="64636A0B" w14:textId="77777777" w:rsidR="002C4FFA" w:rsidRPr="00787215" w:rsidRDefault="002C4FFA" w:rsidP="002C4FFA">
      <w:pPr>
        <w:rPr>
          <w:noProof/>
          <w:szCs w:val="24"/>
        </w:rPr>
      </w:pPr>
      <w:r w:rsidRPr="00787215">
        <w:rPr>
          <w:b/>
          <w:bCs/>
          <w:noProof/>
          <w:szCs w:val="24"/>
        </w:rPr>
        <w:t>5. Access to the Single Euro Payments Area (SEPA)</w:t>
      </w:r>
    </w:p>
    <w:p w14:paraId="54E82653" w14:textId="77777777" w:rsidR="002C4FFA" w:rsidRPr="00A53160" w:rsidRDefault="002C4FFA" w:rsidP="002C4FFA">
      <w:pPr>
        <w:rPr>
          <w:noProof/>
          <w:szCs w:val="24"/>
        </w:rPr>
      </w:pPr>
      <w:r w:rsidRPr="00A53160">
        <w:rPr>
          <w:noProof/>
          <w:szCs w:val="24"/>
        </w:rPr>
        <w:t xml:space="preserve">Reducing the cost of cross-border payments will provide a boost to cross-border commerce. Moldova is putting in place </w:t>
      </w:r>
      <w:r w:rsidRPr="00A53160" w:rsidDel="00A179A6">
        <w:rPr>
          <w:noProof/>
          <w:szCs w:val="24"/>
        </w:rPr>
        <w:t>national</w:t>
      </w:r>
      <w:r w:rsidRPr="00A53160">
        <w:rPr>
          <w:noProof/>
          <w:szCs w:val="24"/>
        </w:rPr>
        <w:t xml:space="preserve"> legislation required by the European Payments Council for participation in SEPA.</w:t>
      </w:r>
    </w:p>
    <w:p w14:paraId="6913216E" w14:textId="77777777" w:rsidR="002C4FFA" w:rsidRPr="005F6AF6" w:rsidRDefault="002C4FFA" w:rsidP="002C4FFA">
      <w:pPr>
        <w:rPr>
          <w:noProof/>
          <w:szCs w:val="24"/>
        </w:rPr>
      </w:pPr>
      <w:r w:rsidRPr="005F6AF6">
        <w:rPr>
          <w:noProof/>
          <w:szCs w:val="24"/>
        </w:rPr>
        <w:t>The EU assistance will provide support to Moldova to align with the relevant EU legislation.</w:t>
      </w:r>
    </w:p>
    <w:p w14:paraId="1DF66CA7" w14:textId="77777777" w:rsidR="002C4FFA" w:rsidRPr="00413214" w:rsidRDefault="002C4FFA" w:rsidP="002C4FFA">
      <w:pPr>
        <w:rPr>
          <w:noProof/>
          <w:szCs w:val="24"/>
        </w:rPr>
      </w:pPr>
      <w:r w:rsidRPr="00413214">
        <w:rPr>
          <w:b/>
          <w:bCs/>
          <w:noProof/>
          <w:szCs w:val="24"/>
        </w:rPr>
        <w:t>6. Other possible areas</w:t>
      </w:r>
    </w:p>
    <w:p w14:paraId="11B30788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Develop strategic partnerships for the security of supply of critical medicines through Access to the Critical Medicine Alliance</w:t>
      </w:r>
      <w:r>
        <w:rPr>
          <w:noProof/>
          <w:szCs w:val="24"/>
        </w:rPr>
        <w:t>.</w:t>
      </w:r>
    </w:p>
    <w:p w14:paraId="1C349D1D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>Develop e-commerce related services including parcel delivery services, tourism services and other activities, building on the Central European Free Trade Agreement (CEFTA) roadmap endorsed in 202</w:t>
      </w:r>
      <w:r>
        <w:rPr>
          <w:noProof/>
          <w:szCs w:val="24"/>
        </w:rPr>
        <w:t>0</w:t>
      </w:r>
      <w:r w:rsidRPr="004054D3">
        <w:rPr>
          <w:rStyle w:val="FootnoteReference"/>
          <w:noProof/>
        </w:rPr>
        <w:footnoteReference w:id="1"/>
      </w:r>
      <w:r>
        <w:rPr>
          <w:noProof/>
          <w:szCs w:val="24"/>
        </w:rPr>
        <w:t>.</w:t>
      </w:r>
    </w:p>
    <w:p w14:paraId="297C178F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t>Cooperation in the area of skills and r</w:t>
      </w:r>
      <w:r w:rsidRPr="00413214">
        <w:rPr>
          <w:noProof/>
          <w:szCs w:val="24"/>
        </w:rPr>
        <w:t>ecognition</w:t>
      </w:r>
      <w:r>
        <w:rPr>
          <w:noProof/>
          <w:szCs w:val="24"/>
        </w:rPr>
        <w:t xml:space="preserve"> of qualifications</w:t>
      </w:r>
      <w:r w:rsidRPr="00413214">
        <w:rPr>
          <w:noProof/>
          <w:szCs w:val="24"/>
        </w:rPr>
        <w:t>, including professional qualifications</w:t>
      </w:r>
      <w:r w:rsidRPr="004054D3">
        <w:rPr>
          <w:rStyle w:val="FootnoteReference"/>
          <w:noProof/>
          <w:szCs w:val="28"/>
        </w:rPr>
        <w:footnoteReference w:id="2"/>
      </w:r>
      <w:r>
        <w:rPr>
          <w:noProof/>
          <w:szCs w:val="24"/>
        </w:rPr>
        <w:t>.</w:t>
      </w:r>
    </w:p>
    <w:p w14:paraId="18A0A15E" w14:textId="77777777" w:rsidR="002C4FFA" w:rsidRPr="00A84BB6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787215">
        <w:rPr>
          <w:noProof/>
          <w:szCs w:val="24"/>
        </w:rPr>
        <w:t xml:space="preserve">Explore participation in some activities of the European Network of Public Employment Services (PES Network) and cooperation with the Network strengthening the capacity of the </w:t>
      </w:r>
      <w:r>
        <w:rPr>
          <w:noProof/>
          <w:szCs w:val="24"/>
        </w:rPr>
        <w:t xml:space="preserve">Moldovan </w:t>
      </w:r>
      <w:r w:rsidRPr="00787215">
        <w:rPr>
          <w:noProof/>
          <w:szCs w:val="24"/>
        </w:rPr>
        <w:t>public employment service.</w:t>
      </w:r>
    </w:p>
    <w:p w14:paraId="655B5383" w14:textId="77777777" w:rsidR="002C4FFA" w:rsidRPr="002A6611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AD0650">
        <w:rPr>
          <w:noProof/>
          <w:szCs w:val="24"/>
        </w:rPr>
        <w:t xml:space="preserve">Further support the </w:t>
      </w:r>
      <w:r w:rsidRPr="32B71512">
        <w:rPr>
          <w:noProof/>
          <w:szCs w:val="24"/>
        </w:rPr>
        <w:t>referencing of Moldova’s National Qualifications Framework to the European Qualifications Framework (EQF</w:t>
      </w:r>
      <w:r w:rsidRPr="00AD0650">
        <w:rPr>
          <w:noProof/>
          <w:szCs w:val="24"/>
        </w:rPr>
        <w:t>), facilitating transparency of skills and qualifications, including through the work of the EQF Advisory Group and support to the newly established EQF National Coordination Point of Moldova</w:t>
      </w:r>
      <w:r>
        <w:rPr>
          <w:noProof/>
          <w:szCs w:val="24"/>
        </w:rPr>
        <w:t>.</w:t>
      </w:r>
    </w:p>
    <w:p w14:paraId="7B9FA38D" w14:textId="77777777" w:rsidR="002C4FFA" w:rsidRPr="002A6611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>
        <w:rPr>
          <w:noProof/>
          <w:szCs w:val="24"/>
        </w:rPr>
        <w:t xml:space="preserve">Foster cooperation on vocational education and training, in particular by promoting further engagement on apprenticeships and work-based learning in the framework of the </w:t>
      </w:r>
      <w:r w:rsidRPr="00A94E8B">
        <w:rPr>
          <w:noProof/>
          <w:szCs w:val="24"/>
        </w:rPr>
        <w:t>European Alliance for Apprenticeships</w:t>
      </w:r>
      <w:r w:rsidRPr="32B71512">
        <w:rPr>
          <w:noProof/>
          <w:szCs w:val="24"/>
        </w:rPr>
        <w:t xml:space="preserve"> </w:t>
      </w:r>
      <w:r>
        <w:rPr>
          <w:noProof/>
          <w:szCs w:val="24"/>
        </w:rPr>
        <w:t>by national and regional organisations.</w:t>
      </w:r>
    </w:p>
    <w:p w14:paraId="365245B2" w14:textId="77777777" w:rsidR="002C4FFA" w:rsidRPr="002A6611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</w:rPr>
      </w:pPr>
      <w:r w:rsidRPr="00413214">
        <w:rPr>
          <w:noProof/>
          <w:szCs w:val="24"/>
          <w:lang w:val="en-US"/>
        </w:rPr>
        <w:t xml:space="preserve">Active participation of Moldovan entities in the </w:t>
      </w:r>
      <w:r w:rsidRPr="00A94E8B">
        <w:rPr>
          <w:noProof/>
          <w:szCs w:val="24"/>
          <w:lang w:val="en-US"/>
        </w:rPr>
        <w:t>Employment and Social Innovation (EaSI) strand of the European Social Fund Plus (ESF+).</w:t>
      </w:r>
    </w:p>
    <w:p w14:paraId="0D487FAE" w14:textId="77777777" w:rsidR="002C4FFA" w:rsidRPr="002A6611" w:rsidRDefault="002C4FFA" w:rsidP="002C4FFA">
      <w:pPr>
        <w:pStyle w:val="Point0number"/>
        <w:tabs>
          <w:tab w:val="clear" w:pos="360"/>
          <w:tab w:val="num" w:pos="850"/>
        </w:tabs>
        <w:ind w:left="850" w:hanging="850"/>
        <w:rPr>
          <w:noProof/>
          <w:szCs w:val="24"/>
          <w:lang w:val="en-IE"/>
        </w:rPr>
      </w:pPr>
      <w:r w:rsidRPr="002C6CF8">
        <w:rPr>
          <w:noProof/>
          <w:szCs w:val="24"/>
        </w:rPr>
        <w:t>Facilitate Moldova joining new relevant EU programmes, instruments,</w:t>
      </w:r>
      <w:r>
        <w:rPr>
          <w:noProof/>
          <w:szCs w:val="24"/>
        </w:rPr>
        <w:t xml:space="preserve"> </w:t>
      </w:r>
      <w:r w:rsidRPr="002C6CF8">
        <w:rPr>
          <w:noProof/>
          <w:szCs w:val="24"/>
        </w:rPr>
        <w:t>expert groups, and facilities</w:t>
      </w:r>
      <w:r>
        <w:rPr>
          <w:noProof/>
          <w:szCs w:val="24"/>
        </w:rPr>
        <w:t xml:space="preserve"> as well as its participation in existing EU initiatives</w:t>
      </w:r>
      <w:r w:rsidRPr="002C6CF8">
        <w:rPr>
          <w:noProof/>
          <w:szCs w:val="24"/>
        </w:rPr>
        <w:t>.</w:t>
      </w:r>
      <w:bookmarkEnd w:id="2"/>
    </w:p>
    <w:p w14:paraId="58D44DB2" w14:textId="77777777" w:rsidR="00517127" w:rsidRPr="002C4FFA" w:rsidRDefault="00517127">
      <w:pPr>
        <w:rPr>
          <w:noProof/>
          <w:lang w:val="en-IE"/>
        </w:rPr>
      </w:pPr>
    </w:p>
    <w:sectPr w:rsidR="00517127" w:rsidRPr="002C4FFA" w:rsidSect="002C4F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C64E2" w14:textId="77777777" w:rsidR="002C4FFA" w:rsidRDefault="002C4FFA" w:rsidP="002C4FFA">
      <w:pPr>
        <w:spacing w:before="0" w:after="0"/>
      </w:pPr>
      <w:r>
        <w:separator/>
      </w:r>
    </w:p>
  </w:endnote>
  <w:endnote w:type="continuationSeparator" w:id="0">
    <w:p w14:paraId="327AB4E5" w14:textId="77777777" w:rsidR="002C4FFA" w:rsidRDefault="002C4FFA" w:rsidP="002C4F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2BED" w14:textId="0B73FD2A" w:rsidR="00285510" w:rsidRPr="00285510" w:rsidRDefault="00285510" w:rsidP="00285510">
    <w:pPr>
      <w:pStyle w:val="FooterCoverPage"/>
      <w:rPr>
        <w:rFonts w:ascii="Arial" w:hAnsi="Arial" w:cs="Arial"/>
        <w:b/>
        <w:sz w:val="48"/>
      </w:rPr>
    </w:pPr>
    <w:r w:rsidRPr="00285510">
      <w:rPr>
        <w:rFonts w:ascii="Arial" w:hAnsi="Arial" w:cs="Arial"/>
        <w:b/>
        <w:sz w:val="48"/>
      </w:rPr>
      <w:t>EN</w:t>
    </w:r>
    <w:r w:rsidRPr="00285510">
      <w:rPr>
        <w:rFonts w:ascii="Arial" w:hAnsi="Arial" w:cs="Arial"/>
        <w:b/>
        <w:sz w:val="48"/>
      </w:rPr>
      <w:tab/>
    </w:r>
    <w:r w:rsidRPr="00285510">
      <w:rPr>
        <w:rFonts w:ascii="Arial" w:hAnsi="Arial" w:cs="Arial"/>
        <w:b/>
        <w:sz w:val="48"/>
      </w:rPr>
      <w:tab/>
    </w:r>
    <w:r w:rsidRPr="00285510">
      <w:tab/>
    </w:r>
    <w:r w:rsidRPr="00285510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BCA0" w14:textId="7E4E38FA" w:rsidR="00285510" w:rsidRPr="00285510" w:rsidRDefault="00285510" w:rsidP="00285510">
    <w:pPr>
      <w:pStyle w:val="FooterCoverPage"/>
      <w:rPr>
        <w:rFonts w:ascii="Arial" w:hAnsi="Arial" w:cs="Arial"/>
        <w:b/>
        <w:sz w:val="48"/>
      </w:rPr>
    </w:pPr>
    <w:r w:rsidRPr="00285510">
      <w:rPr>
        <w:rFonts w:ascii="Arial" w:hAnsi="Arial" w:cs="Arial"/>
        <w:b/>
        <w:sz w:val="48"/>
      </w:rPr>
      <w:t>EN</w:t>
    </w:r>
    <w:r w:rsidRPr="00285510">
      <w:rPr>
        <w:rFonts w:ascii="Arial" w:hAnsi="Arial" w:cs="Arial"/>
        <w:b/>
        <w:sz w:val="48"/>
      </w:rPr>
      <w:tab/>
    </w:r>
    <w:r w:rsidRPr="00285510">
      <w:rPr>
        <w:rFonts w:ascii="Arial" w:hAnsi="Arial" w:cs="Arial"/>
        <w:b/>
        <w:sz w:val="48"/>
      </w:rPr>
      <w:tab/>
    </w:r>
    <w:r w:rsidRPr="00285510">
      <w:tab/>
    </w:r>
    <w:r w:rsidRPr="00285510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A92C" w14:textId="77777777" w:rsidR="00285510" w:rsidRPr="00285510" w:rsidRDefault="00285510" w:rsidP="00285510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1356" w14:textId="77777777" w:rsidR="002C4FFA" w:rsidRDefault="002C4FF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56649" w14:textId="77777777" w:rsidR="002C4FFA" w:rsidRDefault="002C4FF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43D7" w14:textId="77777777" w:rsidR="002C4FFA" w:rsidRDefault="002C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07ACC" w14:textId="77777777" w:rsidR="002C4FFA" w:rsidRDefault="002C4FFA" w:rsidP="002C4FFA">
      <w:pPr>
        <w:spacing w:before="0" w:after="0"/>
      </w:pPr>
      <w:r>
        <w:separator/>
      </w:r>
    </w:p>
  </w:footnote>
  <w:footnote w:type="continuationSeparator" w:id="0">
    <w:p w14:paraId="44A9778F" w14:textId="77777777" w:rsidR="002C4FFA" w:rsidRDefault="002C4FFA" w:rsidP="002C4FFA">
      <w:pPr>
        <w:spacing w:before="0" w:after="0"/>
      </w:pPr>
      <w:r>
        <w:continuationSeparator/>
      </w:r>
    </w:p>
  </w:footnote>
  <w:footnote w:id="1">
    <w:p w14:paraId="3156EAA9" w14:textId="77777777" w:rsidR="002C4FFA" w:rsidRPr="00EC1B2E" w:rsidRDefault="002C4FFA" w:rsidP="002C4FFA">
      <w:pPr>
        <w:pStyle w:val="FootnoteText"/>
        <w:rPr>
          <w:lang w:val="en-IE"/>
        </w:rPr>
      </w:pPr>
      <w:r w:rsidRPr="00F253E9">
        <w:rPr>
          <w:rStyle w:val="FootnoteReference"/>
        </w:rPr>
        <w:footnoteRef/>
      </w:r>
      <w:r>
        <w:tab/>
      </w:r>
      <w:r w:rsidRPr="00EC1B2E">
        <w:t xml:space="preserve"> “</w:t>
      </w:r>
      <w:r w:rsidRPr="00EC1B2E">
        <w:rPr>
          <w:lang w:val="en-IE"/>
        </w:rPr>
        <w:t xml:space="preserve">Electronic Commerce: Roadmap for dialogue on regulatory issues”, CEFTA, see </w:t>
      </w:r>
      <w:hyperlink r:id="rId1" w:history="1">
        <w:r w:rsidRPr="00EC1B2E">
          <w:rPr>
            <w:rStyle w:val="Hyperlink"/>
          </w:rPr>
          <w:t>Roadmap-for-regulatory-dialogue-on-electronic-commerce.pdf (cefta.int)</w:t>
        </w:r>
      </w:hyperlink>
    </w:p>
  </w:footnote>
  <w:footnote w:id="2">
    <w:p w14:paraId="6E7534ED" w14:textId="77777777" w:rsidR="002C4FFA" w:rsidRPr="0022004F" w:rsidRDefault="002C4FFA" w:rsidP="002C4FFA">
      <w:pPr>
        <w:pStyle w:val="FootnoteText"/>
        <w:rPr>
          <w:lang w:val="en-IE"/>
        </w:rPr>
      </w:pPr>
      <w:r w:rsidRPr="00F253E9">
        <w:rPr>
          <w:rStyle w:val="FootnoteReference"/>
        </w:rPr>
        <w:footnoteRef/>
      </w:r>
      <w:r>
        <w:tab/>
      </w:r>
      <w:hyperlink r:id="rId2" w:history="1">
        <w:r w:rsidRPr="00EC1B2E">
          <w:rPr>
            <w:rStyle w:val="Hyperlink"/>
          </w:rPr>
          <w:t>Commission Recommendation EU 2023/7700 of 15 November 2023 on the recognition of qualifications of third-country nationals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9CC0" w14:textId="77777777" w:rsidR="00285510" w:rsidRPr="00285510" w:rsidRDefault="00285510" w:rsidP="00285510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B28F" w14:textId="77777777" w:rsidR="00285510" w:rsidRPr="00285510" w:rsidRDefault="00285510" w:rsidP="00285510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DC2B" w14:textId="77777777" w:rsidR="00285510" w:rsidRPr="00285510" w:rsidRDefault="00285510" w:rsidP="00285510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7403" w14:textId="77777777" w:rsidR="002C4FFA" w:rsidRDefault="002C4FF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E06E" w14:textId="77777777" w:rsidR="002C4FFA" w:rsidRDefault="002C4F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D44C" w14:textId="77777777" w:rsidR="002C4FFA" w:rsidRDefault="002C4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0DBCC0BB-7337-436D-B4A9-E9BC9708C182"/>
    <w:docVar w:name="LW_COVERPAGE_TYPE" w:val="1"/>
    <w:docVar w:name="LW_CROSSREFERENCE" w:val="&lt;UNUSED&gt;"/>
    <w:docVar w:name="LW_DocType" w:val="NORMAL"/>
    <w:docVar w:name="LW_EMISSION" w:val="9.10.2024"/>
    <w:docVar w:name="LW_EMISSION_ISODATE" w:val="2024-10-09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on the Moldova Growth Plan"/>
    <w:docVar w:name="LW_PART_NBR" w:val="1"/>
    <w:docVar w:name="LW_PART_NBR_TOTAL" w:val="1"/>
    <w:docVar w:name="LW_REF.INST.NEW" w:val="COM"/>
    <w:docVar w:name="LW_REF.INST.NEW_ADOPTED" w:val="final"/>
    <w:docVar w:name="LW_REF.INST.NEW_TEXT" w:val="(2024) 47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unication from the Commission to the European Parliament, the Council, the European Economic and Social Committee and the Committee of the Regions "/>
    <w:docVar w:name="LwApiVersions" w:val="LW4CoDe 1.24.5.0; LW 9.0, Build 20240221"/>
  </w:docVars>
  <w:rsids>
    <w:rsidRoot w:val="002C4FFA"/>
    <w:rsid w:val="000471D6"/>
    <w:rsid w:val="0008563C"/>
    <w:rsid w:val="000F38D4"/>
    <w:rsid w:val="00131B0F"/>
    <w:rsid w:val="00164CFB"/>
    <w:rsid w:val="001E474D"/>
    <w:rsid w:val="001F2C31"/>
    <w:rsid w:val="00285510"/>
    <w:rsid w:val="002C4FFA"/>
    <w:rsid w:val="0032309E"/>
    <w:rsid w:val="00384115"/>
    <w:rsid w:val="003F7B25"/>
    <w:rsid w:val="00426C19"/>
    <w:rsid w:val="004F26DA"/>
    <w:rsid w:val="00517127"/>
    <w:rsid w:val="00523BD7"/>
    <w:rsid w:val="00544E7F"/>
    <w:rsid w:val="005D3D8E"/>
    <w:rsid w:val="005E16D3"/>
    <w:rsid w:val="006D713D"/>
    <w:rsid w:val="00846CF0"/>
    <w:rsid w:val="00853A77"/>
    <w:rsid w:val="00875095"/>
    <w:rsid w:val="008929FD"/>
    <w:rsid w:val="0097645B"/>
    <w:rsid w:val="00986676"/>
    <w:rsid w:val="009B343C"/>
    <w:rsid w:val="009E4877"/>
    <w:rsid w:val="00AC3183"/>
    <w:rsid w:val="00AF1174"/>
    <w:rsid w:val="00B23DCE"/>
    <w:rsid w:val="00B80B6F"/>
    <w:rsid w:val="00B84400"/>
    <w:rsid w:val="00B93A8D"/>
    <w:rsid w:val="00BE2B30"/>
    <w:rsid w:val="00C5677C"/>
    <w:rsid w:val="00C94BD9"/>
    <w:rsid w:val="00CD1B51"/>
    <w:rsid w:val="00E452AE"/>
    <w:rsid w:val="00E57EFF"/>
    <w:rsid w:val="00EA017B"/>
    <w:rsid w:val="00E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2F87EC"/>
  <w15:chartTrackingRefBased/>
  <w15:docId w15:val="{02664F94-6229-4379-974C-A8AA3253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FFA"/>
    <w:p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FF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FF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FFA"/>
    <w:rPr>
      <w:rFonts w:ascii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C4FFA"/>
    <w:rPr>
      <w:shd w:val="clear" w:color="auto" w:fill="auto"/>
      <w:vertAlign w:val="superscript"/>
    </w:rPr>
  </w:style>
  <w:style w:type="paragraph" w:customStyle="1" w:styleId="Point0number">
    <w:name w:val="Point 0 (number)"/>
    <w:basedOn w:val="Normal"/>
    <w:rsid w:val="002C4FFA"/>
    <w:pPr>
      <w:numPr>
        <w:numId w:val="1"/>
      </w:numPr>
      <w:tabs>
        <w:tab w:val="clear" w:pos="850"/>
        <w:tab w:val="num" w:pos="360"/>
      </w:tabs>
      <w:ind w:left="0" w:firstLine="0"/>
    </w:pPr>
  </w:style>
  <w:style w:type="paragraph" w:customStyle="1" w:styleId="Point1number">
    <w:name w:val="Point 1 (number)"/>
    <w:basedOn w:val="Normal"/>
    <w:rsid w:val="002C4FFA"/>
    <w:pPr>
      <w:numPr>
        <w:ilvl w:val="2"/>
        <w:numId w:val="1"/>
      </w:numPr>
      <w:tabs>
        <w:tab w:val="clear" w:pos="1417"/>
        <w:tab w:val="num" w:pos="360"/>
      </w:tabs>
      <w:ind w:left="0" w:firstLine="0"/>
    </w:pPr>
  </w:style>
  <w:style w:type="paragraph" w:customStyle="1" w:styleId="Point2number">
    <w:name w:val="Point 2 (number)"/>
    <w:basedOn w:val="Normal"/>
    <w:rsid w:val="002C4FFA"/>
    <w:pPr>
      <w:numPr>
        <w:ilvl w:val="4"/>
        <w:numId w:val="1"/>
      </w:numPr>
      <w:tabs>
        <w:tab w:val="clear" w:pos="1984"/>
        <w:tab w:val="num" w:pos="360"/>
      </w:tabs>
      <w:ind w:left="0" w:firstLine="0"/>
    </w:pPr>
  </w:style>
  <w:style w:type="paragraph" w:customStyle="1" w:styleId="Point3number">
    <w:name w:val="Point 3 (number)"/>
    <w:basedOn w:val="Normal"/>
    <w:rsid w:val="002C4FFA"/>
    <w:pPr>
      <w:numPr>
        <w:ilvl w:val="6"/>
        <w:numId w:val="1"/>
      </w:numPr>
      <w:tabs>
        <w:tab w:val="clear" w:pos="2551"/>
        <w:tab w:val="num" w:pos="360"/>
      </w:tabs>
      <w:ind w:left="0" w:firstLine="0"/>
    </w:pPr>
  </w:style>
  <w:style w:type="paragraph" w:customStyle="1" w:styleId="Point0letter">
    <w:name w:val="Point 0 (letter)"/>
    <w:basedOn w:val="Normal"/>
    <w:rsid w:val="002C4FFA"/>
    <w:pPr>
      <w:numPr>
        <w:ilvl w:val="1"/>
        <w:numId w:val="1"/>
      </w:numPr>
      <w:tabs>
        <w:tab w:val="clear" w:pos="850"/>
        <w:tab w:val="num" w:pos="360"/>
      </w:tabs>
      <w:ind w:left="0" w:firstLine="0"/>
    </w:pPr>
  </w:style>
  <w:style w:type="paragraph" w:customStyle="1" w:styleId="Point1letter">
    <w:name w:val="Point 1 (letter)"/>
    <w:basedOn w:val="Normal"/>
    <w:rsid w:val="002C4FFA"/>
    <w:pPr>
      <w:numPr>
        <w:ilvl w:val="3"/>
        <w:numId w:val="1"/>
      </w:numPr>
      <w:tabs>
        <w:tab w:val="clear" w:pos="1417"/>
        <w:tab w:val="num" w:pos="360"/>
      </w:tabs>
      <w:ind w:left="0" w:firstLine="0"/>
    </w:pPr>
  </w:style>
  <w:style w:type="paragraph" w:customStyle="1" w:styleId="Point2letter">
    <w:name w:val="Point 2 (letter)"/>
    <w:basedOn w:val="Normal"/>
    <w:rsid w:val="002C4FFA"/>
    <w:pPr>
      <w:numPr>
        <w:ilvl w:val="5"/>
        <w:numId w:val="1"/>
      </w:numPr>
      <w:tabs>
        <w:tab w:val="clear" w:pos="1984"/>
        <w:tab w:val="num" w:pos="360"/>
      </w:tabs>
      <w:ind w:left="0" w:firstLine="0"/>
    </w:pPr>
  </w:style>
  <w:style w:type="paragraph" w:customStyle="1" w:styleId="Point3letter">
    <w:name w:val="Point 3 (letter)"/>
    <w:basedOn w:val="Normal"/>
    <w:rsid w:val="002C4FFA"/>
    <w:pPr>
      <w:numPr>
        <w:ilvl w:val="7"/>
        <w:numId w:val="1"/>
      </w:numPr>
      <w:tabs>
        <w:tab w:val="clear" w:pos="2551"/>
        <w:tab w:val="num" w:pos="360"/>
      </w:tabs>
      <w:ind w:left="0" w:firstLine="0"/>
    </w:pPr>
  </w:style>
  <w:style w:type="paragraph" w:customStyle="1" w:styleId="Point4letter">
    <w:name w:val="Point 4 (letter)"/>
    <w:basedOn w:val="Normal"/>
    <w:rsid w:val="002C4FFA"/>
    <w:pPr>
      <w:numPr>
        <w:ilvl w:val="8"/>
        <w:numId w:val="1"/>
      </w:numPr>
      <w:tabs>
        <w:tab w:val="clear" w:pos="3118"/>
        <w:tab w:val="num" w:pos="360"/>
      </w:tabs>
      <w:ind w:left="0" w:firstLine="0"/>
    </w:pPr>
  </w:style>
  <w:style w:type="paragraph" w:customStyle="1" w:styleId="Annexetitre">
    <w:name w:val="Annexe titre"/>
    <w:basedOn w:val="Normal"/>
    <w:next w:val="Normal"/>
    <w:rsid w:val="002C4FFA"/>
    <w:pPr>
      <w:jc w:val="center"/>
    </w:pPr>
    <w:rPr>
      <w:b/>
      <w:u w:val="single"/>
    </w:rPr>
  </w:style>
  <w:style w:type="character" w:customStyle="1" w:styleId="Marker">
    <w:name w:val="Marker"/>
    <w:basedOn w:val="DefaultParagraphFont"/>
    <w:rsid w:val="002C4FFA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2C4F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4FFA"/>
    <w:rPr>
      <w:rFonts w:ascii="Times New Roman" w:hAnsi="Times New Roman" w:cs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F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4FFA"/>
    <w:rPr>
      <w:rFonts w:ascii="Times New Roman" w:hAnsi="Times New Roman" w:cs="Times New Roman"/>
      <w:kern w:val="0"/>
      <w:sz w:val="24"/>
      <w:lang w:val="en-GB"/>
    </w:rPr>
  </w:style>
  <w:style w:type="paragraph" w:customStyle="1" w:styleId="Pagedecouverture">
    <w:name w:val="Page de couverture"/>
    <w:basedOn w:val="Normal"/>
    <w:next w:val="Normal"/>
    <w:link w:val="PagedecouvertureChar"/>
    <w:rsid w:val="002C4FFA"/>
    <w:pPr>
      <w:spacing w:before="0" w:after="0"/>
    </w:pPr>
    <w:rPr>
      <w14:ligatures w14:val="none"/>
    </w:rPr>
  </w:style>
  <w:style w:type="paragraph" w:customStyle="1" w:styleId="FooterCoverPage">
    <w:name w:val="Footer Cover Page"/>
    <w:basedOn w:val="Normal"/>
    <w:link w:val="FooterCoverPageChar"/>
    <w:rsid w:val="002C4FF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agedecouvertureChar">
    <w:name w:val="Page de couverture Char"/>
    <w:basedOn w:val="DefaultParagraphFont"/>
    <w:link w:val="Pagedecouverture"/>
    <w:rsid w:val="002C4FFA"/>
    <w:rPr>
      <w:rFonts w:ascii="Times New Roman" w:hAnsi="Times New Roman" w:cs="Times New Roman"/>
      <w:kern w:val="0"/>
      <w:sz w:val="24"/>
      <w:lang w:val="en-GB"/>
      <w14:ligatures w14:val="none"/>
    </w:rPr>
  </w:style>
  <w:style w:type="character" w:customStyle="1" w:styleId="FooterCoverPageChar">
    <w:name w:val="Footer Cover Page Char"/>
    <w:basedOn w:val="PagedecouvertureChar"/>
    <w:link w:val="FooterCoverPage"/>
    <w:rsid w:val="002C4FFA"/>
    <w:rPr>
      <w:rFonts w:ascii="Times New Roman" w:hAnsi="Times New Roman" w:cs="Times New Roman"/>
      <w:kern w:val="0"/>
      <w:sz w:val="24"/>
      <w:lang w:val="en-GB"/>
      <w14:ligatures w14:val="none"/>
    </w:rPr>
  </w:style>
  <w:style w:type="paragraph" w:customStyle="1" w:styleId="FooterSensitivity">
    <w:name w:val="Footer Sensitivity"/>
    <w:basedOn w:val="Normal"/>
    <w:link w:val="FooterSensitivityChar"/>
    <w:rsid w:val="002C4F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PagedecouvertureChar"/>
    <w:link w:val="FooterSensitivity"/>
    <w:rsid w:val="002C4FFA"/>
    <w:rPr>
      <w:rFonts w:ascii="Times New Roman" w:hAnsi="Times New Roman" w:cs="Times New Roman"/>
      <w:b/>
      <w:kern w:val="0"/>
      <w:sz w:val="32"/>
      <w:lang w:val="en-GB"/>
      <w14:ligatures w14:val="none"/>
    </w:rPr>
  </w:style>
  <w:style w:type="paragraph" w:customStyle="1" w:styleId="HeaderCoverPage">
    <w:name w:val="Header Cover Page"/>
    <w:basedOn w:val="Normal"/>
    <w:link w:val="HeaderCoverPageChar"/>
    <w:rsid w:val="002C4FFA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PagedecouvertureChar"/>
    <w:link w:val="HeaderCoverPage"/>
    <w:rsid w:val="002C4FFA"/>
    <w:rPr>
      <w:rFonts w:ascii="Times New Roman" w:hAnsi="Times New Roman" w:cs="Times New Roman"/>
      <w:kern w:val="0"/>
      <w:sz w:val="24"/>
      <w:lang w:val="en-GB"/>
      <w14:ligatures w14:val="none"/>
    </w:rPr>
  </w:style>
  <w:style w:type="paragraph" w:customStyle="1" w:styleId="HeaderSensitivity">
    <w:name w:val="Header Sensitivity"/>
    <w:basedOn w:val="Normal"/>
    <w:link w:val="HeaderSensitivityChar"/>
    <w:rsid w:val="002C4F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PagedecouvertureChar"/>
    <w:link w:val="HeaderSensitivity"/>
    <w:rsid w:val="002C4FFA"/>
    <w:rPr>
      <w:rFonts w:ascii="Times New Roman" w:hAnsi="Times New Roman" w:cs="Times New Roman"/>
      <w:b/>
      <w:kern w:val="0"/>
      <w:sz w:val="32"/>
      <w:lang w:val="en-GB"/>
      <w14:ligatures w14:val="none"/>
    </w:rPr>
  </w:style>
  <w:style w:type="paragraph" w:customStyle="1" w:styleId="HeaderSensitivityRight">
    <w:name w:val="Header Sensitivity Right"/>
    <w:basedOn w:val="Normal"/>
    <w:link w:val="HeaderSensitivityRightChar"/>
    <w:rsid w:val="002C4FFA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PagedecouvertureChar"/>
    <w:link w:val="HeaderSensitivityRight"/>
    <w:rsid w:val="002C4FFA"/>
    <w:rPr>
      <w:rFonts w:ascii="Times New Roman" w:hAnsi="Times New Roman" w:cs="Times New Roman"/>
      <w:kern w:val="0"/>
      <w:sz w:val="2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ngle-market-economy.ec.europa.eu/publications/commission-recommendation-recognition-qualifications-third-country-nationals_en" TargetMode="External"/><Relationship Id="rId1" Type="http://schemas.openxmlformats.org/officeDocument/2006/relationships/hyperlink" Target="https://cefta.int/wp-content/uploads/2021/07/Roadmap-for-regulatory-dialogue-on-electronic-commer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935</Words>
  <Characters>5336</Characters>
  <Application>Microsoft Office Word</Application>
  <DocSecurity>0</DocSecurity>
  <Lines>44</Lines>
  <Paragraphs>12</Paragraphs>
  <ScaleCrop>false</ScaleCrop>
  <Company>European Commission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BLANQUET BRU DE SALA Andres (NEAR)</dc:creator>
  <cp:keywords/>
  <dc:description/>
  <cp:lastModifiedBy>EC CoDe</cp:lastModifiedBy>
  <cp:revision>9</cp:revision>
  <dcterms:created xsi:type="dcterms:W3CDTF">2024-10-09T08:32:00Z</dcterms:created>
  <dcterms:modified xsi:type="dcterms:W3CDTF">2024-10-09T08:36:00Z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CP-039</vt:lpwstr>
  </property>
  <property fmtid="{D5CDD505-2E9C-101B-9397-08002B2CF9AE}" pid="10" name="Last edited using">
    <vt:lpwstr>LW 9.0, Build 20230317</vt:lpwstr>
  </property>
  <property fmtid="{D5CDD505-2E9C-101B-9397-08002B2CF9AE}" pid="11" name="Created using">
    <vt:lpwstr>LW 9.0, Build 20230317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2024-10-08T19:28:04Z</vt:lpwstr>
  </property>
  <property fmtid="{D5CDD505-2E9C-101B-9397-08002B2CF9AE}" pid="14" name="MSIP_Label_6bd9ddd1-4d20-43f6-abfa-fc3c07406f94_Method">
    <vt:lpwstr>Standard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18569429-aa23-40b4-ab4b-78029a3b38d2</vt:lpwstr>
  </property>
  <property fmtid="{D5CDD505-2E9C-101B-9397-08002B2CF9AE}" pid="18" name="MSIP_Label_6bd9ddd1-4d20-43f6-abfa-fc3c07406f94_ContentBits">
    <vt:lpwstr>0</vt:lpwstr>
  </property>
</Properties>
</file>