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AF" w:rsidRPr="006B13BC" w:rsidRDefault="007568ED" w:rsidP="007568E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6B5B958-1450-4156-BCCC-8E61A8988BFA" style="width:455.25pt;height:369.75pt">
            <v:imagedata r:id="rId11" o:title=""/>
          </v:shape>
        </w:pict>
      </w:r>
    </w:p>
    <w:p w:rsidR="00452BAF" w:rsidRPr="006B13BC" w:rsidRDefault="00452BAF" w:rsidP="00452BAF">
      <w:pPr>
        <w:rPr>
          <w:noProof/>
        </w:rPr>
        <w:sectPr w:rsidR="00452BAF" w:rsidRPr="006B13BC" w:rsidSect="007568ED">
          <w:footerReference w:type="even" r:id="rId12"/>
          <w:footerReference w:type="default" r:id="rId13"/>
          <w:pgSz w:w="11907" w:h="16839"/>
          <w:pgMar w:top="1134" w:right="1417" w:bottom="1134" w:left="1417" w:header="709" w:footer="709" w:gutter="0"/>
          <w:pgNumType w:start="0"/>
          <w:cols w:space="720"/>
          <w:docGrid w:linePitch="360"/>
        </w:sectPr>
      </w:pPr>
    </w:p>
    <w:p w:rsidR="00452BAF" w:rsidRPr="006B13BC" w:rsidRDefault="00452BAF" w:rsidP="00BB6B30">
      <w:pPr>
        <w:pStyle w:val="Exposdesmotifstitre"/>
        <w:rPr>
          <w:noProof/>
        </w:rPr>
      </w:pPr>
      <w:bookmarkStart w:id="0" w:name="_GoBack"/>
      <w:bookmarkEnd w:id="0"/>
      <w:r w:rsidRPr="006B13BC">
        <w:rPr>
          <w:noProof/>
        </w:rPr>
        <w:lastRenderedPageBreak/>
        <w:t>ΑΙΤΙΟΛΟΓΙΚΗ ΕΚΘΕΣΗ</w:t>
      </w:r>
    </w:p>
    <w:p w:rsidR="00452BAF" w:rsidRPr="006B13BC" w:rsidRDefault="00452BAF" w:rsidP="00BB6B30">
      <w:pPr>
        <w:pStyle w:val="ManualHeading1"/>
        <w:rPr>
          <w:noProof/>
        </w:rPr>
      </w:pPr>
      <w:r w:rsidRPr="006B13BC">
        <w:rPr>
          <w:noProof/>
        </w:rPr>
        <w:t>1.</w:t>
      </w:r>
      <w:r w:rsidRPr="006B13BC">
        <w:rPr>
          <w:noProof/>
        </w:rPr>
        <w:tab/>
        <w:t>ΠΛΑΙΣΙΟ ΤΗΣ ΠΡΟΤΑΣΗΣ</w:t>
      </w:r>
    </w:p>
    <w:p w:rsidR="00452BAF" w:rsidRPr="006B13BC" w:rsidRDefault="00452BAF" w:rsidP="00044058">
      <w:pPr>
        <w:pStyle w:val="ManualHeading2"/>
        <w:rPr>
          <w:rFonts w:eastAsia="Arial Unicode MS"/>
          <w:noProof/>
        </w:rPr>
      </w:pPr>
      <w:r w:rsidRPr="006B13BC">
        <w:rPr>
          <w:noProof/>
          <w:color w:val="000000"/>
          <w:u w:color="000000"/>
          <w:bdr w:val="nil"/>
        </w:rPr>
        <w:t>•</w:t>
      </w:r>
      <w:r w:rsidRPr="006B13BC">
        <w:rPr>
          <w:noProof/>
          <w:color w:val="000000"/>
          <w:u w:color="000000"/>
          <w:bdr w:val="nil"/>
        </w:rPr>
        <w:tab/>
      </w:r>
      <w:r w:rsidRPr="006B13BC">
        <w:rPr>
          <w:noProof/>
        </w:rPr>
        <w:t>Αιτιολόγηση και στόχοι της πρότασης</w:t>
      </w:r>
    </w:p>
    <w:p w:rsidR="002C5B75" w:rsidRPr="006B13BC" w:rsidRDefault="002C5B75" w:rsidP="002C5B75">
      <w:pPr>
        <w:rPr>
          <w:noProof/>
        </w:rPr>
      </w:pPr>
      <w:bookmarkStart w:id="1" w:name="_Hlk161864170"/>
      <w:r w:rsidRPr="006B13BC">
        <w:rPr>
          <w:noProof/>
        </w:rPr>
        <w:t>Με βάση τις οδηγίες διαπραγμάτευσης που ενέκρινε το Συμβούλιο τον Δεκέμβριο του 2014, η Επιτροπή διαπραγματεύθηκε μια μεγάλου εύρους συμφωνία σύνδεσης με την Ανδόρα και τον Άγιο Μαρίνο, η οποία προβλέπει τη συμμετοχή των χωρών αυτών στην εσωτερική αγορά της Ευρωπαϊκής Ένωσης και τη συνεργασία εκτός των τεσσάρων ελευθεριών. Στα συμπεράσματα που ενέκρινε τον Ιούνιο του 2022, το Συμβούλιο κάλεσε την Επιτροπή να ολοκληρώσει τις διαπραγματεύσεις έως τα τέλη του 2023. Στις 7 Δεκεμβρίου 2023, οι διαπραγματεύσεις ολοκληρώθηκαν και συμφωνήθηκε συμφωνία σύνδεσης στο επίπεδο των επικεφαλής διαπραγματευτών. Οι διαπραγματεύσεις διεξήχθησαν σε διαβούλευση με την ομάδα εργασίας «ΕΖΕΣ» του Συμβουλίου. Το Ευρωπαϊκό Κοινοβούλιο ενημερώθηκε σχετικά με την έκβαση των διαπραγματεύσεων.</w:t>
      </w:r>
    </w:p>
    <w:p w:rsidR="002C5B75" w:rsidRPr="006B13BC" w:rsidRDefault="002C5B75" w:rsidP="002C5B75">
      <w:pPr>
        <w:rPr>
          <w:noProof/>
        </w:rPr>
      </w:pPr>
      <w:r w:rsidRPr="006B13BC">
        <w:rPr>
          <w:noProof/>
        </w:rPr>
        <w:t xml:space="preserve">Η επισυναπτόμενη πρόταση συνιστά τη νομική πράξη που επιτρέπει την υπογραφή και την προσωρινή εφαρμογή της συμφωνίας σύνδεσης μεταξύ της Ευρωπαϊκής Ένωσης (στο εξής: ΕΕ) και του Πριγκιπάτου της Ανδόρας (στο εξής: Ανδόρα) και της Δημοκρατίας του Αγίου Μαρίνου (στο εξής: Άγιος Μαρίνος), αντίστοιχα (στο εξής: η συμφωνία). </w:t>
      </w:r>
    </w:p>
    <w:p w:rsidR="002C5B75" w:rsidRPr="006B13BC" w:rsidRDefault="002C5B75" w:rsidP="002C5B75">
      <w:pPr>
        <w:rPr>
          <w:noProof/>
        </w:rPr>
      </w:pPr>
      <w:r w:rsidRPr="006B13BC">
        <w:rPr>
          <w:noProof/>
        </w:rPr>
        <w:t xml:space="preserve">Η συμφωνία προβλέπει τη συμμετοχή της Ανδόρας και του Αγίου Μαρίνου, αντίστοιχα, σε μια ομοιογενή διευρυμένη εσωτερική αγορά υπό ίσους όρους ανταγωνισμού και με τήρηση των ίδιων κανόνων και των σχετικών οριζόντιων και συνοδευτικών πολιτικών, ενώ παράλληλα αντικαθιστά τις τρέχουσες τελωνειακές ενώσεις μεταξύ της ΕΕ και καθεμιάς από τις εν λόγω χώρες. </w:t>
      </w:r>
    </w:p>
    <w:p w:rsidR="002C5B75" w:rsidRPr="006B13BC" w:rsidRDefault="002C5B75" w:rsidP="002C5B75">
      <w:pPr>
        <w:rPr>
          <w:noProof/>
        </w:rPr>
      </w:pPr>
      <w:r w:rsidRPr="006B13BC">
        <w:rPr>
          <w:noProof/>
        </w:rPr>
        <w:t xml:space="preserve">Επιπλέον, η συμφωνία περιλαμβάνει ένα πλαίσιο για πιθανή συνεργασία σε τομείς πολιτικής εκτός των τεσσάρων ελευθεριών, όπως η έρευνα και η ανάπτυξη, η εκπαίδευση, η κοινωνική πολιτική, το περιβάλλον, η προστασία των καταναλωτών και των καταναλωτριών, ο πολιτισμός και η περιφερειακή συνεργασία. </w:t>
      </w:r>
    </w:p>
    <w:p w:rsidR="002C5B75" w:rsidRPr="006B13BC" w:rsidRDefault="002C5B75" w:rsidP="002C5B75">
      <w:pPr>
        <w:rPr>
          <w:noProof/>
        </w:rPr>
      </w:pPr>
      <w:r w:rsidRPr="006B13BC">
        <w:rPr>
          <w:noProof/>
        </w:rPr>
        <w:t xml:space="preserve">Για να εξασφαλιστεί η αποτελεσματική λειτουργία της εσωτερικής αγοράς, η συμφωνία προβλέπει δυναμική κανονιστική ευθυγράμμιση. Προβλέπει επίσης ότι η Επιτροπή είναι η αρμόδια αρχή για την εφαρμογή του δικαίου της ΕΕ σχετικά με τις κρατικές ενισχύσεις στην Ανδόρα και στον Άγιο Μαρίνο. Η συμφωνία διαλαμβάνει επίσης διατάξεις για τη θέσπιση μηχανισμού επίλυσης διαφορών, με το Δικαστήριο της Ευρωπαϊκής Ένωσης ως κριτή όταν υπάρχουν διαφορές επί της ερμηνείας και της εφαρμογής της συμφωνίας. </w:t>
      </w:r>
    </w:p>
    <w:p w:rsidR="00452BAF" w:rsidRPr="006B13BC" w:rsidRDefault="002C5B75" w:rsidP="002C5B75">
      <w:pPr>
        <w:rPr>
          <w:noProof/>
        </w:rPr>
      </w:pPr>
      <w:r w:rsidRPr="006B13BC">
        <w:rPr>
          <w:noProof/>
        </w:rPr>
        <w:t>Τέλος, λαμβάνεται υπόψη η κατάσταση της Ανδόρας και του Αγίου Μαρίνου ως κρατών μικρής εδαφικής έκτασης, σύμφωνα με τη δήλωση 3 σχετικά με το άρθρο 8 της Συνθήκης για την Ευρωπαϊκή Ένωση (ΣΕΕ)</w:t>
      </w:r>
      <w:r w:rsidR="003E799B" w:rsidRPr="006B13BC">
        <w:rPr>
          <w:rStyle w:val="FootnoteReference"/>
          <w:noProof/>
        </w:rPr>
        <w:footnoteReference w:id="1"/>
      </w:r>
      <w:r w:rsidRPr="006B13BC">
        <w:rPr>
          <w:noProof/>
        </w:rPr>
        <w:t>. Τούτο αποτυπώνεται σε ορισμένες προσαρμογές των διατάξεων των νομικών πράξεων της ΕΕ που περιλήφθηκαν στα παραρτήματα της συμφωνίας, καθώς και σε διάφορες μεταβατικές περιόδους για την υλοποίηση και την εφαρμογή τμημάτων του κεκτημένου της ΕΕ. Οι τομεακές προσαρμογές αφορούν ιδίως τον τομέα της ελεύθερης κυκλοφορίας των προσώπων, όπου για ορισμένους τύπους διαμονής προβλέπονται ποσοτικά όρια τα οποία έχουν ως πρότυπο εκείνα που συμφωνήθηκαν με το Λιχτενστάιν στη συμφωνία για τον Ευρωπαϊκό Οικονομικό Χώρο</w:t>
      </w:r>
      <w:r w:rsidR="003E799B" w:rsidRPr="006B13BC">
        <w:rPr>
          <w:rStyle w:val="FootnoteReference"/>
          <w:noProof/>
        </w:rPr>
        <w:footnoteReference w:id="2"/>
      </w:r>
      <w:r w:rsidRPr="006B13BC">
        <w:rPr>
          <w:noProof/>
        </w:rPr>
        <w:t>. Μεταβατικές περίοδοι προβλέπονται επίσης σε τομείς όπως οι τηλεπικοινωνίες, οι μεταφορές ή η ενέργεια. Περιλαμβάνονται επίσης ειδικές προσαρμογές όσον αφορά την απουσία συγκεκριμένου βιομηχανικού τομέα, όπως τμημάτων του τομέα των μεταφορών.</w:t>
      </w:r>
      <w:bookmarkEnd w:id="1"/>
    </w:p>
    <w:p w:rsidR="00595444" w:rsidRPr="006B13BC" w:rsidRDefault="00CA078F" w:rsidP="002C5B75">
      <w:pPr>
        <w:rPr>
          <w:rFonts w:eastAsia="Arial Unicode MS"/>
          <w:noProof/>
        </w:rPr>
      </w:pPr>
      <w:r w:rsidRPr="006B13BC">
        <w:rPr>
          <w:noProof/>
        </w:rPr>
        <w:t>Η συμφωνία καθιστά δυνατή επίσης τη σταδιακή πρόσβαση στην εσωτερική αγορά χρηματοπιστωτικών υπηρεσιών της ΕΕ, στο πλαίσιο της οποίας η Ανδόρα και ο Άγιος Μαρίνος μπορούν να αποφασίσουν να μην επιδιώξουν πρόσβαση σε ολόκληρη την εσωτερική αγορά χρηματοπιστωτικών υπηρεσιών της ΕΕ. Η δυνατότητα αυτή δεν θα πρέπει να διαρκέσει περισσότερο από 15 έτη από την έναρξη ισχύος της συμφωνίας. Λαμβανομένων υπόψη των ιδιαιτεροτήτων της Ανδόρας και του Αγίου Μαρίνου και των σχετικών ειδικών κανόνων και διατάξεων που θεσπίστηκαν για την ομαλή και εύρυθμη ενσωμάτωσή τους στην αγορά, ήταν αναγκαίο η πρόσβαση στην αγορά στον τομέα των χρηματοπιστωτικών υπηρεσιών να υπόκειται σε ειδικές πρόσθετες διασφαλίσεις, πέραν εκείνων που διέπουν τις σχέσεις μεταξύ των κρατών μελών στην εσωτερική αγορά</w:t>
      </w:r>
      <w:bookmarkStart w:id="2" w:name="_Hlk164628250"/>
      <w:r w:rsidRPr="006B13BC">
        <w:rPr>
          <w:noProof/>
        </w:rPr>
        <w:t>, ιδίως όσον αφορά τις απαιτήσεις για την τοπική παροχή υπηρεσιών και τις έκτακτες εξουσίες των ευρωπαϊκών εποπτικών αρχών.</w:t>
      </w:r>
      <w:bookmarkEnd w:id="2"/>
    </w:p>
    <w:p w:rsidR="00452BAF" w:rsidRPr="006B13BC" w:rsidRDefault="00452BAF" w:rsidP="00044058">
      <w:pPr>
        <w:pStyle w:val="ManualHeading2"/>
        <w:rPr>
          <w:rFonts w:eastAsia="Arial Unicode MS"/>
          <w:noProof/>
          <w:color w:val="000000"/>
          <w:u w:color="000000"/>
          <w:bdr w:val="nil"/>
        </w:rPr>
      </w:pPr>
      <w:r w:rsidRPr="006B13BC">
        <w:rPr>
          <w:noProof/>
          <w:color w:val="000000"/>
          <w:u w:color="000000"/>
          <w:bdr w:val="nil"/>
        </w:rPr>
        <w:t>•</w:t>
      </w:r>
      <w:r w:rsidRPr="006B13BC">
        <w:rPr>
          <w:noProof/>
          <w:color w:val="000000"/>
          <w:u w:color="000000"/>
          <w:bdr w:val="nil"/>
        </w:rPr>
        <w:tab/>
      </w:r>
      <w:r w:rsidRPr="006B13BC">
        <w:rPr>
          <w:noProof/>
        </w:rPr>
        <w:t>Συνέπεια με τις ισχύουσες διατάξεις στον τομέα πολιτικής</w:t>
      </w:r>
    </w:p>
    <w:p w:rsidR="00CE426B" w:rsidRPr="006B13BC" w:rsidRDefault="00CE426B" w:rsidP="00CE426B">
      <w:pPr>
        <w:spacing w:before="0"/>
        <w:rPr>
          <w:rFonts w:eastAsia="Times New Roman"/>
          <w:noProof/>
          <w:color w:val="000000"/>
          <w:szCs w:val="24"/>
        </w:rPr>
      </w:pPr>
      <w:bookmarkStart w:id="3" w:name="_Hlk161132706"/>
      <w:bookmarkStart w:id="4" w:name="_Hlk161132735"/>
      <w:bookmarkStart w:id="5" w:name="_Hlk161043716"/>
      <w:r w:rsidRPr="006B13BC">
        <w:rPr>
          <w:noProof/>
          <w:color w:val="000000"/>
        </w:rPr>
        <w:t>Η συμφωνία αποτελεί σημαντικό ορόσημο που ανταποκρίνεται άμεσα, αφενός, στον στόχο της ΕΕ να αναπτύξει ειδικές σχέσεις με τις γειτονικές χώρες, όπως ορίζεται στο άρθρο 8 της ΣΕΕ, και, αφετέρου, στο δεδηλωμένο ενδιαφέρον των δύο αυτών χωρών για την οικοδόμηση στενότερων σχέσεων με την ΕΕ.</w:t>
      </w:r>
    </w:p>
    <w:bookmarkEnd w:id="3"/>
    <w:p w:rsidR="00CE426B" w:rsidRPr="006B13BC" w:rsidRDefault="00CE426B" w:rsidP="00CE426B">
      <w:pPr>
        <w:spacing w:before="0"/>
        <w:rPr>
          <w:rFonts w:asciiTheme="majorBidi" w:hAnsiTheme="majorBidi" w:cstheme="majorBidi"/>
          <w:noProof/>
          <w:color w:val="000000" w:themeColor="text1"/>
          <w:szCs w:val="24"/>
        </w:rPr>
      </w:pPr>
      <w:r w:rsidRPr="006B13BC">
        <w:rPr>
          <w:rFonts w:asciiTheme="majorBidi" w:hAnsiTheme="majorBidi"/>
          <w:noProof/>
          <w:color w:val="000000" w:themeColor="text1"/>
        </w:rPr>
        <w:t>Τα κύρια συμφέροντα της ΕΕ, όπως αναφέρονται στην ανακοίνωση της Επιτροπής του 2012</w:t>
      </w:r>
      <w:r w:rsidRPr="006B13BC">
        <w:rPr>
          <w:rStyle w:val="FootnoteReference"/>
          <w:rFonts w:asciiTheme="majorBidi" w:hAnsiTheme="majorBidi" w:cstheme="majorBidi"/>
          <w:noProof/>
          <w:color w:val="000000" w:themeColor="text1"/>
          <w:szCs w:val="24"/>
        </w:rPr>
        <w:footnoteReference w:id="3"/>
      </w:r>
      <w:r w:rsidRPr="006B13BC">
        <w:rPr>
          <w:rFonts w:asciiTheme="majorBidi" w:hAnsiTheme="majorBidi"/>
          <w:noProof/>
          <w:color w:val="000000" w:themeColor="text1"/>
        </w:rPr>
        <w:t xml:space="preserve"> και στην έκθεση του 2013</w:t>
      </w:r>
      <w:r w:rsidRPr="006B13BC">
        <w:rPr>
          <w:rStyle w:val="FootnoteReference"/>
          <w:rFonts w:asciiTheme="majorBidi" w:hAnsiTheme="majorBidi" w:cstheme="majorBidi"/>
          <w:noProof/>
          <w:color w:val="000000" w:themeColor="text1"/>
          <w:szCs w:val="24"/>
        </w:rPr>
        <w:footnoteReference w:id="4"/>
      </w:r>
      <w:r w:rsidRPr="006B13BC">
        <w:rPr>
          <w:rFonts w:asciiTheme="majorBidi" w:hAnsiTheme="majorBidi"/>
          <w:noProof/>
          <w:color w:val="000000" w:themeColor="text1"/>
        </w:rPr>
        <w:t xml:space="preserve">, τα οποία αποτυπώνονται σε μεταγενέστερα συμπεράσματα του Συμβουλίου και, ενδεχομένως, στις οδηγίες διαπραγμάτευσης του Συμβουλίου, περιλαμβάνουν τη συμβολή που θα μπορούσε να έχει η σύσφιξη των οικονομικών δεσμών στην αύξηση της απασχόλησης, του εμπορίου και των επενδύσεων στις περιοχές της ΕΕ που γειτνιάζουν με τις χώρες αυτές. Δεδομένων των εμποδίων στην πρόσβαση των μικρών χωρών στην εσωτερική αγορά της ΕΕ και στη συνεργασία σε άλλους τομείς, η άρση των εμποδίων στη διασυνοριακή οικονομική δραστηριότητα θα δημιουργήσει σημαντικές δυνατότητες περαιτέρω ανάπτυξης των σχέσεων προς αμοιβαίο όφελος. </w:t>
      </w:r>
    </w:p>
    <w:p w:rsidR="00CE426B" w:rsidRPr="006B13BC" w:rsidRDefault="00CE426B" w:rsidP="00CE426B">
      <w:pPr>
        <w:spacing w:before="0"/>
        <w:ind w:right="175"/>
        <w:rPr>
          <w:rFonts w:asciiTheme="majorBidi" w:hAnsiTheme="majorBidi" w:cstheme="majorBidi"/>
          <w:noProof/>
          <w:color w:val="000000" w:themeColor="text1"/>
          <w:szCs w:val="24"/>
        </w:rPr>
      </w:pPr>
      <w:r w:rsidRPr="006B13BC">
        <w:rPr>
          <w:rFonts w:asciiTheme="majorBidi" w:hAnsiTheme="majorBidi"/>
          <w:noProof/>
          <w:color w:val="000000" w:themeColor="text1"/>
        </w:rPr>
        <w:t>Επιπλέον, η συμφωνία θεσπίζει ένα συνεκτικό και αποτελεσματικό θεσμικό πλαίσιο για τις σχέσεις με τις χώρες αυτές, συμπεριλαμβανομένων θεσμικών διατάξεων που διασφαλίζουν τη διατήρηση της ομοιογένειας και της εύρυθμης λειτουργίας της εσωτερικής αγοράς, το αδιαίρετο των τεσσάρων ελευθεριών και την ασφάλεια δικαίου, λαμβάνοντας παράλληλα υπόψη την ιδιαίτερη κατάσταση κάθε χώρας.</w:t>
      </w:r>
    </w:p>
    <w:bookmarkEnd w:id="4"/>
    <w:p w:rsidR="00CE426B" w:rsidRPr="006B13BC" w:rsidRDefault="00CE426B" w:rsidP="00CE426B">
      <w:pPr>
        <w:spacing w:before="0"/>
        <w:ind w:right="175"/>
        <w:rPr>
          <w:rFonts w:asciiTheme="majorBidi" w:hAnsiTheme="majorBidi" w:cstheme="majorBidi"/>
          <w:b/>
          <w:bCs/>
          <w:noProof/>
          <w:color w:val="000000" w:themeColor="text1"/>
          <w:szCs w:val="24"/>
        </w:rPr>
      </w:pPr>
      <w:r w:rsidRPr="006B13BC">
        <w:rPr>
          <w:rFonts w:asciiTheme="majorBidi" w:hAnsiTheme="majorBidi"/>
          <w:b/>
          <w:noProof/>
          <w:color w:val="000000" w:themeColor="text1"/>
        </w:rPr>
        <w:t>α) Η ΕΕ και η Ανδόρα</w:t>
      </w:r>
    </w:p>
    <w:p w:rsidR="00CE426B" w:rsidRPr="006B13BC" w:rsidRDefault="00CE426B" w:rsidP="00CE426B">
      <w:pPr>
        <w:spacing w:before="0"/>
        <w:ind w:right="175"/>
        <w:rPr>
          <w:bCs/>
          <w:noProof/>
          <w:szCs w:val="24"/>
        </w:rPr>
      </w:pPr>
      <w:r w:rsidRPr="006B13BC">
        <w:rPr>
          <w:rFonts w:asciiTheme="majorBidi" w:hAnsiTheme="majorBidi"/>
          <w:noProof/>
          <w:color w:val="000000" w:themeColor="text1"/>
        </w:rPr>
        <w:t>Η ΕΕ και η Ανδόρα</w:t>
      </w:r>
      <w:r w:rsidRPr="006B13BC">
        <w:rPr>
          <w:noProof/>
        </w:rPr>
        <w:t xml:space="preserve"> έχουν αναπτύξει σταδιακά στενούς δεσμούς, μεταξύ άλλων, μέσω της σύναψης διαφόρων διμερών συμφωνιών. </w:t>
      </w:r>
    </w:p>
    <w:p w:rsidR="00CE426B" w:rsidRPr="006B13BC" w:rsidRDefault="00CE426B" w:rsidP="00CE426B">
      <w:pPr>
        <w:spacing w:before="0"/>
        <w:ind w:right="175"/>
        <w:rPr>
          <w:bCs/>
          <w:noProof/>
          <w:szCs w:val="24"/>
        </w:rPr>
      </w:pPr>
      <w:r w:rsidRPr="006B13BC">
        <w:rPr>
          <w:noProof/>
        </w:rPr>
        <w:t xml:space="preserve">Οι διμερείς συμφωνίες που αναφέρονται κατωτέρω θα παύσουν να ισχύουν και θα αντικατασταθούν από τη συμφωνία. Οι εν λόγω συμφωνίες θα παύσουν να ισχύουν από την ημερομηνία έναρξης της ισχύος της συμφωνίας: </w:t>
      </w:r>
    </w:p>
    <w:p w:rsidR="00CE426B" w:rsidRPr="006B13BC" w:rsidRDefault="00CE426B" w:rsidP="006C757D">
      <w:pPr>
        <w:pStyle w:val="Bullet1"/>
        <w:numPr>
          <w:ilvl w:val="0"/>
          <w:numId w:val="2"/>
        </w:numPr>
        <w:rPr>
          <w:noProof/>
        </w:rPr>
      </w:pPr>
      <w:r w:rsidRPr="006B13BC">
        <w:rPr>
          <w:noProof/>
        </w:rPr>
        <w:t>Συμφωνία υπό μορφή ανταλλαγής επιστολών μεταξύ της Ευρωπαϊκής Οικονομικής Κοινότητας και της Ανδόρας της 28ης Ιουνίου 1990</w:t>
      </w:r>
      <w:r w:rsidRPr="006B13BC">
        <w:rPr>
          <w:rStyle w:val="FootnoteReference"/>
          <w:bCs/>
          <w:noProof/>
          <w:szCs w:val="24"/>
        </w:rPr>
        <w:footnoteReference w:id="5"/>
      </w:r>
      <w:r w:rsidRPr="006B13BC">
        <w:rPr>
          <w:noProof/>
        </w:rPr>
        <w:t xml:space="preserve">· και  </w:t>
      </w:r>
    </w:p>
    <w:p w:rsidR="00CE426B" w:rsidRPr="006B13BC" w:rsidRDefault="00CE426B" w:rsidP="00CE426B">
      <w:pPr>
        <w:pStyle w:val="Bullet1"/>
        <w:rPr>
          <w:noProof/>
        </w:rPr>
      </w:pPr>
      <w:r w:rsidRPr="006B13BC">
        <w:rPr>
          <w:noProof/>
        </w:rPr>
        <w:t>Συμφωνία συνεργασίας μεταξύ της Ευρωπαϊκής Κοινότητας και της Ανδόρας της 15ης Νοεμβρίου 2004</w:t>
      </w:r>
      <w:r w:rsidRPr="006B13BC">
        <w:rPr>
          <w:rStyle w:val="FootnoteReference"/>
          <w:bCs/>
          <w:noProof/>
          <w:szCs w:val="24"/>
        </w:rPr>
        <w:footnoteReference w:id="6"/>
      </w:r>
      <w:r w:rsidRPr="006B13BC">
        <w:rPr>
          <w:noProof/>
        </w:rPr>
        <w:t xml:space="preserve">. </w:t>
      </w:r>
    </w:p>
    <w:p w:rsidR="00CE426B" w:rsidRPr="006B13BC" w:rsidRDefault="00CE426B" w:rsidP="00595444">
      <w:pPr>
        <w:pStyle w:val="Declassification"/>
        <w:rPr>
          <w:noProof/>
        </w:rPr>
      </w:pPr>
      <w:r w:rsidRPr="006B13BC">
        <w:rPr>
          <w:noProof/>
        </w:rPr>
        <w:t xml:space="preserve">Οι διμερείς συμφωνίες που απαριθμούνται κατωτέρω θα παραμείνουν σε ισχύ </w:t>
      </w:r>
      <w:bookmarkStart w:id="6" w:name="_Hlk164628289"/>
      <w:r w:rsidRPr="006B13BC">
        <w:rPr>
          <w:noProof/>
        </w:rPr>
        <w:t>μετά την έναρξη ισχύος της συμφωνίας</w:t>
      </w:r>
      <w:bookmarkEnd w:id="6"/>
      <w:r w:rsidRPr="006B13BC">
        <w:rPr>
          <w:noProof/>
        </w:rPr>
        <w:t>:</w:t>
      </w:r>
    </w:p>
    <w:p w:rsidR="00CE426B" w:rsidRPr="006B13BC" w:rsidRDefault="00CE426B" w:rsidP="00CE426B">
      <w:pPr>
        <w:pStyle w:val="Bullet1"/>
        <w:rPr>
          <w:noProof/>
        </w:rPr>
      </w:pPr>
      <w:r w:rsidRPr="006B13BC">
        <w:rPr>
          <w:noProof/>
        </w:rPr>
        <w:t>Νομισματική συμφωνία μεταξύ της ΕΕ και της Ανδόρας της 30ής Ιουνίου 2011</w:t>
      </w:r>
      <w:r w:rsidRPr="006B13BC">
        <w:rPr>
          <w:rStyle w:val="FootnoteReference"/>
          <w:bCs/>
          <w:noProof/>
          <w:szCs w:val="24"/>
        </w:rPr>
        <w:footnoteReference w:id="7"/>
      </w:r>
      <w:r w:rsidRPr="006B13BC">
        <w:rPr>
          <w:noProof/>
        </w:rPr>
        <w:t>· και</w:t>
      </w:r>
    </w:p>
    <w:p w:rsidR="00CE426B" w:rsidRPr="006B13BC" w:rsidRDefault="00CE426B" w:rsidP="00CE426B">
      <w:pPr>
        <w:pStyle w:val="Bullet1"/>
        <w:rPr>
          <w:noProof/>
        </w:rPr>
      </w:pPr>
      <w:r w:rsidRPr="006B13BC">
        <w:rPr>
          <w:noProof/>
        </w:rPr>
        <w:t>Συμφωνία μεταξύ της Ευρωπαϊκής Κοινότητας και της Ανδόρας που προβλέπει μέτρα ισοδύναμα με τα θεσπιζόμενα στην οδηγία 2003/48/ΕΚ του Συμβουλίου, της 15ης Νοεμβρίου 2004, για τη φορολόγηση των εισοδημάτων από αποταμιεύσεις</w:t>
      </w:r>
      <w:r w:rsidRPr="006B13BC">
        <w:rPr>
          <w:rStyle w:val="FootnoteReference"/>
          <w:bCs/>
          <w:noProof/>
          <w:szCs w:val="24"/>
        </w:rPr>
        <w:footnoteReference w:id="8"/>
      </w:r>
      <w:r w:rsidRPr="006B13BC">
        <w:rPr>
          <w:noProof/>
        </w:rPr>
        <w:t xml:space="preserve">. </w:t>
      </w:r>
    </w:p>
    <w:p w:rsidR="00CE426B" w:rsidRPr="006B13BC" w:rsidRDefault="00CE426B" w:rsidP="00CE426B">
      <w:pPr>
        <w:spacing w:before="0"/>
        <w:ind w:right="175"/>
        <w:rPr>
          <w:rFonts w:asciiTheme="majorBidi" w:hAnsiTheme="majorBidi" w:cstheme="majorBidi"/>
          <w:b/>
          <w:bCs/>
          <w:noProof/>
          <w:color w:val="000000" w:themeColor="text1"/>
          <w:szCs w:val="24"/>
        </w:rPr>
      </w:pPr>
      <w:r w:rsidRPr="006B13BC">
        <w:rPr>
          <w:rFonts w:asciiTheme="majorBidi" w:hAnsiTheme="majorBidi"/>
          <w:b/>
          <w:noProof/>
          <w:color w:val="000000" w:themeColor="text1"/>
        </w:rPr>
        <w:t xml:space="preserve">β) Η ΕΕ και ο Άγιος Μαρίνος </w:t>
      </w:r>
    </w:p>
    <w:p w:rsidR="00CE426B" w:rsidRPr="006B13BC" w:rsidRDefault="00CE426B" w:rsidP="00CE426B">
      <w:pPr>
        <w:spacing w:before="0"/>
        <w:ind w:right="175"/>
        <w:rPr>
          <w:bCs/>
          <w:noProof/>
          <w:szCs w:val="24"/>
        </w:rPr>
      </w:pPr>
      <w:r w:rsidRPr="006B13BC">
        <w:rPr>
          <w:rFonts w:asciiTheme="majorBidi" w:hAnsiTheme="majorBidi"/>
          <w:noProof/>
          <w:color w:val="000000" w:themeColor="text1"/>
        </w:rPr>
        <w:t>Η ΕΕ και ο Άγιος Μαρίνος</w:t>
      </w:r>
      <w:r w:rsidRPr="006B13BC">
        <w:rPr>
          <w:noProof/>
        </w:rPr>
        <w:t xml:space="preserve"> έχουν αναπτύξει σταδιακά στενούς δεσμούς, μεταξύ άλλων, μέσω της σύναψης διαφόρων διμερών συμφωνιών. </w:t>
      </w:r>
    </w:p>
    <w:p w:rsidR="00CE426B" w:rsidRPr="006B13BC" w:rsidRDefault="00CE426B" w:rsidP="00CE426B">
      <w:pPr>
        <w:spacing w:before="0"/>
        <w:ind w:right="175"/>
        <w:rPr>
          <w:bCs/>
          <w:noProof/>
          <w:szCs w:val="24"/>
        </w:rPr>
      </w:pPr>
      <w:r w:rsidRPr="006B13BC">
        <w:rPr>
          <w:noProof/>
        </w:rPr>
        <w:t xml:space="preserve">Η διμερής συμφωνία που αναφέρεται κατωτέρω θα παύσει να ισχύει και θα αντικατασταθεί από τη συμφωνία. Η εν λόγω συμφωνία θα παύσει να ισχύει από την ημερομηνία έναρξης ισχύος της συμφωνίας. </w:t>
      </w:r>
    </w:p>
    <w:p w:rsidR="00CE426B" w:rsidRPr="006B13BC" w:rsidRDefault="00CE426B" w:rsidP="00CE426B">
      <w:pPr>
        <w:pStyle w:val="Bullet1"/>
        <w:rPr>
          <w:noProof/>
        </w:rPr>
      </w:pPr>
      <w:r w:rsidRPr="006B13BC">
        <w:rPr>
          <w:noProof/>
        </w:rPr>
        <w:t>Συμφωνία συνεργασίας και τελωνειακής ένωσης μεταξύ της Ευρωπαϊκής Οικονομικής Κοινότητας και της Δημοκρατίας του Αγίου Μαρίνου της 16ης Δεκεμβρίου 1991</w:t>
      </w:r>
      <w:r w:rsidRPr="006B13BC">
        <w:rPr>
          <w:rStyle w:val="FootnoteReference"/>
          <w:bCs/>
          <w:noProof/>
          <w:szCs w:val="24"/>
        </w:rPr>
        <w:footnoteReference w:id="9"/>
      </w:r>
      <w:r w:rsidRPr="006B13BC">
        <w:rPr>
          <w:noProof/>
        </w:rPr>
        <w:t>.</w:t>
      </w:r>
    </w:p>
    <w:p w:rsidR="00CE426B" w:rsidRPr="006B13BC" w:rsidRDefault="00CE426B" w:rsidP="00595444">
      <w:pPr>
        <w:pStyle w:val="Declassification"/>
        <w:rPr>
          <w:noProof/>
        </w:rPr>
      </w:pPr>
      <w:r w:rsidRPr="006B13BC">
        <w:rPr>
          <w:noProof/>
        </w:rPr>
        <w:t>Οι διμερείς συμφωνίες που απαριθμούνται κατωτέρω θα παραμείνουν σε ισχύ μετά την έναρξη ισχύος της συμφωνίας:</w:t>
      </w:r>
    </w:p>
    <w:p w:rsidR="00CE426B" w:rsidRPr="006B13BC" w:rsidRDefault="00CE426B" w:rsidP="00CE426B">
      <w:pPr>
        <w:pStyle w:val="Bullet1"/>
        <w:rPr>
          <w:noProof/>
        </w:rPr>
      </w:pPr>
      <w:r w:rsidRPr="006B13BC">
        <w:rPr>
          <w:noProof/>
        </w:rPr>
        <w:t>Νομισματική συμφωνία μεταξύ της ΕΕ και του Αγίου Μαρίνου της 27ης Μαρτίου 2012</w:t>
      </w:r>
      <w:r w:rsidRPr="006B13BC">
        <w:rPr>
          <w:rStyle w:val="FootnoteReference"/>
          <w:bCs/>
          <w:noProof/>
          <w:szCs w:val="24"/>
        </w:rPr>
        <w:footnoteReference w:id="10"/>
      </w:r>
      <w:r w:rsidRPr="006B13BC">
        <w:rPr>
          <w:noProof/>
        </w:rPr>
        <w:t>· και</w:t>
      </w:r>
    </w:p>
    <w:p w:rsidR="00CE426B" w:rsidRPr="006B13BC" w:rsidRDefault="00CE426B" w:rsidP="00CE426B">
      <w:pPr>
        <w:pStyle w:val="Bullet1"/>
        <w:rPr>
          <w:noProof/>
        </w:rPr>
      </w:pPr>
      <w:r w:rsidRPr="006B13BC">
        <w:rPr>
          <w:noProof/>
        </w:rPr>
        <w:t>Συμφωνία μεταξύ της Ευρωπαϊκής Κοινότητας και της Δημοκρατίας του Αγίου Μαρίνου που προβλέπει μέτρα ισοδύναμα με εκείνα που θεσπίζονται στην οδηγία 2003/48/ΕΚ του Συμβουλίου για τη φορολόγηση των υπό μορφή τόκων εισοδημάτων από αποταμιεύσεις και το μνημόνιο συμφωνίας που τη συνοδεύει της 7ης Δεκεμβρίου 2004</w:t>
      </w:r>
      <w:r w:rsidRPr="006B13BC">
        <w:rPr>
          <w:rStyle w:val="FootnoteReference"/>
          <w:bCs/>
          <w:noProof/>
          <w:szCs w:val="24"/>
        </w:rPr>
        <w:footnoteReference w:id="11"/>
      </w:r>
      <w:r w:rsidRPr="006B13BC">
        <w:rPr>
          <w:noProof/>
        </w:rPr>
        <w:t>.</w:t>
      </w:r>
      <w:bookmarkEnd w:id="5"/>
    </w:p>
    <w:p w:rsidR="00595444" w:rsidRPr="006B13BC" w:rsidRDefault="00595444" w:rsidP="00595444">
      <w:pPr>
        <w:pStyle w:val="Declassification"/>
        <w:rPr>
          <w:b/>
          <w:bCs/>
          <w:noProof/>
          <w:u w:color="000000"/>
          <w:bdr w:val="nil"/>
        </w:rPr>
      </w:pPr>
      <w:r w:rsidRPr="006B13BC">
        <w:rPr>
          <w:b/>
          <w:noProof/>
          <w:color w:val="000000"/>
          <w:u w:color="000000"/>
          <w:bdr w:val="nil"/>
        </w:rPr>
        <w:t>•</w:t>
      </w:r>
      <w:r w:rsidRPr="006B13BC">
        <w:rPr>
          <w:b/>
          <w:noProof/>
          <w:color w:val="000000"/>
          <w:u w:color="000000"/>
          <w:bdr w:val="nil"/>
        </w:rPr>
        <w:tab/>
      </w:r>
      <w:r w:rsidRPr="006B13BC">
        <w:rPr>
          <w:b/>
          <w:noProof/>
          <w:u w:color="000000"/>
          <w:bdr w:val="nil"/>
        </w:rPr>
        <w:t>Συνέπεια με άλλες πολιτικές της Ένωσης</w:t>
      </w:r>
    </w:p>
    <w:p w:rsidR="00595444" w:rsidRPr="006B13BC" w:rsidRDefault="00595444" w:rsidP="00595444">
      <w:pPr>
        <w:pStyle w:val="Declassification"/>
        <w:rPr>
          <w:noProof/>
          <w:u w:color="000000"/>
          <w:bdr w:val="nil"/>
        </w:rPr>
      </w:pPr>
    </w:p>
    <w:p w:rsidR="00452BAF" w:rsidRPr="006B13BC" w:rsidRDefault="00D879E8" w:rsidP="00595444">
      <w:pPr>
        <w:pStyle w:val="Declassification"/>
        <w:rPr>
          <w:noProof/>
          <w:u w:color="000000"/>
          <w:bdr w:val="nil"/>
        </w:rPr>
      </w:pPr>
      <w:r w:rsidRPr="006B13BC">
        <w:rPr>
          <w:noProof/>
        </w:rPr>
        <w:t xml:space="preserve">Η συμφωνία συνάδει πλήρως με τις πολιτικές της ΕΕ και σέβεται πλήρως τις Συνθήκες, διαφυλάσσοντας την ακεραιότητα και την αυτονομία της έννομης τάξης της ΕΕ. Η συμφωνία δεν απαιτεί από την ΕΕ να τροποποιήσει τους κανόνες, τους κανονισμούς ή τα πρότυπά της σε κανέναν ρυθμιζόμενο τομέα. Προωθεί τις αξίες, τους στόχους και τα συμφέροντα της ΕΕ και διασφαλίζει τη συνοχή, την αποτελεσματικότητα και τη συνέχεια των πολιτικών και των δράσεών της. </w:t>
      </w:r>
    </w:p>
    <w:p w:rsidR="00452BAF" w:rsidRPr="006B13BC" w:rsidRDefault="00452BAF" w:rsidP="00550536">
      <w:pPr>
        <w:pStyle w:val="ManualHeading1"/>
        <w:rPr>
          <w:noProof/>
        </w:rPr>
      </w:pPr>
      <w:r w:rsidRPr="006B13BC">
        <w:rPr>
          <w:noProof/>
        </w:rPr>
        <w:t>2.</w:t>
      </w:r>
      <w:r w:rsidRPr="006B13BC">
        <w:rPr>
          <w:noProof/>
        </w:rPr>
        <w:tab/>
        <w:t>ΝΟΜΙΚΗ ΒΑΣΗ, ΕΠΙΚΟΥΡΙΚΟΤΗΤΑ ΚΑΙ ΑΝΑΛΟΓΙΚΟΤΗΤΑ</w:t>
      </w:r>
    </w:p>
    <w:p w:rsidR="00452BAF" w:rsidRPr="006B13BC" w:rsidRDefault="00452BAF" w:rsidP="00A4693B">
      <w:pPr>
        <w:pStyle w:val="ManualHeading2"/>
        <w:rPr>
          <w:rFonts w:eastAsia="Arial Unicode MS"/>
          <w:noProof/>
          <w:u w:color="000000"/>
          <w:bdr w:val="nil"/>
        </w:rPr>
      </w:pPr>
      <w:r w:rsidRPr="006B13BC">
        <w:rPr>
          <w:noProof/>
          <w:u w:color="000000"/>
          <w:bdr w:val="nil"/>
        </w:rPr>
        <w:t>•</w:t>
      </w:r>
      <w:r w:rsidRPr="006B13BC">
        <w:rPr>
          <w:noProof/>
          <w:u w:color="000000"/>
          <w:bdr w:val="nil"/>
        </w:rPr>
        <w:tab/>
        <w:t>Νομική βάση</w:t>
      </w:r>
    </w:p>
    <w:p w:rsidR="00452BAF" w:rsidRPr="006B13BC" w:rsidRDefault="006850F1" w:rsidP="00550536">
      <w:pPr>
        <w:pBdr>
          <w:top w:val="nil"/>
          <w:left w:val="nil"/>
          <w:bottom w:val="nil"/>
          <w:right w:val="nil"/>
          <w:between w:val="nil"/>
          <w:bar w:val="nil"/>
        </w:pBdr>
        <w:spacing w:before="0" w:after="240"/>
        <w:rPr>
          <w:noProof/>
        </w:rPr>
      </w:pPr>
      <w:r w:rsidRPr="006B13BC">
        <w:rPr>
          <w:noProof/>
        </w:rPr>
        <w:t xml:space="preserve">Η ουσιαστική νομική βάση για την προτεινόμενη απόφαση του Συμβουλίου σχετικά με την υπογραφή είναι το άρθρο 217 </w:t>
      </w:r>
      <w:bookmarkStart w:id="7" w:name="_Hlk161132871"/>
      <w:r w:rsidRPr="006B13BC">
        <w:rPr>
          <w:noProof/>
        </w:rPr>
        <w:t>της Συνθήκης για τη λειτουργία της Ευρωπαϊκής Ένωσης (ΣΛΕΕ)</w:t>
      </w:r>
      <w:bookmarkEnd w:id="7"/>
      <w:r w:rsidRPr="006B13BC">
        <w:rPr>
          <w:noProof/>
        </w:rPr>
        <w:t>. Αυτή η νομική βάση είναι η καταλληλότερη δεδομένου του ευρέος πεδίου της σκοπούμενης συμφωνίας.</w:t>
      </w:r>
    </w:p>
    <w:p w:rsidR="0040090C" w:rsidRPr="006B13BC" w:rsidRDefault="0040090C" w:rsidP="0040090C">
      <w:pPr>
        <w:pBdr>
          <w:top w:val="nil"/>
          <w:left w:val="nil"/>
          <w:bottom w:val="nil"/>
          <w:right w:val="nil"/>
          <w:between w:val="nil"/>
          <w:bar w:val="nil"/>
        </w:pBdr>
        <w:spacing w:before="0" w:after="240"/>
        <w:rPr>
          <w:rFonts w:eastAsia="Arial Unicode MS"/>
          <w:noProof/>
        </w:rPr>
      </w:pPr>
      <w:r w:rsidRPr="006B13BC">
        <w:rPr>
          <w:noProof/>
        </w:rPr>
        <w:t xml:space="preserve">Η διαδικαστική νομική βάση είναι το άρθρο 218 παράγραφος 5 της ΣΛΕΕ, σε συνδυασμό με το άρθρο 218 παράγραφος 8 δεύτερο εδάφιο της ΣΛΕΕ, το οποίο προβλέπει τη λήψη απόφασης από το Συμβούλιο με ομοφωνία. </w:t>
      </w:r>
    </w:p>
    <w:p w:rsidR="0040090C" w:rsidRPr="006B13BC" w:rsidRDefault="0040090C" w:rsidP="0040090C">
      <w:pPr>
        <w:pBdr>
          <w:top w:val="nil"/>
          <w:left w:val="nil"/>
          <w:bottom w:val="nil"/>
          <w:right w:val="nil"/>
          <w:between w:val="nil"/>
          <w:bar w:val="nil"/>
        </w:pBdr>
        <w:spacing w:before="0" w:after="240"/>
        <w:rPr>
          <w:rFonts w:eastAsia="Arial Unicode MS"/>
          <w:noProof/>
        </w:rPr>
      </w:pPr>
      <w:r w:rsidRPr="006B13BC">
        <w:rPr>
          <w:noProof/>
        </w:rPr>
        <w:t>Ως εκ τούτου, η νομική βάση για την προτεινόμενη απόφαση του Συμβουλίου είναι το άρθρο 217 της ΣΛΕΕ, σε συνδυασμό με το άρθρο 218 παράγραφος 5 της ΣΛΕΕ και το άρθρο 218 παράγραφος 8 δεύτερο εδάφιο της ΣΛΕΕ.</w:t>
      </w:r>
    </w:p>
    <w:p w:rsidR="00452BAF" w:rsidRPr="006B13BC" w:rsidRDefault="00E7556A" w:rsidP="00550536">
      <w:pPr>
        <w:pStyle w:val="ManualHeading1"/>
        <w:rPr>
          <w:noProof/>
        </w:rPr>
      </w:pPr>
      <w:r w:rsidRPr="006B13BC">
        <w:rPr>
          <w:noProof/>
        </w:rPr>
        <w:t>3.</w:t>
      </w:r>
      <w:r w:rsidRPr="006B13BC">
        <w:rPr>
          <w:noProof/>
        </w:rPr>
        <w:tab/>
        <w:t>ΛΟΙΠΑ ΣΤΟΙΧΕΙΑ</w:t>
      </w:r>
    </w:p>
    <w:p w:rsidR="00452BAF" w:rsidRPr="006B13BC" w:rsidRDefault="00452BAF" w:rsidP="00A4693B">
      <w:pPr>
        <w:pStyle w:val="ManualHeading2"/>
        <w:rPr>
          <w:rFonts w:eastAsia="Arial Unicode MS"/>
          <w:noProof/>
          <w:u w:color="000000"/>
          <w:bdr w:val="nil"/>
        </w:rPr>
      </w:pPr>
      <w:r w:rsidRPr="006B13BC">
        <w:rPr>
          <w:noProof/>
          <w:u w:color="000000"/>
          <w:bdr w:val="nil"/>
        </w:rPr>
        <w:t>•</w:t>
      </w:r>
      <w:r w:rsidRPr="006B13BC">
        <w:rPr>
          <w:noProof/>
          <w:u w:color="000000"/>
          <w:bdr w:val="nil"/>
        </w:rPr>
        <w:tab/>
        <w:t>Εφαρμογή από όργανα που έχουν συσταθεί βάσει της συμφωνίας</w:t>
      </w:r>
    </w:p>
    <w:p w:rsidR="00452BAF" w:rsidRPr="006B13BC" w:rsidRDefault="00331389" w:rsidP="00044058">
      <w:pPr>
        <w:pBdr>
          <w:top w:val="nil"/>
          <w:left w:val="nil"/>
          <w:bottom w:val="nil"/>
          <w:right w:val="nil"/>
          <w:between w:val="nil"/>
          <w:bar w:val="nil"/>
        </w:pBdr>
        <w:spacing w:before="0" w:after="240"/>
        <w:rPr>
          <w:rFonts w:eastAsia="Arial Unicode MS"/>
          <w:noProof/>
        </w:rPr>
      </w:pPr>
      <w:r w:rsidRPr="006B13BC">
        <w:rPr>
          <w:noProof/>
        </w:rPr>
        <w:t>Η συμφωνία θεσπίζει θεσμικό πλαίσιο αποτελούμενο από επιτροπή σύνδεσης που απαρτίζεται από εκπροσώπους της ΕΕ, της Ανδόρας και του Αγίου Μαρίνου, καθώς και από μεικτή επιτροπή και διάφορες υποεπιτροπές μεταξύ της ΕΕ και καθεμιάς από τις δύο χώρες. Η συμφωνία προβλέπει μηχανισμό σε περίπτωση αθέτησης από ένα από τα Μέρη των υποχρεώσεων που έχει αναλάβει βάσει της συμφωνίας.</w:t>
      </w:r>
    </w:p>
    <w:p w:rsidR="00452BAF" w:rsidRPr="006B13BC" w:rsidRDefault="00452BAF" w:rsidP="00A4693B">
      <w:pPr>
        <w:pStyle w:val="ManualHeading2"/>
        <w:rPr>
          <w:rFonts w:eastAsia="Arial Unicode MS"/>
          <w:noProof/>
          <w:u w:color="000000"/>
          <w:bdr w:val="nil"/>
        </w:rPr>
      </w:pPr>
      <w:r w:rsidRPr="006B13BC">
        <w:rPr>
          <w:noProof/>
          <w:u w:color="000000"/>
          <w:bdr w:val="nil"/>
        </w:rPr>
        <w:t>•</w:t>
      </w:r>
      <w:r w:rsidRPr="006B13BC">
        <w:rPr>
          <w:noProof/>
          <w:u w:color="000000"/>
          <w:bdr w:val="nil"/>
        </w:rPr>
        <w:tab/>
        <w:t>Υλοποίηση και εφαρμογή της συμφωνίας</w:t>
      </w:r>
    </w:p>
    <w:p w:rsidR="001C29FC" w:rsidRPr="006B13BC" w:rsidRDefault="001C29FC" w:rsidP="001C29FC">
      <w:pPr>
        <w:pStyle w:val="ManualHeading2"/>
        <w:tabs>
          <w:tab w:val="clear" w:pos="850"/>
        </w:tabs>
        <w:ind w:left="0" w:firstLine="0"/>
        <w:rPr>
          <w:rFonts w:eastAsia="Arial Unicode MS"/>
          <w:b w:val="0"/>
          <w:bCs/>
          <w:noProof/>
          <w:u w:color="000000"/>
          <w:bdr w:val="nil"/>
        </w:rPr>
      </w:pPr>
      <w:r w:rsidRPr="006B13BC">
        <w:rPr>
          <w:b w:val="0"/>
          <w:noProof/>
          <w:u w:color="000000"/>
          <w:bdr w:val="nil"/>
        </w:rPr>
        <w:t xml:space="preserve">Σύμφωνα με το άρθρο 216 παράγραφος 2 της ΣΛΕΕ, οι συμφωνίες που συνάπτει η Ένωση δεσμεύουν τα θεσμικά όργανα της ΕΕ και τα κράτη μέλη. </w:t>
      </w:r>
    </w:p>
    <w:p w:rsidR="00363422" w:rsidRPr="006B13BC" w:rsidRDefault="00363422" w:rsidP="00363422">
      <w:pPr>
        <w:pStyle w:val="Text1"/>
        <w:ind w:left="0"/>
        <w:rPr>
          <w:noProof/>
        </w:rPr>
      </w:pPr>
      <w:r w:rsidRPr="006B13BC">
        <w:rPr>
          <w:noProof/>
        </w:rPr>
        <w:t xml:space="preserve">Οι προσωρινές λύσεις που παρατίθενται κατωτέρω απαιτούνται για τον χρόνο της προσωρινής εφαρμογής, προκειμένου να καταστεί δυνατή η πολύ ογκώδης και επικείμενη επικαιροποίηση του κεκτημένου της ΕΕ που περιλαμβάνεται στα πρωτόκολλα συνδεδεμένου κράτους και στα παραρτήματά τους, ώστε να διασφαλιστεί η δυναμική ευθυγράμμιση κατά την προσωρινή εφαρμογή: </w:t>
      </w:r>
    </w:p>
    <w:p w:rsidR="001C29FC" w:rsidRPr="006B13BC" w:rsidRDefault="00F713D1" w:rsidP="00F713D1">
      <w:pPr>
        <w:pStyle w:val="Point0"/>
        <w:rPr>
          <w:noProof/>
        </w:rPr>
      </w:pPr>
      <w:r>
        <w:rPr>
          <w:noProof/>
        </w:rPr>
        <w:t>α)</w:t>
      </w:r>
      <w:r>
        <w:rPr>
          <w:noProof/>
        </w:rPr>
        <w:tab/>
      </w:r>
      <w:r w:rsidR="001C29FC" w:rsidRPr="006B13BC">
        <w:rPr>
          <w:noProof/>
        </w:rPr>
        <w:t>Είναι σκόπιμο να εξουσιοδοτηθεί η Επιτροπή, σύμφωνα με το άρθρο 218 παράγραφος 7 της ΣΛΕΕ, να εγκρίνει, εξ ονόματος της Ένωσης, ορισμένες τροποποιήσεις της συμφωνίας που πρέπει να εγκριθούν με απλουστευμένη διαδικασία ή από το όργανο που θα συσταθεί με τη συμφωνία. Οι τροποποιήσεις αυτές αφορούν το άρθρο 108 της συμφωνίας-πλαισίου όσον αφορά τις τροποποιήσεις των πρωτοκόλλων συνδεδεμένου κράτους, εξαιρουμένων των παραρτημάτων τους. Η Επιτροπή θα πρέπει να ενημερώνει εκ των προτέρων το Συμβούλιο για τις προαναφερόμενες προτεινόμενες τροποποιήσεις. Το Συμβούλιο μπορεί να αντιταχθεί στις εν λόγω προτεινόμενες τροποποιήσεις με μειοψηφία αρνησικυρίας του Συμβουλίου σύμφωνα με το άρθρο 16 παράγραφος 4 της ΣΕΕ. Στην περίπτωση αυτή, η Επιτροπή πρέπει να απορρίψει τις προτεινόμενες τροποποιήσεις εξ ονόματος της Ένωσης, χωρίς να θίγεται η δυνατότητα μεταγενέστερης υποβολής πρότασης στο Συμβούλιο σύμφωνα με το άρθρο 218 παράγραφος 9 της ΣΛΕΕ.</w:t>
      </w:r>
    </w:p>
    <w:p w:rsidR="001C29FC" w:rsidRPr="006B13BC" w:rsidRDefault="002B372E" w:rsidP="00F713D1">
      <w:pPr>
        <w:pStyle w:val="Point0"/>
        <w:rPr>
          <w:noProof/>
        </w:rPr>
      </w:pPr>
      <w:r>
        <w:rPr>
          <w:noProof/>
        </w:rPr>
        <w:t>β</w:t>
      </w:r>
      <w:r w:rsidR="00F713D1">
        <w:rPr>
          <w:noProof/>
        </w:rPr>
        <w:t>)</w:t>
      </w:r>
      <w:r w:rsidR="00F713D1">
        <w:rPr>
          <w:noProof/>
        </w:rPr>
        <w:tab/>
      </w:r>
      <w:r w:rsidR="001C29FC" w:rsidRPr="006B13BC">
        <w:rPr>
          <w:noProof/>
        </w:rPr>
        <w:t xml:space="preserve">Είναι επίσης σκόπιμο να εξουσιοδοτηθεί η Επιτροπή, σύμφωνα με το άρθρο 218 παράγραφος 7 της ΣΛΕΕ, να εγκρίνει, εξ ονόματος της Ένωσης, τη θέση όσον αφορά τις αποφάσεις των μεικτών επιτροπών που απλώς επεκτείνουν στην Ανδόρα και τον Άγιο Μαρίνο, αντίστοιχα, τις πράξεις της ΕΕ </w:t>
      </w:r>
      <w:bookmarkStart w:id="8" w:name="_Hlk164699545"/>
      <w:r w:rsidR="001C29FC" w:rsidRPr="006B13BC">
        <w:rPr>
          <w:noProof/>
        </w:rPr>
        <w:t>που περιλαμβάνονται στα παραρτήματα των πρωτοκόλλων συνδεδεμένου κράτους</w:t>
      </w:r>
      <w:bookmarkEnd w:id="8"/>
      <w:r w:rsidR="001C29FC" w:rsidRPr="006B13BC">
        <w:rPr>
          <w:noProof/>
        </w:rPr>
        <w:t xml:space="preserve">, με την επιφύλαξη τεχνικών προσαρμογών. </w:t>
      </w:r>
    </w:p>
    <w:p w:rsidR="003647E2" w:rsidRPr="006B13BC" w:rsidRDefault="003647E2" w:rsidP="003647E2">
      <w:pPr>
        <w:rPr>
          <w:noProof/>
        </w:rPr>
      </w:pPr>
      <w:r w:rsidRPr="006B13BC">
        <w:rPr>
          <w:noProof/>
        </w:rPr>
        <w:t>Για να διασφαλιστεί η συμμόρφωση με τις υποχρεώσεις που απορρέουν από τη συμφωνία, υπάρχουν ισχυροί μηχανισμοί επιβολής. Η συμφωνία προβλέπει επίσης τη δυνατότητα των μερών να λαμβάνουν μέτρα για την προστασία των συμφερόντων τους, όπως αντισταθμιστικά μέτρα για την εσφαλμένη εφαρμογή της συμφωνίας, μέτρα διασφάλισης σε περίπτωση σοβαρών οικονομικών, κοινωνικών και περιβαλλοντικών δυσχερειών περιφερειακού χαρακτήρα που προκαλούνται από την εφαρμογή της συμφωνίας ή μέτρα διασφάλισης σε περίπτωση τρομοκρατικής επίθεσης ή φυσικής ή ανθρωπογενούς καταστροφής που πλήττει ένα από τα μέρη. Είναι σημαντικό η ΕΕ να είναι πλήρως σε θέση να εφαρμόζει τα εν λόγω μέτρα γρήγορα και αποτελεσματικά. Για τον σκοπό αυτό, έως ότου τεθεί σε ισχύ στην ΕΕ ειδική νομοθετική πράξη που θα ρυθμίζει τη θέσπιση των προαναφερόμενων μέτρων, κάθε απόφαση της ΕΕ να λάβει τέτοια μέτρα θα πρέπει να λαμβάνεται από την Επιτροπή σύμφωνα με τους όρους που καθορίζονται στις αντίστοιχες διατάξεις της συμφωνίας.</w:t>
      </w:r>
    </w:p>
    <w:p w:rsidR="00452BAF" w:rsidRPr="006B13BC" w:rsidRDefault="00452BAF" w:rsidP="00A4693B">
      <w:pPr>
        <w:pStyle w:val="ManualHeading2"/>
        <w:rPr>
          <w:rFonts w:eastAsia="Arial Unicode MS"/>
          <w:noProof/>
          <w:u w:color="000000"/>
          <w:bdr w:val="nil"/>
        </w:rPr>
      </w:pPr>
      <w:r w:rsidRPr="006B13BC">
        <w:rPr>
          <w:noProof/>
          <w:u w:color="000000"/>
          <w:bdr w:val="nil"/>
        </w:rPr>
        <w:t>•</w:t>
      </w:r>
      <w:r w:rsidRPr="006B13BC">
        <w:rPr>
          <w:noProof/>
          <w:u w:color="000000"/>
          <w:bdr w:val="nil"/>
        </w:rPr>
        <w:tab/>
        <w:t>Αναλυτική επεξήγηση των επιμέρους διατάξεων της πρότασης</w:t>
      </w:r>
    </w:p>
    <w:p w:rsidR="0035284B" w:rsidRPr="006B13BC" w:rsidRDefault="0035284B" w:rsidP="0035284B">
      <w:pPr>
        <w:rPr>
          <w:noProof/>
        </w:rPr>
      </w:pPr>
      <w:bookmarkStart w:id="9" w:name="_Hlk161240740"/>
      <w:bookmarkStart w:id="10" w:name="_Hlk161047066"/>
      <w:r w:rsidRPr="006B13BC">
        <w:rPr>
          <w:noProof/>
        </w:rPr>
        <w:t xml:space="preserve">Η συμφωνία αποτελείται από τα ακόλουθα στοιχεία: μια συμφωνία-πλαίσιο· </w:t>
      </w:r>
      <w:bookmarkStart w:id="11" w:name="_Hlk152684506"/>
      <w:r w:rsidRPr="006B13BC">
        <w:rPr>
          <w:noProof/>
        </w:rPr>
        <w:t>επτά πρωτόκολλα- πλαίσια</w:t>
      </w:r>
      <w:bookmarkEnd w:id="11"/>
      <w:r w:rsidRPr="006B13BC">
        <w:rPr>
          <w:noProof/>
        </w:rPr>
        <w:t xml:space="preserve">· δύο πρωτόκολλα </w:t>
      </w:r>
      <w:bookmarkStart w:id="12" w:name="_Hlk161132973"/>
      <w:r w:rsidRPr="006B13BC">
        <w:rPr>
          <w:noProof/>
        </w:rPr>
        <w:t>συνδεδεμένου κράτους</w:t>
      </w:r>
      <w:bookmarkEnd w:id="12"/>
      <w:r w:rsidRPr="006B13BC">
        <w:rPr>
          <w:noProof/>
        </w:rPr>
        <w:t xml:space="preserve">· και 25 τεχνικά παραρτήματα κάθε πρωτοκόλλου συνδεδεμένου κράτους, τα οποία περιέχουν όλες τις νομικές πράξεις της ΕΕ που εμπίπτουν στο πεδίο εφαρμογής της συμφωνίας. </w:t>
      </w:r>
    </w:p>
    <w:bookmarkEnd w:id="9"/>
    <w:p w:rsidR="0035284B" w:rsidRPr="006B13BC" w:rsidRDefault="0035284B" w:rsidP="0035284B">
      <w:pPr>
        <w:rPr>
          <w:noProof/>
        </w:rPr>
      </w:pPr>
      <w:r w:rsidRPr="006B13BC">
        <w:rPr>
          <w:noProof/>
        </w:rPr>
        <w:t>Τα κύρια στοιχεία της συμφωνίας είναι τα ακόλουθα:</w:t>
      </w:r>
    </w:p>
    <w:bookmarkEnd w:id="10"/>
    <w:p w:rsidR="0035284B" w:rsidRPr="006B13BC" w:rsidRDefault="0035284B" w:rsidP="0035284B">
      <w:pPr>
        <w:rPr>
          <w:b/>
          <w:noProof/>
        </w:rPr>
      </w:pPr>
      <w:r w:rsidRPr="006B13BC">
        <w:rPr>
          <w:b/>
          <w:noProof/>
        </w:rPr>
        <w:t>α) Η συμφωνία-πλαίσιο</w:t>
      </w:r>
    </w:p>
    <w:p w:rsidR="0035284B" w:rsidRPr="006B13BC" w:rsidRDefault="0035284B" w:rsidP="0035284B">
      <w:pPr>
        <w:rPr>
          <w:noProof/>
        </w:rPr>
      </w:pPr>
      <w:r w:rsidRPr="006B13BC">
        <w:rPr>
          <w:noProof/>
        </w:rPr>
        <w:t xml:space="preserve">Η συμφωνία-πλαίσιο περιγράφει τα ουσιώδη στοιχεία για τη μελλοντική σύνδεση μεταξύ της ΕΕ, αφενός, και της Ανδόρας και του Αγίου Μαρίνου αντίστοιχα, αφετέρου, η οποία διασφαλίζει τη συμμετοχή της Ανδόρας και του Αγίου Μαρίνου σε μια ομοιογενή διευρυμένη εσωτερική αγορά υπό ίσους όρους ανταγωνισμού και με την τήρηση των ίδιων κανόνων, ενώ παράλληλα θεσπίζει ένα πλαίσιο για την ανάπτυξη και την προώθηση του διαλόγου και της συνεργασίας σε άλλους τομείς κοινού ενδιαφέροντος. Η συμφωνία-πλαίσιο προβλέπει ότι η Ανδόρα και ο Άγιος Μαρίνος τηρούν την αρχή του δικαίου της ΕΕ για την απαγόρευση των διακρίσεων λόγω ιθαγένειας. </w:t>
      </w:r>
    </w:p>
    <w:p w:rsidR="0035284B" w:rsidRPr="006B13BC" w:rsidRDefault="0035284B" w:rsidP="0035284B">
      <w:pPr>
        <w:rPr>
          <w:noProof/>
        </w:rPr>
      </w:pPr>
      <w:bookmarkStart w:id="13" w:name="_Hlk161240771"/>
      <w:r w:rsidRPr="006B13BC">
        <w:rPr>
          <w:noProof/>
        </w:rPr>
        <w:t xml:space="preserve">Η συμφωνία-πλαίσιο θεσπίζει επίσης ένα συνεκτικό, ουσιαστικό και αποτελεσματικό θεσμικό πλαίσιο με σκοπό τη διασφάλιση της ομοιογένειας της εσωτερικής αγοράς και της ασφάλειας δικαίου για τους οικονομικούς φορείς και τους πολίτες (μεταξύ άλλων). </w:t>
      </w:r>
    </w:p>
    <w:bookmarkEnd w:id="13"/>
    <w:p w:rsidR="0035284B" w:rsidRPr="006B13BC" w:rsidRDefault="0035284B" w:rsidP="0035284B">
      <w:pPr>
        <w:rPr>
          <w:noProof/>
        </w:rPr>
      </w:pPr>
      <w:r w:rsidRPr="006B13BC">
        <w:rPr>
          <w:noProof/>
        </w:rPr>
        <w:t xml:space="preserve">Η συμφωνία προβλέπει τη δυνατότητα εφαρμογής της συμφωνίας μεταξύ της ΕΕ και ενός από τα συνδεδεμένα κράτη, εν αναμονή της ολοκλήρωσης της διαδικασίας κύρωσης για την έναρξη ισχύος της συμφωνίας μεταξύ των τριών συμβαλλόμενων μερών.  </w:t>
      </w:r>
    </w:p>
    <w:p w:rsidR="0035284B" w:rsidRPr="006B13BC" w:rsidRDefault="0035284B" w:rsidP="0035284B">
      <w:pPr>
        <w:rPr>
          <w:b/>
          <w:noProof/>
        </w:rPr>
      </w:pPr>
      <w:r w:rsidRPr="006B13BC">
        <w:rPr>
          <w:b/>
          <w:noProof/>
        </w:rPr>
        <w:t>β)</w:t>
      </w:r>
      <w:r w:rsidRPr="006B13BC">
        <w:rPr>
          <w:noProof/>
        </w:rPr>
        <w:t xml:space="preserve"> </w:t>
      </w:r>
      <w:r w:rsidRPr="006B13BC">
        <w:rPr>
          <w:b/>
          <w:noProof/>
        </w:rPr>
        <w:t>Επτά πρωτόκολλα-πλαίσια</w:t>
      </w:r>
    </w:p>
    <w:p w:rsidR="0035284B" w:rsidRPr="006B13BC" w:rsidRDefault="0035284B" w:rsidP="0035284B">
      <w:pPr>
        <w:rPr>
          <w:noProof/>
        </w:rPr>
      </w:pPr>
      <w:bookmarkStart w:id="14" w:name="_Hlk161241195"/>
      <w:r w:rsidRPr="006B13BC">
        <w:rPr>
          <w:noProof/>
        </w:rPr>
        <w:t xml:space="preserve">Η συμφωνία περιλαμβάνει επτά πρωτόκολλα-πλαίσια τα οποία αποσκοπούν στην αποσαφήνιση και τη λεπτομερή παρουσίαση των διατάξεων που περιλαμβάνονται στη συμφωνία-πλαίσιο. </w:t>
      </w:r>
    </w:p>
    <w:p w:rsidR="0035284B" w:rsidRPr="006B13BC" w:rsidRDefault="0035284B" w:rsidP="0035284B">
      <w:pPr>
        <w:rPr>
          <w:noProof/>
        </w:rPr>
      </w:pPr>
      <w:bookmarkStart w:id="15" w:name="_Hlk161134005"/>
      <w:r w:rsidRPr="006B13BC">
        <w:rPr>
          <w:noProof/>
        </w:rPr>
        <w:t xml:space="preserve">Μεταξύ αυτών των πρωτοκόλλων-πλαισίων, το πρωτόκολλο-πλαίσιο 1 (σχετικά με τις οριζόντιες προσαρμογές) περιλαμβάνει ορισμένους γενικούς κανόνες, μεταξύ άλλων όσον αφορά τη λειτουργία ειδικών προσαρμογών, συμπεριλαμβανομένων μεταβατικών περιόδων και ορισμένων παρεκκλίσεων. </w:t>
      </w:r>
    </w:p>
    <w:bookmarkEnd w:id="15"/>
    <w:p w:rsidR="0035284B" w:rsidRPr="006B13BC" w:rsidRDefault="00014561" w:rsidP="0035284B">
      <w:pPr>
        <w:rPr>
          <w:noProof/>
        </w:rPr>
      </w:pPr>
      <w:r w:rsidRPr="006B13BC">
        <w:rPr>
          <w:noProof/>
        </w:rPr>
        <w:t>Το πρωτόκολλο-πλαίσιο 3 (για τις χρηματοπιστωτικές υπηρεσίες) οργανώνεται με βάση τα ακόλουθα στοιχεία:</w:t>
      </w:r>
    </w:p>
    <w:p w:rsidR="00B3400B" w:rsidRPr="006B13BC" w:rsidRDefault="0035284B" w:rsidP="00E86115">
      <w:pPr>
        <w:pStyle w:val="Bullet0"/>
        <w:numPr>
          <w:ilvl w:val="0"/>
          <w:numId w:val="11"/>
        </w:numPr>
        <w:rPr>
          <w:rFonts w:eastAsia="Times New Roman"/>
          <w:noProof/>
          <w:szCs w:val="24"/>
        </w:rPr>
      </w:pPr>
      <w:r w:rsidRPr="006B13BC">
        <w:rPr>
          <w:noProof/>
        </w:rPr>
        <w:t>Η πρόσβαση στην ενιαία αγορά χρηματοπιστωτικών υπηρεσιών της ΕΕ εξαρτάται από μια συνολική αξιολόγηση της πλήρους και αποτελεσματικής εφαρμογής του κεκτημένου της ΕΕ για τον χρηματοπιστωτικό τομέα και της αξιοπιστίας των κανονιστικών και εποπτικών πλαισίων των συνδεδεμένων κρατών.</w:t>
      </w:r>
    </w:p>
    <w:p w:rsidR="00B3400B" w:rsidRPr="006B13BC" w:rsidRDefault="00014561" w:rsidP="00AB5412">
      <w:pPr>
        <w:pStyle w:val="Bullet0"/>
        <w:rPr>
          <w:noProof/>
        </w:rPr>
      </w:pPr>
      <w:r w:rsidRPr="006B13BC">
        <w:rPr>
          <w:noProof/>
        </w:rPr>
        <w:t>Το πρωτόκολλο-πλαίσιο προβλέπει μια κλιμακωτή προσέγγιση, βάσει της οποίας τα συνδεδεμένα κράτη μπορούν να αποφασίσουν να μην ζητήσουν πρόσβαση σε ολόκληρη την εσωτερική αγορά χρηματοπιστωτικών υπηρεσιών της ΕΕ. Η δυνατότητα αυτή δεν θα διαρκέσει περισσότερο από 15 έτη από την έναρξη ισχύος της συμφωνίας.</w:t>
      </w:r>
    </w:p>
    <w:p w:rsidR="00B3400B" w:rsidRPr="006B13BC" w:rsidRDefault="0035284B" w:rsidP="00301A38">
      <w:pPr>
        <w:pStyle w:val="Bullet0"/>
        <w:rPr>
          <w:noProof/>
        </w:rPr>
      </w:pPr>
      <w:r w:rsidRPr="006B13BC">
        <w:rPr>
          <w:noProof/>
        </w:rPr>
        <w:t>Για την πρόσβαση στην αγορά απαιτείται η έκδοση από την Επιτροπή θετικής σύστασης σχετικά με την εκπλήρωση όλων των αναγκαίων προϋποθέσεων που ορίζονται στο πρωτόκολλο.</w:t>
      </w:r>
    </w:p>
    <w:p w:rsidR="00B3400B" w:rsidRPr="006B13BC" w:rsidRDefault="0035284B" w:rsidP="00B879D8">
      <w:pPr>
        <w:pStyle w:val="Bullet0"/>
        <w:rPr>
          <w:noProof/>
        </w:rPr>
      </w:pPr>
      <w:r w:rsidRPr="006B13BC">
        <w:rPr>
          <w:noProof/>
        </w:rPr>
        <w:t>Σε περίπτωση που το κανονιστικό ή εποπτικό πλαίσιο ενός συνδεδεμένου κράτους εμφανίσει ελλείψεις, η EΕ έχει τη δυνατότητα να αναστείλει την πρόσβαση στην αγορά.</w:t>
      </w:r>
    </w:p>
    <w:p w:rsidR="00B3400B" w:rsidRPr="006B13BC" w:rsidRDefault="0035284B" w:rsidP="00701807">
      <w:pPr>
        <w:pStyle w:val="Bullet0"/>
        <w:rPr>
          <w:noProof/>
        </w:rPr>
      </w:pPr>
      <w:r w:rsidRPr="006B13BC">
        <w:rPr>
          <w:noProof/>
        </w:rPr>
        <w:t xml:space="preserve">Απαιτείται τοπική παρουσία και παροχή υπηρεσιών στα συνδεδεμένα κράτη. </w:t>
      </w:r>
    </w:p>
    <w:p w:rsidR="00B3400B" w:rsidRPr="006B13BC" w:rsidRDefault="0035284B" w:rsidP="002C4774">
      <w:pPr>
        <w:pStyle w:val="Bullet0"/>
        <w:rPr>
          <w:noProof/>
        </w:rPr>
      </w:pPr>
      <w:r w:rsidRPr="006B13BC">
        <w:rPr>
          <w:noProof/>
        </w:rPr>
        <w:t>Η συμμόρφωση με το κεκτημένο για την καταπολέμηση της νομιμοποίησης εσόδων από εγκληματικές δραστηριότητες αποτελεί προϋπόθεση για την πρόσβαση στην αγορά χρηματοπιστωτικών υπηρεσιών της ΕΕ.</w:t>
      </w:r>
    </w:p>
    <w:p w:rsidR="00B3400B" w:rsidRPr="006B13BC" w:rsidRDefault="0035284B" w:rsidP="0026391A">
      <w:pPr>
        <w:pStyle w:val="Bullet0"/>
        <w:rPr>
          <w:noProof/>
        </w:rPr>
      </w:pPr>
      <w:r w:rsidRPr="006B13BC">
        <w:rPr>
          <w:noProof/>
        </w:rPr>
        <w:t>Οι ευρωπαϊκές εποπτικές αρχές θα συμβάλλουν καθοριστικά στη διαδικασία ελέγχου, στην οποία μπορούν επίσης να συμμετέχουν οι αρμόδιες αρχές των κρατών μελών της ΕΕ. Επιπλέον, θα είναι σε θέση να ασκούν την εξουσία τους έναντι των συνδεδεμένων κρατών και του τομέα των χρηματοπιστωτικών υπηρεσιών τους.</w:t>
      </w:r>
    </w:p>
    <w:p w:rsidR="0035284B" w:rsidRPr="006B13BC" w:rsidRDefault="0035284B" w:rsidP="00014561">
      <w:pPr>
        <w:pStyle w:val="Declassification"/>
        <w:rPr>
          <w:noProof/>
        </w:rPr>
      </w:pPr>
      <w:r w:rsidRPr="006B13BC">
        <w:rPr>
          <w:noProof/>
        </w:rPr>
        <w:t xml:space="preserve">Τα άλλα πρωτόκολλα-πλαίσια καλύπτουν πτυχές όπως: α) εφαρμογή των κανόνων ανταγωνισμού στις επιχειρήσεις· β) οργάνωση της συνεργασίας στον τομέα της στατιστικής· γ) καθεστώς της κοινοβουλευτικής επιτροπής σύνδεσης· δ) διαδικασίες διαιτησίας· και ε) υφιστάμενες συμφωνίες.  </w:t>
      </w:r>
    </w:p>
    <w:p w:rsidR="0035284B" w:rsidRPr="006B13BC" w:rsidRDefault="0035284B" w:rsidP="0035284B">
      <w:pPr>
        <w:rPr>
          <w:b/>
          <w:noProof/>
        </w:rPr>
      </w:pPr>
      <w:r w:rsidRPr="006B13BC">
        <w:rPr>
          <w:b/>
          <w:noProof/>
        </w:rPr>
        <w:t xml:space="preserve">γ) Δύo </w:t>
      </w:r>
      <w:bookmarkStart w:id="16" w:name="_Hlk161134048"/>
      <w:r w:rsidRPr="006B13BC">
        <w:rPr>
          <w:b/>
          <w:noProof/>
        </w:rPr>
        <w:t xml:space="preserve">πρωτόκολλα συνδεδεμένου </w:t>
      </w:r>
      <w:bookmarkEnd w:id="16"/>
      <w:r w:rsidRPr="006B13BC">
        <w:rPr>
          <w:b/>
          <w:noProof/>
        </w:rPr>
        <w:t xml:space="preserve">κράτους </w:t>
      </w:r>
    </w:p>
    <w:p w:rsidR="0035284B" w:rsidRPr="006B13BC" w:rsidRDefault="0035284B" w:rsidP="0035284B">
      <w:pPr>
        <w:keepNext/>
        <w:outlineLvl w:val="0"/>
        <w:rPr>
          <w:bCs/>
          <w:smallCaps/>
          <w:noProof/>
          <w:u w:val="single"/>
        </w:rPr>
      </w:pPr>
      <w:bookmarkStart w:id="17" w:name="_Hlk161134070"/>
      <w:bookmarkEnd w:id="14"/>
      <w:r w:rsidRPr="006B13BC">
        <w:rPr>
          <w:noProof/>
        </w:rPr>
        <w:t xml:space="preserve">Τα πρωτόκολλα συνδεδεμένου κράτους περιλαμβάνουν θέματα που είναι αυστηρά διμερή (μεταξύ της ΕΕ και ενός από τα συνδεδεμένα κράτη), όπως διατάξεις σχετικά με την τελωνειακή συνεργασία. </w:t>
      </w:r>
    </w:p>
    <w:bookmarkEnd w:id="17"/>
    <w:p w:rsidR="0035284B" w:rsidRPr="006B13BC" w:rsidRDefault="0035284B" w:rsidP="0035284B">
      <w:pPr>
        <w:rPr>
          <w:noProof/>
        </w:rPr>
      </w:pPr>
      <w:r w:rsidRPr="006B13BC">
        <w:rPr>
          <w:b/>
          <w:noProof/>
        </w:rPr>
        <w:t xml:space="preserve">δ) </w:t>
      </w:r>
      <w:bookmarkStart w:id="18" w:name="_Hlk161241303"/>
      <w:r w:rsidRPr="006B13BC">
        <w:rPr>
          <w:b/>
          <w:noProof/>
        </w:rPr>
        <w:t xml:space="preserve">25 παραρτήματα σε κάθε πρωτόκολλο συνδεδεμένου κράτους   </w:t>
      </w:r>
      <w:bookmarkEnd w:id="18"/>
    </w:p>
    <w:p w:rsidR="0035284B" w:rsidRPr="006B13BC" w:rsidRDefault="0035284B" w:rsidP="0035284B">
      <w:pPr>
        <w:rPr>
          <w:noProof/>
        </w:rPr>
      </w:pPr>
      <w:bookmarkStart w:id="19" w:name="_Hlk161241348"/>
      <w:r w:rsidRPr="006B13BC">
        <w:rPr>
          <w:noProof/>
        </w:rPr>
        <w:t xml:space="preserve">Κάθε πρωτόκολλο συνδεδεμένου κράτους συνοδεύεται από 25 παραρτήματα, τα οποία περιέχουν τις νομικές πράξεις της ΕΕ που εμπίπτουν στο πεδίο εφαρμογής της συμφωνίας. Τα παραρτήματα περιλαμβάνουν διάφορες τομεακές ή ειδικές προσαρμογές προκειμένου να ληφθούν υπόψη οι ιδιαιτερότητες της Ανδόρας και του Αγίου Μαρίνου που προκύπτουν από τις ειδικές σχέσεις εγγύτητας που έχουν με τους γείτονές τους, το μέγεθός τους και τους σχετικά μικρούς πληθυσμούς τους. Τα παραρτήματα περιλαμβάνουν επίσης μεταβατικές περιόδους για τη μεταφορά, την υλοποίηση και την εφαρμογή ορισμένων νομικών πράξεων της ΕΕ από τις δύο χώρες.  </w:t>
      </w:r>
    </w:p>
    <w:tbl>
      <w:tblPr>
        <w:tblStyle w:val="TableGrid"/>
        <w:tblW w:w="0" w:type="auto"/>
        <w:tblLook w:val="04A0" w:firstRow="1" w:lastRow="0" w:firstColumn="1" w:lastColumn="0" w:noHBand="0" w:noVBand="1"/>
      </w:tblPr>
      <w:tblGrid>
        <w:gridCol w:w="1724"/>
        <w:gridCol w:w="2057"/>
        <w:gridCol w:w="1800"/>
        <w:gridCol w:w="1848"/>
        <w:gridCol w:w="1860"/>
      </w:tblGrid>
      <w:tr w:rsidR="0035284B" w:rsidRPr="006B13BC" w:rsidTr="001E1E5C">
        <w:tc>
          <w:tcPr>
            <w:tcW w:w="1856" w:type="dxa"/>
          </w:tcPr>
          <w:bookmarkEnd w:id="19"/>
          <w:p w:rsidR="0035284B" w:rsidRPr="006B13BC" w:rsidRDefault="0035284B" w:rsidP="0035284B">
            <w:pPr>
              <w:keepNext/>
              <w:outlineLvl w:val="0"/>
              <w:rPr>
                <w:noProof/>
                <w:szCs w:val="24"/>
              </w:rPr>
            </w:pPr>
            <w:r w:rsidRPr="006B13BC">
              <w:rPr>
                <w:noProof/>
              </w:rPr>
              <w:t>Παράρτημα I (Κτηνιατρικά και φυτοϋγειονομικά θέματα)</w:t>
            </w:r>
          </w:p>
          <w:p w:rsidR="0035284B" w:rsidRPr="006B13BC" w:rsidRDefault="0035284B" w:rsidP="0035284B">
            <w:pPr>
              <w:keepNext/>
              <w:outlineLvl w:val="0"/>
              <w:rPr>
                <w:noProof/>
                <w:szCs w:val="24"/>
              </w:rPr>
            </w:pPr>
          </w:p>
        </w:tc>
        <w:tc>
          <w:tcPr>
            <w:tcW w:w="1856" w:type="dxa"/>
          </w:tcPr>
          <w:p w:rsidR="0035284B" w:rsidRPr="006B13BC" w:rsidRDefault="0035284B" w:rsidP="0035284B">
            <w:pPr>
              <w:keepNext/>
              <w:outlineLvl w:val="0"/>
              <w:rPr>
                <w:noProof/>
                <w:szCs w:val="24"/>
              </w:rPr>
            </w:pPr>
            <w:r w:rsidRPr="006B13BC">
              <w:rPr>
                <w:noProof/>
              </w:rPr>
              <w:t>Παράρτημα VI (Κοινωνική ασφάλιση)</w:t>
            </w:r>
          </w:p>
        </w:tc>
        <w:tc>
          <w:tcPr>
            <w:tcW w:w="1856" w:type="dxa"/>
          </w:tcPr>
          <w:p w:rsidR="0035284B" w:rsidRPr="006B13BC" w:rsidRDefault="0035284B" w:rsidP="0035284B">
            <w:pPr>
              <w:keepNext/>
              <w:outlineLvl w:val="0"/>
              <w:rPr>
                <w:noProof/>
                <w:szCs w:val="24"/>
              </w:rPr>
            </w:pPr>
            <w:r w:rsidRPr="006B13BC">
              <w:rPr>
                <w:noProof/>
              </w:rPr>
              <w:t>Παράρτημα XI (Ηλεκτρονικές επικοινωνίες, οπτικοακουστικές υπηρεσίες και κοινωνία της πληροφορίας, τηλεπικοινωνίες)</w:t>
            </w:r>
          </w:p>
        </w:tc>
        <w:tc>
          <w:tcPr>
            <w:tcW w:w="1857" w:type="dxa"/>
          </w:tcPr>
          <w:p w:rsidR="0035284B" w:rsidRPr="006B13BC" w:rsidRDefault="0035284B" w:rsidP="0035284B">
            <w:pPr>
              <w:keepNext/>
              <w:outlineLvl w:val="0"/>
              <w:rPr>
                <w:noProof/>
                <w:szCs w:val="24"/>
              </w:rPr>
            </w:pPr>
            <w:r w:rsidRPr="006B13BC">
              <w:rPr>
                <w:noProof/>
              </w:rPr>
              <w:t>Παράρτημα XVI (Δημόσιες συμβάσεις)</w:t>
            </w:r>
          </w:p>
        </w:tc>
        <w:tc>
          <w:tcPr>
            <w:tcW w:w="1857" w:type="dxa"/>
          </w:tcPr>
          <w:p w:rsidR="0035284B" w:rsidRPr="006B13BC" w:rsidRDefault="0035284B" w:rsidP="0035284B">
            <w:pPr>
              <w:keepNext/>
              <w:outlineLvl w:val="0"/>
              <w:rPr>
                <w:noProof/>
                <w:szCs w:val="24"/>
              </w:rPr>
            </w:pPr>
            <w:r w:rsidRPr="006B13BC">
              <w:rPr>
                <w:noProof/>
              </w:rPr>
              <w:t>Παράρτημα XXI (Στατιστικές)</w:t>
            </w:r>
          </w:p>
          <w:p w:rsidR="0035284B" w:rsidRPr="006B13BC" w:rsidRDefault="0035284B" w:rsidP="0035284B">
            <w:pPr>
              <w:keepNext/>
              <w:outlineLvl w:val="0"/>
              <w:rPr>
                <w:noProof/>
                <w:szCs w:val="24"/>
              </w:rPr>
            </w:pPr>
          </w:p>
        </w:tc>
      </w:tr>
      <w:tr w:rsidR="0035284B" w:rsidRPr="006B13BC" w:rsidTr="001E1E5C">
        <w:tc>
          <w:tcPr>
            <w:tcW w:w="1856" w:type="dxa"/>
          </w:tcPr>
          <w:p w:rsidR="0035284B" w:rsidRPr="006B13BC" w:rsidRDefault="0035284B" w:rsidP="0035284B">
            <w:pPr>
              <w:keepNext/>
              <w:outlineLvl w:val="0"/>
              <w:rPr>
                <w:noProof/>
                <w:szCs w:val="24"/>
              </w:rPr>
            </w:pPr>
            <w:r w:rsidRPr="006B13BC">
              <w:rPr>
                <w:noProof/>
              </w:rPr>
              <w:t>Παράρτημα II (Τεχνικοί κανόνες, πρότυπα, δοκιμές και πιστοποίηση)</w:t>
            </w:r>
          </w:p>
        </w:tc>
        <w:tc>
          <w:tcPr>
            <w:tcW w:w="1856" w:type="dxa"/>
          </w:tcPr>
          <w:p w:rsidR="0035284B" w:rsidRPr="006B13BC" w:rsidRDefault="0035284B" w:rsidP="0035284B">
            <w:pPr>
              <w:keepNext/>
              <w:outlineLvl w:val="0"/>
              <w:rPr>
                <w:noProof/>
                <w:szCs w:val="24"/>
              </w:rPr>
            </w:pPr>
            <w:r w:rsidRPr="006B13BC">
              <w:rPr>
                <w:noProof/>
              </w:rPr>
              <w:t>Παράρτημα VII (Αμοιβαία αναγνώριση των επαγγελματικών τίτλων)</w:t>
            </w:r>
          </w:p>
        </w:tc>
        <w:tc>
          <w:tcPr>
            <w:tcW w:w="1856" w:type="dxa"/>
          </w:tcPr>
          <w:p w:rsidR="0035284B" w:rsidRPr="006B13BC" w:rsidRDefault="0035284B" w:rsidP="0035284B">
            <w:pPr>
              <w:keepNext/>
              <w:outlineLvl w:val="0"/>
              <w:rPr>
                <w:noProof/>
                <w:szCs w:val="24"/>
              </w:rPr>
            </w:pPr>
            <w:r w:rsidRPr="006B13BC">
              <w:rPr>
                <w:noProof/>
              </w:rPr>
              <w:t>Παράρτημα XII (Ελεύθερη κυκλοφορία κεφαλαίων)</w:t>
            </w:r>
          </w:p>
        </w:tc>
        <w:tc>
          <w:tcPr>
            <w:tcW w:w="1857" w:type="dxa"/>
          </w:tcPr>
          <w:p w:rsidR="0035284B" w:rsidRPr="006B13BC" w:rsidRDefault="0035284B" w:rsidP="0035284B">
            <w:pPr>
              <w:keepNext/>
              <w:outlineLvl w:val="0"/>
              <w:rPr>
                <w:noProof/>
                <w:szCs w:val="24"/>
              </w:rPr>
            </w:pPr>
            <w:r w:rsidRPr="006B13BC">
              <w:rPr>
                <w:noProof/>
              </w:rPr>
              <w:t>Παράρτημα XVII (Διανοητική ιδιοκτησία)</w:t>
            </w:r>
          </w:p>
        </w:tc>
        <w:tc>
          <w:tcPr>
            <w:tcW w:w="1857" w:type="dxa"/>
          </w:tcPr>
          <w:p w:rsidR="0035284B" w:rsidRPr="006B13BC" w:rsidRDefault="0035284B" w:rsidP="0035284B">
            <w:pPr>
              <w:keepNext/>
              <w:outlineLvl w:val="0"/>
              <w:rPr>
                <w:noProof/>
                <w:szCs w:val="24"/>
              </w:rPr>
            </w:pPr>
            <w:r w:rsidRPr="006B13BC">
              <w:rPr>
                <w:noProof/>
              </w:rPr>
              <w:t xml:space="preserve">Παράρτημα ΧΧΙΙ (Εταιρικό δίκαιο)  </w:t>
            </w:r>
          </w:p>
        </w:tc>
      </w:tr>
      <w:tr w:rsidR="0035284B" w:rsidRPr="006B13BC" w:rsidTr="001E1E5C">
        <w:tc>
          <w:tcPr>
            <w:tcW w:w="1856" w:type="dxa"/>
          </w:tcPr>
          <w:p w:rsidR="0035284B" w:rsidRPr="006B13BC" w:rsidRDefault="0035284B" w:rsidP="0035284B">
            <w:pPr>
              <w:keepNext/>
              <w:outlineLvl w:val="0"/>
              <w:rPr>
                <w:noProof/>
                <w:szCs w:val="24"/>
              </w:rPr>
            </w:pPr>
            <w:r w:rsidRPr="006B13BC">
              <w:rPr>
                <w:noProof/>
              </w:rPr>
              <w:t>Παράρτημα III (Ευθύνη λόγω ελαττωματικών προϊόντων)</w:t>
            </w:r>
          </w:p>
        </w:tc>
        <w:tc>
          <w:tcPr>
            <w:tcW w:w="1856" w:type="dxa"/>
          </w:tcPr>
          <w:p w:rsidR="0035284B" w:rsidRPr="006B13BC" w:rsidRDefault="0035284B" w:rsidP="0035284B">
            <w:pPr>
              <w:keepNext/>
              <w:outlineLvl w:val="0"/>
              <w:rPr>
                <w:noProof/>
                <w:szCs w:val="24"/>
              </w:rPr>
            </w:pPr>
            <w:r w:rsidRPr="006B13BC">
              <w:rPr>
                <w:noProof/>
              </w:rPr>
              <w:t>Παράρτημα VIII (Δικαίωμα εγκατάστασης)</w:t>
            </w:r>
          </w:p>
        </w:tc>
        <w:tc>
          <w:tcPr>
            <w:tcW w:w="1856" w:type="dxa"/>
          </w:tcPr>
          <w:p w:rsidR="0035284B" w:rsidRPr="006B13BC" w:rsidRDefault="0035284B" w:rsidP="0035284B">
            <w:pPr>
              <w:keepNext/>
              <w:outlineLvl w:val="0"/>
              <w:rPr>
                <w:noProof/>
                <w:szCs w:val="24"/>
              </w:rPr>
            </w:pPr>
            <w:r w:rsidRPr="006B13BC">
              <w:rPr>
                <w:noProof/>
              </w:rPr>
              <w:t>Παράρτημα XIII (Μεταφορές)</w:t>
            </w:r>
          </w:p>
        </w:tc>
        <w:tc>
          <w:tcPr>
            <w:tcW w:w="1857" w:type="dxa"/>
          </w:tcPr>
          <w:p w:rsidR="0035284B" w:rsidRPr="006B13BC" w:rsidRDefault="0035284B" w:rsidP="0035284B">
            <w:pPr>
              <w:keepNext/>
              <w:outlineLvl w:val="0"/>
              <w:rPr>
                <w:noProof/>
                <w:szCs w:val="24"/>
              </w:rPr>
            </w:pPr>
            <w:r w:rsidRPr="006B13BC">
              <w:rPr>
                <w:noProof/>
              </w:rPr>
              <w:t>Παράρτημα XVIII (Υγεία και ασφάλεια κατά την εργασία, εργατικό δίκαιο και ίση μεταχείριση ανδρών και γυναικών)</w:t>
            </w:r>
          </w:p>
        </w:tc>
        <w:tc>
          <w:tcPr>
            <w:tcW w:w="1857" w:type="dxa"/>
          </w:tcPr>
          <w:p w:rsidR="0035284B" w:rsidRPr="006B13BC" w:rsidRDefault="0035284B" w:rsidP="0035284B">
            <w:pPr>
              <w:keepNext/>
              <w:outlineLvl w:val="0"/>
              <w:rPr>
                <w:noProof/>
                <w:szCs w:val="24"/>
              </w:rPr>
            </w:pPr>
            <w:r w:rsidRPr="006B13BC">
              <w:rPr>
                <w:noProof/>
              </w:rPr>
              <w:t>Παράρτημα XXIII (Τελωνεία)</w:t>
            </w:r>
          </w:p>
        </w:tc>
      </w:tr>
      <w:tr w:rsidR="0035284B" w:rsidRPr="006B13BC" w:rsidTr="001E1E5C">
        <w:tc>
          <w:tcPr>
            <w:tcW w:w="1856" w:type="dxa"/>
          </w:tcPr>
          <w:p w:rsidR="0035284B" w:rsidRPr="006B13BC" w:rsidRDefault="0035284B" w:rsidP="0035284B">
            <w:pPr>
              <w:keepNext/>
              <w:outlineLvl w:val="0"/>
              <w:rPr>
                <w:noProof/>
                <w:szCs w:val="24"/>
              </w:rPr>
            </w:pPr>
            <w:r w:rsidRPr="006B13BC">
              <w:rPr>
                <w:noProof/>
              </w:rPr>
              <w:t>Παράρτημα IV (Ενέργεια)</w:t>
            </w:r>
          </w:p>
        </w:tc>
        <w:tc>
          <w:tcPr>
            <w:tcW w:w="1856" w:type="dxa"/>
          </w:tcPr>
          <w:p w:rsidR="0035284B" w:rsidRPr="006B13BC" w:rsidRDefault="0035284B" w:rsidP="0035284B">
            <w:pPr>
              <w:keepNext/>
              <w:outlineLvl w:val="0"/>
              <w:rPr>
                <w:noProof/>
                <w:szCs w:val="24"/>
              </w:rPr>
            </w:pPr>
            <w:r w:rsidRPr="006B13BC">
              <w:rPr>
                <w:noProof/>
              </w:rPr>
              <w:t>Παράρτημα IX (Χρηματοπιστωτικές υπηρεσίες)</w:t>
            </w:r>
          </w:p>
        </w:tc>
        <w:tc>
          <w:tcPr>
            <w:tcW w:w="1856" w:type="dxa"/>
          </w:tcPr>
          <w:p w:rsidR="0035284B" w:rsidRPr="006B13BC" w:rsidRDefault="0035284B" w:rsidP="0035284B">
            <w:pPr>
              <w:keepNext/>
              <w:outlineLvl w:val="0"/>
              <w:rPr>
                <w:noProof/>
                <w:szCs w:val="24"/>
              </w:rPr>
            </w:pPr>
            <w:r w:rsidRPr="006B13BC">
              <w:rPr>
                <w:noProof/>
              </w:rPr>
              <w:t>Παράρτημα XIV (Ανταγωνισμός)</w:t>
            </w:r>
          </w:p>
        </w:tc>
        <w:tc>
          <w:tcPr>
            <w:tcW w:w="1857" w:type="dxa"/>
          </w:tcPr>
          <w:p w:rsidR="0035284B" w:rsidRPr="006B13BC" w:rsidRDefault="0035284B" w:rsidP="0035284B">
            <w:pPr>
              <w:keepNext/>
              <w:outlineLvl w:val="0"/>
              <w:rPr>
                <w:noProof/>
                <w:szCs w:val="24"/>
              </w:rPr>
            </w:pPr>
            <w:r w:rsidRPr="006B13BC">
              <w:rPr>
                <w:noProof/>
              </w:rPr>
              <w:t>Παράρτημα ΧΙΧ (Προστασία των καταναλωτών)</w:t>
            </w:r>
          </w:p>
        </w:tc>
        <w:tc>
          <w:tcPr>
            <w:tcW w:w="1857" w:type="dxa"/>
          </w:tcPr>
          <w:p w:rsidR="0035284B" w:rsidRPr="006B13BC" w:rsidRDefault="0035284B" w:rsidP="0035284B">
            <w:pPr>
              <w:keepNext/>
              <w:outlineLvl w:val="0"/>
              <w:rPr>
                <w:noProof/>
                <w:szCs w:val="24"/>
              </w:rPr>
            </w:pPr>
            <w:r w:rsidRPr="006B13BC">
              <w:rPr>
                <w:noProof/>
              </w:rPr>
              <w:t>Παράρτημα XXIV (Γεωργία)</w:t>
            </w:r>
          </w:p>
        </w:tc>
      </w:tr>
      <w:tr w:rsidR="0035284B" w:rsidRPr="006B13BC" w:rsidTr="001E1E5C">
        <w:tc>
          <w:tcPr>
            <w:tcW w:w="1856" w:type="dxa"/>
          </w:tcPr>
          <w:p w:rsidR="0035284B" w:rsidRPr="006B13BC" w:rsidRDefault="0035284B" w:rsidP="0035284B">
            <w:pPr>
              <w:keepNext/>
              <w:outlineLvl w:val="0"/>
              <w:rPr>
                <w:noProof/>
                <w:szCs w:val="24"/>
              </w:rPr>
            </w:pPr>
            <w:r w:rsidRPr="006B13BC">
              <w:rPr>
                <w:noProof/>
              </w:rPr>
              <w:t>Παράρτημα V (Ελεύθερη κυκλοφορία των εργαζομένων)</w:t>
            </w:r>
          </w:p>
        </w:tc>
        <w:tc>
          <w:tcPr>
            <w:tcW w:w="1856" w:type="dxa"/>
          </w:tcPr>
          <w:p w:rsidR="0035284B" w:rsidRPr="006B13BC" w:rsidRDefault="0035284B" w:rsidP="0035284B">
            <w:pPr>
              <w:keepNext/>
              <w:outlineLvl w:val="0"/>
              <w:rPr>
                <w:noProof/>
                <w:szCs w:val="24"/>
              </w:rPr>
            </w:pPr>
            <w:r w:rsidRPr="006B13BC">
              <w:rPr>
                <w:noProof/>
              </w:rPr>
              <w:t>Παράρτημα X (Υπηρεσίες γενικά)</w:t>
            </w:r>
          </w:p>
        </w:tc>
        <w:tc>
          <w:tcPr>
            <w:tcW w:w="1856" w:type="dxa"/>
          </w:tcPr>
          <w:p w:rsidR="0035284B" w:rsidRPr="006B13BC" w:rsidRDefault="0035284B" w:rsidP="0035284B">
            <w:pPr>
              <w:keepNext/>
              <w:outlineLvl w:val="0"/>
              <w:rPr>
                <w:noProof/>
                <w:szCs w:val="24"/>
              </w:rPr>
            </w:pPr>
            <w:r w:rsidRPr="006B13BC">
              <w:rPr>
                <w:noProof/>
              </w:rPr>
              <w:t>Παράρτημα XV (Κρατικές ενισχύσεις)</w:t>
            </w:r>
          </w:p>
        </w:tc>
        <w:tc>
          <w:tcPr>
            <w:tcW w:w="1857" w:type="dxa"/>
          </w:tcPr>
          <w:p w:rsidR="0035284B" w:rsidRPr="006B13BC" w:rsidRDefault="0035284B" w:rsidP="0035284B">
            <w:pPr>
              <w:keepNext/>
              <w:outlineLvl w:val="0"/>
              <w:rPr>
                <w:noProof/>
                <w:szCs w:val="24"/>
              </w:rPr>
            </w:pPr>
            <w:r w:rsidRPr="006B13BC">
              <w:rPr>
                <w:noProof/>
              </w:rPr>
              <w:t>Παράρτημα XX (Περιβάλλον-κλίμα)</w:t>
            </w:r>
          </w:p>
        </w:tc>
        <w:tc>
          <w:tcPr>
            <w:tcW w:w="1857" w:type="dxa"/>
          </w:tcPr>
          <w:p w:rsidR="0035284B" w:rsidRPr="006B13BC" w:rsidRDefault="0035284B" w:rsidP="0035284B">
            <w:pPr>
              <w:keepNext/>
              <w:outlineLvl w:val="0"/>
              <w:rPr>
                <w:noProof/>
                <w:szCs w:val="24"/>
              </w:rPr>
            </w:pPr>
            <w:r w:rsidRPr="006B13BC">
              <w:rPr>
                <w:noProof/>
              </w:rPr>
              <w:t>Παράρτημα XXV (Εμπόριο)</w:t>
            </w:r>
          </w:p>
        </w:tc>
      </w:tr>
    </w:tbl>
    <w:p w:rsidR="0035284B" w:rsidRPr="006B13BC" w:rsidRDefault="0035284B" w:rsidP="0035284B">
      <w:pPr>
        <w:ind w:left="850"/>
        <w:rPr>
          <w:noProof/>
          <w:lang w:eastAsia="en-GB"/>
        </w:rPr>
      </w:pPr>
    </w:p>
    <w:p w:rsidR="0035284B" w:rsidRPr="006B13BC" w:rsidRDefault="0035284B" w:rsidP="0035284B">
      <w:pPr>
        <w:rPr>
          <w:b/>
          <w:bCs/>
          <w:noProof/>
        </w:rPr>
      </w:pPr>
      <w:r w:rsidRPr="006B13BC">
        <w:rPr>
          <w:b/>
          <w:noProof/>
        </w:rPr>
        <w:t xml:space="preserve">ΣΥΝΗΜΜΕΝΑ: </w:t>
      </w:r>
    </w:p>
    <w:p w:rsidR="0035284B" w:rsidRPr="006B13BC" w:rsidRDefault="0035284B" w:rsidP="0035284B">
      <w:pPr>
        <w:rPr>
          <w:noProof/>
          <w:szCs w:val="24"/>
        </w:rPr>
      </w:pPr>
      <w:r w:rsidRPr="006B13BC">
        <w:rPr>
          <w:noProof/>
        </w:rPr>
        <w:t>Παράρτημα, μέρος 1: Συμφωνία-πλαίσιο, πρωτόκολλα-πλαίσια</w:t>
      </w:r>
    </w:p>
    <w:p w:rsidR="0035284B" w:rsidRPr="006B13BC" w:rsidRDefault="0035284B" w:rsidP="0035284B">
      <w:pPr>
        <w:rPr>
          <w:noProof/>
          <w:szCs w:val="24"/>
        </w:rPr>
      </w:pPr>
      <w:r w:rsidRPr="006B13BC">
        <w:rPr>
          <w:noProof/>
        </w:rPr>
        <w:t>Παράρτημα, μέρος 2: Πρωτόκολλο για την Ανδόρα</w:t>
      </w:r>
    </w:p>
    <w:p w:rsidR="0035284B" w:rsidRPr="006B13BC" w:rsidRDefault="0035284B" w:rsidP="0035284B">
      <w:pPr>
        <w:rPr>
          <w:noProof/>
          <w:szCs w:val="24"/>
        </w:rPr>
      </w:pPr>
      <w:r w:rsidRPr="006B13BC">
        <w:rPr>
          <w:noProof/>
        </w:rPr>
        <w:t>Παράρτημα, μέρος 3: Παράρτημα Ι του πρωτοκόλλου για την Ανδόρα</w:t>
      </w:r>
    </w:p>
    <w:p w:rsidR="0035284B" w:rsidRPr="006B13BC" w:rsidRDefault="0035284B" w:rsidP="0035284B">
      <w:pPr>
        <w:rPr>
          <w:noProof/>
          <w:szCs w:val="24"/>
        </w:rPr>
      </w:pPr>
      <w:r w:rsidRPr="006B13BC">
        <w:rPr>
          <w:noProof/>
        </w:rPr>
        <w:t>Παράρτημα, μέρος 4: Παράρτημα II του πρωτοκόλλου για την Ανδόρα</w:t>
      </w:r>
    </w:p>
    <w:p w:rsidR="0035284B" w:rsidRPr="006B13BC" w:rsidRDefault="0035284B" w:rsidP="0035284B">
      <w:pPr>
        <w:rPr>
          <w:noProof/>
          <w:szCs w:val="24"/>
        </w:rPr>
      </w:pPr>
      <w:r w:rsidRPr="006B13BC">
        <w:rPr>
          <w:noProof/>
        </w:rPr>
        <w:t>Παράρτημα, μέρος 5: Παραρτήματα III, IV, V, VI, VII, VIII, IX, X του πρωτοκόλλου για την Ανδόρα</w:t>
      </w:r>
    </w:p>
    <w:p w:rsidR="0035284B" w:rsidRPr="006B13BC" w:rsidRDefault="0035284B" w:rsidP="0035284B">
      <w:pPr>
        <w:rPr>
          <w:noProof/>
          <w:szCs w:val="24"/>
        </w:rPr>
      </w:pPr>
      <w:r w:rsidRPr="006B13BC">
        <w:rPr>
          <w:noProof/>
        </w:rPr>
        <w:t xml:space="preserve">Παράρτημα, μέρος 6: Παραρτήματα XI, XII, XIII, XIV, XV, XVI, XVII, XVIII, XIX του πρωτοκόλλου για την Ανδόρα </w:t>
      </w:r>
    </w:p>
    <w:p w:rsidR="0035284B" w:rsidRPr="006B13BC" w:rsidRDefault="0035284B" w:rsidP="0035284B">
      <w:pPr>
        <w:rPr>
          <w:noProof/>
          <w:szCs w:val="24"/>
        </w:rPr>
      </w:pPr>
      <w:r w:rsidRPr="006B13BC">
        <w:rPr>
          <w:noProof/>
        </w:rPr>
        <w:t>Παράρτημα, μέρος 7: Παραρτήματα XX, XXI, XXII, XXIII, XXIV, XXV του πρωτοκόλλου για την Ανδόρα</w:t>
      </w:r>
    </w:p>
    <w:p w:rsidR="0035284B" w:rsidRPr="006B13BC" w:rsidRDefault="0035284B" w:rsidP="0035284B">
      <w:pPr>
        <w:rPr>
          <w:noProof/>
          <w:szCs w:val="24"/>
        </w:rPr>
      </w:pPr>
      <w:r w:rsidRPr="006B13BC">
        <w:rPr>
          <w:noProof/>
        </w:rPr>
        <w:t>Παράρτημα, μέρος 8: Πρωτόκολλο για τον Άγιο Μαρίνο</w:t>
      </w:r>
    </w:p>
    <w:p w:rsidR="0035284B" w:rsidRPr="006B13BC" w:rsidRDefault="0035284B" w:rsidP="0035284B">
      <w:pPr>
        <w:rPr>
          <w:noProof/>
          <w:szCs w:val="24"/>
        </w:rPr>
      </w:pPr>
      <w:r w:rsidRPr="006B13BC">
        <w:rPr>
          <w:noProof/>
        </w:rPr>
        <w:t>Παράρτημα, μέρος 9: Παράρτημα Ι του πρωτοκόλλου για τον Άγιο Μαρίνο</w:t>
      </w:r>
    </w:p>
    <w:p w:rsidR="0035284B" w:rsidRPr="006B13BC" w:rsidRDefault="0035284B" w:rsidP="0035284B">
      <w:pPr>
        <w:rPr>
          <w:noProof/>
          <w:szCs w:val="24"/>
        </w:rPr>
      </w:pPr>
      <w:r w:rsidRPr="006B13BC">
        <w:rPr>
          <w:noProof/>
        </w:rPr>
        <w:t>Παράρτημα, μέρος 10: Παράρτημα IΙ του πρωτοκόλλου για τον Άγιο Μαρίνο</w:t>
      </w:r>
    </w:p>
    <w:p w:rsidR="0035284B" w:rsidRPr="006B13BC" w:rsidRDefault="0035284B" w:rsidP="0035284B">
      <w:pPr>
        <w:rPr>
          <w:noProof/>
          <w:szCs w:val="24"/>
        </w:rPr>
      </w:pPr>
      <w:r w:rsidRPr="006B13BC">
        <w:rPr>
          <w:noProof/>
        </w:rPr>
        <w:t xml:space="preserve">Παράρτημα, μέρος 11: Παραρτήματα III, IV, V, VI, VII, VIII, IX, X του πρωτοκόλλου για τον Άγιο Μαρίνο  </w:t>
      </w:r>
    </w:p>
    <w:p w:rsidR="0035284B" w:rsidRPr="006B13BC" w:rsidRDefault="0035284B" w:rsidP="0035284B">
      <w:pPr>
        <w:rPr>
          <w:noProof/>
          <w:szCs w:val="24"/>
        </w:rPr>
      </w:pPr>
      <w:r w:rsidRPr="006B13BC">
        <w:rPr>
          <w:noProof/>
        </w:rPr>
        <w:t>Παράρτημα, μέρος 12: Παραρτήματα XI, XII, XIII, XIV, XV, XVI, XVII, XVIII, XIX του πρωτοκόλλου για τον Άγιο Μαρίνο</w:t>
      </w:r>
    </w:p>
    <w:p w:rsidR="0035284B" w:rsidRPr="006B13BC" w:rsidRDefault="0035284B" w:rsidP="0035284B">
      <w:pPr>
        <w:rPr>
          <w:noProof/>
          <w:szCs w:val="24"/>
        </w:rPr>
      </w:pPr>
      <w:r w:rsidRPr="006B13BC">
        <w:rPr>
          <w:noProof/>
        </w:rPr>
        <w:t>Παράρτημα, μέρος 13: Παραρτήματα XX, XXI, XXII, XXIII, XXIV, XXV του πρωτοκόλλου για τον Άγιο Μαρίνο</w:t>
      </w:r>
    </w:p>
    <w:p w:rsidR="00452BAF" w:rsidRPr="006B13BC" w:rsidRDefault="0035284B" w:rsidP="0035284B">
      <w:pPr>
        <w:pBdr>
          <w:top w:val="nil"/>
          <w:left w:val="nil"/>
          <w:bottom w:val="nil"/>
          <w:right w:val="nil"/>
          <w:between w:val="nil"/>
          <w:bar w:val="nil"/>
        </w:pBdr>
        <w:spacing w:before="0" w:after="240"/>
        <w:rPr>
          <w:rFonts w:eastAsia="Arial Unicode MS"/>
          <w:noProof/>
        </w:rPr>
      </w:pPr>
      <w:r w:rsidRPr="006B13BC">
        <w:rPr>
          <w:noProof/>
        </w:rPr>
        <w:t>Παράρτημα, μέρος 14: Δηλώσεις</w:t>
      </w:r>
    </w:p>
    <w:p w:rsidR="00452BAF" w:rsidRPr="006B13BC" w:rsidRDefault="00452BAF" w:rsidP="00FD40BA">
      <w:pPr>
        <w:rPr>
          <w:noProof/>
        </w:rPr>
        <w:sectPr w:rsidR="00452BAF" w:rsidRPr="006B13BC" w:rsidSect="007568ED">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C56200" w:rsidRDefault="00386D6C">
      <w:pPr>
        <w:pStyle w:val="Rfrenceinterinstitutionnelle"/>
        <w:rPr>
          <w:noProof/>
        </w:rPr>
      </w:pPr>
      <w:r>
        <w:rPr>
          <w:noProof/>
        </w:rPr>
        <w:t>2024/0102 (NLE)</w:t>
      </w:r>
    </w:p>
    <w:p w:rsidR="00452BAF" w:rsidRPr="006B13BC" w:rsidRDefault="006B13BC" w:rsidP="006B13BC">
      <w:pPr>
        <w:pStyle w:val="Statut"/>
        <w:rPr>
          <w:noProof/>
        </w:rPr>
      </w:pPr>
      <w:r w:rsidRPr="006B13BC">
        <w:rPr>
          <w:noProof/>
        </w:rPr>
        <w:t>Πρόταση</w:t>
      </w:r>
    </w:p>
    <w:p w:rsidR="00452BAF" w:rsidRPr="006B13BC" w:rsidRDefault="006B13BC" w:rsidP="006B13BC">
      <w:pPr>
        <w:pStyle w:val="Typedudocument"/>
        <w:rPr>
          <w:noProof/>
        </w:rPr>
      </w:pPr>
      <w:r w:rsidRPr="006B13BC">
        <w:rPr>
          <w:noProof/>
        </w:rPr>
        <w:t>ΑΠΟΦΑΣΗ ΤΟΥ ΣΥΜΒΟΥΛΙΟΥ</w:t>
      </w:r>
    </w:p>
    <w:p w:rsidR="00452BAF" w:rsidRPr="006B13BC" w:rsidRDefault="006B13BC" w:rsidP="006B13BC">
      <w:pPr>
        <w:pStyle w:val="Titreobjet"/>
        <w:rPr>
          <w:noProof/>
        </w:rPr>
      </w:pPr>
      <w:r w:rsidRPr="006B13BC">
        <w:rPr>
          <w:noProof/>
        </w:rPr>
        <w:t>για την υπογραφή, εξ ονόματος της Ευρωπαϊκής Ένωσης, και την προσωρινή εφαρμογή της συμφωνίας σύνδεσης μεταξύ της Ευρωπαϊκής Ένωσης και του Πριγκιπάτου της Ανδόρας και της Δημοκρατίας του Αγίου Μαρίνου αντίστοιχα</w:t>
      </w:r>
    </w:p>
    <w:p w:rsidR="00452BAF" w:rsidRPr="006B13BC" w:rsidRDefault="00452BAF" w:rsidP="00197315">
      <w:pPr>
        <w:pStyle w:val="Institutionquiagit"/>
        <w:rPr>
          <w:noProof/>
        </w:rPr>
      </w:pPr>
      <w:r w:rsidRPr="006B13BC">
        <w:rPr>
          <w:noProof/>
        </w:rPr>
        <w:t>ΤΟ ΣΥΜΒΟΥΛΙΟ ΤΗΣ ΕΥΡΩΠΑΪΚΗΣ ΕΝΩΣΗΣ,</w:t>
      </w:r>
    </w:p>
    <w:p w:rsidR="00452BAF" w:rsidRPr="006B13BC" w:rsidRDefault="00B74A6F" w:rsidP="00197315">
      <w:pPr>
        <w:rPr>
          <w:noProof/>
        </w:rPr>
      </w:pPr>
      <w:r w:rsidRPr="006B13BC">
        <w:rPr>
          <w:noProof/>
        </w:rPr>
        <w:t xml:space="preserve">Έχοντας υπόψη τη Συνθήκη για τη λειτουργία της Ευρωπαϊκής Ένωσης (στο εξής: ΣΛΕΕ), και ιδίως το </w:t>
      </w:r>
      <w:bookmarkStart w:id="20" w:name="_Hlk161134383"/>
      <w:r w:rsidRPr="006B13BC">
        <w:rPr>
          <w:noProof/>
        </w:rPr>
        <w:t>άρθρο 217</w:t>
      </w:r>
      <w:bookmarkEnd w:id="20"/>
      <w:r w:rsidRPr="006B13BC">
        <w:rPr>
          <w:noProof/>
        </w:rPr>
        <w:t xml:space="preserve">, σε συνδυασμό με το άρθρο 218 παράγραφος 5 και το άρθρο 218 παράγραφος 8 δεύτερο </w:t>
      </w:r>
      <w:bookmarkStart w:id="21" w:name="_Hlk162125782"/>
      <w:r w:rsidRPr="006B13BC">
        <w:rPr>
          <w:noProof/>
        </w:rPr>
        <w:t>εδάφιο</w:t>
      </w:r>
      <w:bookmarkEnd w:id="21"/>
      <w:r w:rsidRPr="006B13BC">
        <w:rPr>
          <w:noProof/>
        </w:rPr>
        <w:t>,</w:t>
      </w:r>
    </w:p>
    <w:p w:rsidR="00452BAF" w:rsidRPr="006B13BC" w:rsidRDefault="00452BAF" w:rsidP="00197315">
      <w:pPr>
        <w:rPr>
          <w:noProof/>
        </w:rPr>
      </w:pPr>
      <w:r w:rsidRPr="006B13BC">
        <w:rPr>
          <w:noProof/>
        </w:rPr>
        <w:t>Έχοντας υπόψη την πρόταση της Ευρωπαϊκής Επιτροπής,</w:t>
      </w:r>
    </w:p>
    <w:p w:rsidR="00452BAF" w:rsidRPr="006B13BC" w:rsidRDefault="00452BAF" w:rsidP="00197315">
      <w:pPr>
        <w:rPr>
          <w:noProof/>
        </w:rPr>
      </w:pPr>
      <w:r w:rsidRPr="006B13BC">
        <w:rPr>
          <w:noProof/>
        </w:rPr>
        <w:t>Εκτιμώντας τα ακόλουθα:</w:t>
      </w:r>
    </w:p>
    <w:p w:rsidR="00452BAF" w:rsidRPr="006B13BC" w:rsidRDefault="00936BED" w:rsidP="00936BED">
      <w:pPr>
        <w:pStyle w:val="ManualConsidrant"/>
        <w:rPr>
          <w:noProof/>
        </w:rPr>
      </w:pPr>
      <w:r w:rsidRPr="00936BED">
        <w:rPr>
          <w:noProof/>
        </w:rPr>
        <w:t>(1)</w:t>
      </w:r>
      <w:r w:rsidRPr="00936BED">
        <w:rPr>
          <w:noProof/>
        </w:rPr>
        <w:tab/>
      </w:r>
      <w:r w:rsidR="009256BD" w:rsidRPr="006B13BC">
        <w:rPr>
          <w:noProof/>
        </w:rPr>
        <w:t>Στις 16 Δεκεμβρίου 2014, το Συμβούλιο εξουσιοδότησε την Ευρωπαϊκή Επιτροπή να διαπραγματευθεί, εξ ονόματος της Ευρωπαϊκής Ένωσης (στο εξής: Ένωση), συμφωνία σύνδεσης με το Πριγκιπάτο της Ανδόρας (στο εξής: Ανδόρα), το Πριγκιπάτο του Μονακό (στο εξής: Μονακό) και τη Δημοκρατία του Αγίου Μαρίνου (στο εξής: Άγιος Μαρίνος). Οι διαπραγματεύσεις διεξήχθησαν βάσει των οδηγιών διαπραγμάτευσης του Συμβουλίου της 16ης Δεκεμβρίου 2014.</w:t>
      </w:r>
    </w:p>
    <w:p w:rsidR="00452BAF" w:rsidRPr="006B13BC" w:rsidRDefault="00936BED" w:rsidP="00936BED">
      <w:pPr>
        <w:pStyle w:val="ManualConsidrant"/>
        <w:rPr>
          <w:noProof/>
        </w:rPr>
      </w:pPr>
      <w:r w:rsidRPr="00936BED">
        <w:rPr>
          <w:noProof/>
        </w:rPr>
        <w:t>(2)</w:t>
      </w:r>
      <w:r w:rsidRPr="00936BED">
        <w:rPr>
          <w:noProof/>
        </w:rPr>
        <w:tab/>
      </w:r>
      <w:r w:rsidR="00B05177" w:rsidRPr="006B13BC">
        <w:rPr>
          <w:noProof/>
        </w:rPr>
        <w:t>Στις 17 Σεπτεμβρίου 2023, το Μονακό και η Ευρωπαϊκή Επιτροπή συμφώνησαν να αναστείλουν τις διαπραγματεύσεις μετά την παρατήρηση και των δύο πλευρών ότι ήταν αδύνατον να συμβιβαστούν, αφενός, οι οδηγίες διαπραγμάτευσης της Ευρωπαϊκής Επιτροπής και, αφετέρου, τα όρια που έθεσε το Μονακό, με στόχο ιδίως να διατηρηθούν αμετάβλητες οι συνθήκες διαβίωσης, εργασίας και στέγασης των υπηκόων του στη χώρα.</w:t>
      </w:r>
    </w:p>
    <w:p w:rsidR="00B459C6" w:rsidRPr="006B13BC" w:rsidRDefault="00936BED" w:rsidP="00936BED">
      <w:pPr>
        <w:pStyle w:val="ManualConsidrant"/>
        <w:rPr>
          <w:noProof/>
        </w:rPr>
      </w:pPr>
      <w:r w:rsidRPr="00936BED">
        <w:rPr>
          <w:noProof/>
        </w:rPr>
        <w:t>(3)</w:t>
      </w:r>
      <w:r w:rsidRPr="00936BED">
        <w:rPr>
          <w:noProof/>
        </w:rPr>
        <w:tab/>
      </w:r>
      <w:r w:rsidR="00B459C6" w:rsidRPr="006B13BC">
        <w:rPr>
          <w:noProof/>
        </w:rPr>
        <w:t xml:space="preserve">Λαμβάνοντας υπόψη τους στενούς ιστορικούς, γεωγραφικούς, πολιτιστικούς, πολιτικούς και οικονομικούς δεσμούς μεταξύ της Ένωσης, της Ανδόρας και του Αγίου Μαρίνου, καθώς και την επιθυμία τους να εμβαθύνουν, να διαφοροποιήσουν και να διατηρήσουν τις σχέσεις τους με τη θέσπιση ενός ολοκληρωμένου και συνεκτικού νομικού πλαισίου, οι διαπραγματεύσεις με την Ανδόρα και τον Άγιο Μαρίνο ολοκληρώθηκαν στις 12 Δεκεμβρίου 2023. </w:t>
      </w:r>
    </w:p>
    <w:p w:rsidR="00B459C6" w:rsidRPr="006B13BC" w:rsidRDefault="00936BED" w:rsidP="00936BED">
      <w:pPr>
        <w:pStyle w:val="ManualConsidrant"/>
        <w:rPr>
          <w:noProof/>
        </w:rPr>
      </w:pPr>
      <w:r w:rsidRPr="00936BED">
        <w:rPr>
          <w:noProof/>
        </w:rPr>
        <w:t>(4)</w:t>
      </w:r>
      <w:r w:rsidRPr="00936BED">
        <w:rPr>
          <w:noProof/>
        </w:rPr>
        <w:tab/>
      </w:r>
      <w:r w:rsidR="00B459C6" w:rsidRPr="006B13BC">
        <w:rPr>
          <w:noProof/>
        </w:rPr>
        <w:t xml:space="preserve">Η συμφωνία σύνδεσης μεταξύ της Ευρωπαϊκής Ένωσης και της Ανδόρας και του Αγίου Μαρίνου, αντίστοιχα (στο εξής: συμφωνία) προβλέπει τη συμμετοχή των δύο χωρών στην εσωτερική αγορά της Ένωσης και τις σχετικές οριζόντιες και συνοδευτικές πολιτικές, ενώ παράλληλα αντικαθιστά τις τρέχουσες τελωνειακές ενώσεις μεταξύ της Ένωσης και καθεμιάς από τις εν λόγω χώρες. Η συμφωνία περιλαμβάνει επίσης ένα πλαίσιο για πιθανή συνεργασία σε τομείς πολιτικής εκτός των τεσσάρων ελευθεριών, όπως η έρευνα και η ανάπτυξη, η εκπαίδευση, η κοινωνική πολιτική, το περιβάλλον, η προστασία των καταναλωτών και των καταναλωτριών, ο πολιτισμός και η περιφερειακή συνεργασία. </w:t>
      </w:r>
    </w:p>
    <w:p w:rsidR="00B459C6" w:rsidRPr="006B13BC" w:rsidRDefault="00936BED" w:rsidP="00936BED">
      <w:pPr>
        <w:pStyle w:val="ManualConsidrant"/>
        <w:rPr>
          <w:noProof/>
        </w:rPr>
      </w:pPr>
      <w:bookmarkStart w:id="22" w:name="_Hlk161134469"/>
      <w:r w:rsidRPr="00936BED">
        <w:rPr>
          <w:noProof/>
        </w:rPr>
        <w:t>(5)</w:t>
      </w:r>
      <w:r w:rsidRPr="00936BED">
        <w:rPr>
          <w:noProof/>
        </w:rPr>
        <w:tab/>
      </w:r>
      <w:r w:rsidR="00B459C6" w:rsidRPr="006B13BC">
        <w:rPr>
          <w:noProof/>
        </w:rPr>
        <w:t>Για να εξασφαλιστεί η αποτελεσματική λειτουργία της εσωτερικής αγοράς της Ένωσης, η συμφωνία προβλέπει δυναμική κανονιστική ευθυγράμμιση. Η συμφωνία διαλαμβάνει επίσης διατάξεις για τη θέσπιση μηχανισμού επίλυσης διαφορών, με το Δικαστήριο της Ευρωπαϊκής Ένωσης ως κριτή όταν υπάρχουν διαφορές επί της ερμηνείας και της εφαρμογής της συμφωνίας.</w:t>
      </w:r>
    </w:p>
    <w:bookmarkEnd w:id="22"/>
    <w:p w:rsidR="00B459C6" w:rsidRPr="006B13BC" w:rsidRDefault="00936BED" w:rsidP="00936BED">
      <w:pPr>
        <w:pStyle w:val="ManualConsidrant"/>
        <w:rPr>
          <w:noProof/>
        </w:rPr>
      </w:pPr>
      <w:r w:rsidRPr="00936BED">
        <w:rPr>
          <w:noProof/>
        </w:rPr>
        <w:t>(6)</w:t>
      </w:r>
      <w:r w:rsidRPr="00936BED">
        <w:rPr>
          <w:noProof/>
        </w:rPr>
        <w:tab/>
      </w:r>
      <w:r w:rsidR="00B459C6" w:rsidRPr="006B13BC">
        <w:rPr>
          <w:noProof/>
        </w:rPr>
        <w:t xml:space="preserve">Λαμβάνεται υπόψη η κατάσταση της Ανδόρας και του Αγίου Μαρίνου ως κρατών μικρής εδαφικής έκτασης, σύμφωνα με τη δήλωση 3 σχετικά με το άρθρο 8 της Συνθήκης για την Ευρωπαϊκή Ένωση (ΣΕΕ). Τούτο αποτυπώνεται σε ορισμένες προσαρμογές των διατάξεων των νομικών πράξεων της Ένωσης που περιλήφθηκαν στα παραρτήματα της συμφωνίας, καθώς και σε διάφορες μεταβατικές περιόδους για την υλοποίηση και την εφαρμογή τμημάτων του κεκτημένου της Ένωσης. </w:t>
      </w:r>
    </w:p>
    <w:p w:rsidR="00B459C6" w:rsidRPr="006B13BC" w:rsidRDefault="00936BED" w:rsidP="00936BED">
      <w:pPr>
        <w:pStyle w:val="ManualConsidrant"/>
        <w:rPr>
          <w:noProof/>
        </w:rPr>
      </w:pPr>
      <w:r w:rsidRPr="00936BED">
        <w:rPr>
          <w:noProof/>
        </w:rPr>
        <w:t>(7)</w:t>
      </w:r>
      <w:r w:rsidRPr="00936BED">
        <w:rPr>
          <w:noProof/>
        </w:rPr>
        <w:tab/>
      </w:r>
      <w:r w:rsidR="00B459C6" w:rsidRPr="006B13BC">
        <w:rPr>
          <w:noProof/>
        </w:rPr>
        <w:t xml:space="preserve">Η συμφωνία καθιστά δυνατή τη σταδιακή πρόσβαση στην εσωτερική αγορά χρηματοπιστωτικών υπηρεσιών της Ένωσης, στο πλαίσιο της οποίας η Ανδόρα και ο Άγιος Μαρίνος μπορούν να αποφασίσουν να μην επιδιώξουν πρόσβαση σε ολόκληρη την εσωτερική αγορά χρηματοπιστωτικών υπηρεσιών της ΕΕ. Η δυνατότητα αυτή δεν θα πρέπει να διαρκέσει περισσότερο από 15 έτη από την έναρξη ισχύος της συμφωνίας. </w:t>
      </w:r>
    </w:p>
    <w:p w:rsidR="00B459C6" w:rsidRPr="006B13BC" w:rsidRDefault="00936BED" w:rsidP="00936BED">
      <w:pPr>
        <w:pStyle w:val="ManualConsidrant"/>
        <w:rPr>
          <w:noProof/>
        </w:rPr>
      </w:pPr>
      <w:bookmarkStart w:id="23" w:name="_Hlk161241556"/>
      <w:r w:rsidRPr="00936BED">
        <w:rPr>
          <w:noProof/>
        </w:rPr>
        <w:t>(8)</w:t>
      </w:r>
      <w:r w:rsidRPr="00936BED">
        <w:rPr>
          <w:noProof/>
        </w:rPr>
        <w:tab/>
      </w:r>
      <w:r w:rsidR="00B459C6" w:rsidRPr="006B13BC">
        <w:rPr>
          <w:noProof/>
        </w:rPr>
        <w:t xml:space="preserve">Λαμβανομένων υπόψη των ιδιαιτεροτήτων της Ανδόρας και του Αγίου Μαρίνου και των σχετικών ειδικών κανόνων και διατάξεων που θεσπίστηκαν για την ομαλή και εύρυθμη ενσωμάτωσή τους στην αγορά, ήταν αναγκαίο η πρόσβαση στην αγορά στον τομέα των χρηματοπιστωτικών υπηρεσιών να υπόκειται σε ειδικές πρόσθετες διασφαλίσεις, πέραν εκείνων που διέπουν τις σχέσεις μεταξύ των κρατών μελών στην εσωτερική αγορά, ιδίως όσον αφορά τις απαιτήσεις για την τοπική παροχή υπηρεσιών και τις έκτακτες εξουσίες των ευρωπαϊκών εποπτικών αρχών. </w:t>
      </w:r>
    </w:p>
    <w:bookmarkEnd w:id="23"/>
    <w:p w:rsidR="00D137C2" w:rsidRPr="006B13BC" w:rsidRDefault="00936BED" w:rsidP="00936BED">
      <w:pPr>
        <w:pStyle w:val="ManualConsidrant"/>
        <w:rPr>
          <w:noProof/>
        </w:rPr>
      </w:pPr>
      <w:r w:rsidRPr="00936BED">
        <w:rPr>
          <w:noProof/>
        </w:rPr>
        <w:t>(9)</w:t>
      </w:r>
      <w:r w:rsidRPr="00936BED">
        <w:rPr>
          <w:noProof/>
        </w:rPr>
        <w:tab/>
      </w:r>
      <w:r w:rsidR="00B459C6" w:rsidRPr="006B13BC">
        <w:rPr>
          <w:noProof/>
        </w:rPr>
        <w:t>Ως εκ τούτου, η πρόσβαση στην εσωτερική αγορά χρηματοπιστωτικών υπηρεσιών της Ένωσης θα πρέπει να εξαρτάται από μια συνολική αξιολόγηση της πλήρους και αποτελεσματικής εφαρμογής του κεκτημένου της Ένωσης για τον χρηματοπιστωτικό τομέα και της αξιοπιστίας των κανονιστικών και εποπτικών πλαισίων της Ανδόρας και του Αγίου Μαρίνου, θα απαιτήσει δε την έκδοση θετικής σύστασης από την Ευρωπαϊκή Επιτροπή σχετικά με την εκπλήρωση όλων των αναγκαίων προϋποθέσεων που ορίζονται στη συμφωνία. Η αξιολόγηση των κανονιστικών και εποπτικών πλαισίων της Ανδόρας και του Αγίου Μαρίνου θα πρέπει να βασίζεται σε κανόνες που προβλέπονται στο κανονιστικό πλαίσιο της Ένωσης.</w:t>
      </w:r>
    </w:p>
    <w:p w:rsidR="00D137C2" w:rsidRPr="006B13BC" w:rsidRDefault="00936BED" w:rsidP="00936BED">
      <w:pPr>
        <w:pStyle w:val="ManualConsidrant"/>
        <w:rPr>
          <w:noProof/>
        </w:rPr>
      </w:pPr>
      <w:r w:rsidRPr="00936BED">
        <w:rPr>
          <w:noProof/>
        </w:rPr>
        <w:t>(10)</w:t>
      </w:r>
      <w:r w:rsidRPr="00936BED">
        <w:rPr>
          <w:noProof/>
        </w:rPr>
        <w:tab/>
      </w:r>
      <w:r w:rsidR="00D137C2" w:rsidRPr="006B13BC">
        <w:rPr>
          <w:noProof/>
        </w:rPr>
        <w:t>Η συμφωνία θα πρέπει να εφαρμοσθεί, προσωρινώς σύμφωνα με το άρθρο 112 αυτής, το οποίο προβλέπει την προσωρινή εφαρμογή της συμφωνίας πριν τεθεί σε ισχύ, έως ότου ολοκληρωθούν οι διαδικασίες σύναψής της.</w:t>
      </w:r>
    </w:p>
    <w:p w:rsidR="00791FFE" w:rsidRPr="006B13BC" w:rsidRDefault="00936BED" w:rsidP="00936BED">
      <w:pPr>
        <w:pStyle w:val="ManualConsidrant"/>
        <w:rPr>
          <w:noProof/>
        </w:rPr>
      </w:pPr>
      <w:r w:rsidRPr="00936BED">
        <w:rPr>
          <w:noProof/>
        </w:rPr>
        <w:t>(11)</w:t>
      </w:r>
      <w:r w:rsidRPr="00936BED">
        <w:rPr>
          <w:noProof/>
        </w:rPr>
        <w:tab/>
      </w:r>
      <w:r w:rsidR="00B459C6" w:rsidRPr="006B13BC">
        <w:rPr>
          <w:noProof/>
        </w:rPr>
        <w:t xml:space="preserve">Είναι σκόπιμο να καθοριστούν οι όροι εκπροσώπησης της Ένωσης στην επιτροπή σύνδεσης και στις μεικτές επιτροπές που συγκροτούνται βάσει της συμφωνίας. Η Ευρωπαϊκή Επιτροπή, όπως προβλέπεται στο άρθρο 17 παράγραφος 1 της ΣΕΕ, εκπροσωπεί την Ένωση και εκφράζει τις θέσεις της Ένωσης σύμφωνα με τις Συνθήκες. </w:t>
      </w:r>
    </w:p>
    <w:p w:rsidR="0079486B" w:rsidRPr="006B13BC" w:rsidRDefault="00936BED" w:rsidP="00936BED">
      <w:pPr>
        <w:pStyle w:val="ManualConsidrant"/>
        <w:rPr>
          <w:noProof/>
        </w:rPr>
      </w:pPr>
      <w:r w:rsidRPr="00936BED">
        <w:rPr>
          <w:noProof/>
        </w:rPr>
        <w:t>(12)</w:t>
      </w:r>
      <w:r w:rsidRPr="00936BED">
        <w:rPr>
          <w:noProof/>
        </w:rPr>
        <w:tab/>
      </w:r>
      <w:r w:rsidR="00D137C2" w:rsidRPr="006B13BC">
        <w:rPr>
          <w:noProof/>
        </w:rPr>
        <w:t>Σύμφωνα με το άρθρο 218 παράγραφος 7 της ΣΛΕΕ, είναι επίσης σκόπιμο να καθοριστούν οι λεπτομέρειες για τη διατύπωση των θέσεων που πρέπει να ληφθούν εξ ονόματος της Ένωσης στο πλαίσιο των μεικτών επιτροπών που συγκροτούνται βάσει της συμφωνίας, ώστε να διασφαλίζεται ότι οι νομικές πράξεις που εκδίδει η Ένωση στους τομείς που καλύπτονται από τη συμφωνία ενσωματώνονται στη συμφωνία το συντομότερο δυνατόν μετά την έγκρισή τους και τη διαβίβασή τους στην Ανδόρα και στον Άγιο Μαρίνο, προκειμένου να διασφαλιστεί, στο μέτρο του δυνατού, η ταυτόχρονη εφαρμογή των εν λόγω νομικών πράξεων στην Ένωση, στην Ανδόρα και στον Άγιο Μαρίνο, αντίστοιχα.</w:t>
      </w:r>
    </w:p>
    <w:p w:rsidR="00D137C2" w:rsidRPr="006B13BC" w:rsidRDefault="00936BED" w:rsidP="00936BED">
      <w:pPr>
        <w:pStyle w:val="ManualConsidrant"/>
        <w:rPr>
          <w:noProof/>
        </w:rPr>
      </w:pPr>
      <w:r w:rsidRPr="00936BED">
        <w:rPr>
          <w:noProof/>
        </w:rPr>
        <w:t>(13)</w:t>
      </w:r>
      <w:r w:rsidRPr="00936BED">
        <w:rPr>
          <w:noProof/>
        </w:rPr>
        <w:tab/>
      </w:r>
      <w:r w:rsidR="0079486B" w:rsidRPr="006B13BC">
        <w:rPr>
          <w:noProof/>
        </w:rPr>
        <w:t xml:space="preserve">Είναι σκόπιμο να εξουσιοδοτηθεί η Ευρωπαϊκή Επιτροπή, σύμφωνα με το άρθρο 218 παράγραφος 7 της ΣΛΕΕ, να εγκρίνει, εξ ονόματος της Ένωσης, ορισμένες τροποποιήσεις της συμφωνίας που πρέπει να εγκριθούν με απλουστευμένη διαδικασία ή από το όργανο που θα συσταθεί με τη συμφωνία σύμφωνα με τις διατάξεις της συμφωνίας. Θα πρέπει να θεσπιστεί η διαδικασία διαβούλευσης με το Συμβούλιο σχετικά με τις εν λόγω τροποποιήσεις.  </w:t>
      </w:r>
    </w:p>
    <w:p w:rsidR="0079486B" w:rsidRPr="006B13BC" w:rsidRDefault="00936BED" w:rsidP="00936BED">
      <w:pPr>
        <w:pStyle w:val="ManualConsidrant"/>
        <w:rPr>
          <w:noProof/>
        </w:rPr>
      </w:pPr>
      <w:r w:rsidRPr="00936BED">
        <w:rPr>
          <w:noProof/>
        </w:rPr>
        <w:t>(14)</w:t>
      </w:r>
      <w:r w:rsidRPr="00936BED">
        <w:rPr>
          <w:noProof/>
        </w:rPr>
        <w:tab/>
      </w:r>
      <w:r w:rsidR="003647E2" w:rsidRPr="006B13BC">
        <w:rPr>
          <w:noProof/>
        </w:rPr>
        <w:t xml:space="preserve">Για να μπορέσει η Ένωση να αναλάβει ταχεία και αποτελεσματική δράση για την προστασία των συμφερόντων της όπως προβλέπει η συμφωνία, και έως ότου εκδοθεί και τεθεί σε ισχύ στην Ένωση ειδική νομοθετική πράξη που θα ρυθμίζει τη θέσπιση διορθωτικών μέτρων βάσει της συμφωνίας, η Ευρωπαϊκή Επιτροπή θα πρέπει να εξουσιοδοτηθεί να λαμβάνει διορθωτικά μέτρα, όπως αντισταθμιστικά μέτρα για την εσφαλμένη εφαρμογή της συμφωνίας, μέτρα διασφάλισης σε περίπτωση σοβαρών οικονομικών, κοινωνικών και περιβαλλοντικών δυσχερειών περιφερειακού χαρακτήρα που προκαλούνται από την εφαρμογή της συμφωνίας ή μέτρα διασφάλισης σε περίπτωση τρομοκρατικής επίθεσης ή φυσικής ή ανθρωπογενούς καταστροφής που πλήττει την Ένωση. </w:t>
      </w:r>
    </w:p>
    <w:p w:rsidR="00B459C6" w:rsidRPr="006B13BC" w:rsidRDefault="00936BED" w:rsidP="00936BED">
      <w:pPr>
        <w:pStyle w:val="ManualConsidrant"/>
        <w:rPr>
          <w:noProof/>
        </w:rPr>
      </w:pPr>
      <w:r w:rsidRPr="00936BED">
        <w:rPr>
          <w:noProof/>
        </w:rPr>
        <w:t>(15)</w:t>
      </w:r>
      <w:r w:rsidRPr="00936BED">
        <w:rPr>
          <w:noProof/>
        </w:rPr>
        <w:tab/>
      </w:r>
      <w:r w:rsidR="00B459C6" w:rsidRPr="006B13BC">
        <w:rPr>
          <w:noProof/>
        </w:rPr>
        <w:t xml:space="preserve">Η συμφωνία θα πρέπει να υπογραφεί, και οι συνημμένες δηλώσεις να εγκριθούν, εξ ονόματος της Ένωσης. </w:t>
      </w:r>
    </w:p>
    <w:p w:rsidR="00F40508" w:rsidRPr="006B13BC" w:rsidRDefault="00936BED" w:rsidP="00936BED">
      <w:pPr>
        <w:pStyle w:val="ManualConsidrant"/>
        <w:rPr>
          <w:noProof/>
        </w:rPr>
      </w:pPr>
      <w:r w:rsidRPr="00936BED">
        <w:rPr>
          <w:noProof/>
        </w:rPr>
        <w:t>(16)</w:t>
      </w:r>
      <w:r w:rsidRPr="00936BED">
        <w:rPr>
          <w:noProof/>
        </w:rPr>
        <w:tab/>
      </w:r>
      <w:r w:rsidR="00F40508" w:rsidRPr="006B13BC">
        <w:rPr>
          <w:noProof/>
        </w:rPr>
        <w:t>Η Ευρωπαϊκή Επιτροπή θα πρέπει να διασφαλίσει την υπογραφή της συμφωνίας, με την επιφύλαξη της σύναψής της,</w:t>
      </w:r>
    </w:p>
    <w:p w:rsidR="00452BAF" w:rsidRPr="006B13BC" w:rsidRDefault="00452BAF" w:rsidP="00197315">
      <w:pPr>
        <w:pStyle w:val="Formuledadoption"/>
        <w:rPr>
          <w:noProof/>
        </w:rPr>
      </w:pPr>
      <w:r w:rsidRPr="006B13BC">
        <w:rPr>
          <w:noProof/>
        </w:rPr>
        <w:t xml:space="preserve">ΕΞΕΔΩΣΕ ΤΗΝ ΠΑΡΟΥΣΑ ΑΠΟΦΑΣΗ: </w:t>
      </w:r>
    </w:p>
    <w:p w:rsidR="00452BAF" w:rsidRPr="006B13BC" w:rsidRDefault="00452BAF" w:rsidP="00197315">
      <w:pPr>
        <w:pStyle w:val="Titrearticle"/>
        <w:rPr>
          <w:noProof/>
        </w:rPr>
      </w:pPr>
      <w:r w:rsidRPr="006B13BC">
        <w:rPr>
          <w:noProof/>
        </w:rPr>
        <w:t>Άρθρο 1</w:t>
      </w:r>
      <w:r w:rsidRPr="006B13BC">
        <w:rPr>
          <w:noProof/>
        </w:rPr>
        <w:br/>
      </w:r>
    </w:p>
    <w:p w:rsidR="007073DC" w:rsidRPr="006B13BC" w:rsidRDefault="007073DC" w:rsidP="007073DC">
      <w:pPr>
        <w:keepLines/>
        <w:rPr>
          <w:noProof/>
        </w:rPr>
      </w:pPr>
      <w:r w:rsidRPr="006B13BC">
        <w:rPr>
          <w:noProof/>
        </w:rPr>
        <w:t xml:space="preserve">Η υπογραφή της συμφωνίας σύνδεσης μεταξύ της Ένωσης και της Ανδόρας και του Αγίου Μαρίνου, αντίστοιχα, εγκρίνεται εξ ονόματος της Ένωσης, με την επιφύλαξη της σύναψης της εν λόγω συμφωνίας. </w:t>
      </w:r>
    </w:p>
    <w:p w:rsidR="00452BAF" w:rsidRPr="006B13BC" w:rsidRDefault="007073DC" w:rsidP="007073DC">
      <w:pPr>
        <w:rPr>
          <w:noProof/>
        </w:rPr>
      </w:pPr>
      <w:r w:rsidRPr="006B13BC">
        <w:rPr>
          <w:noProof/>
        </w:rPr>
        <w:t>Το κείμενο της προς υπογραφή συμφωνίας επισυνάπτεται στην παρούσα απόφαση.</w:t>
      </w:r>
    </w:p>
    <w:p w:rsidR="00452BAF" w:rsidRPr="006B13BC" w:rsidRDefault="00452BAF" w:rsidP="00B408EC">
      <w:pPr>
        <w:pStyle w:val="Titrearticle"/>
        <w:rPr>
          <w:noProof/>
        </w:rPr>
      </w:pPr>
      <w:r w:rsidRPr="006B13BC">
        <w:rPr>
          <w:noProof/>
        </w:rPr>
        <w:t>Άρθρο 2</w:t>
      </w:r>
      <w:bookmarkStart w:id="24" w:name="_Hlk126129799"/>
      <w:r w:rsidRPr="006B13BC">
        <w:rPr>
          <w:noProof/>
        </w:rPr>
        <w:t xml:space="preserve"> </w:t>
      </w:r>
      <w:r w:rsidRPr="006B13BC">
        <w:rPr>
          <w:i w:val="0"/>
          <w:noProof/>
        </w:rPr>
        <w:br/>
      </w:r>
      <w:bookmarkEnd w:id="24"/>
    </w:p>
    <w:p w:rsidR="00797CE6" w:rsidRPr="006B13BC" w:rsidRDefault="00936BED" w:rsidP="00936BED">
      <w:pPr>
        <w:pStyle w:val="ManualNumPar1"/>
        <w:rPr>
          <w:noProof/>
        </w:rPr>
      </w:pPr>
      <w:r w:rsidRPr="00936BED">
        <w:rPr>
          <w:noProof/>
        </w:rPr>
        <w:t>1.</w:t>
      </w:r>
      <w:r w:rsidRPr="00936BED">
        <w:rPr>
          <w:noProof/>
        </w:rPr>
        <w:tab/>
      </w:r>
      <w:r w:rsidR="00E34AB4" w:rsidRPr="006B13BC">
        <w:rPr>
          <w:noProof/>
        </w:rPr>
        <w:t xml:space="preserve">Η Ευρωπαϊκή Επιτροπή εκπροσωπεί την Ένωση στην επιτροπή σύνδεσης, στις μεικτές επιτροπές, στις υποεπιτροπές τελωνειακής συνεργασίας, στις υποεπιτροπές για την ασφάλεια των τροφίμων και τα κτηνιατρικά και φυτοϋγειονομικά θέματα, στις υποεπιτροπές χρηματοοικονομικών υπηρεσιών, στην υποεπιτροπή για τα στατιστικά στοιχεία, καθώς και σε τυχόν πρόσθετες υποεπιτροπές και ομάδες εργασίας που συγκροτούνται σύμφωνα με το άρθρο 76 παράγραφος 8 της συμφωνίας-πλαισίου. </w:t>
      </w:r>
    </w:p>
    <w:p w:rsidR="00452BAF" w:rsidRPr="006B13BC" w:rsidRDefault="00936BED" w:rsidP="00936BED">
      <w:pPr>
        <w:pStyle w:val="ManualNumPar1"/>
        <w:rPr>
          <w:noProof/>
        </w:rPr>
      </w:pPr>
      <w:r w:rsidRPr="00936BED">
        <w:rPr>
          <w:noProof/>
        </w:rPr>
        <w:t>2.</w:t>
      </w:r>
      <w:r w:rsidRPr="00936BED">
        <w:rPr>
          <w:noProof/>
        </w:rPr>
        <w:tab/>
      </w:r>
      <w:r w:rsidR="00E34AB4" w:rsidRPr="006B13BC">
        <w:rPr>
          <w:noProof/>
        </w:rPr>
        <w:t>Όταν η Ευρωπαϊκή Επιτροπή εκπροσωπεί την Ένωση σε όργανα που δημιουργούνται δυνάμει της συμφωνίας, ενημερώνει εγκαίρως το Συμβούλιο σχετικά με τις συζητήσεις και τα αποτελέσματα των συνεδριάσεων και των πράξεων που εγκρίνονται στις εν λόγω συνεδριάσεις. Η Ευρωπαϊκή Επιτροπή ενημερώνει επίσης δεόντως το Ευρωπαϊκό Κοινοβούλιο.</w:t>
      </w:r>
    </w:p>
    <w:p w:rsidR="00753926" w:rsidRPr="006B13BC" w:rsidRDefault="00452BAF" w:rsidP="00753926">
      <w:pPr>
        <w:pStyle w:val="Titrearticle"/>
        <w:keepNext w:val="0"/>
        <w:rPr>
          <w:noProof/>
        </w:rPr>
      </w:pPr>
      <w:r w:rsidRPr="006B13BC">
        <w:rPr>
          <w:noProof/>
        </w:rPr>
        <w:t xml:space="preserve">Άρθρο 3 </w:t>
      </w:r>
      <w:r w:rsidRPr="006B13BC">
        <w:rPr>
          <w:i w:val="0"/>
          <w:noProof/>
        </w:rPr>
        <w:br/>
      </w:r>
    </w:p>
    <w:p w:rsidR="00AE2090" w:rsidRPr="006B13BC" w:rsidRDefault="00936BED" w:rsidP="00936BED">
      <w:pPr>
        <w:pStyle w:val="ManualNumPar1"/>
        <w:rPr>
          <w:noProof/>
        </w:rPr>
      </w:pPr>
      <w:r w:rsidRPr="00936BED">
        <w:rPr>
          <w:noProof/>
        </w:rPr>
        <w:t>1.</w:t>
      </w:r>
      <w:r w:rsidRPr="00936BED">
        <w:rPr>
          <w:noProof/>
        </w:rPr>
        <w:tab/>
      </w:r>
      <w:r w:rsidR="00AE2090" w:rsidRPr="006B13BC">
        <w:rPr>
          <w:noProof/>
        </w:rPr>
        <w:t xml:space="preserve">Όταν η Ευρωπαϊκή Επιτροπή υποβάλλει στο Συμβούλιο πρόταση την οποία θεωρεί ότι εμπίπτει σε τομέα που καλύπτεται από τη συμφωνία, αναφέρει ότι η μελλοντική νομική πράξη, μετά την έκδοσή της, θα επεκταθεί στην Ανδόρα και στον Άγιο Μαρίνο αντίστοιχα. </w:t>
      </w:r>
    </w:p>
    <w:p w:rsidR="00AE2090" w:rsidRPr="006B13BC" w:rsidRDefault="00936BED" w:rsidP="00936BED">
      <w:pPr>
        <w:pStyle w:val="ManualNumPar1"/>
        <w:rPr>
          <w:noProof/>
        </w:rPr>
      </w:pPr>
      <w:r w:rsidRPr="00936BED">
        <w:rPr>
          <w:noProof/>
        </w:rPr>
        <w:t>2.</w:t>
      </w:r>
      <w:r w:rsidRPr="00936BED">
        <w:rPr>
          <w:noProof/>
        </w:rPr>
        <w:tab/>
      </w:r>
      <w:r w:rsidR="00AE2090" w:rsidRPr="006B13BC">
        <w:rPr>
          <w:noProof/>
        </w:rPr>
        <w:t xml:space="preserve">Η Ευρωπαϊκή Επιτροπή εξουσιοδοτείται να λάβει, εξ ονόματος της Ένωσης, οποιαδήποτε θέση στο πλαίσιο των μεικτών επιτροπών που ορίζονται στο άρθρο 76 της συμφωνίας-πλαισίου σχετικά με αποφάσεις που απλώς επεκτείνουν νομικές πράξεις της Ένωσης στην Ανδόρα και στον Άγιο Μαρίνο αντίστοιχα, με την επιφύλαξη τυχόν αναγκαίων τεχνικών προσαρμογών. </w:t>
      </w:r>
    </w:p>
    <w:p w:rsidR="00AE2090" w:rsidRPr="006B13BC" w:rsidRDefault="00936BED" w:rsidP="00936BED">
      <w:pPr>
        <w:pStyle w:val="ManualNumPar1"/>
        <w:rPr>
          <w:noProof/>
        </w:rPr>
      </w:pPr>
      <w:r w:rsidRPr="00936BED">
        <w:rPr>
          <w:noProof/>
        </w:rPr>
        <w:t>3.</w:t>
      </w:r>
      <w:r w:rsidRPr="00936BED">
        <w:rPr>
          <w:noProof/>
        </w:rPr>
        <w:tab/>
      </w:r>
      <w:r w:rsidR="00AE2090" w:rsidRPr="006B13BC">
        <w:rPr>
          <w:noProof/>
        </w:rPr>
        <w:t>Για τις αποφάσεις που λαμβάνονται από τις μεικτές επιτροπές πλην εκείνων που αναφέρονται στην παράγραφο 2 του παρόντος άρθρου, οι θέσεις που πρέπει να ληφθούν εξ ονόματος της Ένωσης καθορίζονται σύμφωνα με τη διαδικασία του άρθρου 218 παράγραφος 9 της ΣΛΕΕ.</w:t>
      </w:r>
    </w:p>
    <w:p w:rsidR="00791FFE" w:rsidRPr="006B13BC" w:rsidRDefault="00791FFE" w:rsidP="00791FFE">
      <w:pPr>
        <w:pStyle w:val="Titrearticle"/>
        <w:rPr>
          <w:noProof/>
        </w:rPr>
      </w:pPr>
      <w:r w:rsidRPr="006B13BC">
        <w:rPr>
          <w:noProof/>
        </w:rPr>
        <w:t>Άρθρο 4</w:t>
      </w:r>
    </w:p>
    <w:p w:rsidR="00791FFE" w:rsidRPr="006B13BC" w:rsidRDefault="00936BED" w:rsidP="00936BED">
      <w:pPr>
        <w:pStyle w:val="ManualNumPar1"/>
        <w:rPr>
          <w:noProof/>
        </w:rPr>
      </w:pPr>
      <w:r w:rsidRPr="00936BED">
        <w:rPr>
          <w:noProof/>
        </w:rPr>
        <w:t>4.</w:t>
      </w:r>
      <w:r w:rsidRPr="00936BED">
        <w:rPr>
          <w:noProof/>
        </w:rPr>
        <w:tab/>
      </w:r>
      <w:r w:rsidR="00791FFE" w:rsidRPr="006B13BC">
        <w:rPr>
          <w:noProof/>
        </w:rPr>
        <w:t>Με την επιφύλαξη του άρθρου 3, η Επιτροπή εξουσιοδοτείται να εγκρίνει, εξ ονόματος της Ένωσης, τροποποιήσεις των πρωτοκόλλων συνδεδεμένου κράτους της συμφωνίας που πρέπει να εγκριθούν από τις μεικτές επιτροπές σύμφωνα με το άρθρο 108 της συμφωνίας-πλαισίου.</w:t>
      </w:r>
    </w:p>
    <w:p w:rsidR="00791FFE" w:rsidRPr="006B13BC" w:rsidRDefault="00936BED" w:rsidP="00936BED">
      <w:pPr>
        <w:pStyle w:val="ManualNumPar1"/>
        <w:rPr>
          <w:noProof/>
        </w:rPr>
      </w:pPr>
      <w:r w:rsidRPr="00936BED">
        <w:rPr>
          <w:noProof/>
        </w:rPr>
        <w:t>5.</w:t>
      </w:r>
      <w:r w:rsidRPr="00936BED">
        <w:rPr>
          <w:noProof/>
        </w:rPr>
        <w:tab/>
      </w:r>
      <w:r w:rsidR="00791FFE" w:rsidRPr="006B13BC">
        <w:rPr>
          <w:noProof/>
        </w:rPr>
        <w:t xml:space="preserve">Η Επιτροπή υποβάλλει στο Συμβούλιο τις προτεινόμενες τροποποιήσεις που ορίζονται στην παράγραφο 1 πριν από την έγκρισή τους. </w:t>
      </w:r>
    </w:p>
    <w:p w:rsidR="00791FFE" w:rsidRPr="006B13BC" w:rsidRDefault="00791FFE" w:rsidP="00791FFE">
      <w:pPr>
        <w:pStyle w:val="Text1"/>
        <w:rPr>
          <w:noProof/>
        </w:rPr>
      </w:pPr>
      <w:r w:rsidRPr="006B13BC">
        <w:rPr>
          <w:noProof/>
        </w:rPr>
        <w:t>Η Επιτροπή εγκρίνει τις εν λόγω προτεινόμενες τροποποιήσεις εξ ονόματος της Ένωσης, εκτός εάν, εντός ενός μηνός από την υποβολή τους από την Επιτροπή στο Συμβούλιο, αντιταχθούν σε αυτές ορισμένα κράτη μέλη που αντιπροσωπεύουν μειοψηφία αρνησικυρίας του Συμβουλίου σύμφωνα με το άρθρο 16 παράγραφος 4 της ΣΕΕ. Στην περίπτωση αυτή, η Επιτροπή απορρίπτει τις προτεινόμενες τροποποιήσεις εξ ονόματος της Ένωσης.</w:t>
      </w:r>
    </w:p>
    <w:p w:rsidR="00753926" w:rsidRPr="006B13BC" w:rsidRDefault="00753926" w:rsidP="00753926">
      <w:pPr>
        <w:pStyle w:val="Titrearticle"/>
        <w:keepNext w:val="0"/>
        <w:rPr>
          <w:noProof/>
        </w:rPr>
      </w:pPr>
      <w:r w:rsidRPr="006B13BC">
        <w:rPr>
          <w:noProof/>
        </w:rPr>
        <w:t>Άρθρο 5</w:t>
      </w:r>
      <w:r w:rsidRPr="006B13BC">
        <w:rPr>
          <w:noProof/>
        </w:rPr>
        <w:br/>
      </w:r>
    </w:p>
    <w:p w:rsidR="00A348F9" w:rsidRPr="006B13BC" w:rsidRDefault="00A348F9" w:rsidP="00702D9E">
      <w:pPr>
        <w:rPr>
          <w:noProof/>
        </w:rPr>
      </w:pPr>
      <w:r w:rsidRPr="006B13BC">
        <w:rPr>
          <w:noProof/>
        </w:rPr>
        <w:t>Η Ευρωπαϊκή Επιτροπή διαβιβάζει στο Συμβούλιο και το ενημερώνει σχετικά με το σχέδιο των κριτηρίων και της μεθοδολογίας αξιολόγησης που λαμβάνει από τις ευρωπαϊκές εποπτικές αρχές κατ’ εφαρμογή του άρθρου 10 του πρωτοκόλλου-πλαισίου 3 (για τις χρηματοπιστωτικές υπηρεσίες) της συμφωνίας πριν από την έγκρισή τους.</w:t>
      </w:r>
    </w:p>
    <w:p w:rsidR="000017BD" w:rsidRPr="006B13BC" w:rsidRDefault="000017BD" w:rsidP="000017BD">
      <w:pPr>
        <w:pStyle w:val="Titrearticle"/>
        <w:keepNext w:val="0"/>
        <w:rPr>
          <w:noProof/>
        </w:rPr>
      </w:pPr>
      <w:r w:rsidRPr="006B13BC">
        <w:rPr>
          <w:noProof/>
        </w:rPr>
        <w:t>Άρθρο 6</w:t>
      </w:r>
      <w:r w:rsidRPr="006B13BC">
        <w:rPr>
          <w:noProof/>
        </w:rPr>
        <w:br/>
      </w:r>
    </w:p>
    <w:p w:rsidR="000017BD" w:rsidRPr="006B13BC" w:rsidRDefault="00302869" w:rsidP="001C6412">
      <w:pPr>
        <w:rPr>
          <w:noProof/>
        </w:rPr>
      </w:pPr>
      <w:r w:rsidRPr="006B13BC">
        <w:rPr>
          <w:noProof/>
        </w:rPr>
        <w:t>Πριν από την έκδοση απόφασης σύμφωνα με το άρθρο 15 του πρωτοκόλλου-πλαισίου 3 (για τις χρηματοπιστωτικές υπηρεσίες), οι εποπτικές αρχές της ΕΕ ενημερώνουν την Επιτροπή, η οποία ενημερώνει σχετικά το Συμβούλιο.</w:t>
      </w:r>
    </w:p>
    <w:p w:rsidR="00DF3733" w:rsidRPr="006B13BC" w:rsidRDefault="00DF3733" w:rsidP="001C6412">
      <w:pPr>
        <w:rPr>
          <w:noProof/>
        </w:rPr>
      </w:pPr>
    </w:p>
    <w:p w:rsidR="00DF3733" w:rsidRPr="006B13BC" w:rsidRDefault="00DF3733" w:rsidP="00DF3733">
      <w:pPr>
        <w:pStyle w:val="Titrearticle"/>
        <w:keepNext w:val="0"/>
        <w:rPr>
          <w:noProof/>
        </w:rPr>
      </w:pPr>
      <w:r w:rsidRPr="006B13BC">
        <w:rPr>
          <w:noProof/>
        </w:rPr>
        <w:t>Άρθρο 7</w:t>
      </w:r>
      <w:r w:rsidRPr="006B13BC">
        <w:rPr>
          <w:noProof/>
        </w:rPr>
        <w:br/>
      </w:r>
    </w:p>
    <w:p w:rsidR="001027F8" w:rsidRPr="006B13BC" w:rsidRDefault="003647E2" w:rsidP="001C6412">
      <w:pPr>
        <w:rPr>
          <w:noProof/>
        </w:rPr>
      </w:pPr>
      <w:r w:rsidRPr="006B13BC">
        <w:rPr>
          <w:noProof/>
        </w:rPr>
        <w:t>Μέχρι να τεθεί σε ισχύ στην Ένωση συγκεκριμένη νομοθετική πράξη που να ρυθμίζει την έγκριση των μέτρων που αναφέρονται στα στοιχεία α) έως γ) του παρόντος άρθρου, οποιαδήποτε απόφαση της Ένωσης για τη λήψη τέτοιων μέτρων λαμβάνεται από την Επιτροπή, σύμφωνα με τους όρους που ορίζονται στις αντίστοιχες διατάξεις της συμφωνίας:</w:t>
      </w:r>
    </w:p>
    <w:p w:rsidR="001027F8" w:rsidRPr="006B13BC" w:rsidRDefault="00F713D1" w:rsidP="00F713D1">
      <w:pPr>
        <w:pStyle w:val="Point1"/>
        <w:rPr>
          <w:noProof/>
        </w:rPr>
      </w:pPr>
      <w:r>
        <w:rPr>
          <w:noProof/>
        </w:rPr>
        <w:t>α)</w:t>
      </w:r>
      <w:r>
        <w:rPr>
          <w:noProof/>
        </w:rPr>
        <w:tab/>
      </w:r>
      <w:r w:rsidR="001027F8" w:rsidRPr="006B13BC">
        <w:rPr>
          <w:noProof/>
        </w:rPr>
        <w:t xml:space="preserve">αντισταθμιστικά μέτρα για την εσφαλμένη εφαρμογή της συμφωνίας με σκοπό την αποκατάσταση ανισορροπιών σύμφωνα με το άρθρο 90 της συμφωνίας-πλαισίου· </w:t>
      </w:r>
    </w:p>
    <w:p w:rsidR="001027F8" w:rsidRPr="006B13BC" w:rsidRDefault="00F713D1" w:rsidP="00F713D1">
      <w:pPr>
        <w:pStyle w:val="Point1"/>
        <w:rPr>
          <w:noProof/>
        </w:rPr>
      </w:pPr>
      <w:r>
        <w:rPr>
          <w:noProof/>
        </w:rPr>
        <w:t>β)</w:t>
      </w:r>
      <w:r>
        <w:rPr>
          <w:noProof/>
        </w:rPr>
        <w:tab/>
      </w:r>
      <w:r w:rsidR="001027F8" w:rsidRPr="006B13BC">
        <w:rPr>
          <w:noProof/>
        </w:rPr>
        <w:t>μέτρα διασφάλισης σε περίπτωση σοβαρών οικονομικών, κοινωνικών και περιβαλλοντικών δυσκολιών περιφερειακού χαρακτήρα που προκαλούνται από την εφαρμογή της συμφωνίας και είναι πιθανό να συνεχιστούν σύμφωνα με το άρθρο 97 της συμφωνίας-πλαισίου·</w:t>
      </w:r>
    </w:p>
    <w:p w:rsidR="001027F8" w:rsidRPr="006B13BC" w:rsidRDefault="00F713D1" w:rsidP="00F713D1">
      <w:pPr>
        <w:pStyle w:val="Point1"/>
        <w:rPr>
          <w:noProof/>
        </w:rPr>
      </w:pPr>
      <w:r>
        <w:rPr>
          <w:noProof/>
        </w:rPr>
        <w:t>γ)</w:t>
      </w:r>
      <w:r>
        <w:rPr>
          <w:noProof/>
        </w:rPr>
        <w:tab/>
      </w:r>
      <w:r w:rsidR="001027F8" w:rsidRPr="006B13BC">
        <w:rPr>
          <w:noProof/>
        </w:rPr>
        <w:t>μέτρα διασφάλισης σε περίπτωση τρομοκρατικής επίθεσης ή φυσικής ή ανθρωπογενούς καταστροφής που πλήττει την Ένωση σύμφωνα με το άρθρο 98 της συμφωνίας-πλαισίου.</w:t>
      </w:r>
    </w:p>
    <w:p w:rsidR="00B775FC" w:rsidRPr="006B13BC" w:rsidRDefault="00B775FC" w:rsidP="009821E0">
      <w:pPr>
        <w:pStyle w:val="Titrearticle"/>
        <w:rPr>
          <w:noProof/>
        </w:rPr>
      </w:pPr>
      <w:r w:rsidRPr="006B13BC">
        <w:rPr>
          <w:noProof/>
        </w:rPr>
        <w:t>Άρθρο 8</w:t>
      </w:r>
      <w:r w:rsidRPr="006B13BC">
        <w:rPr>
          <w:noProof/>
        </w:rPr>
        <w:br/>
      </w:r>
    </w:p>
    <w:p w:rsidR="00BC446B" w:rsidRPr="006B13BC" w:rsidRDefault="00936BED" w:rsidP="00936BED">
      <w:pPr>
        <w:pStyle w:val="ManualNumPar1"/>
        <w:rPr>
          <w:noProof/>
        </w:rPr>
      </w:pPr>
      <w:r w:rsidRPr="00936BED">
        <w:rPr>
          <w:noProof/>
        </w:rPr>
        <w:t>1.</w:t>
      </w:r>
      <w:r w:rsidRPr="00936BED">
        <w:rPr>
          <w:noProof/>
        </w:rPr>
        <w:tab/>
      </w:r>
      <w:r w:rsidR="00B775FC" w:rsidRPr="006B13BC">
        <w:rPr>
          <w:noProof/>
        </w:rPr>
        <w:t xml:space="preserve">Με την επιφύλαξη της σύναψής της σε μεταγενέστερη ημερομηνία και εν αναμονή της έναρξης ισχύος της, η συμφωνία εφαρμόζεται προσωρινά μεταξύ των τριών συμβαλλόμενων μερών, σύμφωνα με το άρθρο 112 παράγραφος 2 της συμφωνίας-πλαισίου, από την πρώτη ημέρα που έπεται του μήνα κατά τον οποίο ένα συμβαλλόμενο μέρος κατέθεσε τα οικεία έγγραφα κύρωσης, σύναψης ή έγκρισης στη Γενική Γραμματεία του Συμβουλίου της ΕΕ, εκτός εάν άλλο συμβαλλόμενο μέρος κοινοποιήσει ότι δεν θα πρέπει να πραγματοποιηθεί η εν λόγω προσωρινή εφαρμογή. </w:t>
      </w:r>
    </w:p>
    <w:p w:rsidR="00B775FC" w:rsidRPr="006B13BC" w:rsidRDefault="00936BED" w:rsidP="00936BED">
      <w:pPr>
        <w:pStyle w:val="ManualNumPar1"/>
        <w:rPr>
          <w:noProof/>
        </w:rPr>
      </w:pPr>
      <w:r w:rsidRPr="00936BED">
        <w:rPr>
          <w:noProof/>
        </w:rPr>
        <w:t>2.</w:t>
      </w:r>
      <w:r w:rsidRPr="00936BED">
        <w:rPr>
          <w:noProof/>
        </w:rPr>
        <w:tab/>
      </w:r>
      <w:r w:rsidR="00B775FC" w:rsidRPr="006B13BC">
        <w:rPr>
          <w:noProof/>
        </w:rPr>
        <w:t xml:space="preserve">Εάν δεν πληρούνται οι προϋποθέσεις για την προσωρινή εφαρμογή μεταξύ και των τριών συμβαλλόμενων μερών σύμφωνα με την παράγραφο 1 του παρόντος άρθρου και το άρθρο 112 παράγραφος 2 της συμφωνίας-πλαισίου, η συμφωνία εφαρμόζεται μεταξύ της Ένωσης και ενός από τα άλλα συμβαλλόμενα μέρη από την πρώτη ημέρα του δεύτερου μήνα που έπεται του μήνα κατά τον οποίο είτε η ΕΕ είτε το εν λόγω συμβαλλόμενο μέρος κατέθεσε τα οικεία έγγραφα κύρωσης, σύναψης ή έγκρισης στη Γενική Γραμματεία του Συμβουλίου της Ένωσης, εκτός εάν οποιοδήποτε από τα δύο αυτά συμβαλλόμενα μέρη κοινοποιήσει ότι δεν θα πρέπει να πραγματοποιηθεί η εν λόγω προσωρινή εφαρμογή. </w:t>
      </w:r>
    </w:p>
    <w:p w:rsidR="00B775FC" w:rsidRPr="006B13BC" w:rsidRDefault="00B775FC" w:rsidP="00B775FC">
      <w:pPr>
        <w:pStyle w:val="Titrearticle"/>
        <w:keepNext w:val="0"/>
        <w:rPr>
          <w:noProof/>
        </w:rPr>
      </w:pPr>
      <w:r w:rsidRPr="006B13BC">
        <w:rPr>
          <w:noProof/>
        </w:rPr>
        <w:t>Άρθρο 9</w:t>
      </w:r>
      <w:r w:rsidRPr="006B13BC">
        <w:rPr>
          <w:noProof/>
        </w:rPr>
        <w:br/>
      </w:r>
    </w:p>
    <w:p w:rsidR="00302869" w:rsidRPr="006B13BC" w:rsidRDefault="00B775FC" w:rsidP="00B775FC">
      <w:pPr>
        <w:rPr>
          <w:noProof/>
        </w:rPr>
      </w:pPr>
      <w:r w:rsidRPr="006B13BC">
        <w:rPr>
          <w:noProof/>
        </w:rPr>
        <w:t xml:space="preserve">Η παρούσα απόφαση αρχίζει να ισχύει την ημερομηνία της έκδοσής της. </w:t>
      </w:r>
    </w:p>
    <w:p w:rsidR="00614283" w:rsidRPr="006B13BC" w:rsidRDefault="00614283" w:rsidP="000D3FD1">
      <w:pPr>
        <w:keepNext/>
        <w:keepLines/>
        <w:rPr>
          <w:noProof/>
        </w:rPr>
      </w:pPr>
    </w:p>
    <w:p w:rsidR="00916210" w:rsidRPr="006B13BC" w:rsidRDefault="006B13BC" w:rsidP="000D3FD1">
      <w:pPr>
        <w:pStyle w:val="Fait"/>
        <w:rPr>
          <w:noProof/>
        </w:rPr>
      </w:pPr>
      <w:r>
        <w:rPr>
          <w:noProof/>
        </w:rPr>
        <w:t>Βρυξέλλες,</w:t>
      </w:r>
    </w:p>
    <w:p w:rsidR="00916210" w:rsidRPr="006B13BC" w:rsidRDefault="00916210" w:rsidP="000D3FD1">
      <w:pPr>
        <w:pStyle w:val="Institutionquisigne"/>
        <w:rPr>
          <w:noProof/>
        </w:rPr>
      </w:pPr>
      <w:r w:rsidRPr="006B13BC">
        <w:rPr>
          <w:noProof/>
        </w:rPr>
        <w:tab/>
        <w:t>Για το Συμβούλιο</w:t>
      </w:r>
    </w:p>
    <w:p w:rsidR="00916210" w:rsidRPr="006B13BC" w:rsidRDefault="00916210" w:rsidP="00916210">
      <w:pPr>
        <w:pStyle w:val="Personnequisigne"/>
        <w:rPr>
          <w:noProof/>
        </w:rPr>
      </w:pPr>
      <w:r w:rsidRPr="006B13BC">
        <w:rPr>
          <w:noProof/>
        </w:rPr>
        <w:tab/>
        <w:t>Ο Πρόεδρος</w:t>
      </w:r>
    </w:p>
    <w:sectPr w:rsidR="00916210" w:rsidRPr="006B13BC" w:rsidSect="007568E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41" w:rsidRDefault="001C5641" w:rsidP="00452BAF">
      <w:pPr>
        <w:spacing w:before="0" w:after="0"/>
      </w:pPr>
      <w:r>
        <w:separator/>
      </w:r>
    </w:p>
  </w:endnote>
  <w:endnote w:type="continuationSeparator" w:id="0">
    <w:p w:rsidR="001C5641" w:rsidRDefault="001C5641" w:rsidP="00452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ED" w:rsidRPr="007568ED" w:rsidRDefault="007568ED" w:rsidP="007568ED">
    <w:pPr>
      <w:pStyle w:val="Footer"/>
      <w:rPr>
        <w:rFonts w:ascii="Arial" w:hAnsi="Arial" w:cs="Arial"/>
        <w:b/>
        <w:sz w:val="48"/>
      </w:rPr>
    </w:pPr>
    <w:r w:rsidRPr="007568ED">
      <w:rPr>
        <w:rFonts w:ascii="Arial" w:hAnsi="Arial" w:cs="Arial"/>
        <w:b/>
        <w:sz w:val="48"/>
      </w:rPr>
      <w:t>EL</w:t>
    </w:r>
    <w:r w:rsidRPr="007568ED">
      <w:rPr>
        <w:rFonts w:ascii="Arial" w:hAnsi="Arial" w:cs="Arial"/>
        <w:b/>
        <w:sz w:val="48"/>
      </w:rPr>
      <w:tab/>
    </w:r>
    <w:r w:rsidRPr="007568ED">
      <w:rPr>
        <w:rFonts w:ascii="Arial" w:hAnsi="Arial" w:cs="Arial"/>
        <w:b/>
        <w:sz w:val="48"/>
      </w:rPr>
      <w:tab/>
    </w:r>
    <w:r w:rsidRPr="007568ED">
      <w:tab/>
    </w:r>
    <w:r w:rsidRPr="007568ED">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ED" w:rsidRPr="007568ED" w:rsidRDefault="007568ED" w:rsidP="007568ED">
    <w:pPr>
      <w:pStyle w:val="Footer"/>
      <w:rPr>
        <w:rFonts w:ascii="Arial" w:hAnsi="Arial" w:cs="Arial"/>
        <w:b/>
        <w:sz w:val="48"/>
      </w:rPr>
    </w:pPr>
    <w:r w:rsidRPr="007568ED">
      <w:rPr>
        <w:rFonts w:ascii="Arial" w:hAnsi="Arial" w:cs="Arial"/>
        <w:b/>
        <w:sz w:val="48"/>
      </w:rPr>
      <w:t>EL</w:t>
    </w:r>
    <w:r w:rsidRPr="007568ED">
      <w:rPr>
        <w:rFonts w:ascii="Arial" w:hAnsi="Arial" w:cs="Arial"/>
        <w:b/>
        <w:sz w:val="48"/>
      </w:rPr>
      <w:tab/>
    </w:r>
    <w:r w:rsidRPr="007568ED">
      <w:rPr>
        <w:rFonts w:ascii="Arial" w:hAnsi="Arial" w:cs="Arial"/>
        <w:b/>
        <w:sz w:val="48"/>
      </w:rPr>
      <w:tab/>
    </w:r>
    <w:r w:rsidRPr="007568ED">
      <w:tab/>
    </w:r>
    <w:r w:rsidRPr="007568ED">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ED" w:rsidRDefault="007568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ED" w:rsidRPr="007568ED" w:rsidRDefault="007568ED" w:rsidP="007568ED">
    <w:pPr>
      <w:pStyle w:val="Footer"/>
      <w:rPr>
        <w:rFonts w:ascii="Arial" w:hAnsi="Arial" w:cs="Arial"/>
        <w:b/>
        <w:sz w:val="48"/>
      </w:rPr>
    </w:pPr>
    <w:r w:rsidRPr="007568ED">
      <w:rPr>
        <w:rFonts w:ascii="Arial" w:hAnsi="Arial" w:cs="Arial"/>
        <w:b/>
        <w:sz w:val="48"/>
      </w:rPr>
      <w:t>EL</w:t>
    </w:r>
    <w:r w:rsidRPr="007568ED">
      <w:rPr>
        <w:rFonts w:ascii="Arial" w:hAnsi="Arial" w:cs="Arial"/>
        <w:b/>
        <w:sz w:val="48"/>
      </w:rPr>
      <w:tab/>
    </w:r>
    <w:r>
      <w:fldChar w:fldCharType="begin"/>
    </w:r>
    <w:r>
      <w:instrText xml:space="preserve"> PAGE  \* MERGEFORMAT </w:instrText>
    </w:r>
    <w:r>
      <w:fldChar w:fldCharType="separate"/>
    </w:r>
    <w:r w:rsidR="000D3FD1">
      <w:rPr>
        <w:noProof/>
      </w:rPr>
      <w:t>14</w:t>
    </w:r>
    <w:r>
      <w:fldChar w:fldCharType="end"/>
    </w:r>
    <w:r>
      <w:tab/>
    </w:r>
    <w:r w:rsidRPr="007568ED">
      <w:tab/>
    </w:r>
    <w:r w:rsidRPr="007568ED">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ED" w:rsidRDefault="007568ED" w:rsidP="0075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41" w:rsidRDefault="001C5641" w:rsidP="00452BAF">
      <w:pPr>
        <w:spacing w:before="0" w:after="0"/>
      </w:pPr>
      <w:r>
        <w:separator/>
      </w:r>
    </w:p>
  </w:footnote>
  <w:footnote w:type="continuationSeparator" w:id="0">
    <w:p w:rsidR="001C5641" w:rsidRDefault="001C5641" w:rsidP="00452BAF">
      <w:pPr>
        <w:spacing w:before="0" w:after="0"/>
      </w:pPr>
      <w:r>
        <w:continuationSeparator/>
      </w:r>
    </w:p>
  </w:footnote>
  <w:footnote w:id="1">
    <w:p w:rsidR="003E799B" w:rsidRPr="006B13BC" w:rsidRDefault="003E799B" w:rsidP="003E799B">
      <w:pPr>
        <w:pStyle w:val="FootnoteText"/>
        <w:ind w:left="284" w:hanging="284"/>
      </w:pPr>
      <w:r>
        <w:rPr>
          <w:rStyle w:val="FootnoteReference"/>
        </w:rPr>
        <w:footnoteRef/>
      </w:r>
      <w:r w:rsidRPr="006B13BC">
        <w:tab/>
        <w:t>Δήλωση όσον αφορά το άρθρο</w:t>
      </w:r>
      <w:r>
        <w:t> </w:t>
      </w:r>
      <w:r w:rsidRPr="006B13BC">
        <w:t>8 της Συνθήκης για την Ευρωπαϊκή Ένωση «</w:t>
      </w:r>
      <w:r w:rsidRPr="006B13BC">
        <w:rPr>
          <w:i/>
        </w:rPr>
        <w:t>Η Ένωση λαμβάνει υπόψη της την ιδιαίτερη κατάσταση των χωρών μικρής εδαφικής έκτασης με τις οποίες διατηρεί ειδικές σχέσεις γειτονίας</w:t>
      </w:r>
      <w:r w:rsidRPr="006B13BC">
        <w:t>».</w:t>
      </w:r>
    </w:p>
  </w:footnote>
  <w:footnote w:id="2">
    <w:p w:rsidR="003E799B" w:rsidRPr="006B13BC" w:rsidRDefault="003E799B" w:rsidP="003E799B">
      <w:pPr>
        <w:pStyle w:val="FootnoteText"/>
        <w:ind w:left="284" w:hanging="284"/>
      </w:pPr>
      <w:r>
        <w:rPr>
          <w:rStyle w:val="FootnoteReference"/>
        </w:rPr>
        <w:footnoteRef/>
      </w:r>
      <w:r w:rsidRPr="006B13BC">
        <w:tab/>
        <w:t>Βλέπε παράρτημα</w:t>
      </w:r>
      <w:r>
        <w:t> VIII</w:t>
      </w:r>
      <w:r w:rsidRPr="006B13BC">
        <w:t xml:space="preserve"> της συμφωνίας για τον ΕΟΧ.</w:t>
      </w:r>
    </w:p>
  </w:footnote>
  <w:footnote w:id="3">
    <w:p w:rsidR="00CE426B" w:rsidRPr="006B13BC" w:rsidRDefault="00CE426B" w:rsidP="00614283">
      <w:pPr>
        <w:pStyle w:val="FootnoteText"/>
        <w:ind w:left="284" w:hanging="284"/>
        <w:rPr>
          <w:sz w:val="18"/>
          <w:szCs w:val="18"/>
        </w:rPr>
      </w:pPr>
      <w:r>
        <w:rPr>
          <w:rStyle w:val="FootnoteReference"/>
        </w:rPr>
        <w:footnoteRef/>
      </w:r>
      <w:r w:rsidRPr="006B13BC">
        <w:rPr>
          <w:sz w:val="18"/>
        </w:rPr>
        <w:tab/>
        <w:t>Ανακοίνωση της Επιτροπής σχετικά με τις σχέσεις της ΕΕ με το Πριγκιπάτο της Ανδόρας, το Πριγκιπάτο του Μονακό και τη Δημοκρατία του Αγίου Μαρίνου — επιλογές για τη στενότερη ολοκλήρωση με την ΕΕ (</w:t>
      </w:r>
      <w:r>
        <w:rPr>
          <w:sz w:val="18"/>
        </w:rPr>
        <w:t>COM</w:t>
      </w:r>
      <w:r w:rsidRPr="006B13BC">
        <w:rPr>
          <w:sz w:val="18"/>
        </w:rPr>
        <w:t xml:space="preserve"> (2012) 680 </w:t>
      </w:r>
      <w:r>
        <w:rPr>
          <w:sz w:val="18"/>
        </w:rPr>
        <w:t>final</w:t>
      </w:r>
      <w:r w:rsidRPr="006B13BC">
        <w:rPr>
          <w:sz w:val="18"/>
        </w:rPr>
        <w:t>/2), Βρυξέλλες 20.11.2012.</w:t>
      </w:r>
    </w:p>
  </w:footnote>
  <w:footnote w:id="4">
    <w:p w:rsidR="00CE426B" w:rsidRPr="0002012B" w:rsidRDefault="00CE426B" w:rsidP="00614283">
      <w:pPr>
        <w:pStyle w:val="NormalWeb"/>
        <w:spacing w:before="0" w:beforeAutospacing="0" w:after="0" w:afterAutospacing="0"/>
        <w:ind w:left="284" w:hanging="284"/>
        <w:jc w:val="both"/>
        <w:rPr>
          <w:sz w:val="18"/>
          <w:szCs w:val="18"/>
        </w:rPr>
      </w:pPr>
      <w:r>
        <w:rPr>
          <w:rStyle w:val="FootnoteReference"/>
        </w:rPr>
        <w:footnoteRef/>
      </w:r>
      <w:r>
        <w:rPr>
          <w:sz w:val="18"/>
        </w:rPr>
        <w:tab/>
        <w:t xml:space="preserve"> Έκθεση της Επιτροπής προς το Ευρωπαϊκό Κοινοβούλιο, το Συμβούλιο, την Ευρωπαϊκή Οικονομική και Κοινωνική Επιτροπή και την Επιτροπή των Περιφερειών – Οι σχέσεις της ΕΕ με το Πριγκιπάτο της Ανδόρας, το Πριγκιπάτο του Μονακό και τη Δημοκρατία του Αγίου Μαρίνου: Εναλλακτικές δυνατότητες για τη συμμετοχή τους στην εσωτερική αγορά (</w:t>
      </w:r>
      <w:r>
        <w:rPr>
          <w:rStyle w:val="Strong"/>
          <w:sz w:val="18"/>
        </w:rPr>
        <w:t>COM/2013/0793 final),</w:t>
      </w:r>
      <w:r>
        <w:rPr>
          <w:sz w:val="18"/>
        </w:rPr>
        <w:t xml:space="preserve"> Βρυξέλλες, 18.11.2013.</w:t>
      </w:r>
    </w:p>
  </w:footnote>
  <w:footnote w:id="5">
    <w:p w:rsidR="00CE426B" w:rsidRPr="006B13BC" w:rsidRDefault="00CE426B" w:rsidP="00614283">
      <w:pPr>
        <w:pStyle w:val="FootnoteText"/>
        <w:ind w:left="284" w:hanging="284"/>
        <w:rPr>
          <w:sz w:val="18"/>
          <w:szCs w:val="18"/>
        </w:rPr>
      </w:pPr>
      <w:r>
        <w:rPr>
          <w:rStyle w:val="FootnoteReference"/>
        </w:rPr>
        <w:footnoteRef/>
      </w:r>
      <w:r w:rsidRPr="006B13BC">
        <w:rPr>
          <w:sz w:val="18"/>
        </w:rPr>
        <w:tab/>
        <w:t xml:space="preserve">ΕΕ </w:t>
      </w:r>
      <w:r>
        <w:rPr>
          <w:sz w:val="18"/>
        </w:rPr>
        <w:t>L </w:t>
      </w:r>
      <w:r w:rsidRPr="006B13BC">
        <w:rPr>
          <w:sz w:val="18"/>
        </w:rPr>
        <w:t>374 της 31.12.1990, σ.</w:t>
      </w:r>
      <w:r>
        <w:rPr>
          <w:sz w:val="18"/>
        </w:rPr>
        <w:t> </w:t>
      </w:r>
      <w:r w:rsidRPr="006B13BC">
        <w:rPr>
          <w:sz w:val="18"/>
        </w:rPr>
        <w:t>16.</w:t>
      </w:r>
    </w:p>
  </w:footnote>
  <w:footnote w:id="6">
    <w:p w:rsidR="00CE426B" w:rsidRPr="006B13BC" w:rsidRDefault="00CE426B" w:rsidP="00614283">
      <w:pPr>
        <w:pStyle w:val="FootnoteText"/>
        <w:ind w:left="284" w:hanging="284"/>
        <w:rPr>
          <w:sz w:val="18"/>
          <w:szCs w:val="18"/>
        </w:rPr>
      </w:pPr>
      <w:r>
        <w:rPr>
          <w:rStyle w:val="FootnoteReference"/>
        </w:rPr>
        <w:footnoteRef/>
      </w:r>
      <w:r w:rsidRPr="006B13BC">
        <w:rPr>
          <w:sz w:val="18"/>
        </w:rPr>
        <w:tab/>
        <w:t xml:space="preserve">ΕΕ </w:t>
      </w:r>
      <w:r>
        <w:rPr>
          <w:sz w:val="18"/>
        </w:rPr>
        <w:t>L </w:t>
      </w:r>
      <w:r w:rsidRPr="006B13BC">
        <w:rPr>
          <w:sz w:val="18"/>
        </w:rPr>
        <w:t>135 της 28.5.2005, σ.</w:t>
      </w:r>
      <w:r>
        <w:rPr>
          <w:sz w:val="18"/>
        </w:rPr>
        <w:t> </w:t>
      </w:r>
      <w:r w:rsidRPr="006B13BC">
        <w:rPr>
          <w:sz w:val="18"/>
        </w:rPr>
        <w:t xml:space="preserve">14. </w:t>
      </w:r>
    </w:p>
  </w:footnote>
  <w:footnote w:id="7">
    <w:p w:rsidR="00CE426B" w:rsidRPr="006B13BC" w:rsidRDefault="00CE426B" w:rsidP="00614283">
      <w:pPr>
        <w:pStyle w:val="FootnoteText"/>
        <w:ind w:left="284" w:hanging="284"/>
        <w:rPr>
          <w:sz w:val="18"/>
          <w:szCs w:val="18"/>
        </w:rPr>
      </w:pPr>
      <w:r>
        <w:rPr>
          <w:rStyle w:val="FootnoteReference"/>
        </w:rPr>
        <w:footnoteRef/>
      </w:r>
      <w:r w:rsidRPr="006B13BC">
        <w:rPr>
          <w:sz w:val="18"/>
        </w:rPr>
        <w:tab/>
        <w:t xml:space="preserve">ΕΕ </w:t>
      </w:r>
      <w:r>
        <w:rPr>
          <w:sz w:val="18"/>
        </w:rPr>
        <w:t>C </w:t>
      </w:r>
      <w:r w:rsidRPr="006B13BC">
        <w:rPr>
          <w:sz w:val="18"/>
        </w:rPr>
        <w:t>369 της 17.12.2011, σ.</w:t>
      </w:r>
      <w:r>
        <w:rPr>
          <w:sz w:val="18"/>
        </w:rPr>
        <w:t> </w:t>
      </w:r>
      <w:r w:rsidRPr="006B13BC">
        <w:rPr>
          <w:sz w:val="18"/>
        </w:rPr>
        <w:t xml:space="preserve">1. </w:t>
      </w:r>
    </w:p>
  </w:footnote>
  <w:footnote w:id="8">
    <w:p w:rsidR="00CE426B" w:rsidRPr="006B13BC" w:rsidRDefault="00CE426B" w:rsidP="00614283">
      <w:pPr>
        <w:pStyle w:val="FootnoteText"/>
        <w:ind w:left="284" w:hanging="284"/>
        <w:rPr>
          <w:sz w:val="24"/>
          <w:szCs w:val="24"/>
        </w:rPr>
      </w:pPr>
      <w:r>
        <w:rPr>
          <w:rStyle w:val="FootnoteReference"/>
        </w:rPr>
        <w:footnoteRef/>
      </w:r>
      <w:r w:rsidRPr="006B13BC">
        <w:rPr>
          <w:sz w:val="18"/>
        </w:rPr>
        <w:tab/>
        <w:t xml:space="preserve">ΕΕ </w:t>
      </w:r>
      <w:r>
        <w:rPr>
          <w:sz w:val="18"/>
        </w:rPr>
        <w:t>C </w:t>
      </w:r>
      <w:r w:rsidRPr="006B13BC">
        <w:rPr>
          <w:sz w:val="18"/>
        </w:rPr>
        <w:t>359 της 4.12.2004, σ.</w:t>
      </w:r>
      <w:r>
        <w:rPr>
          <w:sz w:val="18"/>
        </w:rPr>
        <w:t> </w:t>
      </w:r>
      <w:r w:rsidRPr="006B13BC">
        <w:rPr>
          <w:sz w:val="18"/>
        </w:rPr>
        <w:t xml:space="preserve">33. </w:t>
      </w:r>
      <w:r w:rsidRPr="006B13BC">
        <w:rPr>
          <w:sz w:val="24"/>
        </w:rPr>
        <w:t xml:space="preserve"> </w:t>
      </w:r>
    </w:p>
  </w:footnote>
  <w:footnote w:id="9">
    <w:p w:rsidR="00CE426B" w:rsidRPr="006B13BC" w:rsidRDefault="00CE426B" w:rsidP="00614283">
      <w:pPr>
        <w:pStyle w:val="FootnoteText"/>
        <w:ind w:left="284" w:hanging="284"/>
        <w:rPr>
          <w:sz w:val="18"/>
          <w:szCs w:val="18"/>
        </w:rPr>
      </w:pPr>
      <w:r>
        <w:rPr>
          <w:rStyle w:val="FootnoteReference"/>
        </w:rPr>
        <w:footnoteRef/>
      </w:r>
      <w:r w:rsidRPr="006B13BC">
        <w:rPr>
          <w:sz w:val="18"/>
        </w:rPr>
        <w:tab/>
        <w:t xml:space="preserve">ΕΕ </w:t>
      </w:r>
      <w:r>
        <w:rPr>
          <w:sz w:val="18"/>
        </w:rPr>
        <w:t>C </w:t>
      </w:r>
      <w:r w:rsidRPr="006B13BC">
        <w:rPr>
          <w:sz w:val="18"/>
        </w:rPr>
        <w:t>302 της 22.11.1991, σ.</w:t>
      </w:r>
      <w:r>
        <w:rPr>
          <w:sz w:val="18"/>
        </w:rPr>
        <w:t> </w:t>
      </w:r>
      <w:r w:rsidRPr="006B13BC">
        <w:rPr>
          <w:sz w:val="18"/>
        </w:rPr>
        <w:t>12.</w:t>
      </w:r>
    </w:p>
  </w:footnote>
  <w:footnote w:id="10">
    <w:p w:rsidR="00CE426B" w:rsidRPr="006B13BC" w:rsidRDefault="00CE426B" w:rsidP="00614283">
      <w:pPr>
        <w:pStyle w:val="FootnoteText"/>
        <w:ind w:left="284" w:hanging="284"/>
        <w:rPr>
          <w:sz w:val="18"/>
          <w:szCs w:val="18"/>
        </w:rPr>
      </w:pPr>
      <w:r>
        <w:rPr>
          <w:rStyle w:val="FootnoteReference"/>
        </w:rPr>
        <w:footnoteRef/>
      </w:r>
      <w:r w:rsidRPr="006B13BC">
        <w:rPr>
          <w:sz w:val="18"/>
        </w:rPr>
        <w:tab/>
        <w:t xml:space="preserve">ΕΕ </w:t>
      </w:r>
      <w:r>
        <w:rPr>
          <w:sz w:val="18"/>
        </w:rPr>
        <w:t>C </w:t>
      </w:r>
      <w:r w:rsidRPr="006B13BC">
        <w:rPr>
          <w:sz w:val="18"/>
        </w:rPr>
        <w:t>121 της 26.4.2012, σ.</w:t>
      </w:r>
      <w:r>
        <w:rPr>
          <w:sz w:val="18"/>
        </w:rPr>
        <w:t> </w:t>
      </w:r>
      <w:r w:rsidRPr="006B13BC">
        <w:rPr>
          <w:sz w:val="18"/>
        </w:rPr>
        <w:t>5.</w:t>
      </w:r>
    </w:p>
  </w:footnote>
  <w:footnote w:id="11">
    <w:p w:rsidR="00CE426B" w:rsidRDefault="00CE426B" w:rsidP="00614283">
      <w:pPr>
        <w:pStyle w:val="FootnoteText"/>
        <w:ind w:left="284" w:hanging="284"/>
        <w:rPr>
          <w:sz w:val="24"/>
          <w:szCs w:val="24"/>
        </w:rPr>
      </w:pPr>
      <w:r>
        <w:rPr>
          <w:rStyle w:val="FootnoteReference"/>
        </w:rPr>
        <w:footnoteRef/>
      </w:r>
      <w:r>
        <w:rPr>
          <w:sz w:val="18"/>
        </w:rPr>
        <w:tab/>
        <w:t>ΕΕ C 381 της 28.12.2004, σ.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ED" w:rsidRDefault="00756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ED" w:rsidRDefault="0075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EBABBF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D221E1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5F2697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6F6CD0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5"/>
    <w:lvlOverride w:ilvl="0">
      <w:startOverride w:val="1"/>
    </w:lvlOverride>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 w:numId="10">
    <w:abstractNumId w:val="0"/>
  </w:num>
  <w:num w:numId="11">
    <w:abstractNumId w:val="13"/>
    <w:lvlOverride w:ilvl="0">
      <w:startOverride w:val="1"/>
    </w:lvlOverride>
  </w:num>
  <w:num w:numId="12">
    <w:abstractNumId w:val="20"/>
    <w:lvlOverride w:ilvl="0">
      <w:startOverride w:val="1"/>
    </w:lvlOverride>
  </w:num>
  <w:num w:numId="13">
    <w:abstractNumId w:val="17"/>
  </w:num>
  <w:num w:numId="14">
    <w:abstractNumId w:val="10"/>
  </w:num>
  <w:num w:numId="15">
    <w:abstractNumId w:val="19"/>
  </w:num>
  <w:num w:numId="16">
    <w:abstractNumId w:val="8"/>
  </w:num>
  <w:num w:numId="17">
    <w:abstractNumId w:val="11"/>
  </w:num>
  <w:num w:numId="18">
    <w:abstractNumId w:val="12"/>
  </w:num>
  <w:num w:numId="19">
    <w:abstractNumId w:val="6"/>
  </w:num>
  <w:num w:numId="20">
    <w:abstractNumId w:val="18"/>
  </w:num>
  <w:num w:numId="21">
    <w:abstractNumId w:val="5"/>
  </w:num>
  <w:num w:numId="22">
    <w:abstractNumId w:val="13"/>
  </w:num>
  <w:num w:numId="23">
    <w:abstractNumId w:val="15"/>
  </w:num>
  <w:num w:numId="24">
    <w:abstractNumId w:val="16"/>
  </w:num>
  <w:num w:numId="25">
    <w:abstractNumId w:val="7"/>
  </w:num>
  <w:num w:numId="26">
    <w:abstractNumId w:val="1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9-04 17:22: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6B5B958-1450-4156-BCCC-8E61A8988BFA"/>
    <w:docVar w:name="LW_COVERPAGE_TYPE" w:val="1"/>
    <w:docVar w:name="LW_CROSSREFERENCE" w:val="&lt;UNUSED&gt;"/>
    <w:docVar w:name="LW_DocType" w:val="COM"/>
    <w:docVar w:name="LW_EMISSION" w:val="26.4.2024"/>
    <w:docVar w:name="LW_EMISSION_ISODATE" w:val="2024-04-26"/>
    <w:docVar w:name="LW_EMISSION_LOCATION" w:val="BRX"/>
    <w:docVar w:name="LW_EMISSION_PREFIX" w:val="\u914?\u961?\u965?\u958?\u941?\u955?\u955?\u949?\u962?,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NLE"/>
    <w:docVar w:name="LW_REF.II.NEW.CP_NUMBER" w:val="0102"/>
    <w:docVar w:name="LW_REF.II.NEW.CP_YEAR" w:val="2024"/>
    <w:docVar w:name="LW_REF.INST.NEW" w:val="COM"/>
    <w:docVar w:name="LW_REF.INST.NEW_ADOPTED" w:val="final"/>
    <w:docVar w:name="LW_REF.INST.NEW_TEXT" w:val="(2024) 1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47?\u953?\u945? \u964?\u951?\u957? \u965?\u960?\u959?\u947?\u961?\u945?\u966?\u942?, \u949?\u958? \u959?\u957?\u972?\u956?\u945?\u964?\u959?\u962? \u964?\u951?\u962? \u917?\u965?\u961?\u969?\u960?\u945?\u970?\u954?\u942?\u962? \u904?\u957?\u969?\u963?\u951?\u962?, \u954?\u945?\u953? \u964?\u951?\u957? \u960?\u961?\u959?\u963?\u969?\u961?\u953?\u957?\u942? \u949?\u966?\u945?\u961?\u956?\u959?\u947?\u942? \u964?\u951?\u962? \u963?\u965?\u956?\u966?\u969?\u957?\u943?\u945?\u962? \u963?\u973?\u957?\u948?\u949?\u963?\u951?\u962? \u956?\u949?\u964?\u945?\u958?\u973? \u964?\u951?\u962? \u917?\u965?\u961?\u969?\u960?\u945?\u970?\u954?\u942?\u962? \u904?\u957?\u969?\u963?\u951?\u962? \u954?\u945?\u953? \u964?\u959?\u965? \u928?\u961?\u953?\u947?\u954?\u953?\u960?\u940?\u964?\u959?\u965? \u964?\u951?\u962? \u913?\u957?\u948?\u972?\u961?\u945?\u962? \u954?\u945?\u953? \u964?\u951?\u962? \u916?\u951?\u956?\u959?\u954?\u961?\u945?\u964?\u943?\u945?\u962? \u964?\u959?\u965? \u913?\u947?\u943?\u959?\u965? \u924?\u945?\u961?\u943?\u957?\u959?\u965? \u945?\u957?\u964?\u943?\u963?\u964?\u959?\u953?\u967?\u945?"/>
    <w:docVar w:name="LW_TYPE.DOC.CP" w:val="\u913?\u928?\u927?\u934?\u913?\u931?\u919? \u932?\u927?\u933? \u931?\u933?\u924?\u914?\u927?\u933?\u923?\u921?\u927?\u933?"/>
    <w:docVar w:name="LwApiVersions" w:val="LW4CoDe 1.24.5.0; LW 9.0, Build 20240221"/>
  </w:docVars>
  <w:rsids>
    <w:rsidRoot w:val="00452BAF"/>
    <w:rsid w:val="000017BD"/>
    <w:rsid w:val="0000227F"/>
    <w:rsid w:val="00003502"/>
    <w:rsid w:val="00014561"/>
    <w:rsid w:val="000536DD"/>
    <w:rsid w:val="00071B3F"/>
    <w:rsid w:val="000B4473"/>
    <w:rsid w:val="000D3FD1"/>
    <w:rsid w:val="001027F8"/>
    <w:rsid w:val="001065F5"/>
    <w:rsid w:val="0011547F"/>
    <w:rsid w:val="001238EF"/>
    <w:rsid w:val="001324BB"/>
    <w:rsid w:val="00160C8C"/>
    <w:rsid w:val="00172A40"/>
    <w:rsid w:val="001907A3"/>
    <w:rsid w:val="00197613"/>
    <w:rsid w:val="001B5475"/>
    <w:rsid w:val="001C2337"/>
    <w:rsid w:val="001C29FC"/>
    <w:rsid w:val="001C5641"/>
    <w:rsid w:val="001C6412"/>
    <w:rsid w:val="001F46F9"/>
    <w:rsid w:val="00222CC6"/>
    <w:rsid w:val="002339C2"/>
    <w:rsid w:val="00233DC7"/>
    <w:rsid w:val="00243AAA"/>
    <w:rsid w:val="00247779"/>
    <w:rsid w:val="0025591C"/>
    <w:rsid w:val="00285BEE"/>
    <w:rsid w:val="0029533F"/>
    <w:rsid w:val="002B30AF"/>
    <w:rsid w:val="002B372E"/>
    <w:rsid w:val="002C5B75"/>
    <w:rsid w:val="00301A6F"/>
    <w:rsid w:val="00302869"/>
    <w:rsid w:val="00316A3B"/>
    <w:rsid w:val="003255E3"/>
    <w:rsid w:val="0032578D"/>
    <w:rsid w:val="00331389"/>
    <w:rsid w:val="0033344A"/>
    <w:rsid w:val="00333F50"/>
    <w:rsid w:val="00343B77"/>
    <w:rsid w:val="00344F5B"/>
    <w:rsid w:val="00346355"/>
    <w:rsid w:val="0035284B"/>
    <w:rsid w:val="00353384"/>
    <w:rsid w:val="003533F2"/>
    <w:rsid w:val="00353887"/>
    <w:rsid w:val="0036168D"/>
    <w:rsid w:val="00363422"/>
    <w:rsid w:val="003647E2"/>
    <w:rsid w:val="00372E55"/>
    <w:rsid w:val="0037417B"/>
    <w:rsid w:val="003A253A"/>
    <w:rsid w:val="003E799B"/>
    <w:rsid w:val="003F59CF"/>
    <w:rsid w:val="0040090C"/>
    <w:rsid w:val="0042648E"/>
    <w:rsid w:val="00452BAF"/>
    <w:rsid w:val="0047499F"/>
    <w:rsid w:val="00474C69"/>
    <w:rsid w:val="004832F4"/>
    <w:rsid w:val="0048722D"/>
    <w:rsid w:val="00487C2A"/>
    <w:rsid w:val="004933C7"/>
    <w:rsid w:val="004936D2"/>
    <w:rsid w:val="004C113A"/>
    <w:rsid w:val="00521325"/>
    <w:rsid w:val="00532B1F"/>
    <w:rsid w:val="005365B9"/>
    <w:rsid w:val="0054418B"/>
    <w:rsid w:val="00567252"/>
    <w:rsid w:val="00571E89"/>
    <w:rsid w:val="00575C3B"/>
    <w:rsid w:val="00593681"/>
    <w:rsid w:val="00595444"/>
    <w:rsid w:val="005B1EB6"/>
    <w:rsid w:val="005D1EAD"/>
    <w:rsid w:val="005D6AB1"/>
    <w:rsid w:val="0060734F"/>
    <w:rsid w:val="00614283"/>
    <w:rsid w:val="00623CD7"/>
    <w:rsid w:val="00645B70"/>
    <w:rsid w:val="00650925"/>
    <w:rsid w:val="00662465"/>
    <w:rsid w:val="006646DA"/>
    <w:rsid w:val="006850F1"/>
    <w:rsid w:val="006A050B"/>
    <w:rsid w:val="006B13BC"/>
    <w:rsid w:val="006C757D"/>
    <w:rsid w:val="007004DE"/>
    <w:rsid w:val="00702D9E"/>
    <w:rsid w:val="007042E0"/>
    <w:rsid w:val="007073DC"/>
    <w:rsid w:val="007126B8"/>
    <w:rsid w:val="00722686"/>
    <w:rsid w:val="00724856"/>
    <w:rsid w:val="00733C4E"/>
    <w:rsid w:val="0075219A"/>
    <w:rsid w:val="00753926"/>
    <w:rsid w:val="007568ED"/>
    <w:rsid w:val="0076416F"/>
    <w:rsid w:val="00773331"/>
    <w:rsid w:val="0077624F"/>
    <w:rsid w:val="00791FFE"/>
    <w:rsid w:val="007932EF"/>
    <w:rsid w:val="0079486B"/>
    <w:rsid w:val="00797CE6"/>
    <w:rsid w:val="007E05B0"/>
    <w:rsid w:val="007E4A03"/>
    <w:rsid w:val="00856002"/>
    <w:rsid w:val="00872EAC"/>
    <w:rsid w:val="00874D22"/>
    <w:rsid w:val="00882C91"/>
    <w:rsid w:val="008A2914"/>
    <w:rsid w:val="008B716B"/>
    <w:rsid w:val="008C117A"/>
    <w:rsid w:val="008E2CED"/>
    <w:rsid w:val="008E4D8E"/>
    <w:rsid w:val="008E7E08"/>
    <w:rsid w:val="00916210"/>
    <w:rsid w:val="009256BD"/>
    <w:rsid w:val="009274B6"/>
    <w:rsid w:val="00936BED"/>
    <w:rsid w:val="00946BC3"/>
    <w:rsid w:val="00957EEC"/>
    <w:rsid w:val="009821E0"/>
    <w:rsid w:val="009A0D0D"/>
    <w:rsid w:val="009B7232"/>
    <w:rsid w:val="009B7D79"/>
    <w:rsid w:val="009F1AB0"/>
    <w:rsid w:val="00A311D8"/>
    <w:rsid w:val="00A348F9"/>
    <w:rsid w:val="00A666AB"/>
    <w:rsid w:val="00AA2EFF"/>
    <w:rsid w:val="00AA726E"/>
    <w:rsid w:val="00AC0DA5"/>
    <w:rsid w:val="00AD2C9C"/>
    <w:rsid w:val="00AE2090"/>
    <w:rsid w:val="00B004A9"/>
    <w:rsid w:val="00B009A7"/>
    <w:rsid w:val="00B05177"/>
    <w:rsid w:val="00B1135A"/>
    <w:rsid w:val="00B322E7"/>
    <w:rsid w:val="00B3400B"/>
    <w:rsid w:val="00B408EC"/>
    <w:rsid w:val="00B42CB0"/>
    <w:rsid w:val="00B459C6"/>
    <w:rsid w:val="00B676FF"/>
    <w:rsid w:val="00B74A6F"/>
    <w:rsid w:val="00B775FC"/>
    <w:rsid w:val="00B91B56"/>
    <w:rsid w:val="00BA485C"/>
    <w:rsid w:val="00BB0441"/>
    <w:rsid w:val="00BB4E46"/>
    <w:rsid w:val="00BB7BDD"/>
    <w:rsid w:val="00BC446B"/>
    <w:rsid w:val="00C12301"/>
    <w:rsid w:val="00C234BB"/>
    <w:rsid w:val="00C56200"/>
    <w:rsid w:val="00C716CB"/>
    <w:rsid w:val="00C8191D"/>
    <w:rsid w:val="00CA078F"/>
    <w:rsid w:val="00CC4DE2"/>
    <w:rsid w:val="00CC5922"/>
    <w:rsid w:val="00CE426B"/>
    <w:rsid w:val="00CF25E1"/>
    <w:rsid w:val="00D137C2"/>
    <w:rsid w:val="00D1496E"/>
    <w:rsid w:val="00D20381"/>
    <w:rsid w:val="00D21DA0"/>
    <w:rsid w:val="00D2268D"/>
    <w:rsid w:val="00D257D8"/>
    <w:rsid w:val="00D346E8"/>
    <w:rsid w:val="00D42B54"/>
    <w:rsid w:val="00D879E8"/>
    <w:rsid w:val="00DB2A8B"/>
    <w:rsid w:val="00DB4DE6"/>
    <w:rsid w:val="00DB6A95"/>
    <w:rsid w:val="00DD3984"/>
    <w:rsid w:val="00DE7797"/>
    <w:rsid w:val="00DF1FC3"/>
    <w:rsid w:val="00DF3733"/>
    <w:rsid w:val="00DF632C"/>
    <w:rsid w:val="00E03C8C"/>
    <w:rsid w:val="00E05CB1"/>
    <w:rsid w:val="00E34AB4"/>
    <w:rsid w:val="00E462F9"/>
    <w:rsid w:val="00E7556A"/>
    <w:rsid w:val="00E81AF3"/>
    <w:rsid w:val="00E8332E"/>
    <w:rsid w:val="00E86115"/>
    <w:rsid w:val="00E904FD"/>
    <w:rsid w:val="00EA2AEA"/>
    <w:rsid w:val="00EE022A"/>
    <w:rsid w:val="00EE7C6B"/>
    <w:rsid w:val="00EF1780"/>
    <w:rsid w:val="00F40508"/>
    <w:rsid w:val="00F631FD"/>
    <w:rsid w:val="00F713D1"/>
    <w:rsid w:val="00F82BD3"/>
    <w:rsid w:val="00FB0503"/>
    <w:rsid w:val="00FC38F8"/>
    <w:rsid w:val="00FD0A72"/>
    <w:rsid w:val="00FD0BC4"/>
    <w:rsid w:val="00FD74E3"/>
    <w:rsid w:val="00FF059F"/>
    <w:rsid w:val="00FF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4CD7DF20-5AEF-4B8B-84FE-41D6BF68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452BAF"/>
    <w:pPr>
      <w:spacing w:before="0" w:after="160" w:line="240" w:lineRule="exact"/>
      <w:jc w:val="left"/>
    </w:pPr>
    <w:rPr>
      <w:rFonts w:asciiTheme="minorHAnsi" w:hAnsiTheme="minorHAnsi" w:cstheme="minorBidi"/>
      <w:sz w:val="22"/>
      <w:vertAlign w:val="superscript"/>
    </w:rPr>
  </w:style>
  <w:style w:type="paragraph" w:styleId="NormalWeb">
    <w:name w:val="Normal (Web)"/>
    <w:basedOn w:val="Normal"/>
    <w:uiPriority w:val="99"/>
    <w:unhideWhenUsed/>
    <w:rsid w:val="00452BAF"/>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sid w:val="00452BAF"/>
    <w:rPr>
      <w:b/>
      <w:bCs/>
    </w:rPr>
  </w:style>
  <w:style w:type="paragraph" w:customStyle="1" w:styleId="ListBullet1">
    <w:name w:val="List Bullet 1"/>
    <w:basedOn w:val="Normal"/>
    <w:rsid w:val="00CE426B"/>
    <w:pPr>
      <w:numPr>
        <w:numId w:val="1"/>
      </w:numPr>
    </w:pPr>
    <w:rPr>
      <w:rFonts w:eastAsia="Times New Roman"/>
      <w:lang w:eastAsia="de-DE"/>
    </w:rPr>
  </w:style>
  <w:style w:type="table" w:styleId="TableGrid">
    <w:name w:val="Table Grid"/>
    <w:basedOn w:val="TableNormal"/>
    <w:rsid w:val="003528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4">
    <w:name w:val="List Dash 4"/>
    <w:basedOn w:val="Normal"/>
    <w:rsid w:val="00B459C6"/>
    <w:pPr>
      <w:numPr>
        <w:numId w:val="3"/>
      </w:numPr>
    </w:pPr>
    <w:rPr>
      <w:rFonts w:eastAsia="Times New Roman"/>
      <w:lang w:eastAsia="en-GB"/>
    </w:rPr>
  </w:style>
  <w:style w:type="paragraph" w:styleId="ListBullet">
    <w:name w:val="List Bullet"/>
    <w:basedOn w:val="Normal"/>
    <w:uiPriority w:val="99"/>
    <w:semiHidden/>
    <w:unhideWhenUsed/>
    <w:rsid w:val="00316A3B"/>
    <w:pPr>
      <w:numPr>
        <w:numId w:val="7"/>
      </w:numPr>
      <w:contextualSpacing/>
    </w:pPr>
  </w:style>
  <w:style w:type="paragraph" w:styleId="ListBullet2">
    <w:name w:val="List Bullet 2"/>
    <w:basedOn w:val="Normal"/>
    <w:uiPriority w:val="99"/>
    <w:semiHidden/>
    <w:unhideWhenUsed/>
    <w:rsid w:val="00316A3B"/>
    <w:pPr>
      <w:numPr>
        <w:numId w:val="8"/>
      </w:numPr>
      <w:contextualSpacing/>
    </w:pPr>
  </w:style>
  <w:style w:type="paragraph" w:styleId="ListBullet3">
    <w:name w:val="List Bullet 3"/>
    <w:basedOn w:val="Normal"/>
    <w:uiPriority w:val="99"/>
    <w:semiHidden/>
    <w:unhideWhenUsed/>
    <w:rsid w:val="00316A3B"/>
    <w:pPr>
      <w:numPr>
        <w:numId w:val="9"/>
      </w:numPr>
      <w:contextualSpacing/>
    </w:pPr>
  </w:style>
  <w:style w:type="paragraph" w:styleId="ListBullet4">
    <w:name w:val="List Bullet 4"/>
    <w:basedOn w:val="Normal"/>
    <w:uiPriority w:val="99"/>
    <w:semiHidden/>
    <w:unhideWhenUsed/>
    <w:rsid w:val="00316A3B"/>
    <w:pPr>
      <w:numPr>
        <w:numId w:val="10"/>
      </w:numPr>
      <w:contextualSpacing/>
    </w:pPr>
  </w:style>
  <w:style w:type="character" w:styleId="CommentReference">
    <w:name w:val="annotation reference"/>
    <w:basedOn w:val="DefaultParagraphFont"/>
    <w:uiPriority w:val="99"/>
    <w:semiHidden/>
    <w:unhideWhenUsed/>
    <w:rsid w:val="00E8332E"/>
    <w:rPr>
      <w:sz w:val="16"/>
      <w:szCs w:val="16"/>
    </w:rPr>
  </w:style>
  <w:style w:type="paragraph" w:styleId="CommentText">
    <w:name w:val="annotation text"/>
    <w:basedOn w:val="Normal"/>
    <w:link w:val="CommentTextChar"/>
    <w:uiPriority w:val="99"/>
    <w:semiHidden/>
    <w:unhideWhenUsed/>
    <w:rsid w:val="00E8332E"/>
    <w:rPr>
      <w:sz w:val="20"/>
      <w:szCs w:val="20"/>
    </w:rPr>
  </w:style>
  <w:style w:type="character" w:customStyle="1" w:styleId="CommentTextChar">
    <w:name w:val="Comment Text Char"/>
    <w:basedOn w:val="DefaultParagraphFont"/>
    <w:link w:val="CommentText"/>
    <w:uiPriority w:val="99"/>
    <w:semiHidden/>
    <w:rsid w:val="00E8332E"/>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E8332E"/>
    <w:rPr>
      <w:b/>
      <w:bCs/>
    </w:rPr>
  </w:style>
  <w:style w:type="character" w:customStyle="1" w:styleId="CommentSubjectChar">
    <w:name w:val="Comment Subject Char"/>
    <w:basedOn w:val="CommentTextChar"/>
    <w:link w:val="CommentSubject"/>
    <w:uiPriority w:val="99"/>
    <w:semiHidden/>
    <w:rsid w:val="00E8332E"/>
    <w:rPr>
      <w:rFonts w:ascii="Times New Roman" w:hAnsi="Times New Roman" w:cs="Times New Roman"/>
      <w:b/>
      <w:bCs/>
      <w:sz w:val="20"/>
      <w:szCs w:val="20"/>
      <w:lang w:val="el-GR"/>
    </w:rPr>
  </w:style>
  <w:style w:type="character" w:styleId="Hyperlink">
    <w:name w:val="Hyperlink"/>
    <w:basedOn w:val="DefaultParagraphFont"/>
    <w:uiPriority w:val="99"/>
    <w:unhideWhenUsed/>
    <w:rsid w:val="00E8332E"/>
    <w:rPr>
      <w:color w:val="0000FF" w:themeColor="hyperlink"/>
      <w:u w:val="single"/>
    </w:rPr>
  </w:style>
  <w:style w:type="character" w:customStyle="1" w:styleId="UnresolvedMention">
    <w:name w:val="Unresolved Mention"/>
    <w:basedOn w:val="DefaultParagraphFont"/>
    <w:uiPriority w:val="99"/>
    <w:semiHidden/>
    <w:unhideWhenUsed/>
    <w:rsid w:val="00E8332E"/>
    <w:rPr>
      <w:color w:val="605E5C"/>
      <w:shd w:val="clear" w:color="auto" w:fill="E1DFDD"/>
    </w:rPr>
  </w:style>
  <w:style w:type="paragraph" w:styleId="Revision">
    <w:name w:val="Revision"/>
    <w:hidden/>
    <w:uiPriority w:val="99"/>
    <w:semiHidden/>
    <w:rsid w:val="0036168D"/>
    <w:pPr>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7568ED"/>
    <w:rPr>
      <w:rFonts w:ascii="Times New Roman" w:hAnsi="Times New Roman" w:cs="Times New Roman"/>
      <w:sz w:val="24"/>
      <w:lang w:val="el-GR"/>
    </w:rPr>
  </w:style>
  <w:style w:type="character" w:customStyle="1" w:styleId="FooterChar">
    <w:name w:val="Footer Char"/>
    <w:basedOn w:val="DefaultParagraphFont"/>
    <w:link w:val="Footer"/>
    <w:uiPriority w:val="99"/>
    <w:rsid w:val="007568ED"/>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trefChar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7568E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568ED"/>
    <w:pPr>
      <w:spacing w:before="0"/>
      <w:jc w:val="right"/>
    </w:pPr>
    <w:rPr>
      <w:sz w:val="28"/>
    </w:rPr>
  </w:style>
  <w:style w:type="paragraph" w:customStyle="1" w:styleId="FooterSensitivity">
    <w:name w:val="Footer Sensitivity"/>
    <w:basedOn w:val="Normal"/>
    <w:rsid w:val="007568E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7568ED"/>
    <w:pPr>
      <w:tabs>
        <w:tab w:val="center" w:pos="4535"/>
        <w:tab w:val="right" w:pos="9071"/>
      </w:tabs>
      <w:spacing w:before="0"/>
    </w:pPr>
  </w:style>
  <w:style w:type="paragraph" w:customStyle="1" w:styleId="HeaderLandscape">
    <w:name w:val="HeaderLandscape"/>
    <w:basedOn w:val="Normal"/>
    <w:rsid w:val="007568ED"/>
    <w:pPr>
      <w:tabs>
        <w:tab w:val="center" w:pos="7285"/>
        <w:tab w:val="right" w:pos="14003"/>
      </w:tabs>
      <w:spacing w:before="0"/>
    </w:pPr>
  </w:style>
  <w:style w:type="paragraph" w:styleId="Footer">
    <w:name w:val="footer"/>
    <w:basedOn w:val="Normal"/>
    <w:link w:val="FooterChar"/>
    <w:uiPriority w:val="99"/>
    <w:unhideWhenUsed/>
    <w:rsid w:val="007568E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7568E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84996">
      <w:bodyDiv w:val="1"/>
      <w:marLeft w:val="0"/>
      <w:marRight w:val="0"/>
      <w:marTop w:val="0"/>
      <w:marBottom w:val="0"/>
      <w:divBdr>
        <w:top w:val="none" w:sz="0" w:space="0" w:color="auto"/>
        <w:left w:val="none" w:sz="0" w:space="0" w:color="auto"/>
        <w:bottom w:val="none" w:sz="0" w:space="0" w:color="auto"/>
        <w:right w:val="none" w:sz="0" w:space="0" w:color="auto"/>
      </w:divBdr>
    </w:div>
    <w:div w:id="902717699">
      <w:bodyDiv w:val="1"/>
      <w:marLeft w:val="0"/>
      <w:marRight w:val="0"/>
      <w:marTop w:val="0"/>
      <w:marBottom w:val="0"/>
      <w:divBdr>
        <w:top w:val="none" w:sz="0" w:space="0" w:color="auto"/>
        <w:left w:val="none" w:sz="0" w:space="0" w:color="auto"/>
        <w:bottom w:val="none" w:sz="0" w:space="0" w:color="auto"/>
        <w:right w:val="none" w:sz="0" w:space="0" w:color="auto"/>
      </w:divBdr>
    </w:div>
    <w:div w:id="918103832">
      <w:bodyDiv w:val="1"/>
      <w:marLeft w:val="0"/>
      <w:marRight w:val="0"/>
      <w:marTop w:val="0"/>
      <w:marBottom w:val="0"/>
      <w:divBdr>
        <w:top w:val="none" w:sz="0" w:space="0" w:color="auto"/>
        <w:left w:val="none" w:sz="0" w:space="0" w:color="auto"/>
        <w:bottom w:val="none" w:sz="0" w:space="0" w:color="auto"/>
        <w:right w:val="none" w:sz="0" w:space="0" w:color="auto"/>
      </w:divBdr>
    </w:div>
    <w:div w:id="960960132">
      <w:bodyDiv w:val="1"/>
      <w:marLeft w:val="0"/>
      <w:marRight w:val="0"/>
      <w:marTop w:val="0"/>
      <w:marBottom w:val="0"/>
      <w:divBdr>
        <w:top w:val="none" w:sz="0" w:space="0" w:color="auto"/>
        <w:left w:val="none" w:sz="0" w:space="0" w:color="auto"/>
        <w:bottom w:val="none" w:sz="0" w:space="0" w:color="auto"/>
        <w:right w:val="none" w:sz="0" w:space="0" w:color="auto"/>
      </w:divBdr>
    </w:div>
    <w:div w:id="1004940193">
      <w:bodyDiv w:val="1"/>
      <w:marLeft w:val="0"/>
      <w:marRight w:val="0"/>
      <w:marTop w:val="0"/>
      <w:marBottom w:val="0"/>
      <w:divBdr>
        <w:top w:val="none" w:sz="0" w:space="0" w:color="auto"/>
        <w:left w:val="none" w:sz="0" w:space="0" w:color="auto"/>
        <w:bottom w:val="none" w:sz="0" w:space="0" w:color="auto"/>
        <w:right w:val="none" w:sz="0" w:space="0" w:color="auto"/>
      </w:divBdr>
    </w:div>
    <w:div w:id="17166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0FB2F397B3D448BFDC6DF71B5B186" ma:contentTypeVersion="10" ma:contentTypeDescription="Create a new document." ma:contentTypeScope="" ma:versionID="3dfeb3d455d3bd062a2651bb7e8c9ffd">
  <xsd:schema xmlns:xsd="http://www.w3.org/2001/XMLSchema" xmlns:xs="http://www.w3.org/2001/XMLSchema" xmlns:p="http://schemas.microsoft.com/office/2006/metadata/properties" xmlns:ns3="ba75fd84-9932-4f20-bd9a-caf75fd0bd51" xmlns:ns4="ffb6d218-e4ef-4c97-8942-1bf8159ddab9" targetNamespace="http://schemas.microsoft.com/office/2006/metadata/properties" ma:root="true" ma:fieldsID="b5871cef331ba57b3510bf01a1f8aac1" ns3:_="" ns4:_="">
    <xsd:import namespace="ba75fd84-9932-4f20-bd9a-caf75fd0bd51"/>
    <xsd:import namespace="ffb6d218-e4ef-4c97-8942-1bf8159dda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fd84-9932-4f20-bd9a-caf75fd0bd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6d218-e4ef-4c97-8942-1bf8159dda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90FC-0876-45BA-B3B7-48185B975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fd84-9932-4f20-bd9a-caf75fd0bd51"/>
    <ds:schemaRef ds:uri="ffb6d218-e4ef-4c97-8942-1bf8159d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60D16-3431-43B4-891A-7B402FF7A7BF}">
  <ds:schemaRefs>
    <ds:schemaRef ds:uri="http://purl.org/dc/dcmitype/"/>
    <ds:schemaRef ds:uri="http://schemas.microsoft.com/office/2006/documentManagement/types"/>
    <ds:schemaRef ds:uri="http://purl.org/dc/terms/"/>
    <ds:schemaRef ds:uri="ffb6d218-e4ef-4c97-8942-1bf8159ddab9"/>
    <ds:schemaRef ds:uri="http://schemas.openxmlformats.org/package/2006/metadata/core-properties"/>
    <ds:schemaRef ds:uri="http://www.w3.org/XML/1998/namespace"/>
    <ds:schemaRef ds:uri="http://schemas.microsoft.com/office/infopath/2007/PartnerControls"/>
    <ds:schemaRef ds:uri="ba75fd84-9932-4f20-bd9a-caf75fd0bd5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68B5464-2416-4591-8163-8576B54D4CB3}">
  <ds:schemaRefs>
    <ds:schemaRef ds:uri="http://schemas.microsoft.com/sharepoint/v3/contenttype/forms"/>
  </ds:schemaRefs>
</ds:datastoreItem>
</file>

<file path=customXml/itemProps4.xml><?xml version="1.0" encoding="utf-8"?>
<ds:datastoreItem xmlns:ds="http://schemas.openxmlformats.org/officeDocument/2006/customXml" ds:itemID="{19A1880D-31AC-44E3-9531-5C39E5F9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68</TotalTime>
  <Pages>10</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cp:lastPrinted>2024-04-23T07:25:00Z</cp:lastPrinted>
  <dcterms:created xsi:type="dcterms:W3CDTF">2024-04-22T15:55:00Z</dcterms:created>
  <dcterms:modified xsi:type="dcterms:W3CDTF">2024-09-04T15:22:00Z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0x0101003580FB2F397B3D448BFDC6DF71B5B186</vt:lpwstr>
  </property>
  <property fmtid="{D5CDD505-2E9C-101B-9397-08002B2CF9AE}" pid="11" name="MSIP_Label_6bd9ddd1-4d20-43f6-abfa-fc3c07406f94_Enabled">
    <vt:lpwstr>true</vt:lpwstr>
  </property>
  <property fmtid="{D5CDD505-2E9C-101B-9397-08002B2CF9AE}" pid="12" name="MSIP_Label_6bd9ddd1-4d20-43f6-abfa-fc3c07406f94_SetDate">
    <vt:lpwstr>2024-04-21T19:38:17Z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0cca1cb1-83f6-484e-b310-cdc7123ee77b</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