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4C464" w14:textId="1B45C74E" w:rsidR="00936104" w:rsidRPr="008C5AF8" w:rsidRDefault="00150DCB" w:rsidP="00150DCB">
      <w:pPr>
        <w:pStyle w:val="Pagedecouverture"/>
        <w:rPr>
          <w:noProof/>
        </w:rPr>
      </w:pPr>
      <w:r>
        <w:rPr>
          <w:noProof/>
        </w:rPr>
        <w:pict w14:anchorId="018BA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FB32339-9131-4CC3-B492-527173C3B5DF" style="width:455.25pt;height:414pt">
            <v:imagedata r:id="rId12" o:title=""/>
          </v:shape>
        </w:pict>
      </w:r>
    </w:p>
    <w:p w14:paraId="524EF93C" w14:textId="77777777" w:rsidR="00936104" w:rsidRPr="008C5AF8" w:rsidRDefault="00936104" w:rsidP="00936104">
      <w:pPr>
        <w:rPr>
          <w:noProof/>
        </w:rPr>
        <w:sectPr w:rsidR="00936104" w:rsidRPr="008C5AF8" w:rsidSect="00150DCB">
          <w:footerReference w:type="even" r:id="rId13"/>
          <w:footerReference w:type="default" r:id="rId14"/>
          <w:pgSz w:w="11907" w:h="16839"/>
          <w:pgMar w:top="1134" w:right="1417" w:bottom="1134" w:left="1417" w:header="709" w:footer="709" w:gutter="0"/>
          <w:pgNumType w:start="0"/>
          <w:cols w:space="720"/>
          <w:docGrid w:linePitch="360"/>
        </w:sectPr>
      </w:pPr>
    </w:p>
    <w:p w14:paraId="3ABC4285" w14:textId="77777777" w:rsidR="00936104" w:rsidRPr="008C5AF8" w:rsidRDefault="00936104" w:rsidP="00BB6B30">
      <w:pPr>
        <w:pStyle w:val="Exposdesmotifstitre"/>
        <w:rPr>
          <w:noProof/>
        </w:rPr>
      </w:pPr>
      <w:bookmarkStart w:id="0" w:name="_GoBack"/>
      <w:bookmarkEnd w:id="0"/>
      <w:r w:rsidRPr="008C5AF8">
        <w:rPr>
          <w:noProof/>
        </w:rPr>
        <w:lastRenderedPageBreak/>
        <w:t>EXPOSIÇÃO DE MOTIVOS</w:t>
      </w:r>
    </w:p>
    <w:p w14:paraId="6350CC58" w14:textId="77777777" w:rsidR="00936104" w:rsidRPr="008C5AF8" w:rsidRDefault="00936104" w:rsidP="00BB6B30">
      <w:pPr>
        <w:pStyle w:val="ManualHeading1"/>
        <w:rPr>
          <w:noProof/>
        </w:rPr>
      </w:pPr>
      <w:r w:rsidRPr="008C5AF8">
        <w:rPr>
          <w:noProof/>
        </w:rPr>
        <w:t>1.</w:t>
      </w:r>
      <w:r w:rsidRPr="008C5AF8">
        <w:rPr>
          <w:noProof/>
        </w:rPr>
        <w:tab/>
        <w:t>CONTEXTO DA PROPOSTA</w:t>
      </w:r>
    </w:p>
    <w:p w14:paraId="2DBC389E" w14:textId="77777777" w:rsidR="00936104" w:rsidRPr="008C5AF8" w:rsidRDefault="00936104" w:rsidP="00044058">
      <w:pPr>
        <w:pStyle w:val="ManualHeading2"/>
        <w:rPr>
          <w:rFonts w:eastAsia="Arial Unicode MS"/>
          <w:noProof/>
        </w:rPr>
      </w:pPr>
      <w:r w:rsidRPr="008C5AF8">
        <w:rPr>
          <w:noProof/>
          <w:color w:val="000000"/>
          <w:u w:color="000000"/>
          <w:bdr w:val="nil"/>
        </w:rPr>
        <w:t>•</w:t>
      </w:r>
      <w:r w:rsidRPr="008C5AF8">
        <w:rPr>
          <w:noProof/>
          <w:color w:val="000000"/>
          <w:u w:color="000000"/>
          <w:bdr w:val="nil"/>
        </w:rPr>
        <w:tab/>
      </w:r>
      <w:r w:rsidRPr="008C5AF8">
        <w:rPr>
          <w:noProof/>
        </w:rPr>
        <w:t>Razões e objetivos da proposta</w:t>
      </w:r>
    </w:p>
    <w:p w14:paraId="28D4C769" w14:textId="77777777" w:rsidR="00A52CBD" w:rsidRPr="008C5AF8" w:rsidRDefault="00A52CBD" w:rsidP="00A52CBD">
      <w:pPr>
        <w:rPr>
          <w:noProof/>
        </w:rPr>
      </w:pPr>
      <w:r w:rsidRPr="008C5AF8">
        <w:rPr>
          <w:noProof/>
        </w:rPr>
        <w:t>Em 17 de abril de 2018, a Comissão adotou uma proposta de regulamento que visa reforçar a segurança dos bilhetes de identidade dos cidadãos da União e dos títulos de residência emitidos aos cidadãos da União e seus familiares que exercem o direito à livre circulação</w:t>
      </w:r>
      <w:r w:rsidRPr="008C5AF8">
        <w:rPr>
          <w:rStyle w:val="FootnoteReference"/>
          <w:noProof/>
        </w:rPr>
        <w:footnoteReference w:id="2"/>
      </w:r>
      <w:r w:rsidRPr="008C5AF8">
        <w:rPr>
          <w:noProof/>
        </w:rPr>
        <w:t>. A Comissão propôs que o Parlamento e o Conselho tomassem como base jurídica para o regulamento o artigo 21.º, n.º 2, do Tratado sobre o Funcionamento da União Europeia (TFUE). Com base nessa proposta, o Parlamento e o Conselho adotaram, em 20 de junho de 2019, o Regulamento (UE) 2019/1157</w:t>
      </w:r>
      <w:r w:rsidRPr="008C5AF8">
        <w:rPr>
          <w:rStyle w:val="FootnoteReference"/>
          <w:noProof/>
        </w:rPr>
        <w:footnoteReference w:id="3"/>
      </w:r>
      <w:r w:rsidRPr="008C5AF8">
        <w:rPr>
          <w:noProof/>
        </w:rPr>
        <w:t>, que está em vigor desde 2 de agosto de 2021.</w:t>
      </w:r>
    </w:p>
    <w:p w14:paraId="05F2E1F6" w14:textId="77777777" w:rsidR="00A52CBD" w:rsidRPr="008C5AF8" w:rsidRDefault="00A52CBD" w:rsidP="00A52CBD">
      <w:pPr>
        <w:rPr>
          <w:noProof/>
        </w:rPr>
      </w:pPr>
      <w:r w:rsidRPr="008C5AF8">
        <w:rPr>
          <w:noProof/>
        </w:rPr>
        <w:t xml:space="preserve">No processo </w:t>
      </w:r>
      <w:r w:rsidRPr="008C5AF8">
        <w:rPr>
          <w:i/>
          <w:noProof/>
        </w:rPr>
        <w:t>Landeshauptstadt Wiesbaden</w:t>
      </w:r>
      <w:r w:rsidRPr="008C5AF8">
        <w:rPr>
          <w:rStyle w:val="FootnoteReference"/>
          <w:noProof/>
        </w:rPr>
        <w:footnoteReference w:id="4"/>
      </w:r>
      <w:r w:rsidRPr="008C5AF8">
        <w:rPr>
          <w:noProof/>
        </w:rPr>
        <w:t>, o Tribunal de Justiça declarou o Regulamento (UE) 2019/1157 inválido por ter sido adotado erradamente ao abrigo do artigo 21.º, n.º 2, do TFUE e em aplicação do processo legislativo ordinário. Segundo o Tribunal, o Regulamento (UE) 2019/1157 é uma das medidas abrangidas pelo âmbito de aplicação específico do artigo 77.º, n.º 3, do TFUE, o qual prevê um processo legislativo especial e, mais particularmente, a unanimidade no Conselho.</w:t>
      </w:r>
    </w:p>
    <w:p w14:paraId="51D35389" w14:textId="77777777" w:rsidR="00AC447E" w:rsidRPr="008C5AF8" w:rsidRDefault="00AC447E" w:rsidP="00A52CBD">
      <w:pPr>
        <w:rPr>
          <w:noProof/>
        </w:rPr>
      </w:pPr>
      <w:r w:rsidRPr="008C5AF8">
        <w:rPr>
          <w:noProof/>
        </w:rPr>
        <w:t>Embora tenha declarado inválido o Regulamento (UE) 2019/1157, o Tribunal de Justiça declarou que os «</w:t>
      </w:r>
      <w:r w:rsidRPr="008C5AF8">
        <w:rPr>
          <w:i/>
          <w:noProof/>
        </w:rPr>
        <w:t>efeitos do Regulamento 2019/1157 são mantidos até à entrada em vigor, num prazo razoável que não pode exceder dois anos a contar de 1 de janeiro do ano que se segue à data da prolação do presente acórdão, de um novo regulamento, baseado no artigo 77.º, n. º 3, TFUE, chamado a substituí‑lo</w:t>
      </w:r>
      <w:r w:rsidRPr="008C5AF8">
        <w:rPr>
          <w:noProof/>
        </w:rPr>
        <w:t>».</w:t>
      </w:r>
    </w:p>
    <w:p w14:paraId="33389F50" w14:textId="77777777" w:rsidR="00A52CBD" w:rsidRPr="008C5AF8" w:rsidRDefault="00AC447E" w:rsidP="00AC447E">
      <w:pPr>
        <w:rPr>
          <w:noProof/>
        </w:rPr>
      </w:pPr>
      <w:r w:rsidRPr="008C5AF8">
        <w:rPr>
          <w:noProof/>
        </w:rPr>
        <w:t>O objetivo da presente proposta é dar início ao procedimento para que um novo regulamento relativo ao reforço da segurança dos bilhetes de identidade dos cidadãos da União e dos títulos de residência emitidos aos cidadãos da União e seus familiares que exercem o direito à livre circulação seja adotado com a base jurídica adequada, a saber o artigo 77.º, n.º 3, do TFUE.</w:t>
      </w:r>
    </w:p>
    <w:p w14:paraId="1E449329" w14:textId="77777777" w:rsidR="007F2AD0" w:rsidRPr="008C5AF8" w:rsidRDefault="007F2AD0" w:rsidP="007F2AD0">
      <w:pPr>
        <w:rPr>
          <w:noProof/>
        </w:rPr>
      </w:pPr>
      <w:r w:rsidRPr="008C5AF8">
        <w:rPr>
          <w:noProof/>
        </w:rPr>
        <w:t>A presente proposta reproduz, no essencial, o texto do Regulamento (UE) 2019/1157, tal como adotado pelo Parlamento e pelo Conselho. Em especial, o Tribunal de Justiça declarou que as restrições ao direito ao respeito pela vida privada e ao direito à proteção dos dados pessoais, consagrados, respetivamente, nos artigos 7.º e 8.º da Carta, que decorrem da obrigação de incluir duas impressões digitais no suporte de armazenamento dos bilhetes de identidade não violam o princípio da proporcionalidade</w:t>
      </w:r>
      <w:r w:rsidR="00F90E6D" w:rsidRPr="008C5AF8">
        <w:rPr>
          <w:rStyle w:val="FootnoteReference"/>
          <w:noProof/>
        </w:rPr>
        <w:footnoteReference w:id="5"/>
      </w:r>
      <w:r w:rsidRPr="008C5AF8">
        <w:rPr>
          <w:noProof/>
        </w:rPr>
        <w:t>.</w:t>
      </w:r>
    </w:p>
    <w:p w14:paraId="47CE503B" w14:textId="77777777" w:rsidR="00AC447E" w:rsidRPr="008C5AF8" w:rsidRDefault="00FA454B" w:rsidP="00AC447E">
      <w:pPr>
        <w:rPr>
          <w:noProof/>
        </w:rPr>
      </w:pPr>
      <w:r w:rsidRPr="008C5AF8">
        <w:rPr>
          <w:noProof/>
        </w:rPr>
        <w:t>No entanto, a Comissão considera que é adequado adaptar o texto em alguns aspetos de pormenor. Estas adaptações são explicadas na secção «</w:t>
      </w:r>
      <w:r w:rsidRPr="008C5AF8">
        <w:rPr>
          <w:noProof/>
          <w:u w:color="000000"/>
          <w:bdr w:val="nil"/>
        </w:rPr>
        <w:t>Explicação pormenorizada das disposições específicas da proposta».</w:t>
      </w:r>
    </w:p>
    <w:p w14:paraId="50E8B416" w14:textId="77777777" w:rsidR="00936104" w:rsidRPr="008C5AF8" w:rsidRDefault="00936104" w:rsidP="00044058">
      <w:pPr>
        <w:pStyle w:val="ManualHeading2"/>
        <w:rPr>
          <w:rFonts w:eastAsia="Arial Unicode MS"/>
          <w:noProof/>
          <w:color w:val="000000"/>
          <w:u w:color="000000"/>
          <w:bdr w:val="nil"/>
        </w:rPr>
      </w:pPr>
      <w:r w:rsidRPr="008C5AF8">
        <w:rPr>
          <w:noProof/>
          <w:color w:val="000000"/>
          <w:u w:color="000000"/>
          <w:bdr w:val="nil"/>
        </w:rPr>
        <w:t>•</w:t>
      </w:r>
      <w:r w:rsidRPr="008C5AF8">
        <w:rPr>
          <w:noProof/>
          <w:color w:val="000000"/>
          <w:u w:color="000000"/>
          <w:bdr w:val="nil"/>
        </w:rPr>
        <w:tab/>
      </w:r>
      <w:r w:rsidRPr="008C5AF8">
        <w:rPr>
          <w:noProof/>
        </w:rPr>
        <w:t>Coerência com as disposições existentes da mesma política setorial</w:t>
      </w:r>
    </w:p>
    <w:p w14:paraId="0A5182DE" w14:textId="77777777" w:rsidR="009B577F" w:rsidRPr="008C5AF8" w:rsidRDefault="009B577F" w:rsidP="009B577F">
      <w:pPr>
        <w:pBdr>
          <w:top w:val="nil"/>
          <w:left w:val="nil"/>
          <w:bottom w:val="nil"/>
          <w:right w:val="nil"/>
          <w:between w:val="nil"/>
          <w:bar w:val="nil"/>
        </w:pBdr>
        <w:rPr>
          <w:noProof/>
        </w:rPr>
      </w:pPr>
      <w:r w:rsidRPr="008C5AF8">
        <w:rPr>
          <w:noProof/>
        </w:rPr>
        <w:t>A União proporciona aos seus cidadãos um espaço de liberdade, segurança e justiça sem fronteiras internas, no qual é assegurada a livre circulação das pessoas em conjugação com medidas adequadas em matéria de gestão das fronteiras externas, asilo e imigração, bem como de prevenção e combate da criminalidade e do terrorismo. Muitas das medidas de segurança da União assentam em documentos de viagem e residência seguros, designadamente os controlos sistemáticos estabelecidos pelo Código das Fronteiras Schengen</w:t>
      </w:r>
      <w:r w:rsidRPr="008C5AF8">
        <w:rPr>
          <w:rStyle w:val="FootnoteReference"/>
          <w:rFonts w:eastAsia="Arial Unicode MS"/>
          <w:noProof/>
        </w:rPr>
        <w:footnoteReference w:id="6"/>
      </w:r>
      <w:r w:rsidRPr="008C5AF8">
        <w:rPr>
          <w:noProof/>
        </w:rPr>
        <w:t xml:space="preserve"> no Sistema de Informação Schengen. </w:t>
      </w:r>
    </w:p>
    <w:p w14:paraId="74162E13" w14:textId="77777777" w:rsidR="00DC31B5" w:rsidRPr="008C5AF8" w:rsidRDefault="009B577F" w:rsidP="00C32BF3">
      <w:pPr>
        <w:pBdr>
          <w:top w:val="nil"/>
          <w:left w:val="nil"/>
          <w:bottom w:val="nil"/>
          <w:right w:val="nil"/>
          <w:between w:val="nil"/>
          <w:bar w:val="nil"/>
        </w:pBdr>
        <w:rPr>
          <w:noProof/>
        </w:rPr>
      </w:pPr>
      <w:r w:rsidRPr="008C5AF8">
        <w:rPr>
          <w:noProof/>
        </w:rPr>
        <w:t xml:space="preserve">Nos termos do artigo 77.º, n.º 1, TFUE, e como salientou o Tribunal de Justiça no acórdão </w:t>
      </w:r>
      <w:r w:rsidRPr="008C5AF8">
        <w:rPr>
          <w:i/>
          <w:noProof/>
        </w:rPr>
        <w:t>Landeshauptstadt Wiesbaden</w:t>
      </w:r>
      <w:r w:rsidR="00EC5D62" w:rsidRPr="008C5AF8">
        <w:rPr>
          <w:rStyle w:val="FootnoteReference"/>
          <w:noProof/>
        </w:rPr>
        <w:footnoteReference w:id="7"/>
      </w:r>
      <w:r w:rsidRPr="008C5AF8">
        <w:rPr>
          <w:noProof/>
        </w:rPr>
        <w:t>, a União desenvolve uma política que visa assegurar tanto a ausência de quaisquer controlos de pessoas, independentemente da sua nacionalidade, na passagem das fronteiras internas, como o controlo de pessoas e a vigilância eficaz da passagem das fronteiras externas, bem como introduzir gradualmente um sistema integrado de gestão dessas fronteiras. Ora, as disposições relativas aos passaportes, bilhetes de identidade, títulos de residência ou qualquer outro documento equiparado fazem parte integrante dessa política da União. Com efeito, no que se refere aos cidadãos da União, os documentos abrangidos pela proposta de regulamento permitem-lhes, nomeadamente, atestar a sua qualidade de beneficiários do direito de circular e permanecer livremente no território dos Estados‑Membros a que se refere o artigo 20.º, n.º 2, alínea a), do TFUE e, portanto, exercer esse direito.</w:t>
      </w:r>
    </w:p>
    <w:p w14:paraId="11F28E49" w14:textId="77777777" w:rsidR="00D54AE4" w:rsidRPr="008C5AF8" w:rsidRDefault="00D54AE4" w:rsidP="00D54AE4">
      <w:pPr>
        <w:pBdr>
          <w:top w:val="nil"/>
          <w:left w:val="nil"/>
          <w:bottom w:val="nil"/>
          <w:right w:val="nil"/>
          <w:between w:val="nil"/>
          <w:bar w:val="nil"/>
        </w:pBdr>
        <w:rPr>
          <w:rFonts w:eastAsia="Arial Unicode MS"/>
          <w:noProof/>
        </w:rPr>
      </w:pPr>
      <w:r w:rsidRPr="008C5AF8">
        <w:rPr>
          <w:noProof/>
        </w:rPr>
        <w:t>A Diretiva 2004/38/CE do Parlamento Europeu e do Conselho</w:t>
      </w:r>
      <w:r w:rsidRPr="008C5AF8">
        <w:rPr>
          <w:rStyle w:val="FootnoteReference"/>
          <w:noProof/>
        </w:rPr>
        <w:footnoteReference w:id="8"/>
      </w:r>
      <w:r w:rsidRPr="008C5AF8">
        <w:rPr>
          <w:noProof/>
        </w:rPr>
        <w:t xml:space="preserve"> define as condições de exercício do direito de livre circulação e residência (temporária e permanente) na União para os cidadãos da União e os seus familiares. Essa diretiva prevê que, em conjunto com um bilhete de identidade ou passaporte válidos, os cidadãos da União e os seus familiares podem entrar e residir noutro Estado-Membro e requerer a documentação de residência correspondente. No entanto, a Diretiva 2004/38/CE não regula nem o modelo nem as normas aplicáveis aos bilhetes de identidade a utilizar para entrar ou sair dos Estados-Membros. E, ressalvada a denominação, também não prevê normas específicas para os títulos de residência emitidos aos cidadãos da União e aos seus familiares.</w:t>
      </w:r>
    </w:p>
    <w:p w14:paraId="214931E8" w14:textId="77777777" w:rsidR="00AF3B3F" w:rsidRPr="008C5AF8" w:rsidRDefault="00AF3B3F" w:rsidP="00C32BF3">
      <w:pPr>
        <w:pBdr>
          <w:top w:val="nil"/>
          <w:left w:val="nil"/>
          <w:bottom w:val="nil"/>
          <w:right w:val="nil"/>
          <w:between w:val="nil"/>
          <w:bar w:val="nil"/>
        </w:pBdr>
        <w:rPr>
          <w:noProof/>
        </w:rPr>
      </w:pPr>
      <w:r w:rsidRPr="008C5AF8">
        <w:rPr>
          <w:noProof/>
        </w:rPr>
        <w:t>Ao manter as normas de segurança introduzidas pelo Regulamento (UE) 2019/1157 aplicáveis aos bilhetes de identidade de cidadão nacional emitidos pelos Estados‑Membros e aos títulos de residência emitidos pelos Estados‑Membros aos cidadãos da União e aos seus familiares que exercem o direito à livre circulação na União, a presente proposta é plenamente coerente com as medidas políticas em vigor acima descritas.</w:t>
      </w:r>
    </w:p>
    <w:p w14:paraId="100C4B47" w14:textId="77777777" w:rsidR="00936104" w:rsidRPr="008C5AF8" w:rsidRDefault="00936104" w:rsidP="00550536">
      <w:pPr>
        <w:pStyle w:val="ManualHeading1"/>
        <w:rPr>
          <w:noProof/>
        </w:rPr>
      </w:pPr>
      <w:r w:rsidRPr="008C5AF8">
        <w:rPr>
          <w:noProof/>
        </w:rPr>
        <w:t>2.</w:t>
      </w:r>
      <w:r w:rsidRPr="008C5AF8">
        <w:rPr>
          <w:noProof/>
        </w:rPr>
        <w:tab/>
        <w:t>BASE JURÍDICA, SUBSIDIARIEDADE E PROPORCIONALIDADE</w:t>
      </w:r>
    </w:p>
    <w:p w14:paraId="42B0ACE6" w14:textId="77777777" w:rsidR="00936104" w:rsidRPr="008C5AF8" w:rsidRDefault="00936104" w:rsidP="00827B5A">
      <w:pPr>
        <w:pStyle w:val="ManualHeading2"/>
        <w:rPr>
          <w:noProof/>
        </w:rPr>
      </w:pPr>
      <w:r w:rsidRPr="008C5AF8">
        <w:rPr>
          <w:noProof/>
          <w:u w:color="000000"/>
          <w:bdr w:val="nil"/>
        </w:rPr>
        <w:t>•</w:t>
      </w:r>
      <w:r w:rsidRPr="008C5AF8">
        <w:rPr>
          <w:noProof/>
          <w:u w:color="000000"/>
          <w:bdr w:val="nil"/>
        </w:rPr>
        <w:tab/>
        <w:t>Base jurídica</w:t>
      </w:r>
    </w:p>
    <w:p w14:paraId="0EE5BFAF" w14:textId="77777777" w:rsidR="00EC5D62" w:rsidRPr="008C5AF8" w:rsidRDefault="00EC5D62" w:rsidP="00C32BF3">
      <w:pPr>
        <w:pBdr>
          <w:top w:val="nil"/>
          <w:left w:val="nil"/>
          <w:bottom w:val="nil"/>
          <w:right w:val="nil"/>
          <w:between w:val="nil"/>
          <w:bar w:val="nil"/>
        </w:pBdr>
        <w:rPr>
          <w:noProof/>
        </w:rPr>
      </w:pPr>
      <w:r w:rsidRPr="008C5AF8">
        <w:rPr>
          <w:noProof/>
        </w:rPr>
        <w:t xml:space="preserve">Como o Tribunal de Justiça declarou no acórdão </w:t>
      </w:r>
      <w:r w:rsidRPr="008C5AF8">
        <w:rPr>
          <w:i/>
          <w:noProof/>
        </w:rPr>
        <w:t>Landeshauptstadt Wiesbaden</w:t>
      </w:r>
      <w:r w:rsidRPr="008C5AF8">
        <w:rPr>
          <w:rStyle w:val="FootnoteReference"/>
          <w:noProof/>
        </w:rPr>
        <w:footnoteReference w:id="9"/>
      </w:r>
      <w:r w:rsidRPr="008C5AF8">
        <w:rPr>
          <w:noProof/>
        </w:rPr>
        <w:t>, o artigo 77.º, n.º 3, do TFUE confere à União competência para adotar disposições sobre passaportes, bilhetes de identidade, títulos de residência ou qualquer outro documento equiparado destinado a facilitar o exercício do direito de livre circulação e permanência no território dos Estados-Membros garantido pelo artigo 20.º, n.º 2, alínea a), do TFUE. O Tribunal de Justiça declarou que decorre da finalidade e das componentes principais do Regulamento (UE) 2019/1157 — reforçar as normas de segurança aplicáveis aos bilhetes de identidade e aos títulos de residência e estabelecer os requisitos, nomeadamente em termos de segurança, que esses documentos devem respeitar — que se trata de uma das medidas abrangidas pelo âmbito de aplicação específico do artigo 77.º, n.º 3, do TFUE</w:t>
      </w:r>
      <w:r w:rsidRPr="008C5AF8">
        <w:rPr>
          <w:rStyle w:val="FootnoteReference"/>
          <w:noProof/>
        </w:rPr>
        <w:footnoteReference w:id="10"/>
      </w:r>
      <w:r w:rsidRPr="008C5AF8">
        <w:rPr>
          <w:noProof/>
        </w:rPr>
        <w:t>. O mesmo se aplica à presente proposta, que reproduz o Regulamento (UE) 2019/1157, com exceção de adaptações limitadas que não afetam a sua finalidade nem as suas componentes principais.</w:t>
      </w:r>
    </w:p>
    <w:p w14:paraId="1EF76508" w14:textId="77777777" w:rsidR="00EC5D62" w:rsidRPr="008C5AF8" w:rsidRDefault="00E81203" w:rsidP="00C32BF3">
      <w:pPr>
        <w:pBdr>
          <w:top w:val="nil"/>
          <w:left w:val="nil"/>
          <w:bottom w:val="nil"/>
          <w:right w:val="nil"/>
          <w:between w:val="nil"/>
          <w:bar w:val="nil"/>
        </w:pBdr>
        <w:rPr>
          <w:noProof/>
        </w:rPr>
      </w:pPr>
      <w:r w:rsidRPr="008C5AF8">
        <w:rPr>
          <w:noProof/>
        </w:rPr>
        <w:t>O artigo 77.º, n.º 3, do TFUE prevê um processo legislativo especial. Ao adotar medidas nos termos do artigo 77.º, n.º 3, do TFUE, o Conselho delibera por unanimidade, após consulta do Parlamento.</w:t>
      </w:r>
    </w:p>
    <w:p w14:paraId="13EBB030" w14:textId="77777777" w:rsidR="00936104" w:rsidRPr="008C5AF8" w:rsidRDefault="00936104" w:rsidP="00A4693B">
      <w:pPr>
        <w:pStyle w:val="ManualHeading2"/>
        <w:rPr>
          <w:rFonts w:eastAsia="Arial Unicode MS"/>
          <w:noProof/>
          <w:u w:color="000000"/>
          <w:bdr w:val="nil"/>
        </w:rPr>
      </w:pPr>
      <w:r w:rsidRPr="008C5AF8">
        <w:rPr>
          <w:noProof/>
          <w:u w:color="000000"/>
          <w:bdr w:val="nil"/>
        </w:rPr>
        <w:t>•</w:t>
      </w:r>
      <w:r w:rsidRPr="008C5AF8">
        <w:rPr>
          <w:noProof/>
          <w:u w:color="000000"/>
          <w:bdr w:val="nil"/>
        </w:rPr>
        <w:tab/>
        <w:t xml:space="preserve">Subsidiariedade (no caso de competência não exclusiva) </w:t>
      </w:r>
    </w:p>
    <w:p w14:paraId="53D2D177" w14:textId="77777777" w:rsidR="00E81203" w:rsidRPr="008C5AF8" w:rsidRDefault="00E81203" w:rsidP="00C32BF3">
      <w:pPr>
        <w:pBdr>
          <w:top w:val="nil"/>
          <w:left w:val="nil"/>
          <w:bottom w:val="nil"/>
          <w:right w:val="nil"/>
          <w:between w:val="nil"/>
          <w:bar w:val="nil"/>
        </w:pBdr>
        <w:rPr>
          <w:noProof/>
        </w:rPr>
      </w:pPr>
      <w:r w:rsidRPr="008C5AF8">
        <w:rPr>
          <w:noProof/>
        </w:rPr>
        <w:t>A União está empenhada em assegurar a livre circulação das pessoas num espaço de liberdade, segurança e justiça. A segurança dos bilhetes de identidade e dos títulos de residência constitui um elemento essencial para garantir a confiança necessária à livre circulação nesse espaço.</w:t>
      </w:r>
    </w:p>
    <w:p w14:paraId="59BAACA1" w14:textId="77777777" w:rsidR="00C32BF3" w:rsidRPr="008C5AF8" w:rsidRDefault="00E81203" w:rsidP="00C32BF3">
      <w:pPr>
        <w:pBdr>
          <w:top w:val="nil"/>
          <w:left w:val="nil"/>
          <w:bottom w:val="nil"/>
          <w:right w:val="nil"/>
          <w:between w:val="nil"/>
          <w:bar w:val="nil"/>
        </w:pBdr>
        <w:rPr>
          <w:noProof/>
        </w:rPr>
      </w:pPr>
      <w:r w:rsidRPr="008C5AF8">
        <w:rPr>
          <w:noProof/>
        </w:rPr>
        <w:t>Sem uma norma comum a nível da União, é provável que voltem a surgir os obstáculos à livre circulação resultantes dos problemas de aceitação de determinados documentos observados antes da adoção do Regulamento (UE) 2019/1157</w:t>
      </w:r>
      <w:r w:rsidRPr="008C5AF8">
        <w:rPr>
          <w:rStyle w:val="FootnoteReference"/>
          <w:noProof/>
        </w:rPr>
        <w:footnoteReference w:id="11"/>
      </w:r>
      <w:r w:rsidRPr="008C5AF8">
        <w:rPr>
          <w:noProof/>
        </w:rPr>
        <w:t>. O mesmo se aplica às lacunas anteriormente verificadas em matéria de segurança resultantes de documentos insuficientemente seguros. A ausência de ação a nível da União resultaria igualmente em mais problemas de ordem prática para os cidadãos da União, as autoridades nacionais e as empresas, num contexto em que os cidadãos residem e viajam no interior da União. A resolução desses problemas sistémicos através da manutenção de um elevado nível de segurança dos bilhetes de identidade nacionais e dos títulos de residência exige claramente uma ação continuada à escala da União.</w:t>
      </w:r>
    </w:p>
    <w:p w14:paraId="697D73A1" w14:textId="77777777" w:rsidR="00E81203" w:rsidRPr="008C5AF8" w:rsidRDefault="00E81203" w:rsidP="00C32BF3">
      <w:pPr>
        <w:pBdr>
          <w:top w:val="nil"/>
          <w:left w:val="nil"/>
          <w:bottom w:val="nil"/>
          <w:right w:val="nil"/>
          <w:between w:val="nil"/>
          <w:bar w:val="nil"/>
        </w:pBdr>
        <w:rPr>
          <w:noProof/>
        </w:rPr>
      </w:pPr>
      <w:r w:rsidRPr="008C5AF8">
        <w:rPr>
          <w:noProof/>
        </w:rPr>
        <w:t>Os objetivos de qualquer iniciativa destinada a evitar o ressurgimento de tais problemas não podem ser alcançados a nível nacional. Os documentos abrangidos pela presente proposta têm uma dimensão europeia intrínseca, uma vez que estão associados ao exercício do direito de livre circulação num espaço de liberdade, segurança e justiça. Os Estados-Membros já confirmaram a necessidade de agir a nível da União através da adoção do Regulamento (UE) 2019/1157.</w:t>
      </w:r>
    </w:p>
    <w:p w14:paraId="0CC9CAD9" w14:textId="77777777" w:rsidR="00E81203" w:rsidRPr="008C5AF8" w:rsidRDefault="001F544A" w:rsidP="00C32BF3">
      <w:pPr>
        <w:pBdr>
          <w:top w:val="nil"/>
          <w:left w:val="nil"/>
          <w:bottom w:val="nil"/>
          <w:right w:val="nil"/>
          <w:between w:val="nil"/>
          <w:bar w:val="nil"/>
        </w:pBdr>
        <w:rPr>
          <w:noProof/>
        </w:rPr>
      </w:pPr>
      <w:r w:rsidRPr="008C5AF8">
        <w:rPr>
          <w:noProof/>
        </w:rPr>
        <w:t xml:space="preserve">O regulamento não exigirá que os Estados-Membros emitam documentos que não são atualmente emitidos. </w:t>
      </w:r>
    </w:p>
    <w:p w14:paraId="347794C4" w14:textId="77777777" w:rsidR="00936104" w:rsidRPr="008C5AF8" w:rsidRDefault="00936104" w:rsidP="00A4693B">
      <w:pPr>
        <w:pStyle w:val="ManualHeading2"/>
        <w:rPr>
          <w:rFonts w:eastAsia="Arial Unicode MS"/>
          <w:noProof/>
          <w:u w:color="000000"/>
          <w:bdr w:val="nil"/>
        </w:rPr>
      </w:pPr>
      <w:r w:rsidRPr="008C5AF8">
        <w:rPr>
          <w:noProof/>
          <w:u w:color="000000"/>
          <w:bdr w:val="nil"/>
        </w:rPr>
        <w:t>•</w:t>
      </w:r>
      <w:r w:rsidRPr="008C5AF8">
        <w:rPr>
          <w:noProof/>
          <w:u w:color="000000"/>
          <w:bdr w:val="nil"/>
        </w:rPr>
        <w:tab/>
        <w:t>Proporcionalidade</w:t>
      </w:r>
    </w:p>
    <w:p w14:paraId="6A92E3F0" w14:textId="77777777" w:rsidR="001F544A" w:rsidRPr="008C5AF8" w:rsidRDefault="00E81203" w:rsidP="00C32BF3">
      <w:pPr>
        <w:pBdr>
          <w:top w:val="nil"/>
          <w:left w:val="nil"/>
          <w:bottom w:val="nil"/>
          <w:right w:val="nil"/>
          <w:between w:val="nil"/>
          <w:bar w:val="nil"/>
        </w:pBdr>
        <w:rPr>
          <w:noProof/>
        </w:rPr>
      </w:pPr>
      <w:r w:rsidRPr="008C5AF8">
        <w:rPr>
          <w:noProof/>
        </w:rPr>
        <w:t>A ação da União pode continuar a representar um valor acrescentado considerável na resposta aos desafios acima referidos. Os cidadãos da União enfrentam obstáculos ao exercício dos seus direitos se não puderem ter a certeza de que os seus documentos serão aceites de forma fiável fora dos Estados-Membros de emissão.</w:t>
      </w:r>
    </w:p>
    <w:p w14:paraId="203F6BFF" w14:textId="77777777" w:rsidR="00C32BF3" w:rsidRPr="008C5AF8" w:rsidRDefault="00E81203" w:rsidP="00C32BF3">
      <w:pPr>
        <w:pBdr>
          <w:top w:val="nil"/>
          <w:left w:val="nil"/>
          <w:bottom w:val="nil"/>
          <w:right w:val="nil"/>
          <w:between w:val="nil"/>
          <w:bar w:val="nil"/>
        </w:pBdr>
        <w:rPr>
          <w:noProof/>
        </w:rPr>
      </w:pPr>
      <w:r w:rsidRPr="008C5AF8">
        <w:rPr>
          <w:noProof/>
        </w:rPr>
        <w:t>Os atuais desafios em matéria de segurança demonstram a relação indissociável entre a livre circulação das pessoas no interior da União e uma gestão robusta das fronteiras externas. Atendendo a que os bilhetes de identidade podem ser utilizados para atravessar as fronteiras externas, as medidas destinadas a melhorar a segurança e a gestão das fronteiras externas, tais como as verificações sistemáticas efetuadas nas bases de dados para todas as pessoas, incluindo os cidadãos da União, que atravessam as fronteiras externas seriam fragilizadas caso as normas de segurança dos bilhetes de identidade se deteriorassem. Em geral, as normas mínimas aplicáveis às informações contidas nos documentos abrangidos pela presente proposta e aos elementos de segurança comuns a todos os Estados-Membros que os emitem facilitarão o exercício da livre circulação e melhorarão a segurança no interior da UE e nas suas fronteiras.</w:t>
      </w:r>
    </w:p>
    <w:p w14:paraId="3C1EC824" w14:textId="77777777" w:rsidR="00C32BF3" w:rsidRPr="008C5AF8" w:rsidRDefault="00E81203" w:rsidP="00C32BF3">
      <w:pPr>
        <w:pBdr>
          <w:top w:val="nil"/>
          <w:left w:val="nil"/>
          <w:bottom w:val="nil"/>
          <w:right w:val="nil"/>
          <w:between w:val="nil"/>
          <w:bar w:val="nil"/>
        </w:pBdr>
        <w:rPr>
          <w:noProof/>
        </w:rPr>
      </w:pPr>
      <w:r w:rsidRPr="008C5AF8">
        <w:rPr>
          <w:noProof/>
        </w:rPr>
        <w:t>Dado que a harmonização completa do modelo dos bilhetes de identidade não se justifica, propõe-se uma medida proporcionada que assegure normas mínimas para os documentos. Isto inclui a utilização obrigatória de impressões digitais, que constituem um meio fiável e eficaz de determinar, com certeza, a identidade de uma pessoa, e uma medida proporcionada à luz dos objetivos de facilitar o exercício do direito de livre circulação e residência, combater a produção de bilhetes de identidade fraudulentos e a usurpação de identidade, bem como assegurar a interoperabilidade dos sistemas de verificação dos documentos de identificação</w:t>
      </w:r>
      <w:r w:rsidR="00B058B2" w:rsidRPr="008C5AF8">
        <w:rPr>
          <w:rStyle w:val="FootnoteReference"/>
          <w:noProof/>
        </w:rPr>
        <w:footnoteReference w:id="12"/>
      </w:r>
      <w:r w:rsidRPr="008C5AF8">
        <w:rPr>
          <w:noProof/>
        </w:rPr>
        <w:t>.</w:t>
      </w:r>
    </w:p>
    <w:p w14:paraId="03F0D0E4" w14:textId="77777777" w:rsidR="00E81203" w:rsidRPr="008C5AF8" w:rsidRDefault="00E81203" w:rsidP="00C32BF3">
      <w:pPr>
        <w:pBdr>
          <w:top w:val="nil"/>
          <w:left w:val="nil"/>
          <w:bottom w:val="nil"/>
          <w:right w:val="nil"/>
          <w:between w:val="nil"/>
          <w:bar w:val="nil"/>
        </w:pBdr>
        <w:rPr>
          <w:noProof/>
        </w:rPr>
      </w:pPr>
      <w:r w:rsidRPr="008C5AF8">
        <w:rPr>
          <w:noProof/>
        </w:rPr>
        <w:t>No caso dos cartões de residência emitidos a familiares nacionais de países terceiros, sugere-se que se continue a utilizar o mesmo modelo já previsto a nível da União relativamente a títulos de residência dos nacionais de países terceiros.</w:t>
      </w:r>
    </w:p>
    <w:p w14:paraId="488A7D11" w14:textId="77777777" w:rsidR="00936104" w:rsidRPr="008C5AF8" w:rsidRDefault="00936104" w:rsidP="00A4693B">
      <w:pPr>
        <w:pStyle w:val="ManualHeading2"/>
        <w:rPr>
          <w:rFonts w:eastAsia="Arial Unicode MS"/>
          <w:noProof/>
          <w:u w:color="000000"/>
          <w:bdr w:val="nil"/>
        </w:rPr>
      </w:pPr>
      <w:r w:rsidRPr="008C5AF8">
        <w:rPr>
          <w:noProof/>
          <w:u w:color="000000"/>
          <w:bdr w:val="nil"/>
        </w:rPr>
        <w:t>•</w:t>
      </w:r>
      <w:r w:rsidRPr="008C5AF8">
        <w:rPr>
          <w:noProof/>
          <w:u w:color="000000"/>
          <w:bdr w:val="nil"/>
        </w:rPr>
        <w:tab/>
        <w:t>Escolha do instrumento</w:t>
      </w:r>
    </w:p>
    <w:p w14:paraId="03ECBE89" w14:textId="77777777" w:rsidR="00B058B2" w:rsidRPr="008C5AF8" w:rsidRDefault="00B058B2" w:rsidP="00C32BF3">
      <w:pPr>
        <w:pBdr>
          <w:top w:val="nil"/>
          <w:left w:val="nil"/>
          <w:bottom w:val="nil"/>
          <w:right w:val="nil"/>
          <w:between w:val="nil"/>
          <w:bar w:val="nil"/>
        </w:pBdr>
        <w:rPr>
          <w:rFonts w:eastAsia="Arial Unicode MS"/>
          <w:noProof/>
        </w:rPr>
      </w:pPr>
      <w:r w:rsidRPr="008C5AF8">
        <w:rPr>
          <w:noProof/>
        </w:rPr>
        <w:t xml:space="preserve">Um regulamento é o único instrumento jurídico que assegura a aplicação direta e comum do direito da União em todos os Estados-Membros. Num domínio em que as divergências se têm revelado prejudiciais à livre circulação e à segurança, um regulamento assegurará que seja mantida a uniformidade pretendida. </w:t>
      </w:r>
    </w:p>
    <w:p w14:paraId="2C563A94" w14:textId="77777777" w:rsidR="00936104" w:rsidRPr="008C5AF8" w:rsidRDefault="00936104" w:rsidP="00550536">
      <w:pPr>
        <w:pStyle w:val="ManualHeading1"/>
        <w:rPr>
          <w:noProof/>
        </w:rPr>
      </w:pPr>
      <w:r w:rsidRPr="008C5AF8">
        <w:rPr>
          <w:noProof/>
        </w:rPr>
        <w:t>3.</w:t>
      </w:r>
      <w:r w:rsidRPr="008C5AF8">
        <w:rPr>
          <w:noProof/>
        </w:rPr>
        <w:tab/>
        <w:t xml:space="preserve">RESULTADOS DAS AVALIAÇÕES </w:t>
      </w:r>
      <w:r w:rsidRPr="008C5AF8">
        <w:rPr>
          <w:i/>
          <w:iCs/>
          <w:noProof/>
        </w:rPr>
        <w:t>EX POST</w:t>
      </w:r>
      <w:r w:rsidRPr="008C5AF8">
        <w:rPr>
          <w:noProof/>
        </w:rPr>
        <w:t>, DAS CONSULTAS DAS PARTES INTERESSADAS E DAS AVALIAÇÕES DE IMPACTO</w:t>
      </w:r>
    </w:p>
    <w:p w14:paraId="03120B13" w14:textId="77777777" w:rsidR="00936104" w:rsidRPr="008C5AF8" w:rsidRDefault="00936104" w:rsidP="00A4693B">
      <w:pPr>
        <w:pStyle w:val="ManualHeading2"/>
        <w:rPr>
          <w:rFonts w:eastAsia="Arial Unicode MS"/>
          <w:noProof/>
          <w:u w:color="000000"/>
          <w:bdr w:val="nil"/>
        </w:rPr>
      </w:pPr>
      <w:r w:rsidRPr="008C5AF8">
        <w:rPr>
          <w:noProof/>
          <w:u w:color="000000"/>
          <w:bdr w:val="nil"/>
        </w:rPr>
        <w:t>•</w:t>
      </w:r>
      <w:r w:rsidRPr="008C5AF8">
        <w:rPr>
          <w:noProof/>
          <w:u w:color="000000"/>
          <w:bdr w:val="nil"/>
        </w:rPr>
        <w:tab/>
        <w:t>Avaliação de impacto</w:t>
      </w:r>
    </w:p>
    <w:p w14:paraId="663F7A11" w14:textId="77777777" w:rsidR="00C45663" w:rsidRPr="008C5AF8" w:rsidRDefault="00C45663" w:rsidP="00C32BF3">
      <w:pPr>
        <w:pBdr>
          <w:top w:val="nil"/>
          <w:left w:val="nil"/>
          <w:bottom w:val="nil"/>
          <w:right w:val="nil"/>
          <w:between w:val="nil"/>
          <w:bar w:val="nil"/>
        </w:pBdr>
        <w:rPr>
          <w:noProof/>
        </w:rPr>
      </w:pPr>
      <w:r w:rsidRPr="008C5AF8">
        <w:rPr>
          <w:noProof/>
        </w:rPr>
        <w:t>Não foi realizada qualquer avaliação de impacto na preparação da presente proposta, uma vez que esta reproduz essencialmente o texto do Regulamento (UE) 2019/1157, que, por sua vez, se baseou numa proposta</w:t>
      </w:r>
      <w:r w:rsidRPr="008C5AF8">
        <w:rPr>
          <w:rStyle w:val="FootnoteReference"/>
          <w:rFonts w:eastAsia="Arial Unicode MS"/>
          <w:noProof/>
        </w:rPr>
        <w:footnoteReference w:id="13"/>
      </w:r>
      <w:r w:rsidRPr="008C5AF8">
        <w:rPr>
          <w:noProof/>
        </w:rPr>
        <w:t xml:space="preserve"> acompanhada de uma avaliação de impacto</w:t>
      </w:r>
      <w:r w:rsidRPr="008C5AF8">
        <w:rPr>
          <w:rStyle w:val="FootnoteReference"/>
          <w:rFonts w:eastAsia="Arial Unicode MS"/>
          <w:noProof/>
        </w:rPr>
        <w:footnoteReference w:id="14"/>
      </w:r>
      <w:r w:rsidRPr="008C5AF8">
        <w:rPr>
          <w:noProof/>
        </w:rPr>
        <w:t>. Por conseguinte, não se prevê que a presente proposta comporte novos impactos. Além disso, a presente proposta tem em conta os ensinamentos retirados do relatório sobre a aplicação adotado em 20 de setembro de 2023</w:t>
      </w:r>
      <w:r w:rsidR="000C1732" w:rsidRPr="008C5AF8">
        <w:rPr>
          <w:rStyle w:val="FootnoteReference"/>
          <w:noProof/>
        </w:rPr>
        <w:footnoteReference w:id="15"/>
      </w:r>
      <w:r w:rsidRPr="008C5AF8">
        <w:rPr>
          <w:noProof/>
        </w:rPr>
        <w:t>. Uma vez que nem sequer decorreram três anos desde a entrada em aplicação do Regulamento (UE) 2019/1157, não foi realizada qualquer avaliação.</w:t>
      </w:r>
    </w:p>
    <w:p w14:paraId="2C3AD7CA" w14:textId="77777777" w:rsidR="00936104" w:rsidRPr="008C5AF8" w:rsidRDefault="00936104" w:rsidP="00A4693B">
      <w:pPr>
        <w:pStyle w:val="ManualHeading2"/>
        <w:rPr>
          <w:rFonts w:eastAsia="Arial Unicode MS"/>
          <w:noProof/>
          <w:u w:color="000000"/>
          <w:bdr w:val="nil"/>
        </w:rPr>
      </w:pPr>
      <w:r w:rsidRPr="008C5AF8">
        <w:rPr>
          <w:noProof/>
          <w:u w:color="000000"/>
          <w:bdr w:val="nil"/>
        </w:rPr>
        <w:t>•</w:t>
      </w:r>
      <w:r w:rsidRPr="008C5AF8">
        <w:rPr>
          <w:noProof/>
          <w:u w:color="000000"/>
          <w:bdr w:val="nil"/>
        </w:rPr>
        <w:tab/>
        <w:t>Direitos fundamentais</w:t>
      </w:r>
    </w:p>
    <w:p w14:paraId="6875234B" w14:textId="77777777" w:rsidR="00C45663" w:rsidRPr="008C5AF8" w:rsidRDefault="00C45663" w:rsidP="00C32BF3">
      <w:pPr>
        <w:rPr>
          <w:noProof/>
        </w:rPr>
      </w:pPr>
      <w:r w:rsidRPr="008C5AF8">
        <w:rPr>
          <w:noProof/>
        </w:rPr>
        <w:t>A presente proposta tem um impacto positivo no direito fundamental dos cidadãos da União à liberdade de circulação e de residência previsto no artigo 45.º da Carta dos Direitos Fundamentais da União Europeia (Carta), ao resolver dificuldades de reconhecimento e de segurança insuficiente dos bilhetes de identidade e títulos de residência.</w:t>
      </w:r>
    </w:p>
    <w:p w14:paraId="70D7D5F3" w14:textId="77777777" w:rsidR="00EA51AF" w:rsidRPr="008C5AF8" w:rsidRDefault="00487C7B" w:rsidP="00C32BF3">
      <w:pPr>
        <w:rPr>
          <w:noProof/>
        </w:rPr>
      </w:pPr>
      <w:r w:rsidRPr="008C5AF8">
        <w:rPr>
          <w:noProof/>
        </w:rPr>
        <w:t>A presente proposta implica o tratamento de dados pessoais, incluindo dados biométricos, a saber uma imagem facial e duas impressões digitais. O tratamento dos dados pessoais das pessoas singulares, incluindo a recolha, o acesso e a utilização destes dados, afeta o direito à vida privada e o direito à proteção dos dados pessoais consagrados nos artigos 7.º e 8.º da Carta.</w:t>
      </w:r>
    </w:p>
    <w:p w14:paraId="2337C616" w14:textId="77777777" w:rsidR="00E94208" w:rsidRPr="008C5AF8" w:rsidRDefault="00E94208" w:rsidP="00C32BF3">
      <w:pPr>
        <w:rPr>
          <w:noProof/>
        </w:rPr>
      </w:pPr>
      <w:r w:rsidRPr="008C5AF8">
        <w:rPr>
          <w:noProof/>
        </w:rPr>
        <w:t>Em especial, a obrigação de incluir duas impressões digitais no suporte de armazenamento dos bilhetes de identidade e dos cartões de residência, bem como a obrigação de recolher e armazenar temporariamente esses dados biométricos para efeitos de produção dos documentos, constitui uma restrição tanto ao direito ao respeito pela vida privada como ao direito à proteção dos dados pessoais</w:t>
      </w:r>
      <w:r w:rsidRPr="008C5AF8">
        <w:rPr>
          <w:rStyle w:val="FootnoteReference"/>
          <w:noProof/>
        </w:rPr>
        <w:footnoteReference w:id="16"/>
      </w:r>
      <w:r w:rsidRPr="008C5AF8">
        <w:rPr>
          <w:noProof/>
        </w:rPr>
        <w:t xml:space="preserve">. </w:t>
      </w:r>
    </w:p>
    <w:p w14:paraId="2DB708BE" w14:textId="77777777" w:rsidR="00D25975" w:rsidRPr="008C5AF8" w:rsidRDefault="00E94208" w:rsidP="00C32BF3">
      <w:pPr>
        <w:rPr>
          <w:noProof/>
        </w:rPr>
      </w:pPr>
      <w:r w:rsidRPr="008C5AF8">
        <w:rPr>
          <w:noProof/>
        </w:rPr>
        <w:t>As restrições a esses direitos devem estar previstas na lei e respeitar o conteúdo essencial desses direitos. Além disso, na observância do princípio da proporcionalidade, essas restrições só podem ser introduzidas se forem necessárias e corresponderem efetivamente a objetivos de interesse geral reconhecidos pela União, ou à necessidade de proteção dos direitos de terceiros</w:t>
      </w:r>
      <w:r w:rsidRPr="008C5AF8">
        <w:rPr>
          <w:rStyle w:val="FootnoteReference"/>
          <w:noProof/>
        </w:rPr>
        <w:footnoteReference w:id="17"/>
      </w:r>
      <w:r w:rsidRPr="008C5AF8">
        <w:rPr>
          <w:noProof/>
        </w:rPr>
        <w:t>.</w:t>
      </w:r>
    </w:p>
    <w:p w14:paraId="61D73730" w14:textId="77777777" w:rsidR="00E94208" w:rsidRPr="008C5AF8" w:rsidRDefault="00E94208" w:rsidP="00C32BF3">
      <w:pPr>
        <w:rPr>
          <w:noProof/>
        </w:rPr>
      </w:pPr>
      <w:r w:rsidRPr="008C5AF8">
        <w:rPr>
          <w:noProof/>
        </w:rPr>
        <w:t>As restrições, bem como as condições de aplicação e o alcance das mesmas, serão definidas no regulamento. O Tribunal de Justiça declarou que a restrição decorrente da obrigação de incluir duas impressões digitais no suporte de armazenamento não viola o conteúdo essencial dos direitos fundamentais consagrados nos artigos 7.º e 8.º da Carta, uma vez que as informações fornecidas pelas impressões digitais não permitem, por si só, ter uma visão geral da vida privada e familiar das pessoas em causa</w:t>
      </w:r>
      <w:r w:rsidRPr="008C5AF8">
        <w:rPr>
          <w:rStyle w:val="FootnoteReference"/>
          <w:noProof/>
        </w:rPr>
        <w:footnoteReference w:id="18"/>
      </w:r>
      <w:r w:rsidRPr="008C5AF8">
        <w:rPr>
          <w:noProof/>
        </w:rPr>
        <w:t>.</w:t>
      </w:r>
    </w:p>
    <w:p w14:paraId="186D284C" w14:textId="77777777" w:rsidR="007E5BF0" w:rsidRPr="008C5AF8" w:rsidRDefault="00954C04" w:rsidP="00C32BF3">
      <w:pPr>
        <w:pBdr>
          <w:top w:val="nil"/>
          <w:left w:val="nil"/>
          <w:bottom w:val="nil"/>
          <w:right w:val="nil"/>
          <w:between w:val="nil"/>
          <w:bar w:val="nil"/>
        </w:pBdr>
        <w:rPr>
          <w:noProof/>
        </w:rPr>
      </w:pPr>
      <w:r w:rsidRPr="008C5AF8">
        <w:rPr>
          <w:noProof/>
        </w:rPr>
        <w:t>Como salientou o Tribunal de Justiça, os objetivos específicos do regulamento, a saber a luta contra a fraude documental e a interoperabilidade dos sistemas de verificação dos documentos de identificação, constituem objetivos de interesse geral reconhecidos pela União. Além disso, o Tribunal considerou que a inclusão de duas impressões digitais completas é adequada para alcançar esses objetivos de interesse geral</w:t>
      </w:r>
      <w:r w:rsidRPr="008C5AF8">
        <w:rPr>
          <w:rStyle w:val="FootnoteReference"/>
          <w:rFonts w:eastAsia="Arial Unicode MS"/>
          <w:noProof/>
        </w:rPr>
        <w:footnoteReference w:id="19"/>
      </w:r>
      <w:r w:rsidRPr="008C5AF8">
        <w:rPr>
          <w:noProof/>
        </w:rPr>
        <w:t>. No que diz respeito à necessidade da inclusão das impressões digitais, o Tribunal de Justiça considerou que as restrições introduzidas aos direitos fundamentais garantidos nos artigos 7.º e 8.º da Carta que decorrem da obrigação de incluir duas impressões digitais completas no suporte de armazenamento parecem respeitar os limites do estritamente necessário</w:t>
      </w:r>
      <w:r w:rsidR="007D2F90" w:rsidRPr="008C5AF8">
        <w:rPr>
          <w:rStyle w:val="FootnoteReference"/>
          <w:rFonts w:eastAsia="Arial Unicode MS"/>
          <w:noProof/>
        </w:rPr>
        <w:footnoteReference w:id="20"/>
      </w:r>
      <w:r w:rsidRPr="008C5AF8">
        <w:rPr>
          <w:noProof/>
        </w:rPr>
        <w:t>.</w:t>
      </w:r>
    </w:p>
    <w:p w14:paraId="2EAFA8C1" w14:textId="77777777" w:rsidR="007E5BF0" w:rsidRPr="008C5AF8" w:rsidRDefault="007E5BF0" w:rsidP="00C32BF3">
      <w:pPr>
        <w:pBdr>
          <w:top w:val="nil"/>
          <w:left w:val="nil"/>
          <w:bottom w:val="nil"/>
          <w:right w:val="nil"/>
          <w:between w:val="nil"/>
          <w:bar w:val="nil"/>
        </w:pBdr>
        <w:rPr>
          <w:rFonts w:eastAsia="Arial Unicode MS"/>
          <w:noProof/>
        </w:rPr>
      </w:pPr>
      <w:r w:rsidRPr="008C5AF8">
        <w:rPr>
          <w:noProof/>
        </w:rPr>
        <w:t xml:space="preserve">Por último, o Tribunal de Justiça considerou que as restrições resultantes da inclusão de duas impressões digitais não parece ser, tendo em conta a natureza dos dados em causa, a natureza e as modalidades das operações de tratamento, bem como dos mecanismos de salvaguarda previstos, de uma gravidade desproporcionada em relação à importância dos diferentes objetivos que o regulamento prossegue. Assim, deve considerar‑se que tal medida se baseia numa ponderação equilibrada entre, por um lado, esses objetivos e, por outro, os direitos fundamentais em presença. Consequentemente, o Tribunal de Justiça concluiu, no acórdão </w:t>
      </w:r>
      <w:r w:rsidRPr="008C5AF8">
        <w:rPr>
          <w:i/>
          <w:noProof/>
        </w:rPr>
        <w:t>Landeshauptstadt Wiesbaden</w:t>
      </w:r>
      <w:r w:rsidRPr="008C5AF8">
        <w:rPr>
          <w:noProof/>
        </w:rPr>
        <w:t>, que as restrições ao exercício dos direitos garantidos nos artigos 7.º e 8.º da Carta não violam o princípio da proporcionalidade</w:t>
      </w:r>
      <w:r w:rsidRPr="008C5AF8">
        <w:rPr>
          <w:rStyle w:val="FootnoteReference"/>
          <w:rFonts w:eastAsia="Arial Unicode MS"/>
          <w:noProof/>
        </w:rPr>
        <w:footnoteReference w:id="21"/>
      </w:r>
      <w:r w:rsidRPr="008C5AF8">
        <w:rPr>
          <w:noProof/>
        </w:rPr>
        <w:t>.</w:t>
      </w:r>
    </w:p>
    <w:p w14:paraId="23E9AFFC" w14:textId="77777777" w:rsidR="00936104" w:rsidRPr="008C5AF8" w:rsidRDefault="00936104" w:rsidP="00550536">
      <w:pPr>
        <w:pStyle w:val="ManualHeading1"/>
        <w:rPr>
          <w:noProof/>
        </w:rPr>
      </w:pPr>
      <w:r w:rsidRPr="008C5AF8">
        <w:rPr>
          <w:noProof/>
        </w:rPr>
        <w:t>4.</w:t>
      </w:r>
      <w:r w:rsidRPr="008C5AF8">
        <w:rPr>
          <w:noProof/>
        </w:rPr>
        <w:tab/>
        <w:t>INCIDÊNCIA ORÇAMENTAL</w:t>
      </w:r>
    </w:p>
    <w:p w14:paraId="57110F0B" w14:textId="77777777" w:rsidR="007E5BF0" w:rsidRPr="008C5AF8" w:rsidRDefault="007E5BF0" w:rsidP="00100DE5">
      <w:pPr>
        <w:pBdr>
          <w:top w:val="nil"/>
          <w:left w:val="nil"/>
          <w:bottom w:val="nil"/>
          <w:right w:val="nil"/>
          <w:between w:val="nil"/>
          <w:bar w:val="nil"/>
        </w:pBdr>
        <w:rPr>
          <w:rFonts w:eastAsia="Arial Unicode MS"/>
          <w:noProof/>
        </w:rPr>
      </w:pPr>
      <w:r w:rsidRPr="008C5AF8">
        <w:rPr>
          <w:noProof/>
        </w:rPr>
        <w:t>A presente proposta não tem incidência no orçamento da União.</w:t>
      </w:r>
    </w:p>
    <w:p w14:paraId="447AF130" w14:textId="77777777" w:rsidR="00936104" w:rsidRPr="008C5AF8" w:rsidRDefault="00936104" w:rsidP="00550536">
      <w:pPr>
        <w:pStyle w:val="ManualHeading1"/>
        <w:rPr>
          <w:noProof/>
        </w:rPr>
      </w:pPr>
      <w:r w:rsidRPr="008C5AF8">
        <w:rPr>
          <w:noProof/>
        </w:rPr>
        <w:t>5.</w:t>
      </w:r>
      <w:r w:rsidRPr="008C5AF8">
        <w:rPr>
          <w:noProof/>
        </w:rPr>
        <w:tab/>
        <w:t>OUTROS ELEMENTOS</w:t>
      </w:r>
    </w:p>
    <w:p w14:paraId="3B839043" w14:textId="77777777" w:rsidR="00936104" w:rsidRPr="008C5AF8" w:rsidRDefault="00936104" w:rsidP="00A4693B">
      <w:pPr>
        <w:pStyle w:val="ManualHeading2"/>
        <w:rPr>
          <w:rFonts w:eastAsia="Arial Unicode MS"/>
          <w:noProof/>
          <w:u w:color="000000"/>
          <w:bdr w:val="nil"/>
        </w:rPr>
      </w:pPr>
      <w:r w:rsidRPr="008C5AF8">
        <w:rPr>
          <w:noProof/>
          <w:u w:color="000000"/>
          <w:bdr w:val="nil"/>
        </w:rPr>
        <w:t>•</w:t>
      </w:r>
      <w:r w:rsidRPr="008C5AF8">
        <w:rPr>
          <w:noProof/>
          <w:u w:color="000000"/>
          <w:bdr w:val="nil"/>
        </w:rPr>
        <w:tab/>
        <w:t>Planos de execução e acompanhamento, avaliação e prestação de informações</w:t>
      </w:r>
    </w:p>
    <w:p w14:paraId="41421B4E" w14:textId="77777777" w:rsidR="007E5BF0" w:rsidRPr="008C5AF8" w:rsidRDefault="00100DE5" w:rsidP="00100DE5">
      <w:pPr>
        <w:pBdr>
          <w:top w:val="nil"/>
          <w:left w:val="nil"/>
          <w:bottom w:val="nil"/>
          <w:right w:val="nil"/>
          <w:between w:val="nil"/>
          <w:bar w:val="nil"/>
        </w:pBdr>
        <w:rPr>
          <w:noProof/>
        </w:rPr>
      </w:pPr>
      <w:r w:rsidRPr="008C5AF8">
        <w:rPr>
          <w:noProof/>
        </w:rPr>
        <w:t>A fim de garantir uma aplicação eficaz das medidas previstas e acompanhar os seus resultados, a Comissão continuará a trabalhar em estreita colaboração com as partes interessadas pertinentes das autoridades nacionais e das agências da União, como a Agência Europeia da Guarda de Fronteiras e Costeira.</w:t>
      </w:r>
    </w:p>
    <w:p w14:paraId="201E4552" w14:textId="77777777" w:rsidR="007E5BF0" w:rsidRPr="008C5AF8" w:rsidRDefault="007E5BF0" w:rsidP="00100DE5">
      <w:pPr>
        <w:pBdr>
          <w:top w:val="nil"/>
          <w:left w:val="nil"/>
          <w:bottom w:val="nil"/>
          <w:right w:val="nil"/>
          <w:between w:val="nil"/>
          <w:bar w:val="nil"/>
        </w:pBdr>
        <w:rPr>
          <w:noProof/>
        </w:rPr>
      </w:pPr>
      <w:r w:rsidRPr="008C5AF8">
        <w:rPr>
          <w:noProof/>
        </w:rPr>
        <w:t>A Comissão adotará um programa para o acompanhamento dos resultados e dos impactos do regulamento com base no programa de acompanhamento adotado nos termos do Regulamento (UE) 2019/1157</w:t>
      </w:r>
      <w:r w:rsidR="00B42F55" w:rsidRPr="008C5AF8">
        <w:rPr>
          <w:rStyle w:val="FootnoteReference"/>
          <w:rFonts w:eastAsia="Arial Unicode MS"/>
          <w:noProof/>
        </w:rPr>
        <w:footnoteReference w:id="22"/>
      </w:r>
      <w:r w:rsidRPr="008C5AF8">
        <w:rPr>
          <w:noProof/>
        </w:rPr>
        <w:t>.</w:t>
      </w:r>
    </w:p>
    <w:p w14:paraId="4456274A" w14:textId="77777777" w:rsidR="00B42F55" w:rsidRPr="008C5AF8" w:rsidRDefault="00BD45CC" w:rsidP="00100DE5">
      <w:pPr>
        <w:rPr>
          <w:noProof/>
        </w:rPr>
      </w:pPr>
      <w:r w:rsidRPr="008C5AF8">
        <w:rPr>
          <w:noProof/>
        </w:rPr>
        <w:t>A Comissão avaliará a eficácia, a eficiência, a pertinência, a coerência e o valor acrescentado da União do quadro jurídico resultante seis anos após a data de aplicação do regulamento. Estará, assim, garantida a disponibilidade de dados suficientes para a avaliação.</w:t>
      </w:r>
    </w:p>
    <w:p w14:paraId="382E2D2E" w14:textId="77777777" w:rsidR="00936104" w:rsidRPr="008C5AF8" w:rsidRDefault="00936104" w:rsidP="00A4693B">
      <w:pPr>
        <w:pStyle w:val="ManualHeading2"/>
        <w:rPr>
          <w:rFonts w:eastAsia="Arial Unicode MS"/>
          <w:noProof/>
          <w:u w:color="000000"/>
          <w:bdr w:val="nil"/>
        </w:rPr>
      </w:pPr>
      <w:r w:rsidRPr="008C5AF8">
        <w:rPr>
          <w:noProof/>
          <w:u w:color="000000"/>
          <w:bdr w:val="nil"/>
        </w:rPr>
        <w:t>•</w:t>
      </w:r>
      <w:r w:rsidRPr="008C5AF8">
        <w:rPr>
          <w:noProof/>
          <w:u w:color="000000"/>
          <w:bdr w:val="nil"/>
        </w:rPr>
        <w:tab/>
        <w:t>Explicação pormenorizada das disposições específicas da proposta</w:t>
      </w:r>
    </w:p>
    <w:p w14:paraId="5E881BBF" w14:textId="77777777" w:rsidR="008F50E2" w:rsidRPr="008C5AF8" w:rsidRDefault="008F50E2" w:rsidP="008F50E2">
      <w:pPr>
        <w:pBdr>
          <w:top w:val="nil"/>
          <w:left w:val="nil"/>
          <w:bottom w:val="nil"/>
          <w:right w:val="nil"/>
          <w:between w:val="nil"/>
          <w:bar w:val="nil"/>
        </w:pBdr>
        <w:spacing w:before="0" w:after="240"/>
        <w:rPr>
          <w:noProof/>
        </w:rPr>
      </w:pPr>
      <w:r w:rsidRPr="008C5AF8">
        <w:rPr>
          <w:noProof/>
        </w:rPr>
        <w:t>No essencial, a proposta em anexo reproduz o texto do Regulamento (UE) 2019/1157, tal como adotado pelo Parlamento e pelo Conselho. No entanto, a Comissão considera que o texto desse regulamento deve ser adaptado nos seguintes aspetos:</w:t>
      </w:r>
    </w:p>
    <w:p w14:paraId="269D46A7" w14:textId="77777777" w:rsidR="008F50E2" w:rsidRPr="008C5AF8" w:rsidRDefault="007544CE" w:rsidP="0033370B">
      <w:pPr>
        <w:pStyle w:val="Tiret0"/>
        <w:numPr>
          <w:ilvl w:val="0"/>
          <w:numId w:val="17"/>
        </w:numPr>
        <w:rPr>
          <w:rFonts w:eastAsia="Arial Unicode MS"/>
          <w:noProof/>
        </w:rPr>
      </w:pPr>
      <w:r w:rsidRPr="008C5AF8">
        <w:rPr>
          <w:noProof/>
        </w:rPr>
        <w:t xml:space="preserve">Para ter em conta o acórdão </w:t>
      </w:r>
      <w:r w:rsidRPr="008C5AF8">
        <w:rPr>
          <w:i/>
          <w:noProof/>
        </w:rPr>
        <w:t>Landeshauptstadt Wiesbaden</w:t>
      </w:r>
      <w:r w:rsidRPr="008C5AF8">
        <w:rPr>
          <w:noProof/>
        </w:rPr>
        <w:t>, a base jurídica do regulamento é o artigo 77.º, n.º 3, do TFUE.</w:t>
      </w:r>
    </w:p>
    <w:p w14:paraId="7AAC4D74" w14:textId="77777777" w:rsidR="00B70107" w:rsidRPr="008C5AF8" w:rsidRDefault="007544CE" w:rsidP="008F50E2">
      <w:pPr>
        <w:pStyle w:val="Tiret0"/>
        <w:rPr>
          <w:noProof/>
        </w:rPr>
      </w:pPr>
      <w:r w:rsidRPr="008C5AF8">
        <w:rPr>
          <w:noProof/>
        </w:rPr>
        <w:t>Nos considerandos do regulamento, são suprimidas as referências a documentos de orientação adotados há vários anos.</w:t>
      </w:r>
    </w:p>
    <w:p w14:paraId="3F2464B6" w14:textId="77777777" w:rsidR="00DF45B6" w:rsidRPr="008C5AF8" w:rsidRDefault="007544CE" w:rsidP="00E03CE8">
      <w:pPr>
        <w:pStyle w:val="Tiret0"/>
        <w:rPr>
          <w:noProof/>
        </w:rPr>
      </w:pPr>
      <w:r w:rsidRPr="008C5AF8">
        <w:rPr>
          <w:noProof/>
        </w:rPr>
        <w:t>A referência explícita nos considerandos ao passaporte emitido pela Irlanda é suprimida, uma vez que a Irlanda não participa na adoção do regulamento, a menos que notifique a intenção de participar na sua adoção e aplicação. Neste caso, embora o passaporte emitido pela Irlanda seja um documento de viagem conforme com o documento 9303 da Organização da Aviação Civil Internacional relativo aos documentos de viagem de leitura automática, não serve para efeitos de identificação na Irlanda, pelo que não deve considerar-se abrangido pelo âmbito de aplicação do regulamento.</w:t>
      </w:r>
    </w:p>
    <w:p w14:paraId="72386079" w14:textId="77777777" w:rsidR="00DF45B6" w:rsidRPr="008C5AF8" w:rsidRDefault="007544CE" w:rsidP="008F50E2">
      <w:pPr>
        <w:pStyle w:val="Tiret0"/>
        <w:rPr>
          <w:rFonts w:eastAsia="Arial Unicode MS"/>
          <w:noProof/>
        </w:rPr>
      </w:pPr>
      <w:r w:rsidRPr="008C5AF8">
        <w:rPr>
          <w:noProof/>
        </w:rPr>
        <w:t>Nos considerandos do regulamento, é acrescentada uma referência ao facto de o Tribunal de Justiça ter declarado que a inclusão obrigatória das impressões digitais no suporte de armazenamento é compatível com os direitos fundamentais do respeito pela vida privada e da proteção dos dados pessoais garantidos nos artigos 7.º e 8.º da Carta.</w:t>
      </w:r>
    </w:p>
    <w:p w14:paraId="77D9F14C" w14:textId="77777777" w:rsidR="006B2216" w:rsidRPr="008C5AF8" w:rsidRDefault="00A06707" w:rsidP="008F50E2">
      <w:pPr>
        <w:pStyle w:val="Tiret0"/>
        <w:rPr>
          <w:rFonts w:eastAsia="Arial Unicode MS"/>
          <w:noProof/>
        </w:rPr>
      </w:pPr>
      <w:r w:rsidRPr="008C5AF8">
        <w:rPr>
          <w:noProof/>
        </w:rPr>
        <w:t>O considerando sobre a supressão gradual dos documentos que não cumpram os requisitos do regulamento é adaptado de modo a refletir o facto de os prazos estabelecidos pelo Regulamento (UE) 2019/1157 deverem continuar a ser aplicáveis.</w:t>
      </w:r>
    </w:p>
    <w:p w14:paraId="7F0AEDD0" w14:textId="77777777" w:rsidR="008128CA" w:rsidRPr="008C5AF8" w:rsidRDefault="008128CA" w:rsidP="008F50E2">
      <w:pPr>
        <w:pStyle w:val="Tiret0"/>
        <w:rPr>
          <w:rFonts w:eastAsia="Arial Unicode MS"/>
          <w:noProof/>
        </w:rPr>
      </w:pPr>
      <w:r w:rsidRPr="008C5AF8">
        <w:rPr>
          <w:noProof/>
        </w:rPr>
        <w:t>São aditados considerandos para refletir as autoexclusões da Irlanda e da Dinamarca.</w:t>
      </w:r>
    </w:p>
    <w:p w14:paraId="6152327B" w14:textId="77777777" w:rsidR="008128CA" w:rsidRPr="008C5AF8" w:rsidRDefault="008128CA" w:rsidP="008F50E2">
      <w:pPr>
        <w:pStyle w:val="Tiret0"/>
        <w:rPr>
          <w:rFonts w:eastAsia="Arial Unicode MS"/>
          <w:noProof/>
        </w:rPr>
      </w:pPr>
      <w:r w:rsidRPr="008C5AF8">
        <w:rPr>
          <w:noProof/>
        </w:rPr>
        <w:t>A Autoridade Europeia para a Proteção de Dados será consultada de novo.</w:t>
      </w:r>
    </w:p>
    <w:p w14:paraId="29678482" w14:textId="77777777" w:rsidR="00380CF3" w:rsidRPr="008C5AF8" w:rsidRDefault="00DF45B6" w:rsidP="008F50E2">
      <w:pPr>
        <w:pStyle w:val="Tiret0"/>
        <w:rPr>
          <w:rFonts w:eastAsia="Arial Unicode MS"/>
          <w:noProof/>
        </w:rPr>
      </w:pPr>
      <w:r w:rsidRPr="008C5AF8">
        <w:rPr>
          <w:noProof/>
        </w:rPr>
        <w:t>Uma vez que a Comissão não recebeu notificações nos termos do artigo 5.º, n.º 3, alínea b), do Regulamento (UE) 2019/1157, as referências a essas notificações são suprimidas.</w:t>
      </w:r>
    </w:p>
    <w:p w14:paraId="03533151" w14:textId="77777777" w:rsidR="008128CA" w:rsidRPr="008C5AF8" w:rsidRDefault="008128CA" w:rsidP="008F50E2">
      <w:pPr>
        <w:pStyle w:val="Tiret0"/>
        <w:rPr>
          <w:noProof/>
        </w:rPr>
      </w:pPr>
      <w:r w:rsidRPr="008C5AF8">
        <w:rPr>
          <w:noProof/>
        </w:rPr>
        <w:t>Nos termos do artigo 8.º, n.º 2, do Regulamento (UE) 2019/1157, determinados cartões de residência de familiares de cidadãos da União que não tenham a nacionalidade de um Estado-Membro deixaram de ser válidos na respetiva data de caducidade ou em 3 de agosto de 2023, consoante a data que tiver ocorrido primeiro. Uma vez que essa data de caducidade já ocorreu, o regulamento limita-se a indicar que esses cartões de residência deixaram de ser válidos.</w:t>
      </w:r>
    </w:p>
    <w:p w14:paraId="2997ABD8" w14:textId="77777777" w:rsidR="00DF45B6" w:rsidRPr="008C5AF8" w:rsidRDefault="00DF45B6" w:rsidP="00DF45B6">
      <w:pPr>
        <w:pStyle w:val="Tiret0"/>
        <w:rPr>
          <w:rFonts w:eastAsia="Arial Unicode MS"/>
          <w:noProof/>
        </w:rPr>
      </w:pPr>
      <w:r w:rsidRPr="008C5AF8">
        <w:rPr>
          <w:noProof/>
        </w:rPr>
        <w:t>Segundo dispõe o artigo 11.º, n.º 6, do Regulamento (UE) 2019/1157, «Os dados biométricos armazenados no suporte de armazenamento dos bilhetes de identidade e dos títulos de residência [a saber, a imagem facial e as duas impressões digitais do titular], só podem ser utilizados pelo pessoal devidamente autorizado das autoridades nacionais competentes e das agências da União». Dada a assinatura eletrónica no suporte de armazenamento dos bilhetes de identidade, a identificação do titular através da verificação dos dados no suporte de armazenamento é mais fiável do que um controlo visual do documento, em especial em situações de identificação à distância. Por conseguinte, os cidadãos da União podem querer utilizar os dados incluídos no suporte de armazenamento do seu bilhete de identidade, incluindo a imagem facial, para se identificarem perante entidades privadas, como bancos ou transportadoras aéreas. A redação da disposição é, por conseguinte, adaptada de modo a indicar que apenas as impressões digitais podem ser consultadas exclusivamente pelo pessoal devidamente habilitado das autoridades nacionais competentes e das agências da União. Em qualquer caso, a proteção criptográfica impede que pessoas não autorizadas acedam às impressões digitais no suporte de armazenamento.</w:t>
      </w:r>
    </w:p>
    <w:p w14:paraId="3AA858E2" w14:textId="77777777" w:rsidR="007544CE" w:rsidRPr="008C5AF8" w:rsidRDefault="007544CE" w:rsidP="00DF45B6">
      <w:pPr>
        <w:pStyle w:val="Tiret0"/>
        <w:rPr>
          <w:rFonts w:eastAsia="Arial Unicode MS"/>
          <w:noProof/>
        </w:rPr>
      </w:pPr>
      <w:r w:rsidRPr="008C5AF8">
        <w:rPr>
          <w:noProof/>
        </w:rPr>
        <w:t>A fim de limitar as obrigações de notificação das autoridades dos Estados-Membros, é suprimida a obrigação de manter atualizada e de comunicar anualmente à Comissão uma lista das autoridades competentes com acesso aos dados biométricos armazenados no suporte de armazenamento.</w:t>
      </w:r>
    </w:p>
    <w:p w14:paraId="6766B7A8" w14:textId="77777777" w:rsidR="00DF45B6" w:rsidRPr="008C5AF8" w:rsidRDefault="00DF45B6" w:rsidP="0037636C">
      <w:pPr>
        <w:pStyle w:val="Tiret0"/>
        <w:pBdr>
          <w:top w:val="nil"/>
          <w:left w:val="nil"/>
          <w:bottom w:val="nil"/>
          <w:right w:val="nil"/>
          <w:between w:val="nil"/>
          <w:bar w:val="nil"/>
        </w:pBdr>
        <w:rPr>
          <w:rFonts w:eastAsia="Arial Unicode MS"/>
          <w:noProof/>
        </w:rPr>
      </w:pPr>
      <w:r w:rsidRPr="008C5AF8">
        <w:rPr>
          <w:noProof/>
        </w:rPr>
        <w:t>A fim de reduzir as obrigações de notificação das autoridades dos Estados-Membros, são simplificadas as regras em matéria de comunicação de informações e de avaliação. O artigo 13.º do regulamento prevê que, em vez de proceder à sua avaliação de seis em seis anos, a Comissão efetuará uma única avaliação seis anos após a entrada em vigor do regulamento, centrando-se especificamente numa série de elementos abrangidos pelo âmbito de aplicação do regulamento.</w:t>
      </w:r>
    </w:p>
    <w:p w14:paraId="6AA094E6" w14:textId="77777777" w:rsidR="00936104" w:rsidRPr="008C5AF8" w:rsidRDefault="007544CE" w:rsidP="002609C7">
      <w:pPr>
        <w:pStyle w:val="Tiret0"/>
        <w:pBdr>
          <w:top w:val="nil"/>
          <w:left w:val="nil"/>
          <w:bottom w:val="nil"/>
          <w:right w:val="nil"/>
          <w:between w:val="nil"/>
          <w:bar w:val="nil"/>
        </w:pBdr>
        <w:rPr>
          <w:noProof/>
        </w:rPr>
      </w:pPr>
      <w:r w:rsidRPr="008C5AF8">
        <w:rPr>
          <w:noProof/>
        </w:rPr>
        <w:t>Dado que os Estados-Membros já estão a aplicar o Regulamento (UE) 2019/1157, não é necessário adiar a entrada em aplicação do regulamento proposto. Por conseguinte, o regulamento deve ser aplicável a partir da sua entrada em vigor.</w:t>
      </w:r>
    </w:p>
    <w:p w14:paraId="2D7D38D6" w14:textId="77777777" w:rsidR="00DF45B6" w:rsidRPr="008C5AF8" w:rsidRDefault="00DF45B6" w:rsidP="006F770D">
      <w:pPr>
        <w:rPr>
          <w:noProof/>
        </w:rPr>
        <w:sectPr w:rsidR="00DF45B6" w:rsidRPr="008C5AF8" w:rsidSect="00150DCB">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08"/>
          <w:docGrid w:linePitch="360"/>
        </w:sectPr>
      </w:pPr>
    </w:p>
    <w:p w14:paraId="37FA3831" w14:textId="77777777" w:rsidR="004D0A8B" w:rsidRDefault="00165A8F">
      <w:pPr>
        <w:pStyle w:val="Rfrenceinterinstitutionnelle"/>
        <w:rPr>
          <w:noProof/>
        </w:rPr>
      </w:pPr>
      <w:r>
        <w:rPr>
          <w:noProof/>
        </w:rPr>
        <w:t>2024/0187 (CNS)</w:t>
      </w:r>
    </w:p>
    <w:p w14:paraId="154A9076" w14:textId="77777777" w:rsidR="00936104" w:rsidRPr="008C5AF8" w:rsidRDefault="008C5AF8" w:rsidP="008C5AF8">
      <w:pPr>
        <w:pStyle w:val="Statut"/>
        <w:rPr>
          <w:noProof/>
        </w:rPr>
      </w:pPr>
      <w:r w:rsidRPr="008C5AF8">
        <w:rPr>
          <w:noProof/>
        </w:rPr>
        <w:t>Proposta de</w:t>
      </w:r>
    </w:p>
    <w:p w14:paraId="6894BE7B" w14:textId="77777777" w:rsidR="00936104" w:rsidRPr="008C5AF8" w:rsidRDefault="008C5AF8" w:rsidP="008C5AF8">
      <w:pPr>
        <w:pStyle w:val="Typedudocument"/>
        <w:rPr>
          <w:noProof/>
        </w:rPr>
      </w:pPr>
      <w:r w:rsidRPr="008C5AF8">
        <w:rPr>
          <w:noProof/>
        </w:rPr>
        <w:t>REGULAMENTO DO CONSELHO</w:t>
      </w:r>
    </w:p>
    <w:p w14:paraId="2D5C56B1" w14:textId="77777777" w:rsidR="00936104" w:rsidRPr="008C5AF8" w:rsidRDefault="008C5AF8" w:rsidP="008C5AF8">
      <w:pPr>
        <w:pStyle w:val="Titreobjet"/>
        <w:rPr>
          <w:noProof/>
        </w:rPr>
      </w:pPr>
      <w:r w:rsidRPr="008C5AF8">
        <w:rPr>
          <w:noProof/>
        </w:rPr>
        <w:t>que visa reforçar a segurança dos bilhetes de identidade dos cidadãos da União e dos títulos de residência emitidos aos cidadãos da União e seus familiares que exercem o direito à livre circulação</w:t>
      </w:r>
    </w:p>
    <w:p w14:paraId="4A768E41" w14:textId="77777777" w:rsidR="00936104" w:rsidRPr="008C5AF8" w:rsidRDefault="008C5AF8" w:rsidP="008C5AF8">
      <w:pPr>
        <w:pStyle w:val="IntrtEEE"/>
        <w:rPr>
          <w:noProof/>
        </w:rPr>
      </w:pPr>
      <w:r w:rsidRPr="008C5AF8">
        <w:rPr>
          <w:noProof/>
        </w:rPr>
        <w:t>(Texto relevante para efeitos do EEE)</w:t>
      </w:r>
    </w:p>
    <w:p w14:paraId="413C382B" w14:textId="77777777" w:rsidR="00936104" w:rsidRPr="008C5AF8" w:rsidRDefault="00936104" w:rsidP="00750517">
      <w:pPr>
        <w:pStyle w:val="Institutionquiagit"/>
        <w:rPr>
          <w:noProof/>
        </w:rPr>
      </w:pPr>
      <w:r w:rsidRPr="008C5AF8">
        <w:rPr>
          <w:noProof/>
        </w:rPr>
        <w:t>O CONSELHO DA UNIÃO EUROPEIA,</w:t>
      </w:r>
    </w:p>
    <w:p w14:paraId="3E439A52" w14:textId="77777777" w:rsidR="00936104" w:rsidRPr="008C5AF8" w:rsidRDefault="00936104" w:rsidP="00750517">
      <w:pPr>
        <w:rPr>
          <w:noProof/>
        </w:rPr>
      </w:pPr>
      <w:r w:rsidRPr="008C5AF8">
        <w:rPr>
          <w:noProof/>
        </w:rPr>
        <w:t>Tendo em conta o Tratado sobre o Funcionamento da União Europeia, nomeadamente o artigo 77.º, n.º 3,</w:t>
      </w:r>
    </w:p>
    <w:p w14:paraId="42840751" w14:textId="77777777" w:rsidR="00936104" w:rsidRPr="008C5AF8" w:rsidRDefault="00936104" w:rsidP="00750517">
      <w:pPr>
        <w:rPr>
          <w:noProof/>
        </w:rPr>
      </w:pPr>
      <w:r w:rsidRPr="008C5AF8">
        <w:rPr>
          <w:noProof/>
        </w:rPr>
        <w:t>Tendo em conta a proposta da Comissão Europeia,</w:t>
      </w:r>
    </w:p>
    <w:p w14:paraId="5E198BDC" w14:textId="77777777" w:rsidR="00936104" w:rsidRPr="008C5AF8" w:rsidRDefault="00936104" w:rsidP="00750517">
      <w:pPr>
        <w:rPr>
          <w:noProof/>
        </w:rPr>
      </w:pPr>
      <w:r w:rsidRPr="008C5AF8">
        <w:rPr>
          <w:noProof/>
        </w:rPr>
        <w:t>Após transmissão do projeto de ato legislativo aos parlamentos nacionais,</w:t>
      </w:r>
    </w:p>
    <w:p w14:paraId="1517642C" w14:textId="77777777" w:rsidR="00936104" w:rsidRPr="008C5AF8" w:rsidRDefault="00936104" w:rsidP="00750517">
      <w:pPr>
        <w:rPr>
          <w:noProof/>
        </w:rPr>
      </w:pPr>
      <w:r w:rsidRPr="008C5AF8">
        <w:rPr>
          <w:noProof/>
        </w:rPr>
        <w:t>Tendo em conta o parecer do Parlamento Europeu</w:t>
      </w:r>
      <w:r w:rsidRPr="008C5AF8">
        <w:rPr>
          <w:rStyle w:val="FootnoteReference"/>
          <w:noProof/>
        </w:rPr>
        <w:footnoteReference w:id="23"/>
      </w:r>
      <w:r w:rsidRPr="008C5AF8">
        <w:rPr>
          <w:noProof/>
        </w:rPr>
        <w:t>,</w:t>
      </w:r>
    </w:p>
    <w:p w14:paraId="3D6A9904" w14:textId="77777777" w:rsidR="00936104" w:rsidRPr="008C5AF8" w:rsidRDefault="00936104" w:rsidP="00750517">
      <w:pPr>
        <w:rPr>
          <w:noProof/>
        </w:rPr>
      </w:pPr>
      <w:r w:rsidRPr="008C5AF8">
        <w:rPr>
          <w:noProof/>
        </w:rPr>
        <w:t>Deliberando de acordo com um processo legislativo especial,</w:t>
      </w:r>
    </w:p>
    <w:p w14:paraId="3D7D0EA9" w14:textId="77777777" w:rsidR="00936104" w:rsidRPr="008C5AF8" w:rsidRDefault="00936104" w:rsidP="00750517">
      <w:pPr>
        <w:rPr>
          <w:noProof/>
        </w:rPr>
      </w:pPr>
      <w:r w:rsidRPr="008C5AF8">
        <w:rPr>
          <w:noProof/>
        </w:rPr>
        <w:t>Considerando o seguinte:</w:t>
      </w:r>
    </w:p>
    <w:p w14:paraId="01A84BEE" w14:textId="11F7B72E" w:rsidR="00936104" w:rsidRPr="008C5AF8" w:rsidRDefault="00AE3398" w:rsidP="00AE3398">
      <w:pPr>
        <w:pStyle w:val="ManualConsidrant"/>
        <w:rPr>
          <w:noProof/>
        </w:rPr>
      </w:pPr>
      <w:r w:rsidRPr="00AE3398">
        <w:rPr>
          <w:noProof/>
        </w:rPr>
        <w:t>(1)</w:t>
      </w:r>
      <w:r w:rsidRPr="00AE3398">
        <w:rPr>
          <w:noProof/>
        </w:rPr>
        <w:tab/>
      </w:r>
      <w:r w:rsidR="00072E74" w:rsidRPr="008C5AF8">
        <w:rPr>
          <w:noProof/>
        </w:rPr>
        <w:t>O Tratado da União Europeia (TUE) visa facilitar a livre circulação de pessoas, sem deixar de garantir a segurança dos seus povos, através da criação de um espaço de liberdade, segurança e justiça, nos termos das disposições do TUE e do Tratado sobre o Funcionamento da União Europeia (TFUE).</w:t>
      </w:r>
    </w:p>
    <w:p w14:paraId="30759778" w14:textId="017C2081" w:rsidR="00072E74" w:rsidRPr="008C5AF8" w:rsidRDefault="00AE3398" w:rsidP="00AE3398">
      <w:pPr>
        <w:pStyle w:val="ManualConsidrant"/>
        <w:rPr>
          <w:noProof/>
        </w:rPr>
      </w:pPr>
      <w:r w:rsidRPr="00AE3398">
        <w:rPr>
          <w:noProof/>
        </w:rPr>
        <w:t>(2)</w:t>
      </w:r>
      <w:r w:rsidRPr="00AE3398">
        <w:rPr>
          <w:noProof/>
        </w:rPr>
        <w:tab/>
      </w:r>
      <w:r w:rsidR="00072E74" w:rsidRPr="008C5AF8">
        <w:rPr>
          <w:noProof/>
        </w:rPr>
        <w:t>A cidadania da União confere a cada cidadão da União o direito à livre circulação, sob reserva de determinadas restrições e condições. A Diretiva 2004/38/CE do Parlamento Europeu e do Conselho</w:t>
      </w:r>
      <w:r w:rsidR="00072E74" w:rsidRPr="008C5AF8">
        <w:rPr>
          <w:rStyle w:val="FootnoteReference"/>
          <w:noProof/>
        </w:rPr>
        <w:footnoteReference w:id="24"/>
      </w:r>
      <w:r w:rsidR="00072E74" w:rsidRPr="008C5AF8">
        <w:rPr>
          <w:noProof/>
        </w:rPr>
        <w:t xml:space="preserve"> consubstancia esse direito. O artigo 45.º da Carta dos Direitos Fundamentais da União Europeia («Carta») consagra igualmente a liberdade de circulação e de permanência. A liberdade de circulação comporta o direito de entrar e sair dos Estados-Membros mediante a apresentação de bilhete de identidade ou passaporte válidos.</w:t>
      </w:r>
    </w:p>
    <w:p w14:paraId="2A409E4E" w14:textId="29537354" w:rsidR="00072E74" w:rsidRPr="008C5AF8" w:rsidRDefault="00AE3398" w:rsidP="00AE3398">
      <w:pPr>
        <w:pStyle w:val="ManualConsidrant"/>
        <w:rPr>
          <w:noProof/>
        </w:rPr>
      </w:pPr>
      <w:r w:rsidRPr="00AE3398">
        <w:rPr>
          <w:noProof/>
        </w:rPr>
        <w:t>(3)</w:t>
      </w:r>
      <w:r w:rsidRPr="00AE3398">
        <w:rPr>
          <w:noProof/>
        </w:rPr>
        <w:tab/>
      </w:r>
      <w:r w:rsidR="00072E74" w:rsidRPr="008C5AF8">
        <w:rPr>
          <w:noProof/>
        </w:rPr>
        <w:t>Nos termos da Diretiva 2004/38/CE, os Estados-Membros devem emitir e renovar os bilhetes de identidade e passaportes dos seus cidadãos de acordo com a legislação nacional. Além disso, essa diretiva estabelece que os Estados-Membros podem exigir aos cidadãos da União e seus familiares que se registem junto das autoridades competentes. Os Estados-Membros são obrigados a emitir certificados de registo aos cidadãos da União nas condições aí definidas. Nos termos da referida diretiva, os Estados-Membros são igualmente obrigados a emitir cartões de residência aos familiares que não sejam nacionais de um Estado-Membro e, mediante pedido, a emitir documentos que certifiquem a residência permanente, bem como emitir cartões de residência permanente.</w:t>
      </w:r>
    </w:p>
    <w:p w14:paraId="0C05CECC" w14:textId="1DD256AA" w:rsidR="00072E74" w:rsidRPr="008C5AF8" w:rsidRDefault="00AE3398" w:rsidP="00AE3398">
      <w:pPr>
        <w:pStyle w:val="ManualConsidrant"/>
        <w:rPr>
          <w:noProof/>
        </w:rPr>
      </w:pPr>
      <w:r w:rsidRPr="00AE3398">
        <w:rPr>
          <w:noProof/>
        </w:rPr>
        <w:t>(4)</w:t>
      </w:r>
      <w:r w:rsidRPr="00AE3398">
        <w:rPr>
          <w:noProof/>
        </w:rPr>
        <w:tab/>
      </w:r>
      <w:r w:rsidR="00072E74" w:rsidRPr="008C5AF8">
        <w:rPr>
          <w:noProof/>
        </w:rPr>
        <w:t>A Diretiva 2004/38/CE estabelece que os Estados-Membros podem adotar as medidas necessárias para recusar, fazer cessar ou retirar qualquer direito conferido pela referida diretiva em caso de abuso de direito ou de fraude. A falsificação de documentos ou a apresentação de factos materiais falsos relativos às condições associadas ao direito de residência foram consideradas casos típicos de fraude para efeitos da referida diretiva.</w:t>
      </w:r>
    </w:p>
    <w:p w14:paraId="55DB29A2" w14:textId="3CE0F98C" w:rsidR="00072E74" w:rsidRPr="008C5AF8" w:rsidRDefault="00AE3398" w:rsidP="00AE3398">
      <w:pPr>
        <w:pStyle w:val="ManualConsidrant"/>
        <w:rPr>
          <w:noProof/>
        </w:rPr>
      </w:pPr>
      <w:r w:rsidRPr="00AE3398">
        <w:rPr>
          <w:noProof/>
        </w:rPr>
        <w:t>(5)</w:t>
      </w:r>
      <w:r w:rsidRPr="00AE3398">
        <w:rPr>
          <w:noProof/>
        </w:rPr>
        <w:tab/>
      </w:r>
      <w:r w:rsidR="001F43B6" w:rsidRPr="008C5AF8">
        <w:rPr>
          <w:noProof/>
        </w:rPr>
        <w:t xml:space="preserve">Antes da adoção de regras a nível da União, existiam diferenças consideráveis entre os níveis de segurança dos bilhetes de identidade nacionais e dos títulos de residência dos cidadãos da União e dos respetivos familiares residentes noutro Estado-Membro. Essas diferenças aumentam o risco de falsificação e fraude documental e colocam dificuldades de ordem prática aos cidadãos que exercem o seu direito à livre circulação. </w:t>
      </w:r>
    </w:p>
    <w:p w14:paraId="53D912EA" w14:textId="48AA0079" w:rsidR="00072E74" w:rsidRPr="008C5AF8" w:rsidRDefault="00AE3398" w:rsidP="00AE3398">
      <w:pPr>
        <w:pStyle w:val="ManualConsidrant"/>
        <w:rPr>
          <w:noProof/>
        </w:rPr>
      </w:pPr>
      <w:r w:rsidRPr="00AE3398">
        <w:rPr>
          <w:noProof/>
        </w:rPr>
        <w:t>(6)</w:t>
      </w:r>
      <w:r w:rsidRPr="00AE3398">
        <w:rPr>
          <w:noProof/>
        </w:rPr>
        <w:tab/>
      </w:r>
      <w:r w:rsidR="00F6566F" w:rsidRPr="008C5AF8">
        <w:rPr>
          <w:noProof/>
        </w:rPr>
        <w:t>É primordial dispor de documentos de viagem e de identidade seguros sempre que seja necessário confirmar de forma inequívoca a identidade de uma pessoa. Um elevado nível de segurança dos documentos é importante para prevenir os abusos e as ameaças à segurança interna, em especial no contexto do terrorismo e da criminalidade transfronteiriça. No passado, os bilhetes de identidade nacionais insuficientemente seguros figuravam entre os documentos falsos mais frequentemente detetados em viagens no interior da União.</w:t>
      </w:r>
    </w:p>
    <w:p w14:paraId="49B7821C" w14:textId="26132CCA" w:rsidR="00072E74" w:rsidRPr="008C5AF8" w:rsidRDefault="00AE3398" w:rsidP="00AE3398">
      <w:pPr>
        <w:pStyle w:val="ManualConsidrant"/>
        <w:rPr>
          <w:noProof/>
        </w:rPr>
      </w:pPr>
      <w:r w:rsidRPr="00AE3398">
        <w:rPr>
          <w:noProof/>
        </w:rPr>
        <w:t>(7)</w:t>
      </w:r>
      <w:r w:rsidRPr="00AE3398">
        <w:rPr>
          <w:noProof/>
        </w:rPr>
        <w:tab/>
      </w:r>
      <w:r w:rsidR="00072E74" w:rsidRPr="008C5AF8">
        <w:rPr>
          <w:noProof/>
        </w:rPr>
        <w:t>A fim de dissuadir a fraude de identidade, os Estados-Membros deverão assegurar que a falsificação e a contrafação de documentos de identificação, bem como a utilização desses documentos falsificados ou contrafeitos sejam devidamente sancionadas pelas legislações nacionais.</w:t>
      </w:r>
    </w:p>
    <w:p w14:paraId="2007439E" w14:textId="229AC20D" w:rsidR="00072E74" w:rsidRPr="008C5AF8" w:rsidRDefault="00AE3398" w:rsidP="00AE3398">
      <w:pPr>
        <w:pStyle w:val="ManualConsidrant"/>
        <w:rPr>
          <w:noProof/>
        </w:rPr>
      </w:pPr>
      <w:r w:rsidRPr="00AE3398">
        <w:rPr>
          <w:noProof/>
        </w:rPr>
        <w:t>(8)</w:t>
      </w:r>
      <w:r w:rsidRPr="00AE3398">
        <w:rPr>
          <w:noProof/>
        </w:rPr>
        <w:tab/>
      </w:r>
      <w:r w:rsidR="00F6566F" w:rsidRPr="008C5AF8">
        <w:rPr>
          <w:noProof/>
        </w:rPr>
        <w:t>A emissão de bilhetes de identidade autênticos e seguros exige um processo de registo de identidade fiável e documentos de base seguros que sirvam de apoio ao pedido. A Comissão, os Estados-Membros e as agências competentes da União deverão continuar a trabalhar em conjunto para tornar os documentos de base menos vulneráveis à fraude, dada a utilização crescente de documentos de base falsos.</w:t>
      </w:r>
    </w:p>
    <w:p w14:paraId="51B9B6E6" w14:textId="6B11BD5E" w:rsidR="00072E74" w:rsidRPr="008C5AF8" w:rsidRDefault="00AE3398" w:rsidP="00AE3398">
      <w:pPr>
        <w:pStyle w:val="ManualConsidrant"/>
        <w:rPr>
          <w:noProof/>
        </w:rPr>
      </w:pPr>
      <w:r w:rsidRPr="00AE3398">
        <w:rPr>
          <w:noProof/>
        </w:rPr>
        <w:t>(9)</w:t>
      </w:r>
      <w:r w:rsidRPr="00AE3398">
        <w:rPr>
          <w:noProof/>
        </w:rPr>
        <w:tab/>
      </w:r>
      <w:r w:rsidR="00072E74" w:rsidRPr="008C5AF8">
        <w:rPr>
          <w:noProof/>
        </w:rPr>
        <w:t>O presente regulamento não prevê que os Estados-Membros introduzam bilhetes de identidade ou títulos de residência que não se encontrem previstos na legislação nacional, tal como não prejudica a competência dos Estados-Membros para emitir outros títulos de residência, nos termos do direito nacional, que não são abrangidos pelo âmbito de aplicação do direito da União, designadamente cartões de residência emitidos a todos os residentes do território, seja qual for a nacionalidade. Além disso, o presente regulamento não afeta o princípio, decorrente da jurisprudência do Tribunal de Justiça, de que o direito à livre circulação e o direito de residência podem ser atestados por qualquer meio de prova.</w:t>
      </w:r>
    </w:p>
    <w:p w14:paraId="5CAA7FBA" w14:textId="4A63A084" w:rsidR="00072E74" w:rsidRPr="008C5AF8" w:rsidRDefault="00AE3398" w:rsidP="00AE3398">
      <w:pPr>
        <w:pStyle w:val="ManualConsidrant"/>
        <w:rPr>
          <w:noProof/>
        </w:rPr>
      </w:pPr>
      <w:r w:rsidRPr="00AE3398">
        <w:rPr>
          <w:noProof/>
        </w:rPr>
        <w:t>(10)</w:t>
      </w:r>
      <w:r w:rsidRPr="00AE3398">
        <w:rPr>
          <w:noProof/>
        </w:rPr>
        <w:tab/>
      </w:r>
      <w:r w:rsidR="00072E74" w:rsidRPr="008C5AF8">
        <w:rPr>
          <w:noProof/>
        </w:rPr>
        <w:t>O presente regulamento não impede os Estados-Membros de aceitarem, de forma não discriminatória, outros documentos para além dos documentos de viagem para efeitos de identificação, tais como cartas de condução.</w:t>
      </w:r>
    </w:p>
    <w:p w14:paraId="13F2EB2C" w14:textId="4ACD8B3E" w:rsidR="00072E74" w:rsidRPr="008C5AF8" w:rsidRDefault="00AE3398" w:rsidP="00AE3398">
      <w:pPr>
        <w:pStyle w:val="ManualConsidrant"/>
        <w:rPr>
          <w:noProof/>
        </w:rPr>
      </w:pPr>
      <w:r w:rsidRPr="00AE3398">
        <w:rPr>
          <w:noProof/>
        </w:rPr>
        <w:t>(11)</w:t>
      </w:r>
      <w:r w:rsidRPr="00AE3398">
        <w:rPr>
          <w:noProof/>
        </w:rPr>
        <w:tab/>
      </w:r>
      <w:r w:rsidR="00072E74" w:rsidRPr="008C5AF8">
        <w:rPr>
          <w:noProof/>
        </w:rPr>
        <w:t>Os documentos de identificação emitidos a cidadãos cujo direito à livre circulação tenha sido restringido de acordo com o direito da União ou o direito nacional, e que indiquem expressamente que não podem ser utilizados como documentos de viagem, não são abrangidos pelo âmbito de aplicação do presente regulamento.</w:t>
      </w:r>
    </w:p>
    <w:p w14:paraId="6934C056" w14:textId="1DB884DB" w:rsidR="00072E74" w:rsidRPr="008C5AF8" w:rsidRDefault="00AE3398" w:rsidP="00AE3398">
      <w:pPr>
        <w:pStyle w:val="ManualConsidrant"/>
        <w:rPr>
          <w:noProof/>
        </w:rPr>
      </w:pPr>
      <w:r w:rsidRPr="00AE3398">
        <w:rPr>
          <w:noProof/>
        </w:rPr>
        <w:t>(12)</w:t>
      </w:r>
      <w:r w:rsidRPr="00AE3398">
        <w:rPr>
          <w:noProof/>
        </w:rPr>
        <w:tab/>
      </w:r>
      <w:r w:rsidR="00072E74" w:rsidRPr="008C5AF8">
        <w:rPr>
          <w:noProof/>
        </w:rPr>
        <w:t>Os documentos de viagem que cumpram os requisitos constantes do documento 9303 da Organização da Aviação Civil Internacional (OACI) relativo aos documentos de viagem de leitura automática que não são válidos para efeitos de identificação nos Estados-Membros emitentes não deverão ser considerados como abrangidos pelo âmbito de aplicação do presente regulamento.</w:t>
      </w:r>
    </w:p>
    <w:p w14:paraId="27C39CC7" w14:textId="613A8977" w:rsidR="00072E74" w:rsidRPr="008C5AF8" w:rsidRDefault="00AE3398" w:rsidP="00AE3398">
      <w:pPr>
        <w:pStyle w:val="ManualConsidrant"/>
        <w:rPr>
          <w:noProof/>
        </w:rPr>
      </w:pPr>
      <w:r w:rsidRPr="00AE3398">
        <w:rPr>
          <w:noProof/>
        </w:rPr>
        <w:t>(13)</w:t>
      </w:r>
      <w:r w:rsidRPr="00AE3398">
        <w:rPr>
          <w:noProof/>
        </w:rPr>
        <w:tab/>
      </w:r>
      <w:r w:rsidR="00072E74" w:rsidRPr="008C5AF8">
        <w:rPr>
          <w:noProof/>
        </w:rPr>
        <w:t>O presente regulamento não prejudica a utilização pelos Estados-Membros de bilhetes de identidade e títulos de residência com a função de identificação eletrónica para outros fins, tal como não prejudica a aplicação do Regulamento (UE) n.º 910/2014 do Parlamento Europeu e do Conselho</w:t>
      </w:r>
      <w:r w:rsidR="00072E74" w:rsidRPr="008C5AF8">
        <w:rPr>
          <w:rStyle w:val="FootnoteReference"/>
          <w:noProof/>
        </w:rPr>
        <w:footnoteReference w:id="25"/>
      </w:r>
      <w:r w:rsidR="00072E74" w:rsidRPr="008C5AF8">
        <w:rPr>
          <w:noProof/>
        </w:rPr>
        <w:t>, que prevê o reconhecimento mútuo das identificações eletrónicas a nível da União no acesso aos serviços públicos e apoia os cidadãos que se deslocam para outro Estado-Membro, ao exigir meios de reconhecimento mútuo das identificações eletrónicas sujeitos a determinadas condições. Com melhores bilhetes de identidade deverá ser possível efetuar uma identificação mais fácil e, ao mesmo tempo, contribuir para um melhor acesso aos serviços.</w:t>
      </w:r>
    </w:p>
    <w:p w14:paraId="16624999" w14:textId="13849AFD" w:rsidR="00072E74" w:rsidRPr="008C5AF8" w:rsidRDefault="00AE3398" w:rsidP="00AE3398">
      <w:pPr>
        <w:pStyle w:val="ManualConsidrant"/>
        <w:rPr>
          <w:noProof/>
        </w:rPr>
      </w:pPr>
      <w:r w:rsidRPr="00AE3398">
        <w:rPr>
          <w:noProof/>
        </w:rPr>
        <w:t>(14)</w:t>
      </w:r>
      <w:r w:rsidRPr="00AE3398">
        <w:rPr>
          <w:noProof/>
        </w:rPr>
        <w:tab/>
      </w:r>
      <w:r w:rsidR="00072E74" w:rsidRPr="008C5AF8">
        <w:rPr>
          <w:noProof/>
        </w:rPr>
        <w:t>O controlo adequado dos bilhetes de identidade e dos títulos de residência exige que os Estados-Membros utilizem o título correto para cada tipo de documento abrangido pelo presente regulamento. A fim de facilitar o controlo dos documentos abrangidos pelo presente regulamento noutros Estados-Membros, o título do documento deverá também figurar pelo menos noutra língua oficial da União. Os Estados-Membros que já utilizem, para os bilhetes de identidade, outras designações bem estabelecidas que não «bilhete de identidade», deverão poder continuar a fazê-lo na sua língua ou línguas oficiais. No entanto, não deverão ser introduzidas novas designações no futuro.</w:t>
      </w:r>
    </w:p>
    <w:p w14:paraId="53AE3B1D" w14:textId="0BC8056B" w:rsidR="00072E74" w:rsidRPr="008C5AF8" w:rsidRDefault="00AE3398" w:rsidP="00AE3398">
      <w:pPr>
        <w:pStyle w:val="ManualConsidrant"/>
        <w:rPr>
          <w:noProof/>
        </w:rPr>
      </w:pPr>
      <w:r w:rsidRPr="00AE3398">
        <w:rPr>
          <w:noProof/>
        </w:rPr>
        <w:t>(15)</w:t>
      </w:r>
      <w:r w:rsidRPr="00AE3398">
        <w:rPr>
          <w:noProof/>
        </w:rPr>
        <w:tab/>
      </w:r>
      <w:r w:rsidR="00072E74" w:rsidRPr="008C5AF8">
        <w:rPr>
          <w:noProof/>
        </w:rPr>
        <w:t>Os elementos de segurança são necessários para verificar se o documento é autêntico e confirmar a identidade de uma pessoa. A aplicação de normas mínimas de segurança e a inclusão de dados biométricos nos bilhetes de identidade e cartões de residência dos familiares que não sejam nacionais de um Estado-Membro constituem passos importantes para reforçar a segurança da sua utilização na União. A inclusão dos referidos identificadores biométricos deverá permitir aos cidadãos da União exercer plenamente o seu direito à livre circulação.</w:t>
      </w:r>
    </w:p>
    <w:p w14:paraId="5E1E9AC7" w14:textId="659E7A55" w:rsidR="00072E74" w:rsidRPr="008C5AF8" w:rsidRDefault="00AE3398" w:rsidP="00AE3398">
      <w:pPr>
        <w:pStyle w:val="ManualConsidrant"/>
        <w:rPr>
          <w:noProof/>
        </w:rPr>
      </w:pPr>
      <w:r w:rsidRPr="00AE3398">
        <w:rPr>
          <w:noProof/>
        </w:rPr>
        <w:t>(16)</w:t>
      </w:r>
      <w:r w:rsidRPr="00AE3398">
        <w:rPr>
          <w:noProof/>
        </w:rPr>
        <w:tab/>
      </w:r>
      <w:r w:rsidR="00072E74" w:rsidRPr="008C5AF8">
        <w:rPr>
          <w:noProof/>
        </w:rPr>
        <w:t>O armazenamento de uma imagem facial e de duas impressões digitais («dados biométricos») nos bilhetes de identidade e nos cartões de residência, tal como já previsto para os passaportes biométricos para os cidadãos da União e os títulos de residência para os nacionais de países terceiros, é o método mais adequado para combinar uma identificação e uma autenticação fiáveis com um risco de fraude reduzido, de modo a reforçar a segurança dos documentos de identidade e de residência. Tal como confirmado pelo Tribunal de Justiça, a inclusão obrigatória das impressões digitais no suporte de armazenamento é compatível com os direitos fundamentais do respeito pela vida privada e da proteção dos dados pessoais garantidos nos artigos 7.º e 8.º da Carta.</w:t>
      </w:r>
    </w:p>
    <w:p w14:paraId="5724BCED" w14:textId="124469E0" w:rsidR="00072E74" w:rsidRPr="008C5AF8" w:rsidRDefault="00AE3398" w:rsidP="00AE3398">
      <w:pPr>
        <w:pStyle w:val="ManualConsidrant"/>
        <w:rPr>
          <w:noProof/>
        </w:rPr>
      </w:pPr>
      <w:r w:rsidRPr="00AE3398">
        <w:rPr>
          <w:noProof/>
        </w:rPr>
        <w:t>(17)</w:t>
      </w:r>
      <w:r w:rsidRPr="00AE3398">
        <w:rPr>
          <w:noProof/>
        </w:rPr>
        <w:tab/>
      </w:r>
      <w:r w:rsidR="00072E74" w:rsidRPr="008C5AF8">
        <w:rPr>
          <w:noProof/>
        </w:rPr>
        <w:t>Como prática geral, para efeitos de verificação da autenticidade do documento e da identidade do titular, os Estados-Membros deverão, em primeiro lugar, verificar a imagem facial e, caso seja necessário para confirmar sem que subsistam dúvidas a autenticidade do documento e a identidade do titular, verificar igualmente as impressões digitais.</w:t>
      </w:r>
    </w:p>
    <w:p w14:paraId="3770BADF" w14:textId="6F7262C7" w:rsidR="00072E74" w:rsidRPr="008C5AF8" w:rsidRDefault="00AE3398" w:rsidP="00AE3398">
      <w:pPr>
        <w:pStyle w:val="ManualConsidrant"/>
        <w:rPr>
          <w:noProof/>
        </w:rPr>
      </w:pPr>
      <w:r w:rsidRPr="00AE3398">
        <w:rPr>
          <w:noProof/>
        </w:rPr>
        <w:t>(18)</w:t>
      </w:r>
      <w:r w:rsidRPr="00AE3398">
        <w:rPr>
          <w:noProof/>
        </w:rPr>
        <w:tab/>
      </w:r>
      <w:r w:rsidR="00072E74" w:rsidRPr="008C5AF8">
        <w:rPr>
          <w:noProof/>
        </w:rPr>
        <w:t>Os Estados-Membros deverão assegurar que, nos casos em que a verificação dos dados biométricos não confirme a autenticidade do documento ou a identidade do seu titular, seja efetuado um controlo manual obrigatório por pessoal qualificado.</w:t>
      </w:r>
    </w:p>
    <w:p w14:paraId="7ABDD0A1" w14:textId="1554C0BA" w:rsidR="00072E74" w:rsidRPr="008C5AF8" w:rsidRDefault="00AE3398" w:rsidP="00AE3398">
      <w:pPr>
        <w:pStyle w:val="ManualConsidrant"/>
        <w:rPr>
          <w:noProof/>
        </w:rPr>
      </w:pPr>
      <w:r w:rsidRPr="00AE3398">
        <w:rPr>
          <w:noProof/>
        </w:rPr>
        <w:t>(19)</w:t>
      </w:r>
      <w:r w:rsidRPr="00AE3398">
        <w:rPr>
          <w:noProof/>
        </w:rPr>
        <w:tab/>
      </w:r>
      <w:r w:rsidR="00072E74" w:rsidRPr="008C5AF8">
        <w:rPr>
          <w:noProof/>
        </w:rPr>
        <w:t>O presente regulamento não estabelece uma base jurídica para a criação ou a manutenção de bases de dados a nível nacional para o armazenamento de dados biométricos nos Estados‑Membros, questão que é regida pelo direito nacional, que deve ser conforme com o direito da União em matéria de proteção de dados, incluindo no que diz respeito aos requisitos de necessidade e proporcionalidade. O presente regulamento também não estabelece uma base jurídica para a criação ou a manutenção de uma base de dados centralizada a nível da União.</w:t>
      </w:r>
    </w:p>
    <w:p w14:paraId="5EF9A59A" w14:textId="79DC5924" w:rsidR="00A27430" w:rsidRPr="008C5AF8" w:rsidRDefault="00AE3398" w:rsidP="00AE3398">
      <w:pPr>
        <w:pStyle w:val="ManualConsidrant"/>
        <w:rPr>
          <w:noProof/>
        </w:rPr>
      </w:pPr>
      <w:r w:rsidRPr="00AE3398">
        <w:rPr>
          <w:noProof/>
        </w:rPr>
        <w:t>(20)</w:t>
      </w:r>
      <w:r w:rsidRPr="00AE3398">
        <w:rPr>
          <w:noProof/>
        </w:rPr>
        <w:tab/>
      </w:r>
      <w:r w:rsidR="00072E74" w:rsidRPr="008C5AF8">
        <w:rPr>
          <w:noProof/>
        </w:rPr>
        <w:t xml:space="preserve">Os dados biométricos deverão ser recolhidos e armazenados no suporte de armazenamento dos bilhetes de identidade e títulos de residência para efeitos de verificação da autenticidade do documento e da identidade do titular. Dada a assinatura eletrónica no suporte de armazenamento dos bilhetes de identidade, a identificação do titular através do suporte de armazenamento, que contém os mesmos dados biográficos impressos no documento, é mais fiável do que um controlo visual do documento. Por conseguinte, os cidadãos da União devem ser autorizados a utilizar os dados armazenados no suporte de armazenamento do seu bilhete de identidade para se identificarem perante entidades privadas. No entanto, a verificação das impressões digitais armazenadas no suporte de armazenamento só deve ser efetuada por pessoal devidamente habilitado e apenas quando a lei exigir a apresentação do documento. </w:t>
      </w:r>
    </w:p>
    <w:p w14:paraId="2A52DB30" w14:textId="53FBB1AF" w:rsidR="00072E74" w:rsidRPr="008C5AF8" w:rsidRDefault="00AE3398" w:rsidP="00AE3398">
      <w:pPr>
        <w:pStyle w:val="ManualConsidrant"/>
        <w:rPr>
          <w:noProof/>
        </w:rPr>
      </w:pPr>
      <w:r w:rsidRPr="00AE3398">
        <w:rPr>
          <w:noProof/>
        </w:rPr>
        <w:t>(21)</w:t>
      </w:r>
      <w:r w:rsidRPr="00AE3398">
        <w:rPr>
          <w:noProof/>
        </w:rPr>
        <w:tab/>
      </w:r>
      <w:r w:rsidR="00A27430" w:rsidRPr="008C5AF8">
        <w:rPr>
          <w:noProof/>
        </w:rPr>
        <w:t>Os dados biométricos armazenados para efeitos de personalização dos bilhetes de identidade ou dos títulos de residência devem ser conservados de forma altamente segura e apenas até à data de entrega do documento e, em qualquer caso, não mais de 90 dias a contar da data de emissão do documento. Após esse período, os referidos dados biométricos devem ser imediatamente apagados ou destruídos. Tudo isto sem prejuízo de qualquer outro tratamento desses dados de acordo com o direito da União e com o direito nacional em matéria de proteção de dados.</w:t>
      </w:r>
    </w:p>
    <w:p w14:paraId="47AF9CE6" w14:textId="0FB954ED" w:rsidR="00072E74" w:rsidRPr="008C5AF8" w:rsidRDefault="00AE3398" w:rsidP="00AE3398">
      <w:pPr>
        <w:pStyle w:val="ManualConsidrant"/>
        <w:rPr>
          <w:noProof/>
        </w:rPr>
      </w:pPr>
      <w:r w:rsidRPr="00AE3398">
        <w:rPr>
          <w:noProof/>
        </w:rPr>
        <w:t>(22)</w:t>
      </w:r>
      <w:r w:rsidRPr="00AE3398">
        <w:rPr>
          <w:noProof/>
        </w:rPr>
        <w:tab/>
      </w:r>
      <w:r w:rsidR="00072E74" w:rsidRPr="008C5AF8">
        <w:rPr>
          <w:noProof/>
        </w:rPr>
        <w:t>Para efeitos do presente regulamento, devem ser tidas em conta as especificações estabelecidas no documento 9303 da OACI, que asseguram a interoperabilidade a nível mundial, incluindo no caso de leitura automática e recurso a inspeção visual.</w:t>
      </w:r>
    </w:p>
    <w:p w14:paraId="372302F0" w14:textId="630346A0" w:rsidR="00072E74" w:rsidRPr="008C5AF8" w:rsidRDefault="00AE3398" w:rsidP="00AE3398">
      <w:pPr>
        <w:pStyle w:val="ManualConsidrant"/>
        <w:rPr>
          <w:noProof/>
        </w:rPr>
      </w:pPr>
      <w:r w:rsidRPr="00AE3398">
        <w:rPr>
          <w:noProof/>
        </w:rPr>
        <w:t>(23)</w:t>
      </w:r>
      <w:r w:rsidRPr="00AE3398">
        <w:rPr>
          <w:noProof/>
        </w:rPr>
        <w:tab/>
      </w:r>
      <w:r w:rsidR="00072E74" w:rsidRPr="008C5AF8">
        <w:rPr>
          <w:noProof/>
        </w:rPr>
        <w:t>Os Estados-Membros devem poder decidir incluir ou não o género de uma pessoa num documento abrangido pelo presente regulamento. Se um Estado-Membro incluir o género de uma pessoa nesse documento, deve utilizar as especificações previstas do documento 9303 da OACI «F», «M» ou «X» ou a inicial correspondente na língua ou línguas desse Estado-Membro, consoante o caso.</w:t>
      </w:r>
    </w:p>
    <w:p w14:paraId="553493CB" w14:textId="1BB7534C" w:rsidR="00072E74" w:rsidRPr="008C5AF8" w:rsidRDefault="00AE3398" w:rsidP="00AE3398">
      <w:pPr>
        <w:pStyle w:val="ManualConsidrant"/>
        <w:rPr>
          <w:noProof/>
        </w:rPr>
      </w:pPr>
      <w:r w:rsidRPr="00AE3398">
        <w:rPr>
          <w:noProof/>
        </w:rPr>
        <w:t>(24)</w:t>
      </w:r>
      <w:r w:rsidRPr="00AE3398">
        <w:rPr>
          <w:noProof/>
        </w:rPr>
        <w:tab/>
      </w:r>
      <w:r w:rsidR="00072E74" w:rsidRPr="008C5AF8">
        <w:rPr>
          <w:noProof/>
        </w:rPr>
        <w:t>A fim de assegurar que as futuras normas de segurança e especificações técnicas adotadas nos termos do Regulamento (CE) n.º 1030/2002 do Conselho</w:t>
      </w:r>
      <w:r w:rsidR="00072E74" w:rsidRPr="008C5AF8">
        <w:rPr>
          <w:rStyle w:val="FootnoteReference"/>
          <w:noProof/>
        </w:rPr>
        <w:footnoteReference w:id="26"/>
      </w:r>
      <w:r w:rsidR="00072E74" w:rsidRPr="008C5AF8">
        <w:rPr>
          <w:noProof/>
        </w:rPr>
        <w:t xml:space="preserve"> são devidamente tidas em conta, se necessário, no caso dos bilhetes de identidade e dos cartões de residência, devem ser conferidas competências de execução à Comissão. Essas competências devem ser exercidas nos termos do Regulamento (UE) n.º 182/2011 do Parlamento Europeu e do Conselho</w:t>
      </w:r>
      <w:r w:rsidR="00655120" w:rsidRPr="008C5AF8">
        <w:rPr>
          <w:rStyle w:val="FootnoteReference"/>
          <w:noProof/>
        </w:rPr>
        <w:footnoteReference w:id="27"/>
      </w:r>
      <w:r w:rsidR="00072E74" w:rsidRPr="008C5AF8">
        <w:rPr>
          <w:noProof/>
        </w:rPr>
        <w:t>. Para esse efeito, a Comissão deve ser assistida pelo Comité instituído pelo artigo 6.º do Regulamento (CE) n.º 1683/95 do Conselho</w:t>
      </w:r>
      <w:r w:rsidR="00655120" w:rsidRPr="008C5AF8">
        <w:rPr>
          <w:rStyle w:val="FootnoteReference"/>
          <w:noProof/>
        </w:rPr>
        <w:footnoteReference w:id="28"/>
      </w:r>
      <w:r w:rsidR="00072E74" w:rsidRPr="008C5AF8">
        <w:rPr>
          <w:noProof/>
        </w:rPr>
        <w:t>. Se necessário, os atos de execução adotados devem poder permanecer secretos, a fim de evitar o risco de contrafação e falsificação.</w:t>
      </w:r>
    </w:p>
    <w:p w14:paraId="5D16AE15" w14:textId="4A7C4030" w:rsidR="00072E74" w:rsidRPr="008C5AF8" w:rsidRDefault="00AE3398" w:rsidP="00AE3398">
      <w:pPr>
        <w:pStyle w:val="ManualConsidrant"/>
        <w:rPr>
          <w:noProof/>
        </w:rPr>
      </w:pPr>
      <w:r w:rsidRPr="00AE3398">
        <w:rPr>
          <w:noProof/>
        </w:rPr>
        <w:t>(25)</w:t>
      </w:r>
      <w:r w:rsidRPr="00AE3398">
        <w:rPr>
          <w:noProof/>
        </w:rPr>
        <w:tab/>
      </w:r>
      <w:r w:rsidR="00072E74" w:rsidRPr="008C5AF8">
        <w:rPr>
          <w:noProof/>
        </w:rPr>
        <w:t>Os Estados-Membros devem certificar-se da existência de procedimentos adequados e eficazes de recolha dos identificadores biométricos que sejam conformes com os direitos e princípios definidos na Carta, na Convenção para a Proteção dos Direitos Humanos e das Liberdades Fundamentais do Conselho da Europa e na Convenção das Nações Unidas sobre os Direitos da Criança. Os Estados-Membros devem assegurar que o superior interesse da criança seja a principal consideração ao longo de todo o processo de recolha. Para o efeito, o pessoal qualificado deve receber a devida formação sobre práticas adaptadas às crianças na recolha dos identificadores biométricos.</w:t>
      </w:r>
    </w:p>
    <w:p w14:paraId="4A214594" w14:textId="0B9411D1" w:rsidR="00072E74" w:rsidRPr="008C5AF8" w:rsidRDefault="00AE3398" w:rsidP="00AE3398">
      <w:pPr>
        <w:pStyle w:val="ManualConsidrant"/>
        <w:rPr>
          <w:noProof/>
        </w:rPr>
      </w:pPr>
      <w:r w:rsidRPr="00AE3398">
        <w:rPr>
          <w:noProof/>
        </w:rPr>
        <w:t>(26)</w:t>
      </w:r>
      <w:r w:rsidRPr="00AE3398">
        <w:rPr>
          <w:noProof/>
        </w:rPr>
        <w:tab/>
      </w:r>
      <w:r w:rsidR="00072E74" w:rsidRPr="008C5AF8">
        <w:rPr>
          <w:noProof/>
        </w:rPr>
        <w:t>Se forem encontradas dificuldades na recolha dos identificadores biométricos, os Estados‑Membros devem assegurar a aplicação de procedimentos adequados para respeitar a dignidade da pessoa em causa. Por conseguinte, devem ser tidas em conta considerações específicas relacionadas com o género e as necessidades específicas das crianças e das pessoas vulneráveis.</w:t>
      </w:r>
    </w:p>
    <w:p w14:paraId="79771275" w14:textId="756A56E2" w:rsidR="00072E74" w:rsidRPr="008C5AF8" w:rsidRDefault="00AE3398" w:rsidP="00AE3398">
      <w:pPr>
        <w:pStyle w:val="ManualConsidrant"/>
        <w:rPr>
          <w:noProof/>
        </w:rPr>
      </w:pPr>
      <w:r w:rsidRPr="00AE3398">
        <w:rPr>
          <w:noProof/>
        </w:rPr>
        <w:t>(27)</w:t>
      </w:r>
      <w:r w:rsidRPr="00AE3398">
        <w:rPr>
          <w:noProof/>
        </w:rPr>
        <w:tab/>
      </w:r>
      <w:r w:rsidR="00072E74" w:rsidRPr="008C5AF8">
        <w:rPr>
          <w:noProof/>
        </w:rPr>
        <w:t>A adoção de normas mínimas de segurança e de modelos de bilhetes de identidade devem constituir garantia de fiabilidade desses documentos para os outros Estados-Membros sempre que os cidadãos da União exercerem o direito de livre circulação. A introdução de normas de segurança reforçadas deve proporcionar garantias suficientes às autoridades públicas e às entidades privadas que lhes permitam confiar na autenticidade dos bilhetes de identidade utilizados pelos cidadãos da União para efeitos de identificação.</w:t>
      </w:r>
    </w:p>
    <w:p w14:paraId="680C0E95" w14:textId="39E3DB8C" w:rsidR="00072E74" w:rsidRPr="008C5AF8" w:rsidRDefault="00AE3398" w:rsidP="00AE3398">
      <w:pPr>
        <w:pStyle w:val="ManualConsidrant"/>
        <w:rPr>
          <w:noProof/>
        </w:rPr>
      </w:pPr>
      <w:r w:rsidRPr="00AE3398">
        <w:rPr>
          <w:noProof/>
        </w:rPr>
        <w:t>(28)</w:t>
      </w:r>
      <w:r w:rsidRPr="00AE3398">
        <w:rPr>
          <w:noProof/>
        </w:rPr>
        <w:tab/>
      </w:r>
      <w:r w:rsidR="00072E74" w:rsidRPr="008C5AF8">
        <w:rPr>
          <w:noProof/>
        </w:rPr>
        <w:t>Um símbolo distintivo, sob a forma do código de país de duas letras do Estado‑Membro que emite o documento, rodeado de 12 estrelas amarelas e impresso em negativo num retângulo azul, facilita a inspeção visual do documento, em particular quando o titular exercer o direito de livre circulação.</w:t>
      </w:r>
    </w:p>
    <w:p w14:paraId="3198628A" w14:textId="4B2A8958" w:rsidR="00072E74" w:rsidRPr="008C5AF8" w:rsidRDefault="00AE3398" w:rsidP="00AE3398">
      <w:pPr>
        <w:pStyle w:val="ManualConsidrant"/>
        <w:rPr>
          <w:noProof/>
        </w:rPr>
      </w:pPr>
      <w:r w:rsidRPr="00AE3398">
        <w:rPr>
          <w:noProof/>
        </w:rPr>
        <w:t>(29)</w:t>
      </w:r>
      <w:r w:rsidRPr="00AE3398">
        <w:rPr>
          <w:noProof/>
        </w:rPr>
        <w:tab/>
      </w:r>
      <w:r w:rsidR="00072E74" w:rsidRPr="008C5AF8">
        <w:rPr>
          <w:noProof/>
        </w:rPr>
        <w:t>Embora se mantenha a possibilidade de adotar elementos nacionais adicionais, os Estados-Membros devem assegurar que esses elementos não diminuem a eficácia dos elementos de segurança comuns nem comprometem a compatibilidade transfronteiriça dos bilhetes de identidade, designadamente a possibilidade de serem lidos por meios automáticos fora do Estado-Membro emissor.</w:t>
      </w:r>
    </w:p>
    <w:p w14:paraId="3E091E00" w14:textId="1301E7E9" w:rsidR="00072E74" w:rsidRPr="008C5AF8" w:rsidRDefault="00AE3398" w:rsidP="00AE3398">
      <w:pPr>
        <w:pStyle w:val="ManualConsidrant"/>
        <w:rPr>
          <w:noProof/>
        </w:rPr>
      </w:pPr>
      <w:r w:rsidRPr="00AE3398">
        <w:rPr>
          <w:noProof/>
        </w:rPr>
        <w:t>(30)</w:t>
      </w:r>
      <w:r w:rsidRPr="00AE3398">
        <w:rPr>
          <w:noProof/>
        </w:rPr>
        <w:tab/>
      </w:r>
      <w:r w:rsidR="00072E74" w:rsidRPr="008C5AF8">
        <w:rPr>
          <w:noProof/>
        </w:rPr>
        <w:t>A introdução de normas de segurança nos bilhetes de identidade e cartões de residência dos familiares que não sejam nacionais de um Estado-Membro não pode gerar um aumento desproporcionado das taxas a pagar pelos cidadãos da União ou pelos nacionais de países terceiros. Os Estados-Membros devem ter este princípio em consideração aquando da publicação de concursos.</w:t>
      </w:r>
    </w:p>
    <w:p w14:paraId="7ED0C5FB" w14:textId="1CF58BD3" w:rsidR="00072E74" w:rsidRPr="008C5AF8" w:rsidRDefault="00AE3398" w:rsidP="00AE3398">
      <w:pPr>
        <w:pStyle w:val="ManualConsidrant"/>
        <w:rPr>
          <w:noProof/>
        </w:rPr>
      </w:pPr>
      <w:r w:rsidRPr="00AE3398">
        <w:rPr>
          <w:noProof/>
        </w:rPr>
        <w:t>(31)</w:t>
      </w:r>
      <w:r w:rsidRPr="00AE3398">
        <w:rPr>
          <w:noProof/>
        </w:rPr>
        <w:tab/>
      </w:r>
      <w:r w:rsidR="00072E74" w:rsidRPr="008C5AF8">
        <w:rPr>
          <w:noProof/>
        </w:rPr>
        <w:t>Os Estados-Membros devem tomar todas as medidas necessárias para assegurar que os dados biométricos identificam corretamente a pessoa a quem é emitido um bilhete de identidade. Para o efeito, é dada aos Estados-Membros a possibilidade de recolherem os identificadores biométricos, em especial a imagem facial, através do registo presencial pelas autoridades nacionais que emitem os bilhetes de identidade.</w:t>
      </w:r>
    </w:p>
    <w:p w14:paraId="2A48222D" w14:textId="7848D3E2" w:rsidR="00072E74" w:rsidRPr="008C5AF8" w:rsidRDefault="00AE3398" w:rsidP="00AE3398">
      <w:pPr>
        <w:pStyle w:val="ManualConsidrant"/>
        <w:rPr>
          <w:noProof/>
        </w:rPr>
      </w:pPr>
      <w:r w:rsidRPr="00AE3398">
        <w:rPr>
          <w:noProof/>
        </w:rPr>
        <w:t>(32)</w:t>
      </w:r>
      <w:r w:rsidRPr="00AE3398">
        <w:rPr>
          <w:noProof/>
        </w:rPr>
        <w:tab/>
      </w:r>
      <w:r w:rsidR="00072E74" w:rsidRPr="008C5AF8">
        <w:rPr>
          <w:noProof/>
        </w:rPr>
        <w:t>Os Estados-Membros devem trocar entre si as informações que sejam necessárias para consultar, autenticar e verificar as informações incluídas no suporte de armazenamento seguro. Os formatos utilizados para o suporte de armazenamento seguro devem ser interoperáveis, incluindo no que respeita aos pontos de passagem de fronteira automatizados.</w:t>
      </w:r>
    </w:p>
    <w:p w14:paraId="2C53D2B8" w14:textId="15EB2075" w:rsidR="00072E74" w:rsidRPr="008C5AF8" w:rsidRDefault="00AE3398" w:rsidP="00AE3398">
      <w:pPr>
        <w:pStyle w:val="ManualConsidrant"/>
        <w:rPr>
          <w:noProof/>
        </w:rPr>
      </w:pPr>
      <w:r w:rsidRPr="00AE3398">
        <w:rPr>
          <w:noProof/>
        </w:rPr>
        <w:t>(33)</w:t>
      </w:r>
      <w:r w:rsidRPr="00AE3398">
        <w:rPr>
          <w:noProof/>
        </w:rPr>
        <w:tab/>
      </w:r>
      <w:r w:rsidR="00072E74" w:rsidRPr="008C5AF8">
        <w:rPr>
          <w:noProof/>
        </w:rPr>
        <w:t>A Diretiva 2004/38/CE dispõe que se os cidadãos da União, ou os familiares de cidadãos da União que não sejam nacionais de um Estado-Membro, não dispuserem dos documentos de viagem necessários devem ser-lhe dadas todas as oportunidades razoáveis para provar por outros meios a sua qualidade de titular do direito de livre circulação. Esses meios podem incluir os documentos de identificação utilizados a título provisório e os cartões de residência emitidos a esses familiares.</w:t>
      </w:r>
    </w:p>
    <w:p w14:paraId="26C7A36E" w14:textId="70AC1D40" w:rsidR="00072E74" w:rsidRPr="008C5AF8" w:rsidRDefault="00AE3398" w:rsidP="00AE3398">
      <w:pPr>
        <w:pStyle w:val="ManualConsidrant"/>
        <w:rPr>
          <w:noProof/>
        </w:rPr>
      </w:pPr>
      <w:r w:rsidRPr="00AE3398">
        <w:rPr>
          <w:noProof/>
        </w:rPr>
        <w:t>(34)</w:t>
      </w:r>
      <w:r w:rsidRPr="00AE3398">
        <w:rPr>
          <w:noProof/>
        </w:rPr>
        <w:tab/>
      </w:r>
      <w:r w:rsidR="00072E74" w:rsidRPr="008C5AF8">
        <w:rPr>
          <w:noProof/>
        </w:rPr>
        <w:t>O presente regulamento respeita as obrigações impostas pela Carta e pela Convenção das Nações Unidas sobre os Direitos das Pessoas com Deficiência. Por conseguinte, os Estados-Membros são incentivados a cooperar com a Comissão para integrar elementos adicionais que tornem os bilhetes de identidade mais acessíveis e fáceis de utilizar pelas pessoas com deficiência, nomeadamente as pessoas com deficiência visual. Os Estados-Membros devem explorar a utilização de soluções, tais como dispositivos de registo móveis, para a emissão de bilhetes de identidade a pessoas incapazes de se apresentar junto das autoridades responsáveis pela emissão dos bilhetes de identidade.</w:t>
      </w:r>
    </w:p>
    <w:p w14:paraId="53D56A7B" w14:textId="05A39C34" w:rsidR="00072E74" w:rsidRPr="008C5AF8" w:rsidRDefault="00AE3398" w:rsidP="00AE3398">
      <w:pPr>
        <w:pStyle w:val="ManualConsidrant"/>
        <w:rPr>
          <w:noProof/>
        </w:rPr>
      </w:pPr>
      <w:r w:rsidRPr="00AE3398">
        <w:rPr>
          <w:noProof/>
        </w:rPr>
        <w:t>(35)</w:t>
      </w:r>
      <w:r w:rsidRPr="00AE3398">
        <w:rPr>
          <w:noProof/>
        </w:rPr>
        <w:tab/>
      </w:r>
      <w:r w:rsidR="00072E74" w:rsidRPr="008C5AF8">
        <w:rPr>
          <w:noProof/>
        </w:rPr>
        <w:t>Os títulos de residência emitidos aos cidadãos da União devem incluir informações específicas que garantam a sua identificação nessa qualidade em todos os Estados-Membros. Será assim facilitado o reconhecimento do exercício do direito de livre circulação e dos direitos inerentes a esse exercício pelos cidadãos da UE em mobilidade, embora a harmonização não deva exceder o necessário para suprir as insuficiências dos documentos atuais. Os Estados-Membros podem escolher o formato em que estes documentos são emitidos e podem emiti-los num formato conforme com as especificações do documento 9303 da OACI.</w:t>
      </w:r>
    </w:p>
    <w:p w14:paraId="3D62E160" w14:textId="3E1D5070" w:rsidR="00072E74" w:rsidRPr="008C5AF8" w:rsidRDefault="00AE3398" w:rsidP="00AE3398">
      <w:pPr>
        <w:pStyle w:val="ManualConsidrant"/>
        <w:rPr>
          <w:noProof/>
        </w:rPr>
      </w:pPr>
      <w:r w:rsidRPr="00AE3398">
        <w:rPr>
          <w:noProof/>
        </w:rPr>
        <w:t>(36)</w:t>
      </w:r>
      <w:r w:rsidRPr="00AE3398">
        <w:rPr>
          <w:noProof/>
        </w:rPr>
        <w:tab/>
      </w:r>
      <w:r w:rsidR="00072E74" w:rsidRPr="008C5AF8">
        <w:rPr>
          <w:noProof/>
        </w:rPr>
        <w:t>No que diz respeito aos títulos de residência emitidos aos familiares que não sejam nacionais de um Estado-Membro, é conveniente aplicar o mesmo modelo e os mesmos elementos de segurança previstos no Regulamento (CE) n.º 1030/2002, com a redação que lhe foi dada pelo Regulamento (UE) 2017/1954 do Parlamento Europeu e do Conselho</w:t>
      </w:r>
      <w:r w:rsidR="00655120" w:rsidRPr="008C5AF8">
        <w:rPr>
          <w:rStyle w:val="FootnoteReference"/>
          <w:noProof/>
        </w:rPr>
        <w:footnoteReference w:id="29"/>
      </w:r>
      <w:r w:rsidR="00072E74" w:rsidRPr="008C5AF8">
        <w:rPr>
          <w:noProof/>
        </w:rPr>
        <w:t>. Para além de provarem o direito de residência, esses documentos dispensam igualmente os respetivos titulares, que, de outro modo, estariam sujeitos à obrigação de visto, da necessidade de obter um visto sempre que acompanharem ou se reunirem ao cidadão da União no território da União.</w:t>
      </w:r>
    </w:p>
    <w:p w14:paraId="156D00E9" w14:textId="26A5B4FF" w:rsidR="00072E74" w:rsidRPr="008C5AF8" w:rsidRDefault="00AE3398" w:rsidP="00AE3398">
      <w:pPr>
        <w:pStyle w:val="ManualConsidrant"/>
        <w:rPr>
          <w:noProof/>
        </w:rPr>
      </w:pPr>
      <w:r w:rsidRPr="00AE3398">
        <w:rPr>
          <w:noProof/>
        </w:rPr>
        <w:t>(37)</w:t>
      </w:r>
      <w:r w:rsidRPr="00AE3398">
        <w:rPr>
          <w:noProof/>
        </w:rPr>
        <w:tab/>
      </w:r>
      <w:r w:rsidR="00072E74" w:rsidRPr="008C5AF8">
        <w:rPr>
          <w:noProof/>
        </w:rPr>
        <w:t>A Diretiva 2004/38/CE estabelece que os documentos emitidos aos familiares que não sejam nacionais de um Estado-Membro devem incluir a indicação «Cartão de residência de membro da família de um cidadão da União». A fim de facilitar a sua identificação, os cartões de residência de um familiar de um cidadão da União devem ostentar um título e um código normalizados.</w:t>
      </w:r>
    </w:p>
    <w:p w14:paraId="11C8A6BD" w14:textId="0BB12A05" w:rsidR="00072E74" w:rsidRPr="008C5AF8" w:rsidRDefault="00AE3398" w:rsidP="00AE3398">
      <w:pPr>
        <w:pStyle w:val="ManualConsidrant"/>
        <w:rPr>
          <w:noProof/>
        </w:rPr>
      </w:pPr>
      <w:r w:rsidRPr="00AE3398">
        <w:rPr>
          <w:noProof/>
        </w:rPr>
        <w:t>(38)</w:t>
      </w:r>
      <w:r w:rsidRPr="00AE3398">
        <w:rPr>
          <w:noProof/>
        </w:rPr>
        <w:tab/>
      </w:r>
      <w:r w:rsidR="00072E74" w:rsidRPr="008C5AF8">
        <w:rPr>
          <w:noProof/>
        </w:rPr>
        <w:t>Tendo em conta o risco para a segurança e os custos suportados pelos Estados-Membros, os bilhetes de identidade e os cartões de residência dos familiares de cidadãos da União que não cumpram os requisitos do presente regulamento devem ser gradualmente suprimidos. Para os documentos que não integram elementos de segurança importantes, ou que não permitem a leitura automática, torna-se necessário, por motivos de segurança, um período de supressão gradual mais curto.</w:t>
      </w:r>
    </w:p>
    <w:p w14:paraId="59B16E0F" w14:textId="7E0E7526" w:rsidR="00072E74" w:rsidRPr="008C5AF8" w:rsidRDefault="00AE3398" w:rsidP="00AE3398">
      <w:pPr>
        <w:pStyle w:val="ManualConsidrant"/>
        <w:rPr>
          <w:noProof/>
        </w:rPr>
      </w:pPr>
      <w:r w:rsidRPr="00AE3398">
        <w:rPr>
          <w:noProof/>
        </w:rPr>
        <w:t>(39)</w:t>
      </w:r>
      <w:r w:rsidRPr="00AE3398">
        <w:rPr>
          <w:noProof/>
        </w:rPr>
        <w:tab/>
      </w:r>
      <w:r w:rsidR="00072E74" w:rsidRPr="008C5AF8">
        <w:rPr>
          <w:noProof/>
        </w:rPr>
        <w:t>Relativamente aos dados pessoais a tratar para efeitos da aplicação do presente regulamento, é aplicável o Regulamento (UE) 2016/679 do Parlamento Europeu e do Conselho</w:t>
      </w:r>
      <w:r w:rsidR="00655120" w:rsidRPr="008C5AF8">
        <w:rPr>
          <w:rStyle w:val="FootnoteReference"/>
          <w:noProof/>
        </w:rPr>
        <w:footnoteReference w:id="30"/>
      </w:r>
      <w:r w:rsidR="00072E74" w:rsidRPr="008C5AF8">
        <w:rPr>
          <w:noProof/>
        </w:rPr>
        <w:t>. É necessário prever salvaguardas adicionais aplicáveis aos dados pessoais tratados e, sobretudo, aos dados sensíveis como os identificadores biométricos. Deve ser dada a conhecer aos titulares dos dados a existência, nos documentos, de um suporte de armazenamento com os seus dados biométricos, incluindo o respetivo acesso sem contacto, assim como todos os casos em que os dados incluídos nos bilhetes de identidade e títulos de residência são utilizados. De qualquer forma, os titulares dos dados devem ter acesso aos dados pessoais inseridos nos respetivos bilhetes de identidade e títulos de residência, e devem poder solicitar a sua retificação mediante a emissão de um novo documento nos casos em que esses dados estejam incorretos ou incompletos. O suporte de armazenamento deve garantir um elevado nível de segurança e proteger de forma eficaz os dados pessoais nele contidos contra o acesso não autorizado.</w:t>
      </w:r>
    </w:p>
    <w:p w14:paraId="06D827A5" w14:textId="6EF6685C" w:rsidR="00072E74" w:rsidRPr="008C5AF8" w:rsidRDefault="00AE3398" w:rsidP="00AE3398">
      <w:pPr>
        <w:pStyle w:val="ManualConsidrant"/>
        <w:rPr>
          <w:noProof/>
        </w:rPr>
      </w:pPr>
      <w:r w:rsidRPr="00AE3398">
        <w:rPr>
          <w:noProof/>
        </w:rPr>
        <w:t>(40)</w:t>
      </w:r>
      <w:r w:rsidRPr="00AE3398">
        <w:rPr>
          <w:noProof/>
        </w:rPr>
        <w:tab/>
      </w:r>
      <w:r w:rsidR="00072E74" w:rsidRPr="008C5AF8">
        <w:rPr>
          <w:noProof/>
        </w:rPr>
        <w:t>Os Estados-Membros devem ser responsáveis pelo tratamento adequado dos dados biométricos, desde a recolha até à integração dos dados no suporte de armazenamento de elevado nível de segurança, nos termos do Regulamento (UE) 2016/679.</w:t>
      </w:r>
    </w:p>
    <w:p w14:paraId="2D759186" w14:textId="6AEF0742" w:rsidR="00072E74" w:rsidRPr="008C5AF8" w:rsidRDefault="00AE3398" w:rsidP="00AE3398">
      <w:pPr>
        <w:pStyle w:val="ManualConsidrant"/>
        <w:rPr>
          <w:noProof/>
        </w:rPr>
      </w:pPr>
      <w:r w:rsidRPr="00AE3398">
        <w:rPr>
          <w:noProof/>
        </w:rPr>
        <w:t>(41)</w:t>
      </w:r>
      <w:r w:rsidRPr="00AE3398">
        <w:rPr>
          <w:noProof/>
        </w:rPr>
        <w:tab/>
      </w:r>
      <w:r w:rsidR="00072E74" w:rsidRPr="008C5AF8">
        <w:rPr>
          <w:noProof/>
        </w:rPr>
        <w:t>Os Estados-Membros devem ser especialmente prudentes quando cooperem com um prestador de serviços externo. Essa cooperação não deve excluir a responsabilidade dos Estados-Membros decorrente do direito da União ou do direito nacional em caso de incumprimento das obrigações em matéria de dados pessoais.</w:t>
      </w:r>
    </w:p>
    <w:p w14:paraId="125C9E72" w14:textId="1D8AA52A" w:rsidR="00072E74" w:rsidRPr="008C5AF8" w:rsidRDefault="00AE3398" w:rsidP="00AE3398">
      <w:pPr>
        <w:pStyle w:val="ManualConsidrant"/>
        <w:rPr>
          <w:noProof/>
        </w:rPr>
      </w:pPr>
      <w:r w:rsidRPr="00AE3398">
        <w:rPr>
          <w:noProof/>
        </w:rPr>
        <w:t>(42)</w:t>
      </w:r>
      <w:r w:rsidRPr="00AE3398">
        <w:rPr>
          <w:noProof/>
        </w:rPr>
        <w:tab/>
      </w:r>
      <w:r w:rsidR="00072E74" w:rsidRPr="008C5AF8">
        <w:rPr>
          <w:noProof/>
        </w:rPr>
        <w:t>É necessário prever no presente regulamento a base para a recolha e o armazenamento dos dados no suporte de armazenamento dos bilhetes de identidade e dos títulos de residência. Nos termos do direito da União ou do direito nacional e no respeito dos princípios da necessidade e da proporcionalidade, os Estados-Membros devem poder armazenar outros dados num suporte de armazenamento para utilização em serviços eletrónicos ou para outros fins relacionados com o bilhete de identidade ou o título de residência. O tratamento desses outros dados, incluindo a sua recolha e os fins para que podem ser utilizados, deve ser autorizado pelo direito da União ou pelo direito nacional. Todos os dados nacionais devem estar física ou logicamente separados dos dados biométricos a que o presente regulamento se refere e devem ser tratados nos termos do Regulamento (UE) 2016/679.</w:t>
      </w:r>
    </w:p>
    <w:p w14:paraId="063729F3" w14:textId="5E487A5A" w:rsidR="00072E74" w:rsidRPr="008C5AF8" w:rsidRDefault="00AE3398" w:rsidP="00AE3398">
      <w:pPr>
        <w:pStyle w:val="ManualConsidrant"/>
        <w:rPr>
          <w:noProof/>
        </w:rPr>
      </w:pPr>
      <w:r w:rsidRPr="00AE3398">
        <w:rPr>
          <w:noProof/>
        </w:rPr>
        <w:t>(43)</w:t>
      </w:r>
      <w:r w:rsidRPr="00AE3398">
        <w:rPr>
          <w:noProof/>
        </w:rPr>
        <w:tab/>
      </w:r>
      <w:r w:rsidR="00072E74" w:rsidRPr="008C5AF8">
        <w:rPr>
          <w:noProof/>
        </w:rPr>
        <w:t>Nos termos do Acordo Interinstitucional, de 13 de abril de 2016, sobre legislar melhor</w:t>
      </w:r>
      <w:r w:rsidR="00655120" w:rsidRPr="008C5AF8">
        <w:rPr>
          <w:rStyle w:val="FootnoteReference"/>
          <w:noProof/>
        </w:rPr>
        <w:footnoteReference w:id="31"/>
      </w:r>
      <w:r w:rsidR="00072E74" w:rsidRPr="008C5AF8">
        <w:rPr>
          <w:noProof/>
        </w:rPr>
        <w:t>, a Comissão deve, decorridos pelo menos seis anos a contar da data de início da aplicação do presente regulamento, realizar uma avaliação do presente regulamento, tendo por base as informações recolhidas por meio de disposições de acompanhamento específicas, a fim de aferir os efeitos reais do regulamento e a necessidade de medidas adicionais. Para efeitos do acompanhamento, os Estados-Membros devem recolher informações estatísticas sobre o número de bilhetes de identidade e de títulos de residência que tenham emitido.</w:t>
      </w:r>
    </w:p>
    <w:p w14:paraId="0D50FB0A" w14:textId="2840F01E" w:rsidR="00072E74" w:rsidRPr="008C5AF8" w:rsidRDefault="00AE3398" w:rsidP="00AE3398">
      <w:pPr>
        <w:pStyle w:val="ManualConsidrant"/>
        <w:rPr>
          <w:noProof/>
        </w:rPr>
      </w:pPr>
      <w:r w:rsidRPr="00AE3398">
        <w:rPr>
          <w:noProof/>
        </w:rPr>
        <w:t>(44)</w:t>
      </w:r>
      <w:r w:rsidRPr="00AE3398">
        <w:rPr>
          <w:noProof/>
        </w:rPr>
        <w:tab/>
      </w:r>
      <w:r w:rsidR="00072E74" w:rsidRPr="008C5AF8">
        <w:rPr>
          <w:noProof/>
        </w:rPr>
        <w:t>Atendendo a que os objetivos do presente regulamento, a saber reforçar a segurança e facilitar o direito à livre circulação dos cidadãos da União e dos seus familiares, não podem ser suficientemente alcançados pelos Estados‑Membros, mas podem, devido à dimensão e aos efeitos da ação, ser mais bem alcançados a nível da União, a União pode tomar medidas, em conformidade com o princípio da subsidiariedade consagrado no artigo 5.º do TUE. Em conformidade com o princípio da proporcionalidade consagrado no mesmo artigo, o presente regulamento não excede o necessário para alcançar esses objetivos.</w:t>
      </w:r>
    </w:p>
    <w:p w14:paraId="76BB651A" w14:textId="4CE27F78" w:rsidR="00223DA2" w:rsidRPr="008C5AF8" w:rsidRDefault="00AE3398" w:rsidP="00AE3398">
      <w:pPr>
        <w:pStyle w:val="ManualConsidrant"/>
        <w:rPr>
          <w:noProof/>
        </w:rPr>
      </w:pPr>
      <w:r w:rsidRPr="00AE3398">
        <w:rPr>
          <w:noProof/>
        </w:rPr>
        <w:t>(45)</w:t>
      </w:r>
      <w:r w:rsidRPr="00AE3398">
        <w:rPr>
          <w:noProof/>
        </w:rPr>
        <w:tab/>
      </w:r>
      <w:r w:rsidR="00223DA2" w:rsidRPr="008C5AF8">
        <w:rPr>
          <w:noProof/>
        </w:rPr>
        <w:t>Nos termos dos artigos 1.º e 2.º do Protocolo n.º 22 relativo à posição da Dinamarca, anexo ao TUE e ao TFUE, a Dinamarca não participa na adoção do presente regulamento e não fica a ele vinculada nem sujeita à sua aplicação.</w:t>
      </w:r>
    </w:p>
    <w:p w14:paraId="0E2298AD" w14:textId="20A09E38" w:rsidR="00223DA2" w:rsidRPr="008C5AF8" w:rsidRDefault="00AE3398" w:rsidP="00AE3398">
      <w:pPr>
        <w:pStyle w:val="ManualConsidrant"/>
        <w:rPr>
          <w:noProof/>
        </w:rPr>
      </w:pPr>
      <w:r w:rsidRPr="00AE3398">
        <w:rPr>
          <w:noProof/>
        </w:rPr>
        <w:t>(46)</w:t>
      </w:r>
      <w:r w:rsidRPr="00AE3398">
        <w:rPr>
          <w:noProof/>
        </w:rPr>
        <w:tab/>
      </w:r>
      <w:r w:rsidR="00223DA2" w:rsidRPr="008C5AF8">
        <w:rPr>
          <w:noProof/>
        </w:rPr>
        <w:t>Nos termos dos artigos 1.º e 2.º do Protocolo n.º 21 relativo à posição do Reino Unido e da Irlanda em relação ao espaço de liberdade, segurança e justiça, anexo ao TUE e ao TFUE, e sem prejuízo do artigo 4.º desse Protocolo, a Irlanda não participa na adoção do presente regulamento, e não fica por ele vinculada nem sujeita à sua aplicação.</w:t>
      </w:r>
    </w:p>
    <w:p w14:paraId="6047CCA2" w14:textId="1DC81A2B" w:rsidR="00072E74" w:rsidRPr="008C5AF8" w:rsidRDefault="00AE3398" w:rsidP="00AE3398">
      <w:pPr>
        <w:pStyle w:val="ManualConsidrant"/>
        <w:rPr>
          <w:noProof/>
        </w:rPr>
      </w:pPr>
      <w:r w:rsidRPr="00AE3398">
        <w:rPr>
          <w:noProof/>
        </w:rPr>
        <w:t>(47)</w:t>
      </w:r>
      <w:r w:rsidRPr="00AE3398">
        <w:rPr>
          <w:noProof/>
        </w:rPr>
        <w:tab/>
      </w:r>
      <w:r w:rsidR="00072E74" w:rsidRPr="008C5AF8">
        <w:rPr>
          <w:noProof/>
        </w:rPr>
        <w:t>O presente regulamento respeita os direitos fundamentais e observa os princípios reconhecidos, designadamente, na Carta, incluindo a dignidade humana, o direito à integridade da pessoa, a proibição de tratamentos desumanos ou degradantes, o direito à igualdade perante a lei e à não discriminação, os direitos da criança, os direitos das pessoas idosas, o respeito pela vida privada e familiar, o direito à proteção de dados pessoais, o direito de livre circulação e o direito à ação. Ao aplicar o presente regulamento, os Estados-Membros devem respeitar a Carta.</w:t>
      </w:r>
    </w:p>
    <w:p w14:paraId="3D824E00" w14:textId="3B1B34DF" w:rsidR="00936104" w:rsidRPr="008C5AF8" w:rsidRDefault="00AE3398" w:rsidP="00AE3398">
      <w:pPr>
        <w:pStyle w:val="ManualConsidrant"/>
        <w:rPr>
          <w:noProof/>
        </w:rPr>
      </w:pPr>
      <w:r w:rsidRPr="00AE3398">
        <w:rPr>
          <w:noProof/>
        </w:rPr>
        <w:t>(48)</w:t>
      </w:r>
      <w:r w:rsidRPr="00AE3398">
        <w:rPr>
          <w:noProof/>
        </w:rPr>
        <w:tab/>
      </w:r>
      <w:r w:rsidR="00072E74" w:rsidRPr="008C5AF8">
        <w:rPr>
          <w:noProof/>
        </w:rPr>
        <w:t>A Autoridade Europeia para a Proteção de Dados foi consultada em conformidade com o disposto no artigo 42.º, n.º 1, do Regulamento (UE) 2018/1725 do Parlamento Europeu e do Conselho</w:t>
      </w:r>
      <w:r w:rsidR="00072E74" w:rsidRPr="008C5AF8">
        <w:rPr>
          <w:rStyle w:val="FootnoteReference"/>
          <w:noProof/>
        </w:rPr>
        <w:footnoteReference w:id="32"/>
      </w:r>
      <w:r w:rsidR="00072E74" w:rsidRPr="008C5AF8">
        <w:rPr>
          <w:noProof/>
        </w:rPr>
        <w:t xml:space="preserve"> e emitiu um parecer em XXXX</w:t>
      </w:r>
      <w:r w:rsidR="00072E74" w:rsidRPr="008C5AF8">
        <w:rPr>
          <w:rStyle w:val="FootnoteReference"/>
          <w:noProof/>
        </w:rPr>
        <w:footnoteReference w:id="33"/>
      </w:r>
      <w:r w:rsidR="00072E74" w:rsidRPr="008C5AF8">
        <w:rPr>
          <w:noProof/>
        </w:rPr>
        <w:t>,</w:t>
      </w:r>
    </w:p>
    <w:p w14:paraId="4AF72619" w14:textId="77777777" w:rsidR="00936104" w:rsidRPr="008C5AF8" w:rsidRDefault="00936104" w:rsidP="00750517">
      <w:pPr>
        <w:pStyle w:val="Formuledadoption"/>
        <w:rPr>
          <w:noProof/>
        </w:rPr>
      </w:pPr>
      <w:r w:rsidRPr="008C5AF8">
        <w:rPr>
          <w:noProof/>
        </w:rPr>
        <w:t>ADOTOU O PRESENTE REGULAMENTO:</w:t>
      </w:r>
    </w:p>
    <w:p w14:paraId="067D6D98" w14:textId="77777777" w:rsidR="008E5B82" w:rsidRPr="008C5AF8" w:rsidRDefault="008E5B82" w:rsidP="008E5B82">
      <w:pPr>
        <w:pStyle w:val="ChapterTitle"/>
        <w:rPr>
          <w:noProof/>
        </w:rPr>
      </w:pPr>
      <w:r w:rsidRPr="008C5AF8">
        <w:rPr>
          <w:noProof/>
        </w:rPr>
        <w:t>Capítulo I</w:t>
      </w:r>
      <w:r w:rsidRPr="008C5AF8">
        <w:rPr>
          <w:noProof/>
        </w:rPr>
        <w:br/>
        <w:t>Objeto, âmbito de aplicação e definições</w:t>
      </w:r>
    </w:p>
    <w:p w14:paraId="14E211E6" w14:textId="77777777" w:rsidR="00936104" w:rsidRPr="008C5AF8" w:rsidRDefault="00936104" w:rsidP="00750517">
      <w:pPr>
        <w:pStyle w:val="Titrearticle"/>
        <w:rPr>
          <w:noProof/>
        </w:rPr>
      </w:pPr>
      <w:r w:rsidRPr="008C5AF8">
        <w:rPr>
          <w:noProof/>
        </w:rPr>
        <w:t>Artigo 1</w:t>
      </w:r>
      <w:r w:rsidR="008507DF">
        <w:rPr>
          <w:noProof/>
        </w:rPr>
        <w:t>.º</w:t>
      </w:r>
      <w:r w:rsidR="008507DF">
        <w:rPr>
          <w:noProof/>
        </w:rPr>
        <w:br/>
      </w:r>
      <w:r w:rsidRPr="008C5AF8">
        <w:rPr>
          <w:noProof/>
        </w:rPr>
        <w:t>Objeto</w:t>
      </w:r>
    </w:p>
    <w:p w14:paraId="3FD56871" w14:textId="77777777" w:rsidR="008E5B82" w:rsidRPr="008C5AF8" w:rsidRDefault="008E5B82" w:rsidP="008E5B82">
      <w:pPr>
        <w:rPr>
          <w:noProof/>
          <w:color w:val="0000FF"/>
        </w:rPr>
      </w:pPr>
      <w:r w:rsidRPr="008C5AF8">
        <w:rPr>
          <w:noProof/>
        </w:rPr>
        <w:t>O presente regulamento reforça as normas de segurança aplicáveis aos bilhetes de identidade de cidadão nacional emitidos pelos Estados-Membros e aos títulos de residência emitidos pelos Estados-Membros aos cidadãos da União e seus familiares que exercem o direito à livre circulação.</w:t>
      </w:r>
    </w:p>
    <w:p w14:paraId="79148041" w14:textId="77777777" w:rsidR="00936104" w:rsidRPr="008C5AF8" w:rsidRDefault="00936104" w:rsidP="008E5B82">
      <w:pPr>
        <w:pStyle w:val="Titrearticle"/>
        <w:rPr>
          <w:noProof/>
        </w:rPr>
      </w:pPr>
      <w:r w:rsidRPr="008C5AF8">
        <w:rPr>
          <w:noProof/>
        </w:rPr>
        <w:t>Artigo 2</w:t>
      </w:r>
      <w:r w:rsidR="008507DF">
        <w:rPr>
          <w:noProof/>
        </w:rPr>
        <w:t>.º</w:t>
      </w:r>
      <w:r w:rsidR="008507DF">
        <w:rPr>
          <w:noProof/>
        </w:rPr>
        <w:br/>
      </w:r>
      <w:r w:rsidRPr="008C5AF8">
        <w:rPr>
          <w:noProof/>
        </w:rPr>
        <w:t>Âmbito de aplicação</w:t>
      </w:r>
    </w:p>
    <w:p w14:paraId="22892936" w14:textId="77777777" w:rsidR="008E5B82" w:rsidRPr="008C5AF8" w:rsidRDefault="008E5B82" w:rsidP="008E5B82">
      <w:pPr>
        <w:rPr>
          <w:noProof/>
        </w:rPr>
      </w:pPr>
      <w:r w:rsidRPr="008C5AF8">
        <w:rPr>
          <w:noProof/>
        </w:rPr>
        <w:t>O presente regulamento é aplicável:</w:t>
      </w:r>
    </w:p>
    <w:p w14:paraId="02FED02B" w14:textId="43E4682D" w:rsidR="008E5B82" w:rsidRPr="008C5AF8" w:rsidRDefault="00AE3398" w:rsidP="00AE3398">
      <w:pPr>
        <w:pStyle w:val="Point0"/>
        <w:rPr>
          <w:noProof/>
        </w:rPr>
      </w:pPr>
      <w:bookmarkStart w:id="1" w:name="DQCErrorScopeE8CEDC649098D589EB2E3C746AF"/>
      <w:bookmarkStart w:id="2" w:name="DQCErrorScope32C8F69463F8A26E7F1213B5503"/>
      <w:r w:rsidRPr="00AE3398">
        <w:rPr>
          <w:noProof/>
        </w:rPr>
        <w:t>(a)</w:t>
      </w:r>
      <w:r w:rsidRPr="00AE3398">
        <w:rPr>
          <w:noProof/>
        </w:rPr>
        <w:tab/>
      </w:r>
      <w:bookmarkEnd w:id="1"/>
      <w:r w:rsidR="008E5B82" w:rsidRPr="008C5AF8">
        <w:rPr>
          <w:noProof/>
        </w:rPr>
        <w:t>Aos bilhetes de identidade de cidadão nacional emitidos pelos Estados-Membros nos termos do artigo 4.º, n.º 3, da Diretiva 2004/38/CE;</w:t>
      </w:r>
    </w:p>
    <w:p w14:paraId="0484A30B" w14:textId="5F090BF1" w:rsidR="008E5B82" w:rsidRPr="008C5AF8" w:rsidRDefault="00AE3398" w:rsidP="00AE3398">
      <w:pPr>
        <w:pStyle w:val="Point0"/>
        <w:rPr>
          <w:noProof/>
        </w:rPr>
      </w:pPr>
      <w:bookmarkStart w:id="3" w:name="DQCErrorScopeE318F20495EA01C9C89904AB521"/>
      <w:r w:rsidRPr="00AE3398">
        <w:rPr>
          <w:noProof/>
        </w:rPr>
        <w:t>(b)</w:t>
      </w:r>
      <w:r w:rsidRPr="00AE3398">
        <w:rPr>
          <w:noProof/>
        </w:rPr>
        <w:tab/>
      </w:r>
      <w:bookmarkEnd w:id="2"/>
      <w:bookmarkEnd w:id="3"/>
      <w:r w:rsidR="008E5B82" w:rsidRPr="008C5AF8">
        <w:rPr>
          <w:noProof/>
        </w:rPr>
        <w:t>Aos certificados de registo emitidos nos termos do artigo 8.º da Diretiva 2004/38/CE aos cidadãos da União residentes há mais de três meses num Estado-Membro de acolhimento e aos documentos que certifiquem a residência permanente emitidos nos termos do artigo 19.º da Diretiva 2004/38/CE a cidadãos da União, mediante pedido;</w:t>
      </w:r>
    </w:p>
    <w:p w14:paraId="6F6F90EC" w14:textId="43B3AD38" w:rsidR="008E5B82" w:rsidRPr="008C5AF8" w:rsidRDefault="00AE3398" w:rsidP="00AE3398">
      <w:pPr>
        <w:pStyle w:val="Point0"/>
        <w:rPr>
          <w:noProof/>
        </w:rPr>
      </w:pPr>
      <w:bookmarkStart w:id="4" w:name="DQCErrorScopeAE74CF64ADA93157443BB821CED"/>
      <w:r w:rsidRPr="00AE3398">
        <w:rPr>
          <w:noProof/>
        </w:rPr>
        <w:t>(c)</w:t>
      </w:r>
      <w:r w:rsidRPr="00AE3398">
        <w:rPr>
          <w:noProof/>
        </w:rPr>
        <w:tab/>
      </w:r>
      <w:bookmarkEnd w:id="4"/>
      <w:r w:rsidR="008E5B82" w:rsidRPr="008C5AF8">
        <w:rPr>
          <w:noProof/>
        </w:rPr>
        <w:t>Aos cartões de residência emitidos nos termos do artigo 10.º da Diretiva 2004/38/CE aos familiares de cidadãos da União que não sejam nacionais de um Estado-Membro e aos cartões de residência permanente emitidos nos termos do artigo 20.º da Diretiva 2004/38/CE aos familiares de cidadãos da União que não sejam nacionais de um Estado-Membro.</w:t>
      </w:r>
    </w:p>
    <w:p w14:paraId="261799D9" w14:textId="77777777" w:rsidR="009930AA" w:rsidRPr="008C5AF8" w:rsidRDefault="009930AA" w:rsidP="009344EA">
      <w:pPr>
        <w:rPr>
          <w:noProof/>
        </w:rPr>
      </w:pPr>
      <w:r w:rsidRPr="008C5AF8">
        <w:rPr>
          <w:noProof/>
        </w:rPr>
        <w:t>O presente regulamento não se aplica aos documentos de identificação emitidos a título provisório com um prazo de validade inferior a seis meses.</w:t>
      </w:r>
    </w:p>
    <w:p w14:paraId="7275E894" w14:textId="77777777" w:rsidR="000A7B9A" w:rsidRPr="008C5AF8" w:rsidRDefault="000A7B9A" w:rsidP="000A7B9A">
      <w:pPr>
        <w:rPr>
          <w:noProof/>
        </w:rPr>
      </w:pPr>
    </w:p>
    <w:p w14:paraId="3068724C" w14:textId="77777777" w:rsidR="00370FC9" w:rsidRPr="008C5AF8" w:rsidRDefault="00370FC9" w:rsidP="00370FC9">
      <w:pPr>
        <w:pStyle w:val="ChapterTitle"/>
        <w:rPr>
          <w:noProof/>
        </w:rPr>
      </w:pPr>
      <w:r w:rsidRPr="008C5AF8">
        <w:rPr>
          <w:noProof/>
        </w:rPr>
        <w:t>Capítulo II</w:t>
      </w:r>
      <w:r w:rsidRPr="008C5AF8">
        <w:rPr>
          <w:noProof/>
        </w:rPr>
        <w:br/>
        <w:t>Bilhetes de identidade nacionais</w:t>
      </w:r>
    </w:p>
    <w:p w14:paraId="31F5A341" w14:textId="77777777" w:rsidR="00370FC9" w:rsidRPr="008C5AF8" w:rsidRDefault="00370FC9" w:rsidP="00370FC9">
      <w:pPr>
        <w:pStyle w:val="Titrearticle"/>
        <w:rPr>
          <w:noProof/>
        </w:rPr>
      </w:pPr>
      <w:r w:rsidRPr="008C5AF8">
        <w:rPr>
          <w:noProof/>
        </w:rPr>
        <w:t>Artigo 3</w:t>
      </w:r>
      <w:r w:rsidR="008507DF">
        <w:rPr>
          <w:noProof/>
        </w:rPr>
        <w:t>.º</w:t>
      </w:r>
      <w:r w:rsidR="008507DF">
        <w:rPr>
          <w:noProof/>
        </w:rPr>
        <w:br/>
      </w:r>
      <w:r w:rsidRPr="008C5AF8">
        <w:rPr>
          <w:noProof/>
        </w:rPr>
        <w:t>Normas de segurança/formato/especificações</w:t>
      </w:r>
    </w:p>
    <w:p w14:paraId="3784BFB1" w14:textId="05AC7290" w:rsidR="00370FC9" w:rsidRPr="008C5AF8" w:rsidRDefault="00AE3398" w:rsidP="00AE3398">
      <w:pPr>
        <w:pStyle w:val="ManualNumPar1"/>
        <w:rPr>
          <w:noProof/>
        </w:rPr>
      </w:pPr>
      <w:r w:rsidRPr="00AE3398">
        <w:rPr>
          <w:noProof/>
        </w:rPr>
        <w:t>1.</w:t>
      </w:r>
      <w:r w:rsidRPr="00AE3398">
        <w:rPr>
          <w:noProof/>
        </w:rPr>
        <w:tab/>
      </w:r>
      <w:r w:rsidR="00370FC9" w:rsidRPr="008C5AF8">
        <w:rPr>
          <w:noProof/>
        </w:rPr>
        <w:t>Os bilhetes de identidade emitidos pelos Estados-Membros devem ser produzidos em formato ID-1 e incluir uma zona de leitura automática. Os referidos bilhetes de identidade devem basear-se nas especificações e nas normas mínimas de segurança estabelecidas no documento 9303 da OACI e cumprir os requisitos estabelecidos nas alíneas c), d), f) e g) do anexo do Regulamento (CE) n.º 1030/2002, com a redação que lhe foi dada pelo Regulamento (UE) 2017/1954.</w:t>
      </w:r>
    </w:p>
    <w:p w14:paraId="7ABAC349" w14:textId="4B292CE7" w:rsidR="00370FC9" w:rsidRPr="008C5AF8" w:rsidRDefault="00AE3398" w:rsidP="00AE3398">
      <w:pPr>
        <w:pStyle w:val="ManualNumPar1"/>
        <w:rPr>
          <w:noProof/>
        </w:rPr>
      </w:pPr>
      <w:r w:rsidRPr="00AE3398">
        <w:rPr>
          <w:noProof/>
        </w:rPr>
        <w:t>2.</w:t>
      </w:r>
      <w:r w:rsidRPr="00AE3398">
        <w:rPr>
          <w:noProof/>
        </w:rPr>
        <w:tab/>
      </w:r>
      <w:r w:rsidR="00370FC9" w:rsidRPr="008C5AF8">
        <w:rPr>
          <w:noProof/>
        </w:rPr>
        <w:t>Os elementos de dados incluídos nos bilhetes de identidade devem cumprir as especificações estabelecidas na parte 5 do documento 9303 da OACI.</w:t>
      </w:r>
    </w:p>
    <w:p w14:paraId="69E2CD7D" w14:textId="77777777" w:rsidR="00370FC9" w:rsidRPr="008C5AF8" w:rsidRDefault="00370FC9" w:rsidP="00370FC9">
      <w:pPr>
        <w:pStyle w:val="Text1"/>
        <w:rPr>
          <w:noProof/>
        </w:rPr>
      </w:pPr>
      <w:r w:rsidRPr="008C5AF8">
        <w:rPr>
          <w:noProof/>
        </w:rPr>
        <w:t>Em derrogação do primeiro parágrafo, o número do documento pode ser inserido na zona I e a designação do género da pessoa é facultativa.</w:t>
      </w:r>
    </w:p>
    <w:p w14:paraId="3CF22BEC" w14:textId="761CD520" w:rsidR="00370FC9" w:rsidRPr="008C5AF8" w:rsidRDefault="00AE3398" w:rsidP="00AE3398">
      <w:pPr>
        <w:pStyle w:val="ManualNumPar1"/>
        <w:rPr>
          <w:noProof/>
        </w:rPr>
      </w:pPr>
      <w:r w:rsidRPr="00AE3398">
        <w:rPr>
          <w:noProof/>
        </w:rPr>
        <w:t>3.</w:t>
      </w:r>
      <w:r w:rsidRPr="00AE3398">
        <w:rPr>
          <w:noProof/>
        </w:rPr>
        <w:tab/>
      </w:r>
      <w:r w:rsidR="00370FC9" w:rsidRPr="008C5AF8">
        <w:rPr>
          <w:noProof/>
        </w:rPr>
        <w:t>O documento deve ostentar o título («bilhete de identidade») ou outra designação nacional bem estabelecida na ou nas línguas oficiais do Estado-Membro emissor e as palavras «bilhete de identidade» pelo menos noutra língua oficial da União.</w:t>
      </w:r>
    </w:p>
    <w:p w14:paraId="318BCBB6" w14:textId="6849E681" w:rsidR="00370FC9" w:rsidRPr="008C5AF8" w:rsidRDefault="00AE3398" w:rsidP="00AE3398">
      <w:pPr>
        <w:pStyle w:val="ManualNumPar1"/>
        <w:rPr>
          <w:noProof/>
        </w:rPr>
      </w:pPr>
      <w:r w:rsidRPr="00AE3398">
        <w:rPr>
          <w:noProof/>
        </w:rPr>
        <w:t>4.</w:t>
      </w:r>
      <w:r w:rsidRPr="00AE3398">
        <w:rPr>
          <w:noProof/>
        </w:rPr>
        <w:tab/>
      </w:r>
      <w:r w:rsidR="00370FC9" w:rsidRPr="008C5AF8">
        <w:rPr>
          <w:noProof/>
        </w:rPr>
        <w:t>O bilhete de identidade deve incluir, no anverso, o código de país de duas letras do Estado-Membro que emite o documento, rodeado de 12 estrelas amarelas e impresso em negativo num retângulo azul.</w:t>
      </w:r>
    </w:p>
    <w:p w14:paraId="5B12C9D3" w14:textId="7BE055D6" w:rsidR="00370FC9" w:rsidRPr="008C5AF8" w:rsidRDefault="00AE3398" w:rsidP="00AE3398">
      <w:pPr>
        <w:pStyle w:val="ManualNumPar1"/>
        <w:rPr>
          <w:noProof/>
        </w:rPr>
      </w:pPr>
      <w:r w:rsidRPr="00AE3398">
        <w:rPr>
          <w:noProof/>
        </w:rPr>
        <w:t>5.</w:t>
      </w:r>
      <w:r w:rsidRPr="00AE3398">
        <w:rPr>
          <w:noProof/>
        </w:rPr>
        <w:tab/>
      </w:r>
      <w:r w:rsidR="00370FC9" w:rsidRPr="008C5AF8">
        <w:rPr>
          <w:noProof/>
        </w:rPr>
        <w:t>Os bilhetes de identidade devem incluir um suporte de armazenamento com elevado nível de segurança com uma imagem facial do titular do documento e duas impressões digitais em formatos digitais interoperáveis. Para a recolha dos identificadores biométricos, os Estados-Membros devem aplicar as especificações técnicas estabelecidas pela Decisão de Execução C(2018) 7767 da Comissão</w:t>
      </w:r>
      <w:r w:rsidR="00370FC9" w:rsidRPr="008C5AF8">
        <w:rPr>
          <w:rStyle w:val="FootnoteReference"/>
          <w:noProof/>
        </w:rPr>
        <w:footnoteReference w:id="34"/>
      </w:r>
      <w:r w:rsidR="00370FC9" w:rsidRPr="008C5AF8">
        <w:rPr>
          <w:noProof/>
        </w:rPr>
        <w:t>, com a redação que lhe foi dada pela Decisão de Execução C(2021) 3726 da Comissão</w:t>
      </w:r>
      <w:r w:rsidR="00DC623E" w:rsidRPr="008C5AF8">
        <w:rPr>
          <w:rStyle w:val="FootnoteReference"/>
          <w:noProof/>
        </w:rPr>
        <w:footnoteReference w:id="35"/>
      </w:r>
      <w:r w:rsidR="00370FC9" w:rsidRPr="008C5AF8">
        <w:rPr>
          <w:noProof/>
        </w:rPr>
        <w:t>.</w:t>
      </w:r>
    </w:p>
    <w:p w14:paraId="7AD59324" w14:textId="641B06CA" w:rsidR="00370FC9" w:rsidRPr="008C5AF8" w:rsidRDefault="00AE3398" w:rsidP="00AE3398">
      <w:pPr>
        <w:pStyle w:val="ManualNumPar1"/>
        <w:rPr>
          <w:noProof/>
        </w:rPr>
      </w:pPr>
      <w:r w:rsidRPr="00AE3398">
        <w:rPr>
          <w:noProof/>
        </w:rPr>
        <w:t>6.</w:t>
      </w:r>
      <w:r w:rsidRPr="00AE3398">
        <w:rPr>
          <w:noProof/>
        </w:rPr>
        <w:tab/>
      </w:r>
      <w:r w:rsidR="00370FC9" w:rsidRPr="008C5AF8">
        <w:rPr>
          <w:noProof/>
        </w:rPr>
        <w:t>O suporte de armazenamento deve dispor de capacidade suficiente e das características necessárias para garantir a integridade, autenticidade e confidencialidade dos dados. Os dados armazenados devem ser acessíveis sem contacto e protegidos, conforme imposto pela Decisão de Execução C(2018) 7767, com a redação que lhe foi dada pela Decisão de Execução C(2021) 3726. Os Estados-Membros devem proceder ao intercâmbio das informações necessárias para autenticar o suporte de armazenamento e para consultar e verificar os dados biométricos referidos no n.º 5.</w:t>
      </w:r>
    </w:p>
    <w:p w14:paraId="6E7AD711" w14:textId="36A49CAA" w:rsidR="00370FC9" w:rsidRPr="008C5AF8" w:rsidRDefault="00AE3398" w:rsidP="00AE3398">
      <w:pPr>
        <w:pStyle w:val="ManualNumPar1"/>
        <w:rPr>
          <w:noProof/>
        </w:rPr>
      </w:pPr>
      <w:r w:rsidRPr="00AE3398">
        <w:rPr>
          <w:noProof/>
        </w:rPr>
        <w:t>7.</w:t>
      </w:r>
      <w:r w:rsidRPr="00AE3398">
        <w:rPr>
          <w:noProof/>
        </w:rPr>
        <w:tab/>
      </w:r>
      <w:r w:rsidR="00370FC9" w:rsidRPr="008C5AF8">
        <w:rPr>
          <w:noProof/>
        </w:rPr>
        <w:t>As crianças com menos de 12 anos podem ser dispensadas da obrigação de fornecer impressões digitais.</w:t>
      </w:r>
    </w:p>
    <w:p w14:paraId="7999A547" w14:textId="77777777" w:rsidR="00370FC9" w:rsidRPr="008C5AF8" w:rsidRDefault="00370FC9" w:rsidP="00370FC9">
      <w:pPr>
        <w:pStyle w:val="Text1"/>
        <w:rPr>
          <w:noProof/>
        </w:rPr>
      </w:pPr>
      <w:r w:rsidRPr="008C5AF8">
        <w:rPr>
          <w:noProof/>
        </w:rPr>
        <w:t>As crianças com menos de 6 anos estão dispensadas da obrigação de fornecer impressões digitais.</w:t>
      </w:r>
    </w:p>
    <w:p w14:paraId="1666899C" w14:textId="77777777" w:rsidR="00370FC9" w:rsidRPr="008C5AF8" w:rsidRDefault="00370FC9" w:rsidP="00370FC9">
      <w:pPr>
        <w:pStyle w:val="Text1"/>
        <w:rPr>
          <w:noProof/>
        </w:rPr>
      </w:pPr>
      <w:r w:rsidRPr="008C5AF8">
        <w:rPr>
          <w:noProof/>
        </w:rPr>
        <w:t>As pessoas cujas impressões digitais sejam fisicamente impossíveis de recolher estão dispensadas da obrigação de as fornecer.</w:t>
      </w:r>
    </w:p>
    <w:p w14:paraId="76B9E00A" w14:textId="7222A86F" w:rsidR="00370FC9" w:rsidRPr="008C5AF8" w:rsidRDefault="00AE3398" w:rsidP="00AE3398">
      <w:pPr>
        <w:pStyle w:val="ManualNumPar1"/>
        <w:rPr>
          <w:noProof/>
        </w:rPr>
      </w:pPr>
      <w:r w:rsidRPr="00AE3398">
        <w:rPr>
          <w:noProof/>
        </w:rPr>
        <w:t>8.</w:t>
      </w:r>
      <w:r w:rsidRPr="00AE3398">
        <w:rPr>
          <w:noProof/>
        </w:rPr>
        <w:tab/>
      </w:r>
      <w:r w:rsidR="00370FC9" w:rsidRPr="008C5AF8">
        <w:rPr>
          <w:noProof/>
        </w:rPr>
        <w:t>Sempre que for necessário e proporcionado ao fim prosseguido, os Estados-Membros podem incluir os dados e observações que, por força do direito nacional, possam ser necessários para utilização nacional. A eficiência das normas mínimas de segurança e a compatibilidade transfronteiriça dos bilhetes de identidade não podem ser reduzidas em consequência disso.</w:t>
      </w:r>
    </w:p>
    <w:p w14:paraId="53D4CC94" w14:textId="6A3E467A" w:rsidR="00370FC9" w:rsidRPr="008C5AF8" w:rsidRDefault="00AE3398" w:rsidP="00AE3398">
      <w:pPr>
        <w:pStyle w:val="ManualNumPar1"/>
        <w:rPr>
          <w:noProof/>
        </w:rPr>
      </w:pPr>
      <w:r w:rsidRPr="00AE3398">
        <w:rPr>
          <w:noProof/>
        </w:rPr>
        <w:t>9.</w:t>
      </w:r>
      <w:r w:rsidRPr="00AE3398">
        <w:rPr>
          <w:noProof/>
        </w:rPr>
        <w:tab/>
      </w:r>
      <w:r w:rsidR="00370FC9" w:rsidRPr="008C5AF8">
        <w:rPr>
          <w:noProof/>
        </w:rPr>
        <w:t>Se os Estados-Membros integrarem uma dupla interface ou um suporte de armazenamento separado no bilhete de identidade, o suporte de armazenamento adicional deve cumprir as normas ISO aplicáveis e não pode interferir com o suporte de armazenamento a que se refere o n.º 5.</w:t>
      </w:r>
    </w:p>
    <w:p w14:paraId="25B927CD" w14:textId="43493335" w:rsidR="00370FC9" w:rsidRPr="008C5AF8" w:rsidRDefault="00AE3398" w:rsidP="00AE3398">
      <w:pPr>
        <w:pStyle w:val="ManualNumPar1"/>
        <w:rPr>
          <w:noProof/>
        </w:rPr>
      </w:pPr>
      <w:r w:rsidRPr="00AE3398">
        <w:rPr>
          <w:noProof/>
        </w:rPr>
        <w:t>10.</w:t>
      </w:r>
      <w:r w:rsidRPr="00AE3398">
        <w:rPr>
          <w:noProof/>
        </w:rPr>
        <w:tab/>
      </w:r>
      <w:r w:rsidR="00370FC9" w:rsidRPr="008C5AF8">
        <w:rPr>
          <w:noProof/>
        </w:rPr>
        <w:t>Se os Estados-Membros armazenarem nos bilhetes de identidade dados para utilização em serviços eletrónicos, como a administração pública e o comércio eletrónicos, esses dados nacionais devem estar física ou logicamente separados dos dados biométricos a que se refere o n.º 5.</w:t>
      </w:r>
    </w:p>
    <w:p w14:paraId="4B38BBBD" w14:textId="4EFC6205" w:rsidR="008E5B82" w:rsidRPr="008C5AF8" w:rsidRDefault="00AE3398" w:rsidP="00AE3398">
      <w:pPr>
        <w:pStyle w:val="ManualNumPar1"/>
        <w:rPr>
          <w:noProof/>
        </w:rPr>
      </w:pPr>
      <w:r w:rsidRPr="00AE3398">
        <w:rPr>
          <w:noProof/>
        </w:rPr>
        <w:t>11.</w:t>
      </w:r>
      <w:r w:rsidRPr="00AE3398">
        <w:rPr>
          <w:noProof/>
        </w:rPr>
        <w:tab/>
      </w:r>
      <w:r w:rsidR="00370FC9" w:rsidRPr="008C5AF8">
        <w:rPr>
          <w:noProof/>
        </w:rPr>
        <w:t>Se os Estados-Membros adicionarem elementos de segurança complementares aos bilhetes de identidade, a compatibilidade transfronteiriça desses bilhetes de identidade e a eficiência das normas mínimas de segurança não podem ser reduzidas em consequência disso.</w:t>
      </w:r>
    </w:p>
    <w:p w14:paraId="5A871A73" w14:textId="77777777" w:rsidR="00370FC9" w:rsidRPr="008C5AF8" w:rsidRDefault="00370FC9" w:rsidP="00370FC9">
      <w:pPr>
        <w:pStyle w:val="Titrearticle"/>
        <w:rPr>
          <w:noProof/>
        </w:rPr>
      </w:pPr>
      <w:r w:rsidRPr="008C5AF8">
        <w:rPr>
          <w:noProof/>
        </w:rPr>
        <w:t>Artigo 4</w:t>
      </w:r>
      <w:r w:rsidR="008507DF">
        <w:rPr>
          <w:noProof/>
        </w:rPr>
        <w:t>.º</w:t>
      </w:r>
      <w:r w:rsidR="008507DF">
        <w:rPr>
          <w:noProof/>
        </w:rPr>
        <w:br/>
      </w:r>
      <w:r w:rsidRPr="008C5AF8">
        <w:rPr>
          <w:noProof/>
        </w:rPr>
        <w:t>Prazo de validade</w:t>
      </w:r>
    </w:p>
    <w:p w14:paraId="0C0E90FC" w14:textId="3D1AFA2D" w:rsidR="00370FC9" w:rsidRPr="008C5AF8" w:rsidRDefault="00AE3398" w:rsidP="00AE3398">
      <w:pPr>
        <w:pStyle w:val="ManualNumPar1"/>
        <w:rPr>
          <w:noProof/>
        </w:rPr>
      </w:pPr>
      <w:r w:rsidRPr="00AE3398">
        <w:rPr>
          <w:noProof/>
        </w:rPr>
        <w:t>1.</w:t>
      </w:r>
      <w:r w:rsidRPr="00AE3398">
        <w:rPr>
          <w:noProof/>
        </w:rPr>
        <w:tab/>
      </w:r>
      <w:r w:rsidR="00370FC9" w:rsidRPr="008C5AF8">
        <w:rPr>
          <w:noProof/>
        </w:rPr>
        <w:t>Os bilhetes de identidade têm um prazo de validade mínimo de cinco anos e um prazo de validade máximo de dez anos.</w:t>
      </w:r>
    </w:p>
    <w:p w14:paraId="25DCD9E8" w14:textId="10DCEA68" w:rsidR="00370FC9" w:rsidRPr="008C5AF8" w:rsidRDefault="00AE3398" w:rsidP="00AE3398">
      <w:pPr>
        <w:pStyle w:val="ManualNumPar1"/>
        <w:rPr>
          <w:noProof/>
        </w:rPr>
      </w:pPr>
      <w:r w:rsidRPr="00AE3398">
        <w:rPr>
          <w:noProof/>
        </w:rPr>
        <w:t>2.</w:t>
      </w:r>
      <w:r w:rsidRPr="00AE3398">
        <w:rPr>
          <w:noProof/>
        </w:rPr>
        <w:tab/>
      </w:r>
      <w:r w:rsidR="00370FC9" w:rsidRPr="008C5AF8">
        <w:rPr>
          <w:noProof/>
        </w:rPr>
        <w:t>Em derrogação do n.º 1, os Estados-Membros podem prever um prazo de validade:</w:t>
      </w:r>
    </w:p>
    <w:p w14:paraId="24A06243" w14:textId="5B16E5EF" w:rsidR="00370FC9" w:rsidRPr="008C5AF8" w:rsidRDefault="00AE3398" w:rsidP="00AE3398">
      <w:pPr>
        <w:pStyle w:val="Point1"/>
        <w:rPr>
          <w:noProof/>
        </w:rPr>
      </w:pPr>
      <w:bookmarkStart w:id="5" w:name="DQCErrorScope3AE0BAF4EFAA512CD0D345689C2"/>
      <w:bookmarkStart w:id="6" w:name="DQCErrorScope84B5E4C46E2AEA63AA296009626"/>
      <w:r w:rsidRPr="00AE3398">
        <w:rPr>
          <w:noProof/>
        </w:rPr>
        <w:t>(a)</w:t>
      </w:r>
      <w:r w:rsidRPr="00AE3398">
        <w:rPr>
          <w:noProof/>
        </w:rPr>
        <w:tab/>
      </w:r>
      <w:bookmarkEnd w:id="5"/>
      <w:r w:rsidR="00370FC9" w:rsidRPr="008C5AF8">
        <w:rPr>
          <w:noProof/>
        </w:rPr>
        <w:t>Inferior a cinco anos, para os bilhetes de identidade emitidos a menores;</w:t>
      </w:r>
    </w:p>
    <w:p w14:paraId="37E67B08" w14:textId="3A4FCB53" w:rsidR="00370FC9" w:rsidRPr="008C5AF8" w:rsidRDefault="00AE3398" w:rsidP="00AE3398">
      <w:pPr>
        <w:pStyle w:val="Point1"/>
        <w:rPr>
          <w:noProof/>
        </w:rPr>
      </w:pPr>
      <w:bookmarkStart w:id="7" w:name="DQCErrorScope7199FD94CA0B41E4C183AEE1421"/>
      <w:r w:rsidRPr="00AE3398">
        <w:rPr>
          <w:noProof/>
        </w:rPr>
        <w:t>(b)</w:t>
      </w:r>
      <w:r w:rsidRPr="00AE3398">
        <w:rPr>
          <w:noProof/>
        </w:rPr>
        <w:tab/>
      </w:r>
      <w:bookmarkEnd w:id="6"/>
      <w:bookmarkEnd w:id="7"/>
      <w:r w:rsidR="00370FC9" w:rsidRPr="008C5AF8">
        <w:rPr>
          <w:noProof/>
        </w:rPr>
        <w:t>Em casos excecionais, inferior a cinco anos, para os bilhetes de identidade emitidos a pessoas em circunstâncias especiais e restritas e com um prazo de validade limitado de acordo com o direito da União e o direito nacional;</w:t>
      </w:r>
    </w:p>
    <w:p w14:paraId="200AC1D1" w14:textId="6274EA5D" w:rsidR="00370FC9" w:rsidRPr="008C5AF8" w:rsidRDefault="00AE3398" w:rsidP="00AE3398">
      <w:pPr>
        <w:pStyle w:val="Point1"/>
        <w:rPr>
          <w:noProof/>
        </w:rPr>
      </w:pPr>
      <w:bookmarkStart w:id="8" w:name="DQCErrorScope2B8D0364995A4A048318D121779"/>
      <w:r w:rsidRPr="00AE3398">
        <w:rPr>
          <w:noProof/>
        </w:rPr>
        <w:t>(c)</w:t>
      </w:r>
      <w:r w:rsidRPr="00AE3398">
        <w:rPr>
          <w:noProof/>
        </w:rPr>
        <w:tab/>
      </w:r>
      <w:bookmarkEnd w:id="8"/>
      <w:r w:rsidR="00370FC9" w:rsidRPr="008C5AF8">
        <w:rPr>
          <w:noProof/>
        </w:rPr>
        <w:t>Superior a dez anos, para os bilhetes de identidade emitidos a pessoas com idade igual ou superior a 70 anos.</w:t>
      </w:r>
    </w:p>
    <w:p w14:paraId="57BA3595" w14:textId="6DAB5F53" w:rsidR="00370FC9" w:rsidRPr="008C5AF8" w:rsidRDefault="00AE3398" w:rsidP="00AE3398">
      <w:pPr>
        <w:pStyle w:val="ManualNumPar1"/>
        <w:rPr>
          <w:noProof/>
        </w:rPr>
      </w:pPr>
      <w:r w:rsidRPr="00AE3398">
        <w:rPr>
          <w:noProof/>
        </w:rPr>
        <w:t>3.</w:t>
      </w:r>
      <w:r w:rsidRPr="00AE3398">
        <w:rPr>
          <w:noProof/>
        </w:rPr>
        <w:tab/>
      </w:r>
      <w:r w:rsidR="00370FC9" w:rsidRPr="008C5AF8">
        <w:rPr>
          <w:noProof/>
        </w:rPr>
        <w:t>Os Estados-Membros emitem um bilhete de identidade válido por um prazo igual ou inferior a 12 meses, se for fisicamente impossível, temporariamente, recolher impressões digitais de qualquer dos dedos do requerente.</w:t>
      </w:r>
    </w:p>
    <w:p w14:paraId="1DA679FC" w14:textId="77777777" w:rsidR="00766CC2" w:rsidRPr="008C5AF8" w:rsidRDefault="00766CC2" w:rsidP="00766CC2">
      <w:pPr>
        <w:pStyle w:val="Titrearticle"/>
        <w:rPr>
          <w:noProof/>
        </w:rPr>
      </w:pPr>
      <w:r w:rsidRPr="008C5AF8">
        <w:rPr>
          <w:noProof/>
        </w:rPr>
        <w:t>Artigo 5</w:t>
      </w:r>
      <w:r w:rsidR="008507DF">
        <w:rPr>
          <w:noProof/>
        </w:rPr>
        <w:t>.º</w:t>
      </w:r>
      <w:r w:rsidR="008507DF">
        <w:rPr>
          <w:noProof/>
        </w:rPr>
        <w:br/>
      </w:r>
      <w:r w:rsidRPr="008C5AF8">
        <w:rPr>
          <w:noProof/>
        </w:rPr>
        <w:t>Supressão gradual</w:t>
      </w:r>
    </w:p>
    <w:p w14:paraId="16A27EC2" w14:textId="42024F5C" w:rsidR="002B0DEF" w:rsidRPr="008C5AF8" w:rsidRDefault="00AE3398" w:rsidP="00AE3398">
      <w:pPr>
        <w:pStyle w:val="ManualNumPar1"/>
        <w:rPr>
          <w:noProof/>
        </w:rPr>
      </w:pPr>
      <w:r w:rsidRPr="00AE3398">
        <w:rPr>
          <w:noProof/>
        </w:rPr>
        <w:t>1.</w:t>
      </w:r>
      <w:r w:rsidRPr="00AE3398">
        <w:rPr>
          <w:noProof/>
        </w:rPr>
        <w:tab/>
      </w:r>
      <w:r w:rsidR="002B0DEF" w:rsidRPr="008C5AF8">
        <w:rPr>
          <w:noProof/>
        </w:rPr>
        <w:t>A validade dos bilhetes de identidade que não cumpram os requisitos do artigo 3.º cessa na respetiva data de caducidade ou em 3 de agosto de 2031, consoante a data que ocorrer primeiro.</w:t>
      </w:r>
    </w:p>
    <w:p w14:paraId="72E59384" w14:textId="40D7C015" w:rsidR="002B0DEF" w:rsidRPr="008C5AF8" w:rsidRDefault="00AE3398" w:rsidP="00AE3398">
      <w:pPr>
        <w:pStyle w:val="ManualNumPar1"/>
        <w:rPr>
          <w:noProof/>
        </w:rPr>
      </w:pPr>
      <w:r w:rsidRPr="00AE3398">
        <w:rPr>
          <w:noProof/>
        </w:rPr>
        <w:t>2.</w:t>
      </w:r>
      <w:r w:rsidRPr="00AE3398">
        <w:rPr>
          <w:noProof/>
        </w:rPr>
        <w:tab/>
      </w:r>
      <w:r w:rsidR="002B0DEF" w:rsidRPr="008C5AF8">
        <w:rPr>
          <w:noProof/>
        </w:rPr>
        <w:t>Em derrogação do n.º 1:</w:t>
      </w:r>
    </w:p>
    <w:p w14:paraId="6C593440" w14:textId="5D1994DF" w:rsidR="002B0DEF" w:rsidRPr="008C5AF8" w:rsidRDefault="00AE3398" w:rsidP="00AE3398">
      <w:pPr>
        <w:pStyle w:val="Point1"/>
        <w:rPr>
          <w:noProof/>
        </w:rPr>
      </w:pPr>
      <w:bookmarkStart w:id="9" w:name="DQCErrorScope5C820C34DEEBC24EB6E0C7FDC22"/>
      <w:r w:rsidRPr="00AE3398">
        <w:rPr>
          <w:noProof/>
        </w:rPr>
        <w:t>(a)</w:t>
      </w:r>
      <w:r w:rsidRPr="00AE3398">
        <w:rPr>
          <w:noProof/>
        </w:rPr>
        <w:tab/>
      </w:r>
      <w:bookmarkEnd w:id="9"/>
      <w:r w:rsidR="002B0DEF" w:rsidRPr="008C5AF8">
        <w:rPr>
          <w:noProof/>
        </w:rPr>
        <w:t>A validade dos bilhetes de identidade que não cumpram as normas mínimas de segurança definidas na parte 2 do documento 9303 da OACI ou que não incluam uma zona de leitura automática funcional, tal como definida no n.º 3, cessa na respetiva data de caducidade ou em 3 de agosto de 2026, consoante a data que ocorrer primeiro;</w:t>
      </w:r>
    </w:p>
    <w:p w14:paraId="35365A7C" w14:textId="3B984EF3" w:rsidR="002B0DEF" w:rsidRPr="008C5AF8" w:rsidRDefault="00AE3398" w:rsidP="00AE3398">
      <w:pPr>
        <w:pStyle w:val="Point1"/>
        <w:rPr>
          <w:noProof/>
        </w:rPr>
      </w:pPr>
      <w:bookmarkStart w:id="10" w:name="DQCErrorScope64C46644D64A85CA0BF2C060F6D"/>
      <w:r w:rsidRPr="00AE3398">
        <w:rPr>
          <w:noProof/>
        </w:rPr>
        <w:t>(b)</w:t>
      </w:r>
      <w:r w:rsidRPr="00AE3398">
        <w:rPr>
          <w:noProof/>
        </w:rPr>
        <w:tab/>
      </w:r>
      <w:bookmarkEnd w:id="10"/>
      <w:r w:rsidR="002B0DEF" w:rsidRPr="008C5AF8">
        <w:rPr>
          <w:noProof/>
        </w:rPr>
        <w:t>A validade dos bilhetes de identidade de pessoas com idade igual ou superior a 70 anos em 2 de agosto de 2021 que cumpram as normas mínimas de segurança estabelecidas na parte 2 do documento 9303 da OACI e que incluam uma zona de leitura automática funcional, tal como definida no n.º 3, cessa na respetiva data de caducidade.</w:t>
      </w:r>
    </w:p>
    <w:p w14:paraId="013A1BCC" w14:textId="246C373D" w:rsidR="002B0DEF" w:rsidRPr="008C5AF8" w:rsidRDefault="00AE3398" w:rsidP="00AE3398">
      <w:pPr>
        <w:pStyle w:val="ManualNumPar1"/>
        <w:rPr>
          <w:noProof/>
        </w:rPr>
      </w:pPr>
      <w:r w:rsidRPr="00AE3398">
        <w:rPr>
          <w:noProof/>
        </w:rPr>
        <w:t>3.</w:t>
      </w:r>
      <w:r w:rsidRPr="00AE3398">
        <w:rPr>
          <w:noProof/>
        </w:rPr>
        <w:tab/>
      </w:r>
      <w:r w:rsidR="002B0DEF" w:rsidRPr="008C5AF8">
        <w:rPr>
          <w:noProof/>
        </w:rPr>
        <w:t>Para efeitos do n.º 2, entende-se por uma zona de leitura automática funcional:</w:t>
      </w:r>
    </w:p>
    <w:p w14:paraId="2D48FEEF" w14:textId="3A928AFC" w:rsidR="002B0DEF" w:rsidRPr="008C5AF8" w:rsidRDefault="00AE3398" w:rsidP="00AE3398">
      <w:pPr>
        <w:pStyle w:val="Point1"/>
        <w:rPr>
          <w:noProof/>
        </w:rPr>
      </w:pPr>
      <w:bookmarkStart w:id="11" w:name="DQCErrorScope49A81724EDB801DB3F79A62CD55"/>
      <w:r w:rsidRPr="00AE3398">
        <w:rPr>
          <w:noProof/>
        </w:rPr>
        <w:t>(a)</w:t>
      </w:r>
      <w:r w:rsidRPr="00AE3398">
        <w:rPr>
          <w:noProof/>
        </w:rPr>
        <w:tab/>
      </w:r>
      <w:bookmarkEnd w:id="11"/>
      <w:r w:rsidR="002B0DEF" w:rsidRPr="008C5AF8">
        <w:rPr>
          <w:noProof/>
        </w:rPr>
        <w:t>Uma zona de leitura automática conforme com o documento 9303 da OACI; ou</w:t>
      </w:r>
    </w:p>
    <w:p w14:paraId="6468D58A" w14:textId="58D33B30" w:rsidR="002B0DEF" w:rsidRPr="008C5AF8" w:rsidRDefault="00AE3398" w:rsidP="00AE3398">
      <w:pPr>
        <w:pStyle w:val="Point1"/>
        <w:rPr>
          <w:noProof/>
        </w:rPr>
      </w:pPr>
      <w:bookmarkStart w:id="12" w:name="DQCErrorScope451B9C042058CDCD72BF56DD0AE"/>
      <w:r w:rsidRPr="00AE3398">
        <w:rPr>
          <w:noProof/>
        </w:rPr>
        <w:t>(b)</w:t>
      </w:r>
      <w:r w:rsidRPr="00AE3398">
        <w:rPr>
          <w:noProof/>
        </w:rPr>
        <w:tab/>
      </w:r>
      <w:bookmarkEnd w:id="12"/>
      <w:r w:rsidR="002B0DEF" w:rsidRPr="008C5AF8">
        <w:rPr>
          <w:noProof/>
        </w:rPr>
        <w:t>Qualquer outra zona de leitura automática para a qual o Estado-Membro emissor notifique as normas necessárias à leitura e visualização das informações nela incluídas.</w:t>
      </w:r>
    </w:p>
    <w:p w14:paraId="24D4F5C0" w14:textId="77777777" w:rsidR="000A7B9A" w:rsidRPr="008C5AF8" w:rsidRDefault="000A7B9A" w:rsidP="000E2C22">
      <w:pPr>
        <w:rPr>
          <w:noProof/>
        </w:rPr>
      </w:pPr>
    </w:p>
    <w:p w14:paraId="18E4840B" w14:textId="77777777" w:rsidR="00A6584D" w:rsidRPr="008C5AF8" w:rsidRDefault="00A6584D" w:rsidP="00A6584D">
      <w:pPr>
        <w:pStyle w:val="ChapterTitle"/>
        <w:rPr>
          <w:noProof/>
        </w:rPr>
      </w:pPr>
      <w:r w:rsidRPr="008C5AF8">
        <w:rPr>
          <w:noProof/>
        </w:rPr>
        <w:t>Capítulo III</w:t>
      </w:r>
      <w:r w:rsidRPr="008C5AF8">
        <w:rPr>
          <w:noProof/>
        </w:rPr>
        <w:br/>
        <w:t>Títulos de residência para cidadãos da União</w:t>
      </w:r>
    </w:p>
    <w:p w14:paraId="11AA63CE" w14:textId="77777777" w:rsidR="00A6584D" w:rsidRPr="008C5AF8" w:rsidRDefault="00A6584D" w:rsidP="00A6584D">
      <w:pPr>
        <w:pStyle w:val="Titrearticle"/>
        <w:rPr>
          <w:noProof/>
        </w:rPr>
      </w:pPr>
      <w:r w:rsidRPr="008C5AF8">
        <w:rPr>
          <w:noProof/>
        </w:rPr>
        <w:t>Artigo 6</w:t>
      </w:r>
      <w:r w:rsidR="008507DF">
        <w:rPr>
          <w:noProof/>
        </w:rPr>
        <w:t>.º</w:t>
      </w:r>
      <w:r w:rsidR="008507DF">
        <w:rPr>
          <w:noProof/>
        </w:rPr>
        <w:br/>
      </w:r>
      <w:r w:rsidRPr="008C5AF8">
        <w:rPr>
          <w:noProof/>
        </w:rPr>
        <w:t>Informações mínimas a indicar</w:t>
      </w:r>
    </w:p>
    <w:p w14:paraId="50C38617" w14:textId="77777777" w:rsidR="00A6584D" w:rsidRPr="008C5AF8" w:rsidRDefault="00A6584D" w:rsidP="00A6584D">
      <w:pPr>
        <w:rPr>
          <w:noProof/>
        </w:rPr>
      </w:pPr>
      <w:r w:rsidRPr="008C5AF8">
        <w:rPr>
          <w:noProof/>
        </w:rPr>
        <w:t>Os títulos de residência, quando emitidos pelos Estados-Membros aos cidadãos da União, devem indicar, pelo menos, o seguinte:</w:t>
      </w:r>
    </w:p>
    <w:p w14:paraId="77FBF94B" w14:textId="77071375" w:rsidR="00A6584D" w:rsidRPr="008C5AF8" w:rsidRDefault="00AE3398" w:rsidP="00AE3398">
      <w:pPr>
        <w:pStyle w:val="Point0"/>
        <w:rPr>
          <w:noProof/>
        </w:rPr>
      </w:pPr>
      <w:bookmarkStart w:id="13" w:name="DQCErrorScope03A1EE5429DA7B9D7FBB0AF83C2"/>
      <w:r w:rsidRPr="00AE3398">
        <w:rPr>
          <w:noProof/>
        </w:rPr>
        <w:t>(a)</w:t>
      </w:r>
      <w:r w:rsidRPr="00AE3398">
        <w:rPr>
          <w:noProof/>
        </w:rPr>
        <w:tab/>
      </w:r>
      <w:bookmarkEnd w:id="13"/>
      <w:r w:rsidR="00A6584D" w:rsidRPr="008C5AF8">
        <w:rPr>
          <w:noProof/>
        </w:rPr>
        <w:t>O título do documento na ou nas línguas oficiais do Estado-Membro emissor e, pelo menos, noutra língua oficial da União;</w:t>
      </w:r>
    </w:p>
    <w:p w14:paraId="1897A364" w14:textId="6EE8D658" w:rsidR="00A6584D" w:rsidRPr="008C5AF8" w:rsidRDefault="00AE3398" w:rsidP="00AE3398">
      <w:pPr>
        <w:pStyle w:val="Point0"/>
        <w:rPr>
          <w:noProof/>
        </w:rPr>
      </w:pPr>
      <w:bookmarkStart w:id="14" w:name="DQCErrorScopeA42383A4DABA838BF660E8560F8"/>
      <w:r w:rsidRPr="00AE3398">
        <w:rPr>
          <w:noProof/>
        </w:rPr>
        <w:t>(b)</w:t>
      </w:r>
      <w:r w:rsidRPr="00AE3398">
        <w:rPr>
          <w:noProof/>
        </w:rPr>
        <w:tab/>
      </w:r>
      <w:bookmarkEnd w:id="14"/>
      <w:r w:rsidR="00A6584D" w:rsidRPr="008C5AF8">
        <w:rPr>
          <w:noProof/>
        </w:rPr>
        <w:t>Uma referência clara de que o título é emitido a um cidadão da União nos termos da Diretiva 2004/38/CE;</w:t>
      </w:r>
    </w:p>
    <w:p w14:paraId="0C63F199" w14:textId="0B8EC91D" w:rsidR="00A6584D" w:rsidRPr="008C5AF8" w:rsidRDefault="00AE3398" w:rsidP="00AE3398">
      <w:pPr>
        <w:pStyle w:val="Point0"/>
        <w:rPr>
          <w:noProof/>
        </w:rPr>
      </w:pPr>
      <w:bookmarkStart w:id="15" w:name="DQCErrorScopeBBDB685410FB2D9CACF71D900D6"/>
      <w:r w:rsidRPr="00AE3398">
        <w:rPr>
          <w:noProof/>
        </w:rPr>
        <w:t>(c)</w:t>
      </w:r>
      <w:r w:rsidRPr="00AE3398">
        <w:rPr>
          <w:noProof/>
        </w:rPr>
        <w:tab/>
      </w:r>
      <w:bookmarkEnd w:id="15"/>
      <w:r w:rsidR="00A6584D" w:rsidRPr="008C5AF8">
        <w:rPr>
          <w:noProof/>
        </w:rPr>
        <w:t>O número do documento;</w:t>
      </w:r>
    </w:p>
    <w:p w14:paraId="71382BE2" w14:textId="34FA0767" w:rsidR="00A6584D" w:rsidRPr="008C5AF8" w:rsidRDefault="00AE3398" w:rsidP="00AE3398">
      <w:pPr>
        <w:pStyle w:val="Point0"/>
        <w:rPr>
          <w:noProof/>
        </w:rPr>
      </w:pPr>
      <w:bookmarkStart w:id="16" w:name="DQCErrorScope2969175409E8879378774EE10F9"/>
      <w:r w:rsidRPr="00AE3398">
        <w:rPr>
          <w:noProof/>
        </w:rPr>
        <w:t>(d)</w:t>
      </w:r>
      <w:r w:rsidRPr="00AE3398">
        <w:rPr>
          <w:noProof/>
        </w:rPr>
        <w:tab/>
      </w:r>
      <w:bookmarkEnd w:id="16"/>
      <w:r w:rsidR="00A6584D" w:rsidRPr="008C5AF8">
        <w:rPr>
          <w:noProof/>
        </w:rPr>
        <w:t>O nome [nome(s) próprio(s) e apelido(s)] do titular;</w:t>
      </w:r>
    </w:p>
    <w:p w14:paraId="12F86AE0" w14:textId="35F037E5" w:rsidR="00A6584D" w:rsidRPr="008C5AF8" w:rsidRDefault="00AE3398" w:rsidP="00AE3398">
      <w:pPr>
        <w:pStyle w:val="Point0"/>
        <w:rPr>
          <w:noProof/>
        </w:rPr>
      </w:pPr>
      <w:bookmarkStart w:id="17" w:name="DQCErrorScopeD1EA9A94E83A6D3FE95E02E266C"/>
      <w:r w:rsidRPr="00AE3398">
        <w:rPr>
          <w:noProof/>
        </w:rPr>
        <w:t>(e)</w:t>
      </w:r>
      <w:r w:rsidRPr="00AE3398">
        <w:rPr>
          <w:noProof/>
        </w:rPr>
        <w:tab/>
      </w:r>
      <w:bookmarkEnd w:id="17"/>
      <w:r w:rsidR="00A6584D" w:rsidRPr="008C5AF8">
        <w:rPr>
          <w:noProof/>
        </w:rPr>
        <w:t>A data de nascimento do titular;</w:t>
      </w:r>
    </w:p>
    <w:p w14:paraId="5F28CAE5" w14:textId="7ABF2FA8" w:rsidR="00A6584D" w:rsidRPr="008C5AF8" w:rsidRDefault="00AE3398" w:rsidP="00AE3398">
      <w:pPr>
        <w:pStyle w:val="Point0"/>
        <w:rPr>
          <w:noProof/>
        </w:rPr>
      </w:pPr>
      <w:bookmarkStart w:id="18" w:name="DQCErrorScope326D32747FFA89E980A53BE7F4D"/>
      <w:r w:rsidRPr="00AE3398">
        <w:rPr>
          <w:noProof/>
        </w:rPr>
        <w:t>(f)</w:t>
      </w:r>
      <w:r w:rsidRPr="00AE3398">
        <w:rPr>
          <w:noProof/>
        </w:rPr>
        <w:tab/>
      </w:r>
      <w:bookmarkEnd w:id="18"/>
      <w:r w:rsidR="00A6584D" w:rsidRPr="008C5AF8">
        <w:rPr>
          <w:noProof/>
        </w:rPr>
        <w:t>As informações a incluir nos certificados de registo e nos documentos que certifiquem a residência permanente, emitidos nos termos do artigo 8.º e do artigo 19.º, respetivamente, da Diretiva 2004/38/CE;</w:t>
      </w:r>
    </w:p>
    <w:p w14:paraId="3AFCA3E2" w14:textId="13547B7E" w:rsidR="00A6584D" w:rsidRPr="008C5AF8" w:rsidRDefault="00AE3398" w:rsidP="00AE3398">
      <w:pPr>
        <w:pStyle w:val="Point0"/>
        <w:rPr>
          <w:noProof/>
        </w:rPr>
      </w:pPr>
      <w:bookmarkStart w:id="19" w:name="DQCErrorScope0362BA54FA4A401B86E5482F241"/>
      <w:r w:rsidRPr="00AE3398">
        <w:rPr>
          <w:noProof/>
        </w:rPr>
        <w:t>(g)</w:t>
      </w:r>
      <w:r w:rsidRPr="00AE3398">
        <w:rPr>
          <w:noProof/>
        </w:rPr>
        <w:tab/>
      </w:r>
      <w:bookmarkEnd w:id="19"/>
      <w:r w:rsidR="00A6584D" w:rsidRPr="008C5AF8">
        <w:rPr>
          <w:noProof/>
        </w:rPr>
        <w:t>A autoridade de emissão;</w:t>
      </w:r>
    </w:p>
    <w:p w14:paraId="0927F623" w14:textId="6432FE59" w:rsidR="00A6584D" w:rsidRPr="008C5AF8" w:rsidRDefault="00AE3398" w:rsidP="00AE3398">
      <w:pPr>
        <w:pStyle w:val="Point0"/>
        <w:rPr>
          <w:noProof/>
        </w:rPr>
      </w:pPr>
      <w:bookmarkStart w:id="20" w:name="DQCErrorScopeC98C3C84E5DBA8B415829341C85"/>
      <w:r w:rsidRPr="00AE3398">
        <w:rPr>
          <w:noProof/>
        </w:rPr>
        <w:t>(h)</w:t>
      </w:r>
      <w:r w:rsidRPr="00AE3398">
        <w:rPr>
          <w:noProof/>
        </w:rPr>
        <w:tab/>
      </w:r>
      <w:bookmarkEnd w:id="20"/>
      <w:r w:rsidR="00A6584D" w:rsidRPr="008C5AF8">
        <w:rPr>
          <w:noProof/>
        </w:rPr>
        <w:t>No anverso, o código de país de duas letras do Estado-Membro que emite o documento, rodeado de 12 estrelas amarelas e impresso em negativo num retângulo azul.</w:t>
      </w:r>
    </w:p>
    <w:p w14:paraId="5D1A58CE" w14:textId="77777777" w:rsidR="000A7B9A" w:rsidRPr="008C5AF8" w:rsidRDefault="00A6584D" w:rsidP="000A7B9A">
      <w:pPr>
        <w:rPr>
          <w:noProof/>
        </w:rPr>
      </w:pPr>
      <w:r w:rsidRPr="008C5AF8">
        <w:rPr>
          <w:noProof/>
        </w:rPr>
        <w:t>Se um Estado-Membro decidir proceder à recolha de impressões digitais, é aplicável o artigo 3.º, n.º 7.</w:t>
      </w:r>
    </w:p>
    <w:p w14:paraId="56CDCA99" w14:textId="77777777" w:rsidR="00ED2F09" w:rsidRPr="008C5AF8" w:rsidRDefault="00ED2F09" w:rsidP="000A7B9A">
      <w:pPr>
        <w:rPr>
          <w:noProof/>
        </w:rPr>
      </w:pPr>
    </w:p>
    <w:p w14:paraId="2FE241C6" w14:textId="77777777" w:rsidR="00A6584D" w:rsidRPr="008C5AF8" w:rsidRDefault="00A6584D" w:rsidP="00A6584D">
      <w:pPr>
        <w:pStyle w:val="ChapterTitle"/>
        <w:rPr>
          <w:noProof/>
        </w:rPr>
      </w:pPr>
      <w:r w:rsidRPr="008C5AF8">
        <w:rPr>
          <w:noProof/>
        </w:rPr>
        <w:t>Capítulo IV</w:t>
      </w:r>
      <w:r w:rsidRPr="008C5AF8">
        <w:rPr>
          <w:noProof/>
        </w:rPr>
        <w:br/>
        <w:t>Cartões de residência para os familiares que não tenham a nacionalidade de um Estado-Membro</w:t>
      </w:r>
    </w:p>
    <w:p w14:paraId="16021BE1" w14:textId="77777777" w:rsidR="00A6584D" w:rsidRPr="008C5AF8" w:rsidRDefault="00A6584D" w:rsidP="00A6584D">
      <w:pPr>
        <w:pStyle w:val="Titrearticle"/>
        <w:rPr>
          <w:noProof/>
        </w:rPr>
      </w:pPr>
      <w:r w:rsidRPr="008C5AF8">
        <w:rPr>
          <w:noProof/>
        </w:rPr>
        <w:t>Artigo 7</w:t>
      </w:r>
      <w:r w:rsidR="008507DF">
        <w:rPr>
          <w:noProof/>
        </w:rPr>
        <w:t>.º</w:t>
      </w:r>
      <w:r w:rsidR="008507DF">
        <w:rPr>
          <w:noProof/>
        </w:rPr>
        <w:br/>
      </w:r>
      <w:r w:rsidRPr="008C5AF8">
        <w:rPr>
          <w:noProof/>
        </w:rPr>
        <w:t>Modelo uniforme</w:t>
      </w:r>
    </w:p>
    <w:p w14:paraId="69F43D22" w14:textId="64C49272" w:rsidR="00A6584D" w:rsidRPr="008C5AF8" w:rsidRDefault="00AE3398" w:rsidP="00AE3398">
      <w:pPr>
        <w:pStyle w:val="ManualNumPar1"/>
        <w:rPr>
          <w:noProof/>
        </w:rPr>
      </w:pPr>
      <w:r w:rsidRPr="00AE3398">
        <w:rPr>
          <w:noProof/>
        </w:rPr>
        <w:t>1.</w:t>
      </w:r>
      <w:r w:rsidRPr="00AE3398">
        <w:rPr>
          <w:noProof/>
        </w:rPr>
        <w:tab/>
      </w:r>
      <w:r w:rsidR="00DC623E" w:rsidRPr="008C5AF8">
        <w:rPr>
          <w:noProof/>
        </w:rPr>
        <w:t>Ao emitirem cartões de residência a familiares de cidadãos da União que não tenham a nacionalidade de um Estado-Membro, os Estados-Membros devem utilizar o mesmo modelo que o estabelecido no Regulamento (CE) n.º 1030/2002 do Conselho, com a redação que lhe foi dada pelo Regulamento (UE) 2017/1954, e ao qual deu execução a Decisão de Execução C(2018) 7767, com a redação que lhe foi dada pela Decisão de Execução C(2021) 3726.</w:t>
      </w:r>
    </w:p>
    <w:p w14:paraId="59DA3C9B" w14:textId="786C1091" w:rsidR="00A6584D" w:rsidRPr="008C5AF8" w:rsidRDefault="00AE3398" w:rsidP="00AE3398">
      <w:pPr>
        <w:pStyle w:val="ManualNumPar1"/>
        <w:rPr>
          <w:noProof/>
        </w:rPr>
      </w:pPr>
      <w:r w:rsidRPr="00AE3398">
        <w:rPr>
          <w:noProof/>
        </w:rPr>
        <w:t>2.</w:t>
      </w:r>
      <w:r w:rsidRPr="00AE3398">
        <w:rPr>
          <w:noProof/>
        </w:rPr>
        <w:tab/>
      </w:r>
      <w:r w:rsidR="00A6584D" w:rsidRPr="008C5AF8">
        <w:rPr>
          <w:noProof/>
        </w:rPr>
        <w:t>Em derrogação do n.º 1, o cartão deve incluir o título «cartão de residência» ou «cartão de residência permanente». Os Estados-Membros devem indicar que estes documentos são emitidos a um familiar de um cidadão da União nos termos da Diretiva 2004/38/CE. Para este efeito, os Estados-Membros utilizam o código normalizado «Familiar UE Art 10 DIR 2004/38/CE» ou «Familiar UE Art 20 DIR 2004/38/CE», no campo de dados [10], tal como referido no anexo do Regulamento (CE) n.º 1030/2002, com a redação que lhe foi dada pelo Regulamento (UE) 2017/1954.</w:t>
      </w:r>
    </w:p>
    <w:p w14:paraId="2453FECC" w14:textId="22217401" w:rsidR="00A6584D" w:rsidRPr="008C5AF8" w:rsidRDefault="00AE3398" w:rsidP="00AE3398">
      <w:pPr>
        <w:pStyle w:val="ManualNumPar1"/>
        <w:rPr>
          <w:noProof/>
        </w:rPr>
      </w:pPr>
      <w:r w:rsidRPr="00AE3398">
        <w:rPr>
          <w:noProof/>
        </w:rPr>
        <w:t>3.</w:t>
      </w:r>
      <w:r w:rsidRPr="00AE3398">
        <w:rPr>
          <w:noProof/>
        </w:rPr>
        <w:tab/>
      </w:r>
      <w:r w:rsidR="00DC623E" w:rsidRPr="008C5AF8">
        <w:rPr>
          <w:noProof/>
        </w:rPr>
        <w:t>Os Estados-Membros podem incluir dados para utilização nacional, em conformidade com o direito nacional. Ao inserirem e armazenarem os referidos dados, os Estados-Membros devem respeitar os requisitos do artigo 4.º, segundo parágrafo, do Regulamento (CE) n.º 1030/2002, com a redação que lhe foi dada pelo Regulamento (UE) 2017/1954.</w:t>
      </w:r>
    </w:p>
    <w:p w14:paraId="45628E95" w14:textId="77777777" w:rsidR="00A6584D" w:rsidRPr="008C5AF8" w:rsidRDefault="00A6584D" w:rsidP="00A6584D">
      <w:pPr>
        <w:pStyle w:val="Titrearticle"/>
        <w:rPr>
          <w:noProof/>
        </w:rPr>
      </w:pPr>
      <w:r w:rsidRPr="008C5AF8">
        <w:rPr>
          <w:noProof/>
        </w:rPr>
        <w:t>Artigo 8</w:t>
      </w:r>
      <w:r w:rsidR="008507DF">
        <w:rPr>
          <w:noProof/>
        </w:rPr>
        <w:t>.º</w:t>
      </w:r>
      <w:r w:rsidR="008507DF">
        <w:rPr>
          <w:noProof/>
        </w:rPr>
        <w:br/>
      </w:r>
      <w:r w:rsidRPr="008C5AF8">
        <w:rPr>
          <w:noProof/>
        </w:rPr>
        <w:t>Supressão gradual dos cartões de residência já emitidos</w:t>
      </w:r>
    </w:p>
    <w:p w14:paraId="7104C5FD" w14:textId="28A6CD5F" w:rsidR="00A6584D" w:rsidRPr="008C5AF8" w:rsidRDefault="00AE3398" w:rsidP="00AE3398">
      <w:pPr>
        <w:pStyle w:val="ManualNumPar1"/>
        <w:rPr>
          <w:noProof/>
        </w:rPr>
      </w:pPr>
      <w:r w:rsidRPr="00AE3398">
        <w:rPr>
          <w:noProof/>
        </w:rPr>
        <w:t>1.</w:t>
      </w:r>
      <w:r w:rsidRPr="00AE3398">
        <w:rPr>
          <w:noProof/>
        </w:rPr>
        <w:tab/>
      </w:r>
      <w:r w:rsidR="00A6584D" w:rsidRPr="008C5AF8">
        <w:rPr>
          <w:noProof/>
        </w:rPr>
        <w:t>A validade dos cartões de residência de familiares de cidadãos da União que não tenham a nacionalidade de um Estado-Membro que não cumpram os requisitos do artigo 7.º cessa na respetiva data de caducidade ou em 3 de agosto de 2026, consoante a data que ocorrer primeiro.</w:t>
      </w:r>
    </w:p>
    <w:p w14:paraId="5F2C6F46" w14:textId="64298A2D" w:rsidR="000A7B9A" w:rsidRPr="008C5AF8" w:rsidRDefault="00AE3398" w:rsidP="00AE3398">
      <w:pPr>
        <w:pStyle w:val="ManualNumPar1"/>
        <w:rPr>
          <w:noProof/>
        </w:rPr>
      </w:pPr>
      <w:r w:rsidRPr="00AE3398">
        <w:rPr>
          <w:noProof/>
        </w:rPr>
        <w:t>2.</w:t>
      </w:r>
      <w:r w:rsidRPr="00AE3398">
        <w:rPr>
          <w:noProof/>
        </w:rPr>
        <w:tab/>
      </w:r>
      <w:r w:rsidR="00A6584D" w:rsidRPr="008C5AF8">
        <w:rPr>
          <w:noProof/>
        </w:rPr>
        <w:t>Em derrogação do n.º 1, são inválidos os cartões de residência de familiares de cidadãos da União que não tenham a nacionalidade de um Estado-Membro que não cumpram as normas mínimas de segurança definidas no documento 9303 da OACI, parte 2, ou que não incluam uma zona de leitura automática funcional que cumpra os requisitos do documento 9303 da OACI, parte 3.</w:t>
      </w:r>
    </w:p>
    <w:p w14:paraId="46B5ADB7" w14:textId="77777777" w:rsidR="00ED2F09" w:rsidRPr="008C5AF8" w:rsidRDefault="00ED2F09" w:rsidP="00ED2F09">
      <w:pPr>
        <w:rPr>
          <w:noProof/>
        </w:rPr>
      </w:pPr>
    </w:p>
    <w:p w14:paraId="42D624CA" w14:textId="77777777" w:rsidR="00A6584D" w:rsidRPr="008C5AF8" w:rsidRDefault="00A6584D" w:rsidP="00A6584D">
      <w:pPr>
        <w:pStyle w:val="ChapterTitle"/>
        <w:rPr>
          <w:noProof/>
        </w:rPr>
      </w:pPr>
      <w:r w:rsidRPr="008C5AF8">
        <w:rPr>
          <w:noProof/>
        </w:rPr>
        <w:t>Capítulo V</w:t>
      </w:r>
      <w:r w:rsidRPr="008C5AF8">
        <w:rPr>
          <w:noProof/>
        </w:rPr>
        <w:br/>
        <w:t>Disposições comuns</w:t>
      </w:r>
    </w:p>
    <w:p w14:paraId="2C4E3506" w14:textId="77777777" w:rsidR="00A6584D" w:rsidRPr="008C5AF8" w:rsidRDefault="00A6584D" w:rsidP="00A6584D">
      <w:pPr>
        <w:pStyle w:val="Titrearticle"/>
        <w:rPr>
          <w:noProof/>
        </w:rPr>
      </w:pPr>
      <w:r w:rsidRPr="008C5AF8">
        <w:rPr>
          <w:noProof/>
        </w:rPr>
        <w:t>Artigo 9</w:t>
      </w:r>
      <w:r w:rsidR="008507DF">
        <w:rPr>
          <w:noProof/>
        </w:rPr>
        <w:t>.º</w:t>
      </w:r>
      <w:r w:rsidR="008507DF">
        <w:rPr>
          <w:noProof/>
        </w:rPr>
        <w:br/>
      </w:r>
      <w:r w:rsidRPr="008C5AF8">
        <w:rPr>
          <w:noProof/>
        </w:rPr>
        <w:t>Ponto de contacto</w:t>
      </w:r>
    </w:p>
    <w:p w14:paraId="4F54E046" w14:textId="3D118509" w:rsidR="00A6584D" w:rsidRPr="008C5AF8" w:rsidRDefault="00AE3398" w:rsidP="00AE3398">
      <w:pPr>
        <w:pStyle w:val="ManualNumPar1"/>
        <w:rPr>
          <w:noProof/>
        </w:rPr>
      </w:pPr>
      <w:r w:rsidRPr="00AE3398">
        <w:rPr>
          <w:noProof/>
        </w:rPr>
        <w:t>1.</w:t>
      </w:r>
      <w:r w:rsidRPr="00AE3398">
        <w:rPr>
          <w:noProof/>
        </w:rPr>
        <w:tab/>
      </w:r>
      <w:r w:rsidR="00A6584D" w:rsidRPr="008C5AF8">
        <w:rPr>
          <w:noProof/>
        </w:rPr>
        <w:t>Cada Estado-Membro designa pelo menos uma autoridade central como ponto de contacto para efeitos da aplicação do presente regulamento. Caso um Estado-Membro tenha designado mais do que uma autoridade central, deve decidir qual dessas autoridades é o ponto de contacto para efeitos da aplicação do presente regulamento. Os Estados-Membros devem comunicar o nome dessa entidade à Comissão e aos restantes Estados-Membros. Se um Estado-Membro alterar a entidade designada, deve informar desse facto a Comissão e os restantes Estados-Membros.</w:t>
      </w:r>
    </w:p>
    <w:p w14:paraId="062CC702" w14:textId="5C54D238" w:rsidR="00A6584D" w:rsidRPr="008C5AF8" w:rsidRDefault="00AE3398" w:rsidP="00AE3398">
      <w:pPr>
        <w:pStyle w:val="ManualNumPar1"/>
        <w:rPr>
          <w:noProof/>
        </w:rPr>
      </w:pPr>
      <w:r w:rsidRPr="00AE3398">
        <w:rPr>
          <w:noProof/>
        </w:rPr>
        <w:t>2.</w:t>
      </w:r>
      <w:r w:rsidRPr="00AE3398">
        <w:rPr>
          <w:noProof/>
        </w:rPr>
        <w:tab/>
      </w:r>
      <w:r w:rsidR="00A6584D" w:rsidRPr="008C5AF8">
        <w:rPr>
          <w:noProof/>
        </w:rPr>
        <w:t>Os Estados-Membros devem garantir que os pontos de contacto têm conhecimento e capacidade para cooperar com os serviços de informação e assistência existentes a nível da União incluídos na plataforma digital única criada pelo Regulamento (UE) 2018/1724 do Parlamento Europeu e do Conselho</w:t>
      </w:r>
      <w:r w:rsidR="00A6584D" w:rsidRPr="008C5AF8">
        <w:rPr>
          <w:rStyle w:val="FootnoteReference"/>
          <w:noProof/>
        </w:rPr>
        <w:footnoteReference w:id="36"/>
      </w:r>
      <w:r w:rsidR="00A6584D" w:rsidRPr="008C5AF8">
        <w:rPr>
          <w:noProof/>
        </w:rPr>
        <w:t>.</w:t>
      </w:r>
    </w:p>
    <w:p w14:paraId="7EDB4894" w14:textId="77777777" w:rsidR="00A6584D" w:rsidRPr="008C5AF8" w:rsidRDefault="00A6584D" w:rsidP="00A6584D">
      <w:pPr>
        <w:pStyle w:val="Titrearticle"/>
        <w:rPr>
          <w:noProof/>
        </w:rPr>
      </w:pPr>
      <w:r w:rsidRPr="008C5AF8">
        <w:rPr>
          <w:noProof/>
        </w:rPr>
        <w:t>Artigo 10</w:t>
      </w:r>
      <w:r w:rsidR="008507DF">
        <w:rPr>
          <w:noProof/>
        </w:rPr>
        <w:t>.º</w:t>
      </w:r>
      <w:r w:rsidR="008507DF">
        <w:rPr>
          <w:noProof/>
        </w:rPr>
        <w:br/>
      </w:r>
      <w:r w:rsidRPr="008C5AF8">
        <w:rPr>
          <w:noProof/>
        </w:rPr>
        <w:t>Recolha dos identificadores biométricos</w:t>
      </w:r>
    </w:p>
    <w:p w14:paraId="3D7C4017" w14:textId="0F878061" w:rsidR="00A6584D" w:rsidRPr="008C5AF8" w:rsidRDefault="00AE3398" w:rsidP="00AE3398">
      <w:pPr>
        <w:pStyle w:val="ManualNumPar1"/>
        <w:rPr>
          <w:noProof/>
        </w:rPr>
      </w:pPr>
      <w:r w:rsidRPr="00AE3398">
        <w:rPr>
          <w:noProof/>
        </w:rPr>
        <w:t>1.</w:t>
      </w:r>
      <w:r w:rsidRPr="00AE3398">
        <w:rPr>
          <w:noProof/>
        </w:rPr>
        <w:tab/>
      </w:r>
      <w:r w:rsidR="00A6584D" w:rsidRPr="008C5AF8">
        <w:rPr>
          <w:noProof/>
        </w:rPr>
        <w:t>A recolha dos identificadores biométricos deve ser assegurada exclusivamente por pessoal qualificado e devidamente habilitado, designado pelas autoridades responsáveis pela emissão dos bilhetes de identidade ou dos cartões de residência, com o objetivo de serem integrados no suporte de armazenamento de elevada segurança previsto no artigo 3.º, n.º 5, para os bilhetes de identidade e no artigo 7.º, n.º 1, para os cartões de residência. Em derrogação do disposto no primeiro período, as impressões digitais são recolhidas exclusivamente por pessoal qualificado e devidamente habilitado dessas autoridades, exceto no caso de pedidos apresentados às autoridades diplomáticas e consulares do Estado-Membro.</w:t>
      </w:r>
    </w:p>
    <w:p w14:paraId="62B3829A" w14:textId="77777777" w:rsidR="00A6584D" w:rsidRPr="008C5AF8" w:rsidRDefault="00A6584D" w:rsidP="00A6584D">
      <w:pPr>
        <w:pStyle w:val="Text1"/>
        <w:rPr>
          <w:noProof/>
        </w:rPr>
      </w:pPr>
      <w:r w:rsidRPr="008C5AF8">
        <w:rPr>
          <w:noProof/>
        </w:rPr>
        <w:t>A fim de assegurar a coerência dos identificadores biométricos com a identidade do requerente, este deve comparecer pessoalmente pelo menos uma vez durante o processo de emissão relativo a cada pedido.</w:t>
      </w:r>
    </w:p>
    <w:p w14:paraId="1BA63C64" w14:textId="096F57C9" w:rsidR="00A6584D" w:rsidRPr="008C5AF8" w:rsidRDefault="00AE3398" w:rsidP="00AE3398">
      <w:pPr>
        <w:pStyle w:val="ManualNumPar1"/>
        <w:rPr>
          <w:noProof/>
        </w:rPr>
      </w:pPr>
      <w:r w:rsidRPr="00AE3398">
        <w:rPr>
          <w:noProof/>
        </w:rPr>
        <w:t>2.</w:t>
      </w:r>
      <w:r w:rsidRPr="00AE3398">
        <w:rPr>
          <w:noProof/>
        </w:rPr>
        <w:tab/>
      </w:r>
      <w:r w:rsidR="00A6584D" w:rsidRPr="008C5AF8">
        <w:rPr>
          <w:noProof/>
        </w:rPr>
        <w:t>Os Estados-Membros certificam-se da aplicação de procedimentos adequados e eficazes de recolha dos identificadores biométricos que respeitem os direitos e princípios estabelecidos na Carta, na Convenção para a Proteção dos Direitos Humanos e das Liberdades Fundamentais e na Convenção das Nações Unidas sobre os Direitos da Criança.</w:t>
      </w:r>
    </w:p>
    <w:p w14:paraId="53679820" w14:textId="77777777" w:rsidR="00A6584D" w:rsidRPr="008C5AF8" w:rsidRDefault="00A6584D" w:rsidP="00A6584D">
      <w:pPr>
        <w:pStyle w:val="Text1"/>
        <w:rPr>
          <w:noProof/>
        </w:rPr>
      </w:pPr>
      <w:r w:rsidRPr="008C5AF8">
        <w:rPr>
          <w:noProof/>
        </w:rPr>
        <w:t>Se forem encontradas dificuldades na recolha dos identificadores biométricos, os Estados-Membros devem assegurar a aplicação de procedimentos adequados para garantir a dignidade da pessoa em causa.</w:t>
      </w:r>
    </w:p>
    <w:p w14:paraId="4843EE9F" w14:textId="14F155A5" w:rsidR="00A6584D" w:rsidRPr="008C5AF8" w:rsidRDefault="00AE3398" w:rsidP="00AE3398">
      <w:pPr>
        <w:pStyle w:val="ManualNumPar1"/>
        <w:rPr>
          <w:noProof/>
        </w:rPr>
      </w:pPr>
      <w:r w:rsidRPr="00AE3398">
        <w:rPr>
          <w:noProof/>
        </w:rPr>
        <w:t>3.</w:t>
      </w:r>
      <w:r w:rsidRPr="00AE3398">
        <w:rPr>
          <w:noProof/>
        </w:rPr>
        <w:tab/>
      </w:r>
      <w:r w:rsidR="00A6584D" w:rsidRPr="008C5AF8">
        <w:rPr>
          <w:noProof/>
        </w:rPr>
        <w:t>Salvo se necessário para efeitos de tratamento de dados de acordo com o direito da União e com o direito nacional, os identificadores biométricos armazenados para efeitos de personalização dos bilhetes de identidade ou dos títulos de residência devem ser conservados de forma altamente segura e apenas até à data de entrega do documento e, em qualquer caso, não mais de 90 dias a contar da data de emissão do documento. Após este período, os identificadores biométricos devem ser imediatamente apagados ou destruídos.</w:t>
      </w:r>
    </w:p>
    <w:p w14:paraId="71263249" w14:textId="77777777" w:rsidR="00C16743" w:rsidRPr="008C5AF8" w:rsidRDefault="00C16743" w:rsidP="00C16743">
      <w:pPr>
        <w:pStyle w:val="Titrearticle"/>
        <w:rPr>
          <w:noProof/>
        </w:rPr>
      </w:pPr>
      <w:r w:rsidRPr="008C5AF8">
        <w:rPr>
          <w:noProof/>
        </w:rPr>
        <w:t>Artigo 11</w:t>
      </w:r>
      <w:r w:rsidR="008507DF">
        <w:rPr>
          <w:noProof/>
        </w:rPr>
        <w:t>.º</w:t>
      </w:r>
      <w:r w:rsidR="008507DF">
        <w:rPr>
          <w:noProof/>
        </w:rPr>
        <w:br/>
      </w:r>
      <w:r w:rsidRPr="008C5AF8">
        <w:rPr>
          <w:noProof/>
        </w:rPr>
        <w:t>Proteção de dados pessoais e responsabilidade</w:t>
      </w:r>
    </w:p>
    <w:p w14:paraId="61640345" w14:textId="510DAEA2" w:rsidR="00C16743" w:rsidRPr="008C5AF8" w:rsidRDefault="00AE3398" w:rsidP="00AE3398">
      <w:pPr>
        <w:pStyle w:val="ManualNumPar1"/>
        <w:rPr>
          <w:noProof/>
        </w:rPr>
      </w:pPr>
      <w:r w:rsidRPr="00AE3398">
        <w:rPr>
          <w:noProof/>
        </w:rPr>
        <w:t>1.</w:t>
      </w:r>
      <w:r w:rsidRPr="00AE3398">
        <w:rPr>
          <w:noProof/>
        </w:rPr>
        <w:tab/>
      </w:r>
      <w:r w:rsidR="00C16743" w:rsidRPr="008C5AF8">
        <w:rPr>
          <w:noProof/>
        </w:rPr>
        <w:t>Sem prejuízo do disposto no Regulamento (UE) 2016/679, os Estados-Membros garantem a segurança, a integridade, a autenticidade e a confidencialidade dos dados recolhidos e armazenados para efeitos do presente regulamento.</w:t>
      </w:r>
    </w:p>
    <w:p w14:paraId="54DE4582" w14:textId="4A7A4DF6" w:rsidR="00C16743" w:rsidRPr="008C5AF8" w:rsidRDefault="00AE3398" w:rsidP="00AE3398">
      <w:pPr>
        <w:pStyle w:val="ManualNumPar1"/>
        <w:rPr>
          <w:noProof/>
        </w:rPr>
      </w:pPr>
      <w:r w:rsidRPr="00AE3398">
        <w:rPr>
          <w:noProof/>
        </w:rPr>
        <w:t>2.</w:t>
      </w:r>
      <w:r w:rsidRPr="00AE3398">
        <w:rPr>
          <w:noProof/>
        </w:rPr>
        <w:tab/>
      </w:r>
      <w:r w:rsidR="00C16743" w:rsidRPr="008C5AF8">
        <w:rPr>
          <w:noProof/>
        </w:rPr>
        <w:t>Para efeitos do presente regulamento, as autoridades responsáveis pela emissão dos bilhetes de identidade e dos títulos de residência são consideradas responsáveis pelo tratamento dos dados pessoais, tal como referido no artigo 4.º, n.º 7, do Regulamento (UE) 2016/679.</w:t>
      </w:r>
    </w:p>
    <w:p w14:paraId="6E1D6517" w14:textId="13A8B6D2" w:rsidR="00C16743" w:rsidRPr="008C5AF8" w:rsidRDefault="00AE3398" w:rsidP="00AE3398">
      <w:pPr>
        <w:pStyle w:val="ManualNumPar1"/>
        <w:rPr>
          <w:noProof/>
        </w:rPr>
      </w:pPr>
      <w:r w:rsidRPr="00AE3398">
        <w:rPr>
          <w:noProof/>
        </w:rPr>
        <w:t>3.</w:t>
      </w:r>
      <w:r w:rsidRPr="00AE3398">
        <w:rPr>
          <w:noProof/>
        </w:rPr>
        <w:tab/>
      </w:r>
      <w:r w:rsidR="00C16743" w:rsidRPr="008C5AF8">
        <w:rPr>
          <w:noProof/>
        </w:rPr>
        <w:t>Os Estados-Membros devem assegurar que as autoridades de controlo possam exercer plenamente as suas funções nos termos do Regulamento (UE) 2016/679, incluindo o acesso a todos os dados pessoais e a todas as informações necessárias, bem como o acesso a quaisquer instalações ou equipamento de tratamento de dados das autoridades competentes.</w:t>
      </w:r>
    </w:p>
    <w:p w14:paraId="78BC0D87" w14:textId="6AB09749" w:rsidR="00C16743" w:rsidRPr="008C5AF8" w:rsidRDefault="00AE3398" w:rsidP="00AE3398">
      <w:pPr>
        <w:pStyle w:val="ManualNumPar1"/>
        <w:rPr>
          <w:noProof/>
        </w:rPr>
      </w:pPr>
      <w:r w:rsidRPr="00AE3398">
        <w:rPr>
          <w:noProof/>
        </w:rPr>
        <w:t>4.</w:t>
      </w:r>
      <w:r w:rsidRPr="00AE3398">
        <w:rPr>
          <w:noProof/>
        </w:rPr>
        <w:tab/>
      </w:r>
      <w:r w:rsidR="00C16743" w:rsidRPr="008C5AF8">
        <w:rPr>
          <w:noProof/>
        </w:rPr>
        <w:t>A cooperação com prestadores de serviços externos não exclui qualquer responsabilidade de um Estado-Membro decorrente do direito da União ou do direito nacional em caso de incumprimento das obrigações em matéria de dados pessoais.</w:t>
      </w:r>
    </w:p>
    <w:p w14:paraId="615FDCB7" w14:textId="0379975E" w:rsidR="00C16743" w:rsidRPr="008C5AF8" w:rsidRDefault="00AE3398" w:rsidP="00AE3398">
      <w:pPr>
        <w:pStyle w:val="ManualNumPar1"/>
        <w:rPr>
          <w:noProof/>
        </w:rPr>
      </w:pPr>
      <w:r w:rsidRPr="00AE3398">
        <w:rPr>
          <w:noProof/>
        </w:rPr>
        <w:t>5.</w:t>
      </w:r>
      <w:r w:rsidRPr="00AE3398">
        <w:rPr>
          <w:noProof/>
        </w:rPr>
        <w:tab/>
      </w:r>
      <w:r w:rsidR="00C16743" w:rsidRPr="008C5AF8">
        <w:rPr>
          <w:noProof/>
        </w:rPr>
        <w:t>As informações em formato de leitura automática só podem ser incluídas nos bilhetes de identidade ou nos títulos de residência de acordo com o presente regulamento e com o direito nacional do Estado-Membro emissor.</w:t>
      </w:r>
    </w:p>
    <w:p w14:paraId="35A34F3E" w14:textId="436D7B75" w:rsidR="00C16743" w:rsidRPr="008C5AF8" w:rsidRDefault="00AE3398" w:rsidP="00AE3398">
      <w:pPr>
        <w:pStyle w:val="ManualNumPar1"/>
        <w:rPr>
          <w:noProof/>
        </w:rPr>
      </w:pPr>
      <w:r w:rsidRPr="00AE3398">
        <w:rPr>
          <w:noProof/>
        </w:rPr>
        <w:t>6.</w:t>
      </w:r>
      <w:r w:rsidRPr="00AE3398">
        <w:rPr>
          <w:noProof/>
        </w:rPr>
        <w:tab/>
      </w:r>
      <w:r w:rsidR="00C16743" w:rsidRPr="008C5AF8">
        <w:rPr>
          <w:noProof/>
        </w:rPr>
        <w:t>Os dados biométricos e armazenados no suporte de armazenamento dos bilhetes de identidade e dos títulos de residência só devem ser utilizados em conformidade com o direito da União e o direito nacional, para fins de verificação da:</w:t>
      </w:r>
    </w:p>
    <w:p w14:paraId="5523D38A" w14:textId="41A23E26" w:rsidR="00C16743" w:rsidRPr="008C5AF8" w:rsidRDefault="00AE3398" w:rsidP="00AE3398">
      <w:pPr>
        <w:pStyle w:val="Point1"/>
        <w:rPr>
          <w:noProof/>
        </w:rPr>
      </w:pPr>
      <w:bookmarkStart w:id="21" w:name="DQCErrorScopeF6EA118405EBD20874776020E99"/>
      <w:r w:rsidRPr="00AE3398">
        <w:rPr>
          <w:noProof/>
        </w:rPr>
        <w:t>(a)</w:t>
      </w:r>
      <w:r w:rsidRPr="00AE3398">
        <w:rPr>
          <w:noProof/>
        </w:rPr>
        <w:tab/>
      </w:r>
      <w:bookmarkEnd w:id="21"/>
      <w:r w:rsidR="00C16743" w:rsidRPr="008C5AF8">
        <w:rPr>
          <w:noProof/>
        </w:rPr>
        <w:t>Autenticidade do bilhete de identidade ou do título de residência;</w:t>
      </w:r>
    </w:p>
    <w:p w14:paraId="5A77430D" w14:textId="1E4113D3" w:rsidR="00C16743" w:rsidRPr="008C5AF8" w:rsidRDefault="00AE3398" w:rsidP="00AE3398">
      <w:pPr>
        <w:pStyle w:val="Point1"/>
        <w:rPr>
          <w:noProof/>
        </w:rPr>
      </w:pPr>
      <w:bookmarkStart w:id="22" w:name="DQCErrorScope9A7332A4CDF8B24FC848CBE1C97"/>
      <w:r w:rsidRPr="00AE3398">
        <w:rPr>
          <w:noProof/>
        </w:rPr>
        <w:t>(b)</w:t>
      </w:r>
      <w:r w:rsidRPr="00AE3398">
        <w:rPr>
          <w:noProof/>
        </w:rPr>
        <w:tab/>
      </w:r>
      <w:bookmarkEnd w:id="22"/>
      <w:r w:rsidR="00C16743" w:rsidRPr="008C5AF8">
        <w:rPr>
          <w:noProof/>
        </w:rPr>
        <w:t>Identidade do titular, através de elementos comparáveis e diretamente disponíveis, nos casos em que a apresentação do bilhete de identidade ou do título de residência for exigida por lei.</w:t>
      </w:r>
    </w:p>
    <w:p w14:paraId="2C543579" w14:textId="77777777" w:rsidR="00111491" w:rsidRPr="008C5AF8" w:rsidRDefault="00111491" w:rsidP="00111491">
      <w:pPr>
        <w:pStyle w:val="Text1"/>
        <w:rPr>
          <w:noProof/>
        </w:rPr>
      </w:pPr>
      <w:r w:rsidRPr="008C5AF8">
        <w:rPr>
          <w:noProof/>
        </w:rPr>
        <w:t>As duas impressões digitais armazenadas no suporte de armazenamento só podem ser consultadas por pessoal devidamente habilitado das autoridades nacionais competentes e das agências da União.</w:t>
      </w:r>
    </w:p>
    <w:p w14:paraId="35941E14" w14:textId="77777777" w:rsidR="00C16743" w:rsidRPr="008C5AF8" w:rsidRDefault="00C16743" w:rsidP="00C16743">
      <w:pPr>
        <w:pStyle w:val="Titrearticle"/>
        <w:rPr>
          <w:noProof/>
        </w:rPr>
      </w:pPr>
      <w:r w:rsidRPr="008C5AF8">
        <w:rPr>
          <w:noProof/>
        </w:rPr>
        <w:t>Artigo 12</w:t>
      </w:r>
      <w:r w:rsidR="008507DF">
        <w:rPr>
          <w:noProof/>
        </w:rPr>
        <w:t>.º</w:t>
      </w:r>
      <w:r w:rsidR="008507DF">
        <w:rPr>
          <w:noProof/>
        </w:rPr>
        <w:br/>
      </w:r>
      <w:r w:rsidRPr="008C5AF8">
        <w:rPr>
          <w:noProof/>
        </w:rPr>
        <w:t>Acompanhamento</w:t>
      </w:r>
    </w:p>
    <w:p w14:paraId="0E52A4CF" w14:textId="2A79D084" w:rsidR="00C16743" w:rsidRPr="008C5AF8" w:rsidRDefault="00AE3398" w:rsidP="00AE3398">
      <w:pPr>
        <w:pStyle w:val="ManualNumPar1"/>
        <w:rPr>
          <w:noProof/>
        </w:rPr>
      </w:pPr>
      <w:r w:rsidRPr="00AE3398">
        <w:rPr>
          <w:noProof/>
        </w:rPr>
        <w:t>1.</w:t>
      </w:r>
      <w:r w:rsidRPr="00AE3398">
        <w:rPr>
          <w:noProof/>
        </w:rPr>
        <w:tab/>
      </w:r>
      <w:r w:rsidR="00C16743" w:rsidRPr="008C5AF8">
        <w:rPr>
          <w:noProof/>
        </w:rPr>
        <w:t>Até [</w:t>
      </w:r>
      <w:r w:rsidR="00C16743" w:rsidRPr="008C5AF8">
        <w:rPr>
          <w:i/>
          <w:noProof/>
        </w:rPr>
        <w:t>um ano após a entrada em vigor do presente regulamento</w:t>
      </w:r>
      <w:r w:rsidR="00C16743" w:rsidRPr="008C5AF8">
        <w:rPr>
          <w:noProof/>
        </w:rPr>
        <w:t>], a Comissão deve estabelecer um programa pormenorizado de acompanhamento dos resultados e dos efeitos do presente regulamento, incluindo o seu impacto nos direitos fundamentais.</w:t>
      </w:r>
    </w:p>
    <w:p w14:paraId="13894DE0" w14:textId="409B8CEA" w:rsidR="00C16743" w:rsidRPr="008C5AF8" w:rsidRDefault="00AE3398" w:rsidP="00AE3398">
      <w:pPr>
        <w:pStyle w:val="ManualNumPar1"/>
        <w:rPr>
          <w:noProof/>
        </w:rPr>
      </w:pPr>
      <w:r w:rsidRPr="00AE3398">
        <w:rPr>
          <w:noProof/>
        </w:rPr>
        <w:t>2.</w:t>
      </w:r>
      <w:r w:rsidRPr="00AE3398">
        <w:rPr>
          <w:noProof/>
        </w:rPr>
        <w:tab/>
      </w:r>
      <w:r w:rsidR="00C16743" w:rsidRPr="008C5AF8">
        <w:rPr>
          <w:noProof/>
        </w:rPr>
        <w:t>O programa de acompanhamento deve definir os meios a utilizar e os intervalos a aplicar para a recolha dos dados e dos outros elementos comprovativos necessários. O programa deve especificar as medidas a tomar pela Comissão e pelos Estados-Membros na recolha e na análise dos dados e dos outros elementos comprovativos.</w:t>
      </w:r>
    </w:p>
    <w:p w14:paraId="157D5874" w14:textId="5FD9C65B" w:rsidR="00C16743" w:rsidRPr="008C5AF8" w:rsidRDefault="00AE3398" w:rsidP="00AE3398">
      <w:pPr>
        <w:pStyle w:val="ManualNumPar1"/>
        <w:rPr>
          <w:noProof/>
        </w:rPr>
      </w:pPr>
      <w:r w:rsidRPr="00AE3398">
        <w:rPr>
          <w:noProof/>
        </w:rPr>
        <w:t>3.</w:t>
      </w:r>
      <w:r w:rsidRPr="00AE3398">
        <w:rPr>
          <w:noProof/>
        </w:rPr>
        <w:tab/>
      </w:r>
      <w:r w:rsidR="00C16743" w:rsidRPr="008C5AF8">
        <w:rPr>
          <w:noProof/>
        </w:rPr>
        <w:t>É da responsabilidade dos Estados-Membros transmitir à Comissão os dados e os outros elementos comprovativos necessários a esse acompanhamento.</w:t>
      </w:r>
    </w:p>
    <w:p w14:paraId="04B717F6" w14:textId="77777777" w:rsidR="00C16743" w:rsidRPr="008C5AF8" w:rsidRDefault="00C16743" w:rsidP="00C16743">
      <w:pPr>
        <w:pStyle w:val="Titrearticle"/>
        <w:rPr>
          <w:noProof/>
        </w:rPr>
      </w:pPr>
      <w:r w:rsidRPr="008C5AF8">
        <w:rPr>
          <w:noProof/>
        </w:rPr>
        <w:t>Artigo 13</w:t>
      </w:r>
      <w:r w:rsidR="008507DF">
        <w:rPr>
          <w:noProof/>
        </w:rPr>
        <w:t>.º</w:t>
      </w:r>
      <w:r w:rsidR="008507DF">
        <w:rPr>
          <w:noProof/>
        </w:rPr>
        <w:br/>
      </w:r>
      <w:r w:rsidRPr="008C5AF8">
        <w:rPr>
          <w:noProof/>
        </w:rPr>
        <w:t>Avaliação</w:t>
      </w:r>
    </w:p>
    <w:p w14:paraId="7F1EE638" w14:textId="05C7156A" w:rsidR="00C16743" w:rsidRPr="008C5AF8" w:rsidRDefault="00AE3398" w:rsidP="00AE3398">
      <w:pPr>
        <w:pStyle w:val="ManualNumPar1"/>
        <w:rPr>
          <w:noProof/>
        </w:rPr>
      </w:pPr>
      <w:r w:rsidRPr="00AE3398">
        <w:rPr>
          <w:noProof/>
        </w:rPr>
        <w:t>1.</w:t>
      </w:r>
      <w:r w:rsidRPr="00AE3398">
        <w:rPr>
          <w:noProof/>
        </w:rPr>
        <w:tab/>
      </w:r>
      <w:r w:rsidR="00B42F55" w:rsidRPr="008C5AF8">
        <w:rPr>
          <w:noProof/>
        </w:rPr>
        <w:t xml:space="preserve">No mínimo </w:t>
      </w:r>
      <w:r w:rsidR="00B42F55" w:rsidRPr="008C5AF8">
        <w:rPr>
          <w:i/>
          <w:noProof/>
        </w:rPr>
        <w:t>[seis anos após a entrada em vigor do presente regulamento]</w:t>
      </w:r>
      <w:r w:rsidR="00B42F55" w:rsidRPr="008C5AF8">
        <w:rPr>
          <w:noProof/>
        </w:rPr>
        <w:t>, a Comissão deve proceder à avaliação do presente regulamento e apresentar um relatório com as principais conclusões ao Parlamento Europeu, ao Conselho e ao Comité Económico e Social Europeu. O relatório deve, nomeadamente, abordar o seguinte:</w:t>
      </w:r>
    </w:p>
    <w:p w14:paraId="5F72F8D7" w14:textId="165C9811" w:rsidR="00C16743" w:rsidRPr="008C5AF8" w:rsidRDefault="00AE3398" w:rsidP="00AE3398">
      <w:pPr>
        <w:pStyle w:val="Point1"/>
        <w:rPr>
          <w:noProof/>
        </w:rPr>
      </w:pPr>
      <w:bookmarkStart w:id="23" w:name="DQCErrorScope75556D142CCBC794BBB21163733"/>
      <w:r w:rsidRPr="00AE3398">
        <w:rPr>
          <w:noProof/>
        </w:rPr>
        <w:t>(a)</w:t>
      </w:r>
      <w:r w:rsidRPr="00AE3398">
        <w:rPr>
          <w:noProof/>
        </w:rPr>
        <w:tab/>
      </w:r>
      <w:bookmarkEnd w:id="23"/>
      <w:r w:rsidR="00C16743" w:rsidRPr="008C5AF8">
        <w:rPr>
          <w:noProof/>
        </w:rPr>
        <w:t>O impacto do presente regulamento nos direitos fundamentais;</w:t>
      </w:r>
    </w:p>
    <w:p w14:paraId="58C12BBE" w14:textId="1B8B58E3" w:rsidR="00712C8C" w:rsidRPr="008C5AF8" w:rsidRDefault="00AE3398" w:rsidP="00AE3398">
      <w:pPr>
        <w:pStyle w:val="Point1"/>
        <w:rPr>
          <w:noProof/>
        </w:rPr>
      </w:pPr>
      <w:bookmarkStart w:id="24" w:name="DQCErrorScope3BD10D74781A5981AF2E962913E"/>
      <w:r w:rsidRPr="00AE3398">
        <w:rPr>
          <w:noProof/>
        </w:rPr>
        <w:t>(b)</w:t>
      </w:r>
      <w:r w:rsidRPr="00AE3398">
        <w:rPr>
          <w:noProof/>
        </w:rPr>
        <w:tab/>
      </w:r>
      <w:bookmarkEnd w:id="24"/>
      <w:r w:rsidR="00712C8C" w:rsidRPr="008C5AF8">
        <w:rPr>
          <w:noProof/>
        </w:rPr>
        <w:t>a mobilidade dos cidadãos da União;</w:t>
      </w:r>
    </w:p>
    <w:p w14:paraId="05B7F77C" w14:textId="10B9101A" w:rsidR="00C16743" w:rsidRPr="008C5AF8" w:rsidRDefault="00AE3398" w:rsidP="00AE3398">
      <w:pPr>
        <w:pStyle w:val="Point1"/>
        <w:rPr>
          <w:noProof/>
        </w:rPr>
      </w:pPr>
      <w:bookmarkStart w:id="25" w:name="DQCErrorScopeDF9EBBD48C1A703C551DB1973A8"/>
      <w:r w:rsidRPr="00AE3398">
        <w:rPr>
          <w:noProof/>
        </w:rPr>
        <w:t>(c)</w:t>
      </w:r>
      <w:r w:rsidRPr="00AE3398">
        <w:rPr>
          <w:noProof/>
        </w:rPr>
        <w:tab/>
      </w:r>
      <w:bookmarkEnd w:id="25"/>
      <w:r w:rsidR="00C16743" w:rsidRPr="008C5AF8">
        <w:rPr>
          <w:noProof/>
        </w:rPr>
        <w:t>A eficácia da verificação dos dados biométricos para garantir a segurança dos documentos de viagem;</w:t>
      </w:r>
    </w:p>
    <w:p w14:paraId="7D9E1341" w14:textId="7BDAB75B" w:rsidR="00C16743" w:rsidRPr="008C5AF8" w:rsidRDefault="00AE3398" w:rsidP="00AE3398">
      <w:pPr>
        <w:pStyle w:val="Point1"/>
        <w:rPr>
          <w:noProof/>
        </w:rPr>
      </w:pPr>
      <w:bookmarkStart w:id="26" w:name="DQCErrorScope53B5ACA4E6183E72B9029189AFB"/>
      <w:r w:rsidRPr="00AE3398">
        <w:rPr>
          <w:noProof/>
        </w:rPr>
        <w:t>(d)</w:t>
      </w:r>
      <w:r w:rsidRPr="00AE3398">
        <w:rPr>
          <w:noProof/>
        </w:rPr>
        <w:tab/>
      </w:r>
      <w:bookmarkEnd w:id="26"/>
      <w:r w:rsidR="00C16743" w:rsidRPr="008C5AF8">
        <w:rPr>
          <w:noProof/>
        </w:rPr>
        <w:t>A possibilidade de reforçar a harmonização visual dos bilhetes de identidade.</w:t>
      </w:r>
    </w:p>
    <w:p w14:paraId="3455A232" w14:textId="310A869B" w:rsidR="00C16743" w:rsidRPr="008C5AF8" w:rsidRDefault="00AE3398" w:rsidP="00AE3398">
      <w:pPr>
        <w:pStyle w:val="ManualNumPar1"/>
        <w:rPr>
          <w:noProof/>
        </w:rPr>
      </w:pPr>
      <w:r w:rsidRPr="00AE3398">
        <w:rPr>
          <w:noProof/>
        </w:rPr>
        <w:t>2.</w:t>
      </w:r>
      <w:r w:rsidRPr="00AE3398">
        <w:rPr>
          <w:noProof/>
        </w:rPr>
        <w:tab/>
      </w:r>
      <w:r w:rsidR="00C16743" w:rsidRPr="008C5AF8">
        <w:rPr>
          <w:noProof/>
        </w:rPr>
        <w:t>É da responsabilidade dos Estados-Membros e das agências competentes da União transmitir à Comissão todas as informações necessárias para a elaboração destes relatórios.</w:t>
      </w:r>
    </w:p>
    <w:p w14:paraId="543C1C20" w14:textId="77777777" w:rsidR="00C16743" w:rsidRPr="008C5AF8" w:rsidRDefault="00C16743" w:rsidP="000B4E32">
      <w:pPr>
        <w:pStyle w:val="Titrearticle"/>
        <w:rPr>
          <w:noProof/>
        </w:rPr>
      </w:pPr>
      <w:r w:rsidRPr="008C5AF8">
        <w:rPr>
          <w:noProof/>
        </w:rPr>
        <w:t>Artigo 14</w:t>
      </w:r>
      <w:r w:rsidR="008507DF">
        <w:rPr>
          <w:noProof/>
        </w:rPr>
        <w:t>.º</w:t>
      </w:r>
      <w:r w:rsidR="008507DF">
        <w:rPr>
          <w:noProof/>
        </w:rPr>
        <w:br/>
      </w:r>
      <w:r w:rsidRPr="008C5AF8">
        <w:rPr>
          <w:noProof/>
        </w:rPr>
        <w:t>Especificações técnicas adicionais</w:t>
      </w:r>
    </w:p>
    <w:p w14:paraId="210FC7CD" w14:textId="25008178" w:rsidR="00C16743" w:rsidRPr="008C5AF8" w:rsidRDefault="00AE3398" w:rsidP="00AE3398">
      <w:pPr>
        <w:pStyle w:val="ManualNumPar1"/>
        <w:rPr>
          <w:noProof/>
        </w:rPr>
      </w:pPr>
      <w:r w:rsidRPr="00AE3398">
        <w:rPr>
          <w:noProof/>
        </w:rPr>
        <w:t>1.</w:t>
      </w:r>
      <w:r w:rsidRPr="00AE3398">
        <w:rPr>
          <w:noProof/>
        </w:rPr>
        <w:tab/>
      </w:r>
      <w:r w:rsidR="00C16743" w:rsidRPr="008C5AF8">
        <w:rPr>
          <w:noProof/>
        </w:rPr>
        <w:t>Para assegurar, se for caso disso, que os bilhetes de identidade e os títulos de residência referidos no artigo 2.º, alíneas a) e c), cumprem as futuras normas mínimas de segurança, a Comissão estabelece, por meio de atos de execução, especificações técnicas adicionais relativamente a:</w:t>
      </w:r>
    </w:p>
    <w:p w14:paraId="7570C495" w14:textId="4ADDDF68" w:rsidR="00C16743" w:rsidRPr="008C5AF8" w:rsidRDefault="00AE3398" w:rsidP="00AE3398">
      <w:pPr>
        <w:pStyle w:val="Point1"/>
        <w:rPr>
          <w:noProof/>
        </w:rPr>
      </w:pPr>
      <w:bookmarkStart w:id="27" w:name="DQCErrorScopeAB357EE45E9A118C8B1FE380F5D"/>
      <w:r w:rsidRPr="00AE3398">
        <w:rPr>
          <w:noProof/>
        </w:rPr>
        <w:t>(a)</w:t>
      </w:r>
      <w:r w:rsidRPr="00AE3398">
        <w:rPr>
          <w:noProof/>
        </w:rPr>
        <w:tab/>
      </w:r>
      <w:bookmarkEnd w:id="27"/>
      <w:r w:rsidR="00C16743" w:rsidRPr="008C5AF8">
        <w:rPr>
          <w:noProof/>
        </w:rPr>
        <w:t>Elementos e requisitos de segurança complementares, incluindo normas reforçadas contra o risco de reprodução fraudulenta, contrafação e falsificação;</w:t>
      </w:r>
    </w:p>
    <w:p w14:paraId="0232826A" w14:textId="1193B6C1" w:rsidR="00C16743" w:rsidRPr="008C5AF8" w:rsidRDefault="00AE3398" w:rsidP="00AE3398">
      <w:pPr>
        <w:pStyle w:val="Point1"/>
        <w:rPr>
          <w:noProof/>
        </w:rPr>
      </w:pPr>
      <w:bookmarkStart w:id="28" w:name="DQCErrorScope1B9F6CA45809696FBD94E73C59E"/>
      <w:r w:rsidRPr="00AE3398">
        <w:rPr>
          <w:noProof/>
        </w:rPr>
        <w:t>(b)</w:t>
      </w:r>
      <w:r w:rsidRPr="00AE3398">
        <w:rPr>
          <w:noProof/>
        </w:rPr>
        <w:tab/>
      </w:r>
      <w:bookmarkEnd w:id="28"/>
      <w:r w:rsidR="00C16743" w:rsidRPr="008C5AF8">
        <w:rPr>
          <w:noProof/>
        </w:rPr>
        <w:t>Especificações técnicas relativas ao suporte de armazenamento dos dados biométricos a que se refere o artigo 3.º, n.º 5, e à sua proteção, incluindo a prevenção do acesso não autorizado e uma validação facilitada;</w:t>
      </w:r>
    </w:p>
    <w:p w14:paraId="66C1E0C4" w14:textId="3E34FB26" w:rsidR="00C16743" w:rsidRPr="008C5AF8" w:rsidRDefault="00AE3398" w:rsidP="00AE3398">
      <w:pPr>
        <w:pStyle w:val="Point1"/>
        <w:rPr>
          <w:noProof/>
        </w:rPr>
      </w:pPr>
      <w:bookmarkStart w:id="29" w:name="DQCErrorScopeC4FD11C4CD6A789D6784C5A5E64"/>
      <w:r w:rsidRPr="00AE3398">
        <w:rPr>
          <w:noProof/>
        </w:rPr>
        <w:t>(c)</w:t>
      </w:r>
      <w:r w:rsidRPr="00AE3398">
        <w:rPr>
          <w:noProof/>
        </w:rPr>
        <w:tab/>
      </w:r>
      <w:bookmarkEnd w:id="29"/>
      <w:r w:rsidR="00C16743" w:rsidRPr="008C5AF8">
        <w:rPr>
          <w:noProof/>
        </w:rPr>
        <w:t>Requisitos em matéria de qualidade e normas técnicas comuns no que diz respeito à imagem facial e às impressões digitais.</w:t>
      </w:r>
    </w:p>
    <w:p w14:paraId="36D8AB41" w14:textId="77777777" w:rsidR="00C16743" w:rsidRPr="008C5AF8" w:rsidRDefault="00C16743" w:rsidP="00927130">
      <w:pPr>
        <w:pStyle w:val="Text1"/>
        <w:rPr>
          <w:noProof/>
        </w:rPr>
      </w:pPr>
      <w:r w:rsidRPr="008C5AF8">
        <w:rPr>
          <w:noProof/>
        </w:rPr>
        <w:t>Os referidos atos de execução são adotados pelo procedimento de exame a que se refere o artigo 15.º, n.º 2.</w:t>
      </w:r>
    </w:p>
    <w:p w14:paraId="312EA43F" w14:textId="01EEB8D2" w:rsidR="00C16743" w:rsidRPr="008C5AF8" w:rsidRDefault="00AE3398" w:rsidP="00AE3398">
      <w:pPr>
        <w:pStyle w:val="ManualNumPar1"/>
        <w:rPr>
          <w:noProof/>
        </w:rPr>
      </w:pPr>
      <w:r w:rsidRPr="00AE3398">
        <w:rPr>
          <w:noProof/>
        </w:rPr>
        <w:t>2.</w:t>
      </w:r>
      <w:r w:rsidRPr="00AE3398">
        <w:rPr>
          <w:noProof/>
        </w:rPr>
        <w:tab/>
      </w:r>
      <w:r w:rsidR="00C16743" w:rsidRPr="008C5AF8">
        <w:rPr>
          <w:noProof/>
        </w:rPr>
        <w:t>Pode decidir-se, nos termos do artigo 15.º, n.º 2, que as especificações referidas no presente artigo sejam mantidas secretas e não sejam publicadas. Nesse caso, as especificações só podem ser disponibilizadas aos organismos designados pelos Estados-Membros para proceder à impressão e às pessoas devidamente autorizadas por um Estado-Membro ou pela Comissão.</w:t>
      </w:r>
    </w:p>
    <w:p w14:paraId="655FD13D" w14:textId="286691A9" w:rsidR="00C16743" w:rsidRPr="008C5AF8" w:rsidRDefault="00AE3398" w:rsidP="00AE3398">
      <w:pPr>
        <w:pStyle w:val="ManualNumPar1"/>
        <w:rPr>
          <w:noProof/>
        </w:rPr>
      </w:pPr>
      <w:r w:rsidRPr="00AE3398">
        <w:rPr>
          <w:noProof/>
        </w:rPr>
        <w:t>3.</w:t>
      </w:r>
      <w:r w:rsidRPr="00AE3398">
        <w:rPr>
          <w:noProof/>
        </w:rPr>
        <w:tab/>
      </w:r>
      <w:r w:rsidR="00C16743" w:rsidRPr="008C5AF8">
        <w:rPr>
          <w:noProof/>
        </w:rPr>
        <w:t>Cada Estado-Membro deve designar um organismo responsável pela impressão dos bilhetes de identidade e um organismo responsável pela impressão dos cartões de residência de familiares de cidadãos da União e comunicar os nomes desses organismos à Comissão e aos restantes Estados-Membros. Os Estados-Membros têm a faculdade de proceder à alteração do organismo designado, devendo informar desse facto a Comissão e os restantes Estados-Membros.</w:t>
      </w:r>
    </w:p>
    <w:p w14:paraId="27EAEE86" w14:textId="77777777" w:rsidR="00C16743" w:rsidRPr="008C5AF8" w:rsidRDefault="00C16743" w:rsidP="00F36ABF">
      <w:pPr>
        <w:pStyle w:val="Text1"/>
        <w:rPr>
          <w:noProof/>
        </w:rPr>
      </w:pPr>
      <w:r w:rsidRPr="008C5AF8">
        <w:rPr>
          <w:noProof/>
        </w:rPr>
        <w:t>Os Estados-Membros têm também a faculdade de decidir designar um único organismo responsável pela impressão dos bilhetes de identidade e dos cartões de residência dos familiares de cidadãos da União, devendo comunicar o nome desse organismo à Comissão e aos restantes Estados-Membros.</w:t>
      </w:r>
    </w:p>
    <w:p w14:paraId="7ACD4A97" w14:textId="77777777" w:rsidR="00C16743" w:rsidRPr="008C5AF8" w:rsidRDefault="00C16743" w:rsidP="00F36ABF">
      <w:pPr>
        <w:pStyle w:val="Text1"/>
        <w:rPr>
          <w:noProof/>
        </w:rPr>
      </w:pPr>
      <w:r w:rsidRPr="008C5AF8">
        <w:rPr>
          <w:noProof/>
        </w:rPr>
        <w:t>Dois ou mais Estados-Membros têm ainda a faculdade de decidir a designação de um único organismo para esses efeitos, devendo informar desse facto a Comissão e os restantes Estados-Membros.</w:t>
      </w:r>
    </w:p>
    <w:p w14:paraId="30B380BC" w14:textId="77777777" w:rsidR="00C16743" w:rsidRPr="008C5AF8" w:rsidRDefault="00C16743" w:rsidP="00F36ABF">
      <w:pPr>
        <w:pStyle w:val="Titrearticle"/>
        <w:rPr>
          <w:noProof/>
        </w:rPr>
      </w:pPr>
      <w:r w:rsidRPr="008C5AF8">
        <w:rPr>
          <w:noProof/>
        </w:rPr>
        <w:t>Artigo 15</w:t>
      </w:r>
      <w:r w:rsidR="008507DF">
        <w:rPr>
          <w:noProof/>
        </w:rPr>
        <w:t>.º</w:t>
      </w:r>
      <w:r w:rsidR="008507DF">
        <w:rPr>
          <w:noProof/>
        </w:rPr>
        <w:br/>
      </w:r>
      <w:r w:rsidRPr="008C5AF8">
        <w:rPr>
          <w:noProof/>
        </w:rPr>
        <w:t>Procedimento de comité</w:t>
      </w:r>
    </w:p>
    <w:p w14:paraId="715E8C21" w14:textId="15E90B63" w:rsidR="00C16743" w:rsidRPr="008C5AF8" w:rsidRDefault="00AE3398" w:rsidP="00AE3398">
      <w:pPr>
        <w:pStyle w:val="ManualNumPar1"/>
        <w:rPr>
          <w:noProof/>
        </w:rPr>
      </w:pPr>
      <w:r w:rsidRPr="00AE3398">
        <w:rPr>
          <w:noProof/>
        </w:rPr>
        <w:t>1.</w:t>
      </w:r>
      <w:r w:rsidRPr="00AE3398">
        <w:rPr>
          <w:noProof/>
        </w:rPr>
        <w:tab/>
      </w:r>
      <w:r w:rsidR="00C16743" w:rsidRPr="008C5AF8">
        <w:rPr>
          <w:noProof/>
        </w:rPr>
        <w:t>A Comissão é assistida pelo comité instituído pelo artigo 6.º do Regulamento (CE) n.º 1683/95. Este comité é um comité na aceção do Regulamento (UE) n.º 182/2011.</w:t>
      </w:r>
    </w:p>
    <w:p w14:paraId="5332B40A" w14:textId="25ADC19B" w:rsidR="00F36ABF" w:rsidRPr="008C5AF8" w:rsidRDefault="00AE3398" w:rsidP="00AE3398">
      <w:pPr>
        <w:pStyle w:val="ManualNumPar1"/>
        <w:rPr>
          <w:noProof/>
        </w:rPr>
      </w:pPr>
      <w:r w:rsidRPr="00AE3398">
        <w:rPr>
          <w:noProof/>
        </w:rPr>
        <w:t>2.</w:t>
      </w:r>
      <w:r w:rsidRPr="00AE3398">
        <w:rPr>
          <w:noProof/>
        </w:rPr>
        <w:tab/>
      </w:r>
      <w:r w:rsidR="00C16743" w:rsidRPr="008C5AF8">
        <w:rPr>
          <w:noProof/>
        </w:rPr>
        <w:t>Caso se remeta para o presente número, aplica-se o artigo 5.º do Regulamento (UE) n.º 182/2011. Na falta de parecer do comité, a Comissão não pode adotar o projeto de ato de execução, aplicando-se o artigo 5.º, n.º 4, terceiro parágrafo, do Regulamento (UE) n.º 182/2011.</w:t>
      </w:r>
    </w:p>
    <w:p w14:paraId="5B31CCC2" w14:textId="77777777" w:rsidR="00F36ABF" w:rsidRPr="008C5AF8" w:rsidRDefault="00F36ABF" w:rsidP="00F36ABF">
      <w:pPr>
        <w:pStyle w:val="Titrearticle"/>
        <w:rPr>
          <w:noProof/>
        </w:rPr>
      </w:pPr>
      <w:r w:rsidRPr="008C5AF8">
        <w:rPr>
          <w:noProof/>
        </w:rPr>
        <w:t>Artigo 16</w:t>
      </w:r>
      <w:r w:rsidR="008507DF">
        <w:rPr>
          <w:noProof/>
        </w:rPr>
        <w:t>.º</w:t>
      </w:r>
      <w:r w:rsidR="008507DF">
        <w:rPr>
          <w:noProof/>
        </w:rPr>
        <w:br/>
      </w:r>
      <w:r w:rsidRPr="008C5AF8">
        <w:rPr>
          <w:noProof/>
        </w:rPr>
        <w:t>Entrada em vigor</w:t>
      </w:r>
    </w:p>
    <w:p w14:paraId="20890240" w14:textId="77777777" w:rsidR="00936104" w:rsidRPr="008C5AF8" w:rsidRDefault="00936104" w:rsidP="00750517">
      <w:pPr>
        <w:rPr>
          <w:noProof/>
        </w:rPr>
      </w:pPr>
      <w:r w:rsidRPr="008C5AF8">
        <w:rPr>
          <w:noProof/>
        </w:rPr>
        <w:t xml:space="preserve">O presente regulamento entra em vigor no vigésimo dia seguinte ao da sua publicação no </w:t>
      </w:r>
      <w:r w:rsidRPr="008C5AF8">
        <w:rPr>
          <w:i/>
          <w:noProof/>
        </w:rPr>
        <w:t>Jornal Oficial da União Europeia</w:t>
      </w:r>
      <w:r w:rsidRPr="008C5AF8">
        <w:rPr>
          <w:noProof/>
        </w:rPr>
        <w:t>.</w:t>
      </w:r>
    </w:p>
    <w:p w14:paraId="43280793" w14:textId="77777777" w:rsidR="00936104" w:rsidRPr="008C5AF8" w:rsidRDefault="00936104" w:rsidP="00A12901">
      <w:pPr>
        <w:pStyle w:val="Applicationdirecte"/>
        <w:rPr>
          <w:noProof/>
        </w:rPr>
      </w:pPr>
      <w:r w:rsidRPr="008C5AF8">
        <w:rPr>
          <w:noProof/>
        </w:rPr>
        <w:t>O presente regulamento é obrigatório em todos os seus elementos e diretamente aplicável nos Estados-Membros, em conformidade com os Tratados.</w:t>
      </w:r>
    </w:p>
    <w:p w14:paraId="71B76053" w14:textId="77777777" w:rsidR="00936104" w:rsidRPr="008C5AF8" w:rsidRDefault="008C5AF8" w:rsidP="00D10531">
      <w:pPr>
        <w:pStyle w:val="Fait"/>
        <w:rPr>
          <w:noProof/>
        </w:rPr>
      </w:pPr>
      <w:r>
        <w:rPr>
          <w:noProof/>
        </w:rPr>
        <w:t>Feito em Bruxelas, em</w:t>
      </w:r>
    </w:p>
    <w:p w14:paraId="22F74CC3" w14:textId="77777777" w:rsidR="00936104" w:rsidRPr="008C5AF8" w:rsidRDefault="00936104" w:rsidP="00D10531">
      <w:pPr>
        <w:pStyle w:val="Institutionquisigne"/>
        <w:rPr>
          <w:noProof/>
        </w:rPr>
      </w:pPr>
      <w:r w:rsidRPr="008C5AF8">
        <w:rPr>
          <w:noProof/>
        </w:rPr>
        <w:tab/>
        <w:t>Pelo Conselho</w:t>
      </w:r>
    </w:p>
    <w:p w14:paraId="04488B04" w14:textId="77777777" w:rsidR="00936104" w:rsidRPr="008C5AF8" w:rsidRDefault="00936104" w:rsidP="00936104">
      <w:pPr>
        <w:pStyle w:val="Personnequisigne"/>
        <w:rPr>
          <w:noProof/>
        </w:rPr>
      </w:pPr>
      <w:r w:rsidRPr="008C5AF8">
        <w:rPr>
          <w:noProof/>
        </w:rPr>
        <w:tab/>
        <w:t>O Presidente</w:t>
      </w:r>
    </w:p>
    <w:sectPr w:rsidR="00936104" w:rsidRPr="008C5AF8" w:rsidSect="00150DCB">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1410" w14:textId="77777777" w:rsidR="00FD3AEB" w:rsidRDefault="00FD3AEB" w:rsidP="00936104">
      <w:pPr>
        <w:spacing w:before="0" w:after="0"/>
      </w:pPr>
      <w:r>
        <w:separator/>
      </w:r>
    </w:p>
  </w:endnote>
  <w:endnote w:type="continuationSeparator" w:id="0">
    <w:p w14:paraId="19705696" w14:textId="77777777" w:rsidR="00FD3AEB" w:rsidRDefault="00FD3AEB" w:rsidP="00936104">
      <w:pPr>
        <w:spacing w:before="0" w:after="0"/>
      </w:pPr>
      <w:r>
        <w:continuationSeparator/>
      </w:r>
    </w:p>
  </w:endnote>
  <w:endnote w:type="continuationNotice" w:id="1">
    <w:p w14:paraId="457AD6AF" w14:textId="77777777" w:rsidR="00FD3AEB" w:rsidRDefault="00FD3A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8202" w14:textId="28D1A1A7" w:rsidR="00150DCB" w:rsidRPr="00150DCB" w:rsidRDefault="00150DCB" w:rsidP="00150DCB">
    <w:pPr>
      <w:pStyle w:val="Footer"/>
      <w:rPr>
        <w:rFonts w:ascii="Arial" w:hAnsi="Arial" w:cs="Arial"/>
        <w:b/>
        <w:sz w:val="48"/>
      </w:rPr>
    </w:pPr>
    <w:r w:rsidRPr="00150DCB">
      <w:rPr>
        <w:rFonts w:ascii="Arial" w:hAnsi="Arial" w:cs="Arial"/>
        <w:b/>
        <w:sz w:val="48"/>
      </w:rPr>
      <w:t>PT</w:t>
    </w:r>
    <w:r w:rsidRPr="00150DCB">
      <w:rPr>
        <w:rFonts w:ascii="Arial" w:hAnsi="Arial" w:cs="Arial"/>
        <w:b/>
        <w:sz w:val="48"/>
      </w:rPr>
      <w:tab/>
    </w:r>
    <w:r w:rsidRPr="00150DCB">
      <w:rPr>
        <w:rFonts w:ascii="Arial" w:hAnsi="Arial" w:cs="Arial"/>
        <w:b/>
        <w:sz w:val="48"/>
      </w:rPr>
      <w:tab/>
    </w:r>
    <w:r w:rsidRPr="00150DCB">
      <w:tab/>
    </w:r>
    <w:r w:rsidRPr="00150DCB">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22B9" w14:textId="407DC717" w:rsidR="00150DCB" w:rsidRPr="00150DCB" w:rsidRDefault="00150DCB" w:rsidP="00150DCB">
    <w:pPr>
      <w:pStyle w:val="Footer"/>
      <w:rPr>
        <w:rFonts w:ascii="Arial" w:hAnsi="Arial" w:cs="Arial"/>
        <w:b/>
        <w:sz w:val="48"/>
      </w:rPr>
    </w:pPr>
    <w:r w:rsidRPr="00150DCB">
      <w:rPr>
        <w:rFonts w:ascii="Arial" w:hAnsi="Arial" w:cs="Arial"/>
        <w:b/>
        <w:sz w:val="48"/>
      </w:rPr>
      <w:t>PT</w:t>
    </w:r>
    <w:r w:rsidRPr="00150DCB">
      <w:rPr>
        <w:rFonts w:ascii="Arial" w:hAnsi="Arial" w:cs="Arial"/>
        <w:b/>
        <w:sz w:val="48"/>
      </w:rPr>
      <w:tab/>
    </w:r>
    <w:r w:rsidRPr="00150DCB">
      <w:rPr>
        <w:rFonts w:ascii="Arial" w:hAnsi="Arial" w:cs="Arial"/>
        <w:b/>
        <w:sz w:val="48"/>
      </w:rPr>
      <w:tab/>
    </w:r>
    <w:r w:rsidRPr="00150DCB">
      <w:tab/>
    </w:r>
    <w:r w:rsidRPr="00150DCB">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EB55" w14:textId="77777777" w:rsidR="00150DCB" w:rsidRDefault="00150D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4F6AF" w14:textId="20406AF0" w:rsidR="00150DCB" w:rsidRPr="00150DCB" w:rsidRDefault="00150DCB" w:rsidP="00150DCB">
    <w:pPr>
      <w:pStyle w:val="Footer"/>
      <w:rPr>
        <w:rFonts w:ascii="Arial" w:hAnsi="Arial" w:cs="Arial"/>
        <w:b/>
        <w:sz w:val="48"/>
      </w:rPr>
    </w:pPr>
    <w:r w:rsidRPr="00150DCB">
      <w:rPr>
        <w:rFonts w:ascii="Arial" w:hAnsi="Arial" w:cs="Arial"/>
        <w:b/>
        <w:sz w:val="48"/>
      </w:rPr>
      <w:t>PT</w:t>
    </w:r>
    <w:r w:rsidRPr="00150DCB">
      <w:rPr>
        <w:rFonts w:ascii="Arial" w:hAnsi="Arial" w:cs="Arial"/>
        <w:b/>
        <w:sz w:val="48"/>
      </w:rPr>
      <w:tab/>
    </w:r>
    <w:r>
      <w:fldChar w:fldCharType="begin"/>
    </w:r>
    <w:r>
      <w:instrText xml:space="preserve"> PAGE  \* MERGEFORMAT </w:instrText>
    </w:r>
    <w:r>
      <w:fldChar w:fldCharType="separate"/>
    </w:r>
    <w:r w:rsidR="00D10531">
      <w:rPr>
        <w:noProof/>
      </w:rPr>
      <w:t>25</w:t>
    </w:r>
    <w:r>
      <w:fldChar w:fldCharType="end"/>
    </w:r>
    <w:r>
      <w:tab/>
    </w:r>
    <w:r w:rsidRPr="00150DCB">
      <w:tab/>
    </w:r>
    <w:r w:rsidRPr="00150DCB">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6E748" w14:textId="77777777" w:rsidR="00150DCB" w:rsidRDefault="00150DCB" w:rsidP="00150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C5678" w14:textId="77777777" w:rsidR="00FD3AEB" w:rsidRDefault="00FD3AEB" w:rsidP="00936104">
      <w:pPr>
        <w:spacing w:before="0" w:after="0"/>
      </w:pPr>
      <w:r>
        <w:separator/>
      </w:r>
    </w:p>
  </w:footnote>
  <w:footnote w:type="continuationSeparator" w:id="0">
    <w:p w14:paraId="05CC2516" w14:textId="77777777" w:rsidR="00FD3AEB" w:rsidRDefault="00FD3AEB" w:rsidP="00936104">
      <w:pPr>
        <w:spacing w:before="0" w:after="0"/>
      </w:pPr>
      <w:r>
        <w:continuationSeparator/>
      </w:r>
    </w:p>
  </w:footnote>
  <w:footnote w:type="continuationNotice" w:id="1">
    <w:p w14:paraId="317EE4F4" w14:textId="77777777" w:rsidR="00FD3AEB" w:rsidRDefault="00FD3AEB">
      <w:pPr>
        <w:spacing w:before="0" w:after="0"/>
      </w:pPr>
    </w:p>
  </w:footnote>
  <w:footnote w:id="2">
    <w:p w14:paraId="3D5DF823" w14:textId="77777777" w:rsidR="00A52CBD" w:rsidRPr="00C12131" w:rsidRDefault="00A52CBD">
      <w:pPr>
        <w:pStyle w:val="FootnoteText"/>
      </w:pPr>
      <w:r>
        <w:rPr>
          <w:rStyle w:val="FootnoteReference"/>
          <w:lang w:val="en-IE"/>
        </w:rPr>
        <w:footnoteRef/>
      </w:r>
      <w:r>
        <w:tab/>
      </w:r>
      <w:hyperlink r:id="rId1" w:history="1">
        <w:r>
          <w:rPr>
            <w:rStyle w:val="Hyperlink"/>
          </w:rPr>
          <w:t>COM(2018) 212 final</w:t>
        </w:r>
      </w:hyperlink>
      <w:r>
        <w:t>.</w:t>
      </w:r>
    </w:p>
  </w:footnote>
  <w:footnote w:id="3">
    <w:p w14:paraId="59052EFB" w14:textId="77777777" w:rsidR="00A52CBD" w:rsidRPr="00C12131" w:rsidRDefault="00A52CBD" w:rsidP="00A52CBD">
      <w:pPr>
        <w:pStyle w:val="FootnoteText"/>
      </w:pPr>
      <w:r>
        <w:rPr>
          <w:rStyle w:val="FootnoteReference"/>
          <w:lang w:val="en-IE"/>
        </w:rPr>
        <w:footnoteRef/>
      </w:r>
      <w:r>
        <w:tab/>
        <w:t xml:space="preserve">Regulamento (UE) 2019/1157 do Parlamento Europeu e do Conselho, de 20 de junho de 2019, que visa reforçar a segurança dos bilhetes de identidade dos cidadãos da União e dos títulos de residência emitidos aos cidadãos da União e seus familiares que exercem o direito à livre circulação (JO L 188 de 12.7.2019, p. 67, ELI: </w:t>
      </w:r>
      <w:hyperlink r:id="rId2" w:history="1">
        <w:r>
          <w:rPr>
            <w:rStyle w:val="Hyperlink"/>
          </w:rPr>
          <w:t>http://data.europa.eu/eli/reg/2019/1157/oj</w:t>
        </w:r>
      </w:hyperlink>
      <w:r>
        <w:t xml:space="preserve">). </w:t>
      </w:r>
    </w:p>
  </w:footnote>
  <w:footnote w:id="4">
    <w:p w14:paraId="36E82BF9" w14:textId="77777777" w:rsidR="00A52CBD" w:rsidRPr="00F87B10" w:rsidRDefault="00A52CBD">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w:t>
      </w:r>
    </w:p>
  </w:footnote>
  <w:footnote w:id="5">
    <w:p w14:paraId="03EBD2AB" w14:textId="77777777" w:rsidR="00F90E6D" w:rsidRPr="00F87B10" w:rsidRDefault="00F90E6D" w:rsidP="00F90E6D">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 n.º 124.</w:t>
      </w:r>
    </w:p>
  </w:footnote>
  <w:footnote w:id="6">
    <w:p w14:paraId="08FD8A1F" w14:textId="77777777" w:rsidR="009B577F" w:rsidRPr="00C12131" w:rsidRDefault="009B577F" w:rsidP="009B577F">
      <w:pPr>
        <w:pStyle w:val="FootnoteText"/>
      </w:pPr>
      <w:r>
        <w:rPr>
          <w:rStyle w:val="FootnoteReference"/>
          <w:lang w:val="en-IE"/>
        </w:rPr>
        <w:footnoteRef/>
      </w:r>
      <w:r>
        <w:tab/>
        <w:t xml:space="preserve">Regulamento (UE) 2017/458 do Parlamento Europeu e do Conselho, de 15 de março de 2017, que altera o Regulamento (UE) 2016/399 no que diz respeito ao reforço dos controlos nas fronteiras externas por confronto com as bases de dados pertinentes (JO L 74 de 18.3.2017, p. 1, ELI: </w:t>
      </w:r>
      <w:hyperlink r:id="rId3" w:tooltip="Permite aceder a este documento através do seu URI ELI." w:history="1">
        <w:r>
          <w:rPr>
            <w:rStyle w:val="Hyperlink"/>
          </w:rPr>
          <w:t>http://data.europa.eu/eli/reg/2017/458/oj</w:t>
        </w:r>
      </w:hyperlink>
      <w:r>
        <w:t>).</w:t>
      </w:r>
    </w:p>
  </w:footnote>
  <w:footnote w:id="7">
    <w:p w14:paraId="01A869E2" w14:textId="77777777" w:rsidR="00EC5D62" w:rsidRPr="00F87B10" w:rsidRDefault="00EC5D62" w:rsidP="00EC5D62">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 n.º 51.</w:t>
      </w:r>
    </w:p>
  </w:footnote>
  <w:footnote w:id="8">
    <w:p w14:paraId="34F2B36E" w14:textId="77777777" w:rsidR="00D54AE4" w:rsidRPr="00C12131" w:rsidRDefault="00D54AE4" w:rsidP="00D54AE4">
      <w:pPr>
        <w:pStyle w:val="FootnoteText"/>
      </w:pPr>
      <w:r>
        <w:rPr>
          <w:rStyle w:val="FootnoteReference"/>
          <w:lang w:val="en-IE"/>
        </w:rPr>
        <w:footnoteRef/>
      </w:r>
      <w:r>
        <w:tab/>
        <w:t xml:space="preserve">Diretiva 2004/38/CE do Parlamento Europeu e do Conselho, de 29 de abril de 2004, relativa ao direito de livre circulação e residência dos cidadãos da União e dos membros das suas famílias no território dos Estados-Membros, que altera o Regulamento (CEE) n.º 1612/68 e que revoga as Diretivas 64/221/CEE, 68/360/CEE, 72/194/CEE, 73/148/CEE, 75/34/CEE, 75/35/CEE, 90/364/CEE, 90/365/CEE e 93/96/CEE (JO L 158 de 30.4.2004, p. 77, ELI: </w:t>
      </w:r>
      <w:hyperlink r:id="rId4" w:tooltip="Permite aceder a este documento através do seu URI ELI." w:history="1">
        <w:r>
          <w:rPr>
            <w:rStyle w:val="Hyperlink"/>
          </w:rPr>
          <w:t>http://data.europa.eu/eli/dir/2004/38/oj</w:t>
        </w:r>
      </w:hyperlink>
      <w:r>
        <w:t>).</w:t>
      </w:r>
    </w:p>
  </w:footnote>
  <w:footnote w:id="9">
    <w:p w14:paraId="5DDA62DE" w14:textId="77777777" w:rsidR="00EC5D62" w:rsidRPr="00F87B10" w:rsidRDefault="00EC5D62" w:rsidP="00EC5D62">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 n.º 54.</w:t>
      </w:r>
    </w:p>
  </w:footnote>
  <w:footnote w:id="10">
    <w:p w14:paraId="1E0FD72C" w14:textId="77777777" w:rsidR="00EC5D62" w:rsidRPr="00F87B10" w:rsidRDefault="00EC5D62" w:rsidP="00EC5D62">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 n.</w:t>
      </w:r>
      <w:r>
        <w:rPr>
          <w:rStyle w:val="outputecli"/>
          <w:vertAlign w:val="superscript"/>
        </w:rPr>
        <w:t>os</w:t>
      </w:r>
      <w:r>
        <w:rPr>
          <w:rStyle w:val="outputecli"/>
        </w:rPr>
        <w:t> 59-61.</w:t>
      </w:r>
    </w:p>
  </w:footnote>
  <w:footnote w:id="11">
    <w:p w14:paraId="60BE8029" w14:textId="77777777" w:rsidR="00E81203" w:rsidRPr="00C12131" w:rsidRDefault="00E81203">
      <w:pPr>
        <w:pStyle w:val="FootnoteText"/>
      </w:pPr>
      <w:r>
        <w:rPr>
          <w:rStyle w:val="FootnoteReference"/>
          <w:lang w:val="en-IE"/>
        </w:rPr>
        <w:footnoteRef/>
      </w:r>
      <w:r>
        <w:tab/>
        <w:t xml:space="preserve">Para uma descrição mais pormenorizada da situação anterior à adoção do Regulamento (UE) 2019/1157, ver </w:t>
      </w:r>
      <w:hyperlink r:id="rId5" w:history="1">
        <w:r>
          <w:rPr>
            <w:rStyle w:val="Hyperlink"/>
          </w:rPr>
          <w:t>SWD(2018) 110 final</w:t>
        </w:r>
      </w:hyperlink>
      <w:r>
        <w:t>.</w:t>
      </w:r>
    </w:p>
  </w:footnote>
  <w:footnote w:id="12">
    <w:p w14:paraId="0747822F" w14:textId="77777777" w:rsidR="00B058B2" w:rsidRPr="00F87B10" w:rsidRDefault="00B058B2">
      <w:pPr>
        <w:pStyle w:val="FootnoteText"/>
      </w:pPr>
      <w:r>
        <w:rPr>
          <w:rStyle w:val="FootnoteReference"/>
          <w:lang w:val="en-IE"/>
        </w:rPr>
        <w:footnoteRef/>
      </w:r>
      <w:r>
        <w:tab/>
        <w:t xml:space="preserve">Ver acórdão de 21 de março de 2024, </w:t>
      </w:r>
      <w:r>
        <w:rPr>
          <w:i/>
        </w:rPr>
        <w:t>Landeshauptstadt Wiesbaden</w:t>
      </w:r>
      <w:r>
        <w:t xml:space="preserve">, C-61/22, </w:t>
      </w:r>
      <w:r>
        <w:rPr>
          <w:rStyle w:val="outputecli"/>
        </w:rPr>
        <w:t>ECLI:EU:C:2024:251.</w:t>
      </w:r>
    </w:p>
  </w:footnote>
  <w:footnote w:id="13">
    <w:p w14:paraId="5D59FE05" w14:textId="77777777" w:rsidR="00C45663" w:rsidRPr="00C12131" w:rsidRDefault="00C45663">
      <w:pPr>
        <w:pStyle w:val="FootnoteText"/>
      </w:pPr>
      <w:r>
        <w:rPr>
          <w:rStyle w:val="FootnoteReference"/>
          <w:lang w:val="en-IE"/>
        </w:rPr>
        <w:footnoteRef/>
      </w:r>
      <w:r>
        <w:tab/>
      </w:r>
      <w:hyperlink r:id="rId6" w:history="1">
        <w:r>
          <w:rPr>
            <w:rStyle w:val="Hyperlink"/>
          </w:rPr>
          <w:t>COM(2018) 212 final</w:t>
        </w:r>
      </w:hyperlink>
      <w:r>
        <w:t>.</w:t>
      </w:r>
    </w:p>
  </w:footnote>
  <w:footnote w:id="14">
    <w:p w14:paraId="6072E174" w14:textId="77777777" w:rsidR="00C45663" w:rsidRPr="00C12131" w:rsidRDefault="00C45663">
      <w:pPr>
        <w:pStyle w:val="FootnoteText"/>
      </w:pPr>
      <w:r>
        <w:rPr>
          <w:rStyle w:val="FootnoteReference"/>
          <w:lang w:val="en-IE"/>
        </w:rPr>
        <w:footnoteRef/>
      </w:r>
      <w:r>
        <w:tab/>
      </w:r>
      <w:hyperlink r:id="rId7" w:history="1">
        <w:r>
          <w:rPr>
            <w:rStyle w:val="Hyperlink"/>
          </w:rPr>
          <w:t>SWD(2018) 110 final</w:t>
        </w:r>
      </w:hyperlink>
      <w:r>
        <w:t>.</w:t>
      </w:r>
    </w:p>
  </w:footnote>
  <w:footnote w:id="15">
    <w:p w14:paraId="323FFE9A" w14:textId="77777777" w:rsidR="000C1732" w:rsidRPr="00C12131" w:rsidRDefault="000C1732">
      <w:pPr>
        <w:pStyle w:val="FootnoteText"/>
      </w:pPr>
      <w:r>
        <w:rPr>
          <w:rStyle w:val="FootnoteReference"/>
          <w:lang w:val="en-IE"/>
        </w:rPr>
        <w:footnoteRef/>
      </w:r>
      <w:r>
        <w:tab/>
        <w:t>Relatório da Comissão ao Parlamento Europeu, ao Conselho e ao Comité Económico e Social Europeu nos termos do artigo 13.º, n.º 1, do Regulamento (UE) 2019/1157 do Parlamento Europeu e do Conselho, de 20 de junho de 2019, que visa reforçar a segurança dos bilhetes de identidade dos cidadãos da União e dos títulos de residência emitidos aos cidadãos da União e seus familiares que exercem o direito à livre circulação (</w:t>
      </w:r>
      <w:hyperlink r:id="rId8" w:history="1">
        <w:r>
          <w:rPr>
            <w:rStyle w:val="Hyperlink"/>
          </w:rPr>
          <w:t>COM(2023) 538 final</w:t>
        </w:r>
      </w:hyperlink>
      <w:r>
        <w:t>).</w:t>
      </w:r>
    </w:p>
  </w:footnote>
  <w:footnote w:id="16">
    <w:p w14:paraId="5C171D28" w14:textId="77777777" w:rsidR="00E94208" w:rsidRPr="00F87B10" w:rsidRDefault="00E94208" w:rsidP="00E94208">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 n.</w:t>
      </w:r>
      <w:r>
        <w:rPr>
          <w:rStyle w:val="outputecli"/>
          <w:vertAlign w:val="superscript"/>
        </w:rPr>
        <w:t>os</w:t>
      </w:r>
      <w:r>
        <w:rPr>
          <w:rStyle w:val="outputecli"/>
        </w:rPr>
        <w:t> 73-74.</w:t>
      </w:r>
    </w:p>
  </w:footnote>
  <w:footnote w:id="17">
    <w:p w14:paraId="7DC65EBF" w14:textId="77777777" w:rsidR="00E94208" w:rsidRPr="00F87B10" w:rsidRDefault="00E94208" w:rsidP="00E94208">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 n.º 76.</w:t>
      </w:r>
    </w:p>
  </w:footnote>
  <w:footnote w:id="18">
    <w:p w14:paraId="3E2DAFB6" w14:textId="77777777" w:rsidR="00E94208" w:rsidRPr="00F87B10" w:rsidRDefault="00E94208" w:rsidP="00E94208">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 n.</w:t>
      </w:r>
      <w:r>
        <w:rPr>
          <w:rStyle w:val="outputecli"/>
          <w:vertAlign w:val="superscript"/>
        </w:rPr>
        <w:t>os</w:t>
      </w:r>
      <w:r>
        <w:rPr>
          <w:rStyle w:val="outputecli"/>
        </w:rPr>
        <w:t> 80-81.</w:t>
      </w:r>
    </w:p>
  </w:footnote>
  <w:footnote w:id="19">
    <w:p w14:paraId="79BAA95D" w14:textId="77777777" w:rsidR="00954C04" w:rsidRPr="00C12131" w:rsidRDefault="00954C04" w:rsidP="00954C04">
      <w:pPr>
        <w:pStyle w:val="FootnoteText"/>
      </w:pPr>
      <w:r>
        <w:rPr>
          <w:rStyle w:val="FootnoteReference"/>
          <w:lang w:val="en-IE"/>
        </w:rPr>
        <w:footnoteRef/>
      </w:r>
      <w:r>
        <w:tab/>
        <w:t xml:space="preserve">Ver, neste sentido, o acórdão de 17 de outubro de 2013, </w:t>
      </w:r>
      <w:r>
        <w:rPr>
          <w:i/>
        </w:rPr>
        <w:t>Schwarz</w:t>
      </w:r>
      <w:r>
        <w:t>, C-291/12, EU:C:2013:670, n.</w:t>
      </w:r>
      <w:r>
        <w:rPr>
          <w:vertAlign w:val="superscript"/>
        </w:rPr>
        <w:t>os</w:t>
      </w:r>
      <w:r>
        <w:t xml:space="preserve"> 36-38, o acórdão de 3 de outubro de 2019, </w:t>
      </w:r>
      <w:r>
        <w:rPr>
          <w:i/>
        </w:rPr>
        <w:t>A e outros</w:t>
      </w:r>
      <w:r>
        <w:t xml:space="preserve">, C-70/18, EU:C:2019:823, n.º 46 e jurisprudência citada, e o acórdão de 21 de março de 2024, </w:t>
      </w:r>
      <w:r>
        <w:rPr>
          <w:i/>
        </w:rPr>
        <w:t>Landeshauptstadt Wiesbaden</w:t>
      </w:r>
      <w:r>
        <w:t xml:space="preserve">, C-61/22, </w:t>
      </w:r>
      <w:r>
        <w:rPr>
          <w:rStyle w:val="outputecli"/>
        </w:rPr>
        <w:t>ECLI:EU:C:2024:251, n.</w:t>
      </w:r>
      <w:r>
        <w:rPr>
          <w:rStyle w:val="outputecli"/>
          <w:vertAlign w:val="superscript"/>
        </w:rPr>
        <w:t>os</w:t>
      </w:r>
      <w:r>
        <w:rPr>
          <w:rStyle w:val="outputecli"/>
        </w:rPr>
        <w:t> 87-89.</w:t>
      </w:r>
    </w:p>
  </w:footnote>
  <w:footnote w:id="20">
    <w:p w14:paraId="0900433C" w14:textId="77777777" w:rsidR="007D2F90" w:rsidRPr="00F87B10" w:rsidRDefault="007D2F90" w:rsidP="007D2F90">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 n.º 105.</w:t>
      </w:r>
    </w:p>
  </w:footnote>
  <w:footnote w:id="21">
    <w:p w14:paraId="6A1FFE61" w14:textId="77777777" w:rsidR="007E5BF0" w:rsidRPr="00F87B10" w:rsidRDefault="007E5BF0" w:rsidP="007E5BF0">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 n.</w:t>
      </w:r>
      <w:r>
        <w:rPr>
          <w:rStyle w:val="outputecli"/>
          <w:vertAlign w:val="superscript"/>
        </w:rPr>
        <w:t>os</w:t>
      </w:r>
      <w:r>
        <w:rPr>
          <w:rStyle w:val="outputecli"/>
        </w:rPr>
        <w:t> 123-124.</w:t>
      </w:r>
    </w:p>
  </w:footnote>
  <w:footnote w:id="22">
    <w:p w14:paraId="686EC82C" w14:textId="77777777" w:rsidR="00B42F55" w:rsidRPr="00C12131" w:rsidRDefault="00B42F55">
      <w:pPr>
        <w:pStyle w:val="FootnoteText"/>
      </w:pPr>
      <w:r>
        <w:rPr>
          <w:rStyle w:val="FootnoteReference"/>
          <w:lang w:val="en-IE"/>
        </w:rPr>
        <w:footnoteRef/>
      </w:r>
      <w:r>
        <w:tab/>
        <w:t>SWD(2021) 45 final.</w:t>
      </w:r>
    </w:p>
  </w:footnote>
  <w:footnote w:id="23">
    <w:p w14:paraId="7D022044" w14:textId="77777777" w:rsidR="00936104" w:rsidRPr="00C12131" w:rsidRDefault="00936104" w:rsidP="00750517">
      <w:pPr>
        <w:pStyle w:val="FootnoteText"/>
      </w:pPr>
      <w:r>
        <w:rPr>
          <w:rStyle w:val="FootnoteReference"/>
          <w:lang w:val="en-IE"/>
        </w:rPr>
        <w:footnoteRef/>
      </w:r>
      <w:r>
        <w:tab/>
        <w:t>JO C […] de […], p. […].</w:t>
      </w:r>
    </w:p>
  </w:footnote>
  <w:footnote w:id="24">
    <w:p w14:paraId="559CBA33" w14:textId="77777777" w:rsidR="00072E74" w:rsidRPr="00C12131" w:rsidRDefault="00072E74">
      <w:pPr>
        <w:pStyle w:val="FootnoteText"/>
      </w:pPr>
      <w:r>
        <w:rPr>
          <w:rStyle w:val="FootnoteReference"/>
          <w:lang w:val="en-IE"/>
        </w:rPr>
        <w:footnoteRef/>
      </w:r>
      <w:r>
        <w:tab/>
        <w:t xml:space="preserve">Diretiva 2004/38/CE do Parlamento Europeu e do Conselho, de 29 de abril de 2004, relativa ao direito de livre circulação e residência dos cidadãos da União e dos membros das suas famílias no território dos Estados-Membros, que altera o Regulamento (CEE) n.º 1612/68 e que revoga as Diretivas 64/221/CEE, 68/360/CEE, 72/194/CEE, 73/148/CEE, 75/34/CEE, 75/35/CEE, 90/364/CEE, 90/365/CEE e 93/96/CEE (JO L 158 de 30.4.2004, p. 77, ELI: </w:t>
      </w:r>
      <w:hyperlink r:id="rId9" w:tooltip="Permite aceder a este documento através do seu URI ELI." w:history="1">
        <w:r>
          <w:rPr>
            <w:rStyle w:val="Hyperlink"/>
          </w:rPr>
          <w:t>http://data.europa.eu/eli/dir/2004/38/oj</w:t>
        </w:r>
      </w:hyperlink>
      <w:r>
        <w:t>).</w:t>
      </w:r>
    </w:p>
  </w:footnote>
  <w:footnote w:id="25">
    <w:p w14:paraId="78A02D23" w14:textId="77777777" w:rsidR="00072E74" w:rsidRPr="00C12131" w:rsidRDefault="00072E74">
      <w:pPr>
        <w:pStyle w:val="FootnoteText"/>
      </w:pPr>
      <w:r>
        <w:rPr>
          <w:rStyle w:val="FootnoteReference"/>
          <w:lang w:val="en-IE"/>
        </w:rPr>
        <w:footnoteRef/>
      </w:r>
      <w:r>
        <w:tab/>
        <w:t xml:space="preserve">Regulamento (UE) n.º 910/2014 do Parlamento Europeu e do Conselho, de 23 de julho de 2014, relativo à identificação eletrónica e aos serviços de confiança para as transações eletrónicas no mercado interno e que revoga a Diretiva 1999/93/CE (JO L 257 de 28.8.2014, p. 73, ELI: </w:t>
      </w:r>
      <w:hyperlink r:id="rId10" w:tooltip="Permite aceder a este documento através do seu URI ELI." w:history="1">
        <w:r>
          <w:rPr>
            <w:rStyle w:val="Hyperlink"/>
          </w:rPr>
          <w:t>http://data.europa.eu/eli/reg/2014/910/oj</w:t>
        </w:r>
      </w:hyperlink>
      <w:r>
        <w:t>).</w:t>
      </w:r>
    </w:p>
  </w:footnote>
  <w:footnote w:id="26">
    <w:p w14:paraId="33F08629" w14:textId="77777777" w:rsidR="00072E74" w:rsidRPr="00C12131" w:rsidRDefault="00072E74">
      <w:pPr>
        <w:pStyle w:val="FootnoteText"/>
      </w:pPr>
      <w:r>
        <w:rPr>
          <w:rStyle w:val="FootnoteReference"/>
          <w:lang w:val="en-IE"/>
        </w:rPr>
        <w:footnoteRef/>
      </w:r>
      <w:r>
        <w:tab/>
        <w:t xml:space="preserve">Regulamento (CE) n.º 1030/2002 do Conselho, de 13 de junho de 2002, que estabelece um modelo uniforme de título de residência para os nacionais de países terceiros (JO L 157 de 15.6.2002, p. 1, ELI: </w:t>
      </w:r>
      <w:hyperlink r:id="rId11" w:tooltip="Permite aceder a este documento através do seu URI ELI." w:history="1">
        <w:r>
          <w:rPr>
            <w:rStyle w:val="Hyperlink"/>
          </w:rPr>
          <w:t>http://data.europa.eu/eli/reg/2002/1030/oj</w:t>
        </w:r>
      </w:hyperlink>
      <w:r>
        <w:t>).</w:t>
      </w:r>
    </w:p>
  </w:footnote>
  <w:footnote w:id="27">
    <w:p w14:paraId="2D57A2D8" w14:textId="77777777" w:rsidR="00655120" w:rsidRPr="00C12131" w:rsidRDefault="00655120">
      <w:pPr>
        <w:pStyle w:val="FootnoteText"/>
      </w:pPr>
      <w:r>
        <w:rPr>
          <w:rStyle w:val="FootnoteReference"/>
          <w:lang w:val="en-IE"/>
        </w:rPr>
        <w:footnoteRef/>
      </w:r>
      <w:r>
        <w:tab/>
        <w:t xml:space="preserve">Regulamento (UE) n.º 182/2011 do Parlamento Europeu e do Conselho, de 16 de fevereiro de 2011, que estabelece as regras e os princípios gerais relativos aos mecanismos de controlo pelos Estados-Membros do exercício das competências de execução pela Comissão (JO L 55 de 28.2.2011, p. 13, ELI: </w:t>
      </w:r>
      <w:hyperlink r:id="rId12" w:tooltip="Permite aceder a este documento através do seu URI ELI." w:history="1">
        <w:r>
          <w:rPr>
            <w:rStyle w:val="Hyperlink"/>
          </w:rPr>
          <w:t>http://data.europa.eu/eli/reg/2011/182/oj</w:t>
        </w:r>
      </w:hyperlink>
      <w:r>
        <w:t>).</w:t>
      </w:r>
    </w:p>
  </w:footnote>
  <w:footnote w:id="28">
    <w:p w14:paraId="160F0B0B" w14:textId="77777777" w:rsidR="00655120" w:rsidRPr="00C12131" w:rsidRDefault="00655120">
      <w:pPr>
        <w:pStyle w:val="FootnoteText"/>
      </w:pPr>
      <w:r>
        <w:rPr>
          <w:rStyle w:val="FootnoteReference"/>
          <w:lang w:val="en-IE"/>
        </w:rPr>
        <w:footnoteRef/>
      </w:r>
      <w:r>
        <w:tab/>
        <w:t xml:space="preserve">Regulamento (CE) n.º 1683/95 do Conselho, de 29 de maio de 1995, que estabelece um modelo-tipo de visto (JO L 164 de 14.7.1995, p. 1, ELI: </w:t>
      </w:r>
      <w:hyperlink r:id="rId13" w:tooltip="Permite aceder a este documento através do seu URI ELI." w:history="1">
        <w:r>
          <w:rPr>
            <w:rStyle w:val="Hyperlink"/>
          </w:rPr>
          <w:t>http://data.europa.eu/eli/reg/1995/1683/oj</w:t>
        </w:r>
      </w:hyperlink>
      <w:r>
        <w:t>).</w:t>
      </w:r>
    </w:p>
  </w:footnote>
  <w:footnote w:id="29">
    <w:p w14:paraId="5A275EEA" w14:textId="77777777" w:rsidR="00655120" w:rsidRPr="00C12131" w:rsidRDefault="00655120">
      <w:pPr>
        <w:pStyle w:val="FootnoteText"/>
      </w:pPr>
      <w:r>
        <w:rPr>
          <w:rStyle w:val="FootnoteReference"/>
          <w:lang w:val="en-IE"/>
        </w:rPr>
        <w:footnoteRef/>
      </w:r>
      <w:r>
        <w:tab/>
        <w:t>Regulamento (UE) 2017/1954 do Parlamento Europeu e do Conselho, de</w:t>
      </w:r>
      <w:r w:rsidR="00CF704B">
        <w:t xml:space="preserve"> </w:t>
      </w:r>
      <w:r>
        <w:t>25</w:t>
      </w:r>
      <w:r w:rsidR="00CF704B">
        <w:t xml:space="preserve"> </w:t>
      </w:r>
      <w:r>
        <w:t>de</w:t>
      </w:r>
      <w:r w:rsidR="00CF704B">
        <w:t xml:space="preserve"> </w:t>
      </w:r>
      <w:r>
        <w:t>outubro de</w:t>
      </w:r>
      <w:r w:rsidR="00CF704B">
        <w:t xml:space="preserve"> </w:t>
      </w:r>
      <w:r>
        <w:t xml:space="preserve">2017, que altera o Regulamento (CE) n.º 1030/2002 do Conselho que estabelece um modelo uniforme de título de residência para os nacionais de países terceiros (JO L 286 de 1.11.2017, p. 9, ELI: </w:t>
      </w:r>
      <w:hyperlink r:id="rId14" w:tooltip="Permite aceder a este documento através do seu URI ELI." w:history="1">
        <w:r>
          <w:rPr>
            <w:rStyle w:val="Hyperlink"/>
          </w:rPr>
          <w:t>http://data.europa.eu/eli/reg/2017/1954/oj</w:t>
        </w:r>
      </w:hyperlink>
      <w:r>
        <w:t>).</w:t>
      </w:r>
    </w:p>
  </w:footnote>
  <w:footnote w:id="30">
    <w:p w14:paraId="33712082" w14:textId="77777777" w:rsidR="00655120" w:rsidRPr="00C12131" w:rsidRDefault="00655120">
      <w:pPr>
        <w:pStyle w:val="FootnoteText"/>
      </w:pPr>
      <w:r>
        <w:rPr>
          <w:rStyle w:val="FootnoteReference"/>
          <w:lang w:val="en-IE"/>
        </w:rPr>
        <w:footnoteRef/>
      </w:r>
      <w:r>
        <w:tab/>
        <w:t>Regulamento (UE) 2016/679 do Parlamento Europeu e do Conselho, de</w:t>
      </w:r>
      <w:r w:rsidR="00CF704B">
        <w:t xml:space="preserve"> </w:t>
      </w:r>
      <w:r>
        <w:t>27</w:t>
      </w:r>
      <w:r w:rsidR="00CF704B">
        <w:t xml:space="preserve"> </w:t>
      </w:r>
      <w:r>
        <w:t>de</w:t>
      </w:r>
      <w:r w:rsidR="00CF704B">
        <w:t xml:space="preserve"> </w:t>
      </w:r>
      <w:r>
        <w:t>abril de</w:t>
      </w:r>
      <w:r w:rsidR="00CF704B">
        <w:t xml:space="preserve"> </w:t>
      </w:r>
      <w:r>
        <w:t xml:space="preserve">2016, relativo à proteção das pessoas singulares no que diz respeito ao tratamento de dados pessoais e à livre circulação desses dados e que revoga a Diretiva 95/46/CE (Regulamento Geral sobre a Proteção de Dados) (JO L 119 de 4.5.2016, p. 1, ELI: </w:t>
      </w:r>
      <w:hyperlink r:id="rId15" w:tooltip="Permite aceder a este documento através do seu URI ELI." w:history="1">
        <w:r>
          <w:rPr>
            <w:rStyle w:val="Hyperlink"/>
          </w:rPr>
          <w:t>http://data.europa.eu/eli/reg/2016/679/oj</w:t>
        </w:r>
      </w:hyperlink>
      <w:r>
        <w:t>).</w:t>
      </w:r>
    </w:p>
  </w:footnote>
  <w:footnote w:id="31">
    <w:p w14:paraId="15F8EB7A" w14:textId="77777777" w:rsidR="00655120" w:rsidRPr="00F87B10" w:rsidRDefault="00655120">
      <w:pPr>
        <w:pStyle w:val="FootnoteText"/>
      </w:pPr>
      <w:r>
        <w:rPr>
          <w:rStyle w:val="FootnoteReference"/>
          <w:lang w:val="en-IE"/>
        </w:rPr>
        <w:footnoteRef/>
      </w:r>
      <w:r>
        <w:tab/>
        <w:t xml:space="preserve">JO L 123 de 12.5.2016, p. 1, ELI: </w:t>
      </w:r>
      <w:hyperlink r:id="rId16" w:tooltip="Permite aceder a este documento através do seu URI ELI." w:history="1">
        <w:r>
          <w:rPr>
            <w:rStyle w:val="Hyperlink"/>
          </w:rPr>
          <w:t>http://data.europa.eu/eli/agree_interinstit/2016/512/oj</w:t>
        </w:r>
      </w:hyperlink>
      <w:r>
        <w:t>.</w:t>
      </w:r>
    </w:p>
  </w:footnote>
  <w:footnote w:id="32">
    <w:p w14:paraId="096E6F68" w14:textId="77777777" w:rsidR="00072E74" w:rsidRPr="00C12131" w:rsidRDefault="00072E74" w:rsidP="00072E74">
      <w:pPr>
        <w:pStyle w:val="FootnoteText"/>
      </w:pPr>
      <w:r>
        <w:rPr>
          <w:rStyle w:val="FootnoteReference"/>
          <w:lang w:val="en-IE"/>
        </w:rPr>
        <w:footnoteRef/>
      </w:r>
      <w:r>
        <w:tab/>
        <w:t xml:space="preserve">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 45/2001 e a Decisão n.° 1247/2002/CE (JO L 295 de 21.11.2018, p. 39, ELI: </w:t>
      </w:r>
      <w:hyperlink r:id="rId17" w:history="1">
        <w:r>
          <w:rPr>
            <w:rStyle w:val="Hyperlink"/>
          </w:rPr>
          <w:t>http://data.europa.eu/eli/reg/2018/1725/oj</w:t>
        </w:r>
      </w:hyperlink>
      <w:r>
        <w:t>).</w:t>
      </w:r>
    </w:p>
  </w:footnote>
  <w:footnote w:id="33">
    <w:p w14:paraId="6CB49237" w14:textId="77777777" w:rsidR="00072E74" w:rsidRPr="00C12131" w:rsidRDefault="00072E74" w:rsidP="00072E74">
      <w:pPr>
        <w:pStyle w:val="FootnoteText"/>
      </w:pPr>
      <w:r>
        <w:rPr>
          <w:rStyle w:val="FootnoteReference"/>
          <w:lang w:val="en-IE"/>
        </w:rPr>
        <w:footnoteRef/>
      </w:r>
      <w:r>
        <w:tab/>
        <w:t>JO C […] de […], p. […].</w:t>
      </w:r>
    </w:p>
  </w:footnote>
  <w:footnote w:id="34">
    <w:p w14:paraId="665A32FA" w14:textId="77777777" w:rsidR="00370FC9" w:rsidRPr="00C12131" w:rsidRDefault="00370FC9">
      <w:pPr>
        <w:pStyle w:val="FootnoteText"/>
      </w:pPr>
      <w:r>
        <w:rPr>
          <w:rStyle w:val="FootnoteReference"/>
          <w:lang w:val="en-IE"/>
        </w:rPr>
        <w:footnoteRef/>
      </w:r>
      <w:r>
        <w:tab/>
        <w:t>Decisão de Execução C(2018) 7767 da Comissão, de 30 de novembro de 2018, que estabelece as especificações técnicas para o modelo uniforme de título de residência para nacionais de países terceiros e que revoga a Decisão C(2002) 3069.</w:t>
      </w:r>
    </w:p>
  </w:footnote>
  <w:footnote w:id="35">
    <w:p w14:paraId="2D628959" w14:textId="77777777" w:rsidR="00DC623E" w:rsidRPr="00C12131" w:rsidRDefault="00DC623E">
      <w:pPr>
        <w:pStyle w:val="FootnoteText"/>
      </w:pPr>
      <w:r>
        <w:rPr>
          <w:rStyle w:val="FootnoteReference"/>
          <w:lang w:val="en-IE"/>
        </w:rPr>
        <w:footnoteRef/>
      </w:r>
      <w:r>
        <w:tab/>
        <w:t>Decisão de Execução C(2021) 3726 da Comissão, de 4 de junho de 2021, que altera o anexo III da Decisão de Execução C(2018) 7767 no que diz respeito à lista de referências normativas.</w:t>
      </w:r>
    </w:p>
  </w:footnote>
  <w:footnote w:id="36">
    <w:p w14:paraId="383BDDB8" w14:textId="77777777" w:rsidR="00A6584D" w:rsidRPr="00C12131" w:rsidRDefault="00A6584D">
      <w:pPr>
        <w:pStyle w:val="FootnoteText"/>
      </w:pPr>
      <w:r>
        <w:rPr>
          <w:rStyle w:val="FootnoteReference"/>
          <w:lang w:val="en-IE"/>
        </w:rPr>
        <w:footnoteRef/>
      </w:r>
      <w:r>
        <w:tab/>
        <w:t xml:space="preserve">Regulamento (UE) 2018/1724 do Parlamento Europeu e do Conselho, de 2 de outubro de 2018, relativo à criação de uma plataforma digital única para a prestação de acesso a informações, a procedimentos e a serviços de assistência e de resolução de problemas, e que altera o Regulamento (UE) n.º 1024/2012 (JO L 295 de 21.11.2018, p. 1, ELI: </w:t>
      </w:r>
      <w:hyperlink r:id="rId18" w:tooltip="Permite aceder a este documento através do seu URI ELI." w:history="1">
        <w:r>
          <w:rPr>
            <w:rStyle w:val="Hyperlink"/>
          </w:rPr>
          <w:t>http://data.europa.eu/eli/reg/2018/1724/oj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88FC" w14:textId="77777777" w:rsidR="00150DCB" w:rsidRDefault="00150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E81F" w14:textId="77777777" w:rsidR="00150DCB" w:rsidRDefault="00150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EFE98E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EDE70C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96062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368817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1"/>
  </w:num>
  <w:num w:numId="16">
    <w:abstractNumId w:val="0"/>
  </w:num>
  <w:num w:numId="17">
    <w:abstractNumId w:val="15"/>
    <w:lvlOverride w:ilvl="0">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8"/>
  </w:num>
  <w:num w:numId="29">
    <w:abstractNumId w:val="17"/>
  </w:num>
  <w:num w:numId="30">
    <w:abstractNumId w:val="7"/>
  </w:num>
  <w:num w:numId="31">
    <w:abstractNumId w:val="9"/>
  </w:num>
  <w:num w:numId="32">
    <w:abstractNumId w:val="10"/>
  </w:num>
  <w:num w:numId="33">
    <w:abstractNumId w:val="5"/>
  </w:num>
  <w:num w:numId="34">
    <w:abstractNumId w:val="16"/>
  </w:num>
  <w:num w:numId="35">
    <w:abstractNumId w:val="4"/>
  </w:num>
  <w:num w:numId="36">
    <w:abstractNumId w:val="11"/>
  </w:num>
  <w:num w:numId="37">
    <w:abstractNumId w:val="13"/>
  </w:num>
  <w:num w:numId="38">
    <w:abstractNumId w:val="14"/>
  </w:num>
  <w:num w:numId="39">
    <w:abstractNumId w:val="6"/>
  </w:num>
  <w:num w:numId="40">
    <w:abstractNumId w:val="12"/>
  </w:num>
  <w:num w:numId="41">
    <w:abstractNumId w:val="18"/>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7-19 15:12:45"/>
    <w:docVar w:name="DQCHighlighting" w:val="1"/>
    <w:docVar w:name="DQCNUMB_1" w:val="131"/>
    <w:docVar w:name="DQCNUMB_10" w:val="166"/>
    <w:docVar w:name="DQCNUMB_11" w:val="171"/>
    <w:docVar w:name="DQCNUMB_12" w:val="172"/>
    <w:docVar w:name="DQCNUMB_13" w:val="173"/>
    <w:docVar w:name="DQCNUMB_14" w:val="174"/>
    <w:docVar w:name="DQCNUMB_15" w:val="175"/>
    <w:docVar w:name="DQCNUMB_16" w:val="176"/>
    <w:docVar w:name="DQCNUMB_17" w:val="177"/>
    <w:docVar w:name="DQCNUMB_18" w:val="178"/>
    <w:docVar w:name="DQCNUMB_19" w:val="207"/>
    <w:docVar w:name="DQCNUMB_2" w:val="132"/>
    <w:docVar w:name="DQCNUMB_20" w:val="208"/>
    <w:docVar w:name="DQCNUMB_21" w:val="216"/>
    <w:docVar w:name="DQCNUMB_22" w:val="217"/>
    <w:docVar w:name="DQCNUMB_23" w:val="218"/>
    <w:docVar w:name="DQCNUMB_24" w:val="219"/>
    <w:docVar w:name="DQCNUMB_25" w:val="223"/>
    <w:docVar w:name="DQCNUMB_26" w:val="224"/>
    <w:docVar w:name="DQCNUMB_27" w:val="225"/>
    <w:docVar w:name="DQCNUMB_3" w:val="133"/>
    <w:docVar w:name="DQCNUMB_4" w:val="155"/>
    <w:docVar w:name="DQCNUMB_5" w:val="156"/>
    <w:docVar w:name="DQCNUMB_6" w:val="157"/>
    <w:docVar w:name="DQCNUMB_7" w:val="162"/>
    <w:docVar w:name="DQCNUMB_8" w:val="163"/>
    <w:docVar w:name="DQCNUMB_9" w:val="16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FB32339-9131-4CC3-B492-527173C3B5DF"/>
    <w:docVar w:name="LW_COVERPAGE_TYPE" w:val="1"/>
    <w:docVar w:name="LW_CROSSREFERENCE" w:val="&lt;UNUSED&gt;"/>
    <w:docVar w:name="LW_DocType" w:val="COM"/>
    <w:docVar w:name="LW_EMISSION" w:val="23.7.2024"/>
    <w:docVar w:name="LW_EMISSION_ISODATE" w:val="2024-07-23"/>
    <w:docVar w:name="LW_EMISSION_LOCATION" w:val="BRX"/>
    <w:docVar w:name="LW_EMISSION_PREFIX" w:val="Bruxelas,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Texto relevante para efeitos do EEE)"/>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NS"/>
    <w:docVar w:name="LW_REF.II.NEW.CP_NUMBER" w:val="0187"/>
    <w:docVar w:name="LW_REF.II.NEW.CP_YEAR" w:val="2024"/>
    <w:docVar w:name="LW_REF.INST.NEW" w:val="COM"/>
    <w:docVar w:name="LW_REF.INST.NEW_ADOPTED" w:val="final"/>
    <w:docVar w:name="LW_REF.INST.NEW_TEXT" w:val="(2024) 31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visa reforçar a segurança dos bilhetes de identidade dos cidadãos da União e dos títulos de residência emitidos aos cidadãos da União e seus familiares que exercem o direito à livre circulação"/>
    <w:docVar w:name="LW_TYPE.DOC.CP" w:val="REGULAMENTO DO CONSELHO"/>
    <w:docVar w:name="LwApiVersions" w:val="LW4CoDe 1.24.5.0; LW 9.0, Build 20240221"/>
  </w:docVars>
  <w:rsids>
    <w:rsidRoot w:val="00936104"/>
    <w:rsid w:val="00000B52"/>
    <w:rsid w:val="00003136"/>
    <w:rsid w:val="0001659E"/>
    <w:rsid w:val="00022AD3"/>
    <w:rsid w:val="000245B9"/>
    <w:rsid w:val="00025DDC"/>
    <w:rsid w:val="0003080A"/>
    <w:rsid w:val="00031F6B"/>
    <w:rsid w:val="00046AF7"/>
    <w:rsid w:val="000518D2"/>
    <w:rsid w:val="0005395E"/>
    <w:rsid w:val="000545D5"/>
    <w:rsid w:val="00056B10"/>
    <w:rsid w:val="00066F04"/>
    <w:rsid w:val="00072E74"/>
    <w:rsid w:val="00073BEC"/>
    <w:rsid w:val="000750B8"/>
    <w:rsid w:val="000828EE"/>
    <w:rsid w:val="00087D57"/>
    <w:rsid w:val="000A1EE7"/>
    <w:rsid w:val="000A376C"/>
    <w:rsid w:val="000A3789"/>
    <w:rsid w:val="000A7B9A"/>
    <w:rsid w:val="000B4E32"/>
    <w:rsid w:val="000C1732"/>
    <w:rsid w:val="000C4244"/>
    <w:rsid w:val="000E2C22"/>
    <w:rsid w:val="000F46F8"/>
    <w:rsid w:val="00100DE5"/>
    <w:rsid w:val="001065F5"/>
    <w:rsid w:val="001068C5"/>
    <w:rsid w:val="0011118E"/>
    <w:rsid w:val="00111491"/>
    <w:rsid w:val="00117503"/>
    <w:rsid w:val="001238EF"/>
    <w:rsid w:val="00136C5F"/>
    <w:rsid w:val="00150DCB"/>
    <w:rsid w:val="001610DD"/>
    <w:rsid w:val="001706E4"/>
    <w:rsid w:val="00184CEC"/>
    <w:rsid w:val="00191BEE"/>
    <w:rsid w:val="001920D5"/>
    <w:rsid w:val="00192340"/>
    <w:rsid w:val="00197613"/>
    <w:rsid w:val="001A26BD"/>
    <w:rsid w:val="001C3BE4"/>
    <w:rsid w:val="001C4763"/>
    <w:rsid w:val="001D2BAC"/>
    <w:rsid w:val="001E0920"/>
    <w:rsid w:val="001E2BAA"/>
    <w:rsid w:val="001E620E"/>
    <w:rsid w:val="001F43B6"/>
    <w:rsid w:val="001F544A"/>
    <w:rsid w:val="001F6D2C"/>
    <w:rsid w:val="0021018A"/>
    <w:rsid w:val="00223DA2"/>
    <w:rsid w:val="00227A6F"/>
    <w:rsid w:val="0023230C"/>
    <w:rsid w:val="00232787"/>
    <w:rsid w:val="00233DC7"/>
    <w:rsid w:val="00234523"/>
    <w:rsid w:val="00237D53"/>
    <w:rsid w:val="00242239"/>
    <w:rsid w:val="00247779"/>
    <w:rsid w:val="0025567F"/>
    <w:rsid w:val="002627FF"/>
    <w:rsid w:val="002639BF"/>
    <w:rsid w:val="00265745"/>
    <w:rsid w:val="00270A46"/>
    <w:rsid w:val="00282EC9"/>
    <w:rsid w:val="00285BEE"/>
    <w:rsid w:val="0029148E"/>
    <w:rsid w:val="0029533F"/>
    <w:rsid w:val="002A4A1C"/>
    <w:rsid w:val="002A5070"/>
    <w:rsid w:val="002A6A41"/>
    <w:rsid w:val="002B0DEF"/>
    <w:rsid w:val="002B30AF"/>
    <w:rsid w:val="002C0CBD"/>
    <w:rsid w:val="002D264E"/>
    <w:rsid w:val="002D5B8B"/>
    <w:rsid w:val="002D71FD"/>
    <w:rsid w:val="002E0FCF"/>
    <w:rsid w:val="002E39F8"/>
    <w:rsid w:val="002F37FE"/>
    <w:rsid w:val="00306068"/>
    <w:rsid w:val="0032345C"/>
    <w:rsid w:val="0033344A"/>
    <w:rsid w:val="0033370B"/>
    <w:rsid w:val="00342068"/>
    <w:rsid w:val="003452E5"/>
    <w:rsid w:val="00346D97"/>
    <w:rsid w:val="003561C7"/>
    <w:rsid w:val="003634F4"/>
    <w:rsid w:val="003657C1"/>
    <w:rsid w:val="00370FC9"/>
    <w:rsid w:val="00377DCC"/>
    <w:rsid w:val="00380CF3"/>
    <w:rsid w:val="003903EE"/>
    <w:rsid w:val="0039331E"/>
    <w:rsid w:val="00395F7E"/>
    <w:rsid w:val="003A2925"/>
    <w:rsid w:val="003B0408"/>
    <w:rsid w:val="003B5923"/>
    <w:rsid w:val="003C0EC0"/>
    <w:rsid w:val="003D7527"/>
    <w:rsid w:val="003E09FA"/>
    <w:rsid w:val="004006E5"/>
    <w:rsid w:val="00405A50"/>
    <w:rsid w:val="00414E20"/>
    <w:rsid w:val="0042648E"/>
    <w:rsid w:val="0042764E"/>
    <w:rsid w:val="00431699"/>
    <w:rsid w:val="00455BC3"/>
    <w:rsid w:val="00465BE2"/>
    <w:rsid w:val="00466FF2"/>
    <w:rsid w:val="00467B39"/>
    <w:rsid w:val="00475175"/>
    <w:rsid w:val="00487C7B"/>
    <w:rsid w:val="004936D2"/>
    <w:rsid w:val="004A504B"/>
    <w:rsid w:val="004A77BB"/>
    <w:rsid w:val="004B28CE"/>
    <w:rsid w:val="004B3C3A"/>
    <w:rsid w:val="004B6001"/>
    <w:rsid w:val="004C0A8A"/>
    <w:rsid w:val="004C0D6E"/>
    <w:rsid w:val="004D0A8B"/>
    <w:rsid w:val="004D6B51"/>
    <w:rsid w:val="004E32A1"/>
    <w:rsid w:val="004E73AC"/>
    <w:rsid w:val="004E7D03"/>
    <w:rsid w:val="004F202E"/>
    <w:rsid w:val="00502736"/>
    <w:rsid w:val="00512AC3"/>
    <w:rsid w:val="00515185"/>
    <w:rsid w:val="00522102"/>
    <w:rsid w:val="00526BF9"/>
    <w:rsid w:val="005324E5"/>
    <w:rsid w:val="00550836"/>
    <w:rsid w:val="00560871"/>
    <w:rsid w:val="00563127"/>
    <w:rsid w:val="00573AB4"/>
    <w:rsid w:val="00575819"/>
    <w:rsid w:val="0059524A"/>
    <w:rsid w:val="005B1EB6"/>
    <w:rsid w:val="005B1F8F"/>
    <w:rsid w:val="005B20FD"/>
    <w:rsid w:val="005B67E3"/>
    <w:rsid w:val="005C48EA"/>
    <w:rsid w:val="005D1349"/>
    <w:rsid w:val="005D31F1"/>
    <w:rsid w:val="005D4A47"/>
    <w:rsid w:val="005E29B0"/>
    <w:rsid w:val="005F6B30"/>
    <w:rsid w:val="005F6C26"/>
    <w:rsid w:val="006306A4"/>
    <w:rsid w:val="006364B6"/>
    <w:rsid w:val="006428C7"/>
    <w:rsid w:val="00650360"/>
    <w:rsid w:val="00655120"/>
    <w:rsid w:val="00663E3E"/>
    <w:rsid w:val="006652E2"/>
    <w:rsid w:val="006709E9"/>
    <w:rsid w:val="00674B58"/>
    <w:rsid w:val="00692CD8"/>
    <w:rsid w:val="006942AC"/>
    <w:rsid w:val="00696654"/>
    <w:rsid w:val="006B1F77"/>
    <w:rsid w:val="006B2216"/>
    <w:rsid w:val="006B492C"/>
    <w:rsid w:val="006C1378"/>
    <w:rsid w:val="006D258E"/>
    <w:rsid w:val="006E3C6B"/>
    <w:rsid w:val="00704DB0"/>
    <w:rsid w:val="00706A8F"/>
    <w:rsid w:val="0071065C"/>
    <w:rsid w:val="007113C7"/>
    <w:rsid w:val="00712C8C"/>
    <w:rsid w:val="00725E60"/>
    <w:rsid w:val="00732233"/>
    <w:rsid w:val="00736DB4"/>
    <w:rsid w:val="0074181A"/>
    <w:rsid w:val="0074527A"/>
    <w:rsid w:val="00745C2A"/>
    <w:rsid w:val="00753EEA"/>
    <w:rsid w:val="007544CE"/>
    <w:rsid w:val="00763212"/>
    <w:rsid w:val="00766CC2"/>
    <w:rsid w:val="00773331"/>
    <w:rsid w:val="0077543F"/>
    <w:rsid w:val="00782ED1"/>
    <w:rsid w:val="00791B9F"/>
    <w:rsid w:val="007932EF"/>
    <w:rsid w:val="007A3E52"/>
    <w:rsid w:val="007C2B35"/>
    <w:rsid w:val="007C401D"/>
    <w:rsid w:val="007D2115"/>
    <w:rsid w:val="007D2F90"/>
    <w:rsid w:val="007E05B0"/>
    <w:rsid w:val="007E5BF0"/>
    <w:rsid w:val="007E6BED"/>
    <w:rsid w:val="007F2AD0"/>
    <w:rsid w:val="008014D7"/>
    <w:rsid w:val="0080349A"/>
    <w:rsid w:val="00805CCE"/>
    <w:rsid w:val="00805F2C"/>
    <w:rsid w:val="008128CA"/>
    <w:rsid w:val="00827B5A"/>
    <w:rsid w:val="00835FB2"/>
    <w:rsid w:val="008434D5"/>
    <w:rsid w:val="00844EA0"/>
    <w:rsid w:val="00846458"/>
    <w:rsid w:val="00847D6C"/>
    <w:rsid w:val="008507DF"/>
    <w:rsid w:val="008515E8"/>
    <w:rsid w:val="0085522F"/>
    <w:rsid w:val="00864047"/>
    <w:rsid w:val="00867B92"/>
    <w:rsid w:val="008739F0"/>
    <w:rsid w:val="00874ABE"/>
    <w:rsid w:val="00874D22"/>
    <w:rsid w:val="00875DD3"/>
    <w:rsid w:val="00877DC8"/>
    <w:rsid w:val="0088557E"/>
    <w:rsid w:val="008953E2"/>
    <w:rsid w:val="008A118F"/>
    <w:rsid w:val="008A2914"/>
    <w:rsid w:val="008A556E"/>
    <w:rsid w:val="008C26A0"/>
    <w:rsid w:val="008C5AF8"/>
    <w:rsid w:val="008D08CD"/>
    <w:rsid w:val="008D3113"/>
    <w:rsid w:val="008D5143"/>
    <w:rsid w:val="008E4D8E"/>
    <w:rsid w:val="008E5B82"/>
    <w:rsid w:val="008F1EF6"/>
    <w:rsid w:val="008F50E2"/>
    <w:rsid w:val="009016F0"/>
    <w:rsid w:val="009053F1"/>
    <w:rsid w:val="009118E6"/>
    <w:rsid w:val="00917ADC"/>
    <w:rsid w:val="009204AD"/>
    <w:rsid w:val="00923348"/>
    <w:rsid w:val="00927130"/>
    <w:rsid w:val="009344EA"/>
    <w:rsid w:val="00936104"/>
    <w:rsid w:val="00940012"/>
    <w:rsid w:val="00941388"/>
    <w:rsid w:val="009419CA"/>
    <w:rsid w:val="00942B1F"/>
    <w:rsid w:val="00947538"/>
    <w:rsid w:val="00953B22"/>
    <w:rsid w:val="00954C04"/>
    <w:rsid w:val="009551AF"/>
    <w:rsid w:val="00955D5C"/>
    <w:rsid w:val="009561F1"/>
    <w:rsid w:val="00972B87"/>
    <w:rsid w:val="00972EB5"/>
    <w:rsid w:val="009761DC"/>
    <w:rsid w:val="009825E1"/>
    <w:rsid w:val="00984F18"/>
    <w:rsid w:val="00985B3B"/>
    <w:rsid w:val="00991AB5"/>
    <w:rsid w:val="00992578"/>
    <w:rsid w:val="009930AA"/>
    <w:rsid w:val="00994E46"/>
    <w:rsid w:val="00995283"/>
    <w:rsid w:val="009978E6"/>
    <w:rsid w:val="009B2D03"/>
    <w:rsid w:val="009B577F"/>
    <w:rsid w:val="009B7C82"/>
    <w:rsid w:val="009D1A0C"/>
    <w:rsid w:val="009E22B0"/>
    <w:rsid w:val="009F4DB1"/>
    <w:rsid w:val="009F69BB"/>
    <w:rsid w:val="00A06707"/>
    <w:rsid w:val="00A06FCE"/>
    <w:rsid w:val="00A108E6"/>
    <w:rsid w:val="00A10F42"/>
    <w:rsid w:val="00A126AC"/>
    <w:rsid w:val="00A16570"/>
    <w:rsid w:val="00A27430"/>
    <w:rsid w:val="00A320C8"/>
    <w:rsid w:val="00A365B0"/>
    <w:rsid w:val="00A37197"/>
    <w:rsid w:val="00A52CBD"/>
    <w:rsid w:val="00A545D9"/>
    <w:rsid w:val="00A6584D"/>
    <w:rsid w:val="00A84E5B"/>
    <w:rsid w:val="00AA06A1"/>
    <w:rsid w:val="00AB5F29"/>
    <w:rsid w:val="00AC1B33"/>
    <w:rsid w:val="00AC447E"/>
    <w:rsid w:val="00AC680E"/>
    <w:rsid w:val="00AC7F81"/>
    <w:rsid w:val="00AD4B20"/>
    <w:rsid w:val="00AE3398"/>
    <w:rsid w:val="00AE5B29"/>
    <w:rsid w:val="00AE7291"/>
    <w:rsid w:val="00AF3B3F"/>
    <w:rsid w:val="00AF3E25"/>
    <w:rsid w:val="00B026A0"/>
    <w:rsid w:val="00B058B2"/>
    <w:rsid w:val="00B16C85"/>
    <w:rsid w:val="00B2488B"/>
    <w:rsid w:val="00B42F55"/>
    <w:rsid w:val="00B67291"/>
    <w:rsid w:val="00B70107"/>
    <w:rsid w:val="00B72E86"/>
    <w:rsid w:val="00B7710F"/>
    <w:rsid w:val="00B806E0"/>
    <w:rsid w:val="00B8638C"/>
    <w:rsid w:val="00B95219"/>
    <w:rsid w:val="00BA174B"/>
    <w:rsid w:val="00BA52A9"/>
    <w:rsid w:val="00BA72F1"/>
    <w:rsid w:val="00BA78D8"/>
    <w:rsid w:val="00BB0E39"/>
    <w:rsid w:val="00BD3E8F"/>
    <w:rsid w:val="00BD45CC"/>
    <w:rsid w:val="00BE262D"/>
    <w:rsid w:val="00C03C03"/>
    <w:rsid w:val="00C0784F"/>
    <w:rsid w:val="00C12131"/>
    <w:rsid w:val="00C12301"/>
    <w:rsid w:val="00C12D54"/>
    <w:rsid w:val="00C14EBF"/>
    <w:rsid w:val="00C16743"/>
    <w:rsid w:val="00C32BF3"/>
    <w:rsid w:val="00C45663"/>
    <w:rsid w:val="00C5639D"/>
    <w:rsid w:val="00C650BA"/>
    <w:rsid w:val="00C66C0E"/>
    <w:rsid w:val="00C855EE"/>
    <w:rsid w:val="00C877C5"/>
    <w:rsid w:val="00CA3028"/>
    <w:rsid w:val="00CA4AAA"/>
    <w:rsid w:val="00CB3F1B"/>
    <w:rsid w:val="00CB6D30"/>
    <w:rsid w:val="00CC334A"/>
    <w:rsid w:val="00CC4C52"/>
    <w:rsid w:val="00CE41F1"/>
    <w:rsid w:val="00CE4AAB"/>
    <w:rsid w:val="00CF0480"/>
    <w:rsid w:val="00CF2326"/>
    <w:rsid w:val="00CF704B"/>
    <w:rsid w:val="00CF75C0"/>
    <w:rsid w:val="00D01C22"/>
    <w:rsid w:val="00D04556"/>
    <w:rsid w:val="00D10531"/>
    <w:rsid w:val="00D20087"/>
    <w:rsid w:val="00D20381"/>
    <w:rsid w:val="00D224D9"/>
    <w:rsid w:val="00D23D06"/>
    <w:rsid w:val="00D25975"/>
    <w:rsid w:val="00D2623C"/>
    <w:rsid w:val="00D305B5"/>
    <w:rsid w:val="00D31B40"/>
    <w:rsid w:val="00D3516D"/>
    <w:rsid w:val="00D44768"/>
    <w:rsid w:val="00D455FD"/>
    <w:rsid w:val="00D519A3"/>
    <w:rsid w:val="00D543BA"/>
    <w:rsid w:val="00D54AE4"/>
    <w:rsid w:val="00D6443B"/>
    <w:rsid w:val="00D66031"/>
    <w:rsid w:val="00D66D41"/>
    <w:rsid w:val="00D81E80"/>
    <w:rsid w:val="00D82F6C"/>
    <w:rsid w:val="00D908FE"/>
    <w:rsid w:val="00D91D24"/>
    <w:rsid w:val="00DC23CD"/>
    <w:rsid w:val="00DC31B5"/>
    <w:rsid w:val="00DC623E"/>
    <w:rsid w:val="00DC6CEC"/>
    <w:rsid w:val="00DE26FC"/>
    <w:rsid w:val="00DE7527"/>
    <w:rsid w:val="00DF45B6"/>
    <w:rsid w:val="00DF6F75"/>
    <w:rsid w:val="00E021A1"/>
    <w:rsid w:val="00E03538"/>
    <w:rsid w:val="00E03CE8"/>
    <w:rsid w:val="00E13A79"/>
    <w:rsid w:val="00E15E21"/>
    <w:rsid w:val="00E325BF"/>
    <w:rsid w:val="00E32B65"/>
    <w:rsid w:val="00E33DF4"/>
    <w:rsid w:val="00E44DBF"/>
    <w:rsid w:val="00E465D8"/>
    <w:rsid w:val="00E51C31"/>
    <w:rsid w:val="00E54D85"/>
    <w:rsid w:val="00E747BC"/>
    <w:rsid w:val="00E7781C"/>
    <w:rsid w:val="00E77B23"/>
    <w:rsid w:val="00E81203"/>
    <w:rsid w:val="00E85C2D"/>
    <w:rsid w:val="00E86DBE"/>
    <w:rsid w:val="00E94208"/>
    <w:rsid w:val="00E94D39"/>
    <w:rsid w:val="00EA0338"/>
    <w:rsid w:val="00EA3A05"/>
    <w:rsid w:val="00EA51AF"/>
    <w:rsid w:val="00EA7966"/>
    <w:rsid w:val="00EB4509"/>
    <w:rsid w:val="00EC0AC1"/>
    <w:rsid w:val="00EC3B9A"/>
    <w:rsid w:val="00EC4774"/>
    <w:rsid w:val="00EC5D62"/>
    <w:rsid w:val="00EC69DC"/>
    <w:rsid w:val="00ED2F09"/>
    <w:rsid w:val="00ED352B"/>
    <w:rsid w:val="00ED5214"/>
    <w:rsid w:val="00EE4247"/>
    <w:rsid w:val="00EE4C28"/>
    <w:rsid w:val="00EE5FE7"/>
    <w:rsid w:val="00F00B8B"/>
    <w:rsid w:val="00F05CFD"/>
    <w:rsid w:val="00F10715"/>
    <w:rsid w:val="00F36ABF"/>
    <w:rsid w:val="00F4251B"/>
    <w:rsid w:val="00F61959"/>
    <w:rsid w:val="00F6566F"/>
    <w:rsid w:val="00F80309"/>
    <w:rsid w:val="00F87B10"/>
    <w:rsid w:val="00F90E6D"/>
    <w:rsid w:val="00FA3C7E"/>
    <w:rsid w:val="00FA454B"/>
    <w:rsid w:val="00FA50E1"/>
    <w:rsid w:val="00FB05ED"/>
    <w:rsid w:val="00FB2B73"/>
    <w:rsid w:val="00FC38F8"/>
    <w:rsid w:val="00FC3B18"/>
    <w:rsid w:val="00FD3AEB"/>
    <w:rsid w:val="00FE014B"/>
    <w:rsid w:val="00FE1F8C"/>
    <w:rsid w:val="00FE6ADA"/>
    <w:rsid w:val="00FF0070"/>
    <w:rsid w:val="1E66B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624A7B"/>
  <w15:docId w15:val="{B337AACD-ED39-4F30-8253-958E59CD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E74"/>
    <w:rPr>
      <w:color w:val="0000FF"/>
      <w:u w:val="single"/>
    </w:rPr>
  </w:style>
  <w:style w:type="character" w:customStyle="1" w:styleId="oj-super">
    <w:name w:val="oj-super"/>
    <w:basedOn w:val="DefaultParagraphFont"/>
    <w:rsid w:val="00072E74"/>
  </w:style>
  <w:style w:type="paragraph" w:customStyle="1" w:styleId="CharCharChar1">
    <w:name w:val="Char Char Char1"/>
    <w:basedOn w:val="Normal"/>
    <w:link w:val="FootnoteReference"/>
    <w:uiPriority w:val="99"/>
    <w:rsid w:val="00072E74"/>
    <w:pPr>
      <w:spacing w:before="0" w:after="160" w:line="240" w:lineRule="exact"/>
    </w:pPr>
    <w:rPr>
      <w:rFonts w:asciiTheme="minorHAnsi" w:hAnsiTheme="minorHAnsi" w:cstheme="minorBidi"/>
      <w:sz w:val="22"/>
      <w:vertAlign w:val="superscript"/>
    </w:rPr>
  </w:style>
  <w:style w:type="paragraph" w:styleId="Revision">
    <w:name w:val="Revision"/>
    <w:hidden/>
    <w:uiPriority w:val="99"/>
    <w:semiHidden/>
    <w:rsid w:val="00072E74"/>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1C4763"/>
    <w:rPr>
      <w:sz w:val="16"/>
      <w:szCs w:val="16"/>
    </w:rPr>
  </w:style>
  <w:style w:type="paragraph" w:styleId="CommentText">
    <w:name w:val="annotation text"/>
    <w:basedOn w:val="Normal"/>
    <w:link w:val="CommentTextChar"/>
    <w:uiPriority w:val="99"/>
    <w:unhideWhenUsed/>
    <w:rsid w:val="001C4763"/>
    <w:rPr>
      <w:sz w:val="20"/>
      <w:szCs w:val="20"/>
    </w:rPr>
  </w:style>
  <w:style w:type="character" w:customStyle="1" w:styleId="CommentTextChar">
    <w:name w:val="Comment Text Char"/>
    <w:basedOn w:val="DefaultParagraphFont"/>
    <w:link w:val="CommentText"/>
    <w:uiPriority w:val="99"/>
    <w:rsid w:val="001C4763"/>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1C4763"/>
    <w:rPr>
      <w:b/>
      <w:bCs/>
    </w:rPr>
  </w:style>
  <w:style w:type="character" w:customStyle="1" w:styleId="CommentSubjectChar">
    <w:name w:val="Comment Subject Char"/>
    <w:basedOn w:val="CommentTextChar"/>
    <w:link w:val="CommentSubject"/>
    <w:uiPriority w:val="99"/>
    <w:semiHidden/>
    <w:rsid w:val="001C4763"/>
    <w:rPr>
      <w:rFonts w:ascii="Times New Roman" w:hAnsi="Times New Roman" w:cs="Times New Roman"/>
      <w:b/>
      <w:bCs/>
      <w:sz w:val="20"/>
      <w:szCs w:val="20"/>
      <w:lang w:val="pt-PT"/>
    </w:rPr>
  </w:style>
  <w:style w:type="character" w:customStyle="1" w:styleId="UnresolvedMention">
    <w:name w:val="Unresolved Mention"/>
    <w:basedOn w:val="DefaultParagraphFont"/>
    <w:uiPriority w:val="99"/>
    <w:semiHidden/>
    <w:unhideWhenUsed/>
    <w:rsid w:val="001C4763"/>
    <w:rPr>
      <w:color w:val="605E5C"/>
      <w:shd w:val="clear" w:color="auto" w:fill="E1DFDD"/>
    </w:rPr>
  </w:style>
  <w:style w:type="paragraph" w:customStyle="1" w:styleId="numal">
    <w:name w:val="numal"/>
    <w:basedOn w:val="Normal"/>
    <w:rsid w:val="002B0DEF"/>
  </w:style>
  <w:style w:type="character" w:customStyle="1" w:styleId="outputecli">
    <w:name w:val="outputecli"/>
    <w:basedOn w:val="DefaultParagraphFont"/>
    <w:rsid w:val="00A52CBD"/>
  </w:style>
  <w:style w:type="paragraph" w:styleId="ListBullet">
    <w:name w:val="List Bullet"/>
    <w:basedOn w:val="Normal"/>
    <w:uiPriority w:val="99"/>
    <w:semiHidden/>
    <w:unhideWhenUsed/>
    <w:rsid w:val="00827B5A"/>
    <w:pPr>
      <w:numPr>
        <w:numId w:val="13"/>
      </w:numPr>
      <w:contextualSpacing/>
    </w:pPr>
  </w:style>
  <w:style w:type="paragraph" w:styleId="ListBullet2">
    <w:name w:val="List Bullet 2"/>
    <w:basedOn w:val="Normal"/>
    <w:uiPriority w:val="99"/>
    <w:semiHidden/>
    <w:unhideWhenUsed/>
    <w:rsid w:val="00827B5A"/>
    <w:pPr>
      <w:numPr>
        <w:numId w:val="14"/>
      </w:numPr>
      <w:contextualSpacing/>
    </w:pPr>
  </w:style>
  <w:style w:type="paragraph" w:styleId="ListBullet3">
    <w:name w:val="List Bullet 3"/>
    <w:basedOn w:val="Normal"/>
    <w:uiPriority w:val="99"/>
    <w:semiHidden/>
    <w:unhideWhenUsed/>
    <w:rsid w:val="00827B5A"/>
    <w:pPr>
      <w:numPr>
        <w:numId w:val="15"/>
      </w:numPr>
      <w:contextualSpacing/>
    </w:pPr>
  </w:style>
  <w:style w:type="paragraph" w:styleId="ListBullet4">
    <w:name w:val="List Bullet 4"/>
    <w:basedOn w:val="Normal"/>
    <w:uiPriority w:val="99"/>
    <w:semiHidden/>
    <w:unhideWhenUsed/>
    <w:rsid w:val="00827B5A"/>
    <w:pPr>
      <w:numPr>
        <w:numId w:val="16"/>
      </w:numPr>
      <w:contextualSpacing/>
    </w:pPr>
  </w:style>
  <w:style w:type="paragraph" w:styleId="ListParagraph">
    <w:name w:val="List Paragraph"/>
    <w:basedOn w:val="Normal"/>
    <w:uiPriority w:val="34"/>
    <w:qFormat/>
    <w:rsid w:val="008F50E2"/>
    <w:pPr>
      <w:ind w:left="720"/>
      <w:contextualSpacing/>
    </w:pPr>
  </w:style>
  <w:style w:type="character" w:styleId="FollowedHyperlink">
    <w:name w:val="FollowedHyperlink"/>
    <w:basedOn w:val="DefaultParagraphFont"/>
    <w:uiPriority w:val="99"/>
    <w:semiHidden/>
    <w:unhideWhenUsed/>
    <w:rsid w:val="00984F18"/>
    <w:rPr>
      <w:color w:val="800080" w:themeColor="followedHyperlink"/>
      <w:u w:val="single"/>
    </w:rPr>
  </w:style>
  <w:style w:type="character" w:customStyle="1" w:styleId="HeaderChar">
    <w:name w:val="Header Char"/>
    <w:basedOn w:val="DefaultParagraphFont"/>
    <w:link w:val="Header"/>
    <w:uiPriority w:val="99"/>
    <w:rsid w:val="00150DCB"/>
    <w:rPr>
      <w:rFonts w:ascii="Times New Roman" w:hAnsi="Times New Roman" w:cs="Times New Roman"/>
      <w:sz w:val="24"/>
      <w:lang w:val="pt-PT"/>
    </w:rPr>
  </w:style>
  <w:style w:type="character" w:customStyle="1" w:styleId="FooterChar">
    <w:name w:val="Footer Char"/>
    <w:basedOn w:val="DefaultParagraphFont"/>
    <w:link w:val="Footer"/>
    <w:uiPriority w:val="99"/>
    <w:rsid w:val="00150DCB"/>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150DC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50DCB"/>
    <w:pPr>
      <w:spacing w:before="0"/>
      <w:jc w:val="right"/>
    </w:pPr>
    <w:rPr>
      <w:sz w:val="28"/>
    </w:rPr>
  </w:style>
  <w:style w:type="paragraph" w:customStyle="1" w:styleId="FooterSensitivity">
    <w:name w:val="Footer Sensitivity"/>
    <w:basedOn w:val="Normal"/>
    <w:rsid w:val="00150DC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50DCB"/>
    <w:pPr>
      <w:tabs>
        <w:tab w:val="center" w:pos="4535"/>
        <w:tab w:val="right" w:pos="9071"/>
      </w:tabs>
      <w:spacing w:before="0"/>
    </w:pPr>
  </w:style>
  <w:style w:type="paragraph" w:customStyle="1" w:styleId="HeaderLandscape">
    <w:name w:val="HeaderLandscape"/>
    <w:basedOn w:val="Normal"/>
    <w:rsid w:val="00150DCB"/>
    <w:pPr>
      <w:tabs>
        <w:tab w:val="center" w:pos="7285"/>
        <w:tab w:val="right" w:pos="14003"/>
      </w:tabs>
      <w:spacing w:before="0"/>
    </w:pPr>
  </w:style>
  <w:style w:type="paragraph" w:styleId="Footer">
    <w:name w:val="footer"/>
    <w:basedOn w:val="Normal"/>
    <w:link w:val="FooterChar"/>
    <w:uiPriority w:val="99"/>
    <w:unhideWhenUsed/>
    <w:rsid w:val="00150DC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50DC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9612">
      <w:bodyDiv w:val="1"/>
      <w:marLeft w:val="0"/>
      <w:marRight w:val="0"/>
      <w:marTop w:val="0"/>
      <w:marBottom w:val="0"/>
      <w:divBdr>
        <w:top w:val="none" w:sz="0" w:space="0" w:color="auto"/>
        <w:left w:val="none" w:sz="0" w:space="0" w:color="auto"/>
        <w:bottom w:val="none" w:sz="0" w:space="0" w:color="auto"/>
        <w:right w:val="none" w:sz="0" w:space="0" w:color="auto"/>
      </w:divBdr>
    </w:div>
    <w:div w:id="103236279">
      <w:bodyDiv w:val="1"/>
      <w:marLeft w:val="0"/>
      <w:marRight w:val="0"/>
      <w:marTop w:val="0"/>
      <w:marBottom w:val="0"/>
      <w:divBdr>
        <w:top w:val="none" w:sz="0" w:space="0" w:color="auto"/>
        <w:left w:val="none" w:sz="0" w:space="0" w:color="auto"/>
        <w:bottom w:val="none" w:sz="0" w:space="0" w:color="auto"/>
        <w:right w:val="none" w:sz="0" w:space="0" w:color="auto"/>
      </w:divBdr>
    </w:div>
    <w:div w:id="154499057">
      <w:bodyDiv w:val="1"/>
      <w:marLeft w:val="0"/>
      <w:marRight w:val="0"/>
      <w:marTop w:val="0"/>
      <w:marBottom w:val="0"/>
      <w:divBdr>
        <w:top w:val="none" w:sz="0" w:space="0" w:color="auto"/>
        <w:left w:val="none" w:sz="0" w:space="0" w:color="auto"/>
        <w:bottom w:val="none" w:sz="0" w:space="0" w:color="auto"/>
        <w:right w:val="none" w:sz="0" w:space="0" w:color="auto"/>
      </w:divBdr>
    </w:div>
    <w:div w:id="172499903">
      <w:bodyDiv w:val="1"/>
      <w:marLeft w:val="0"/>
      <w:marRight w:val="0"/>
      <w:marTop w:val="0"/>
      <w:marBottom w:val="0"/>
      <w:divBdr>
        <w:top w:val="none" w:sz="0" w:space="0" w:color="auto"/>
        <w:left w:val="none" w:sz="0" w:space="0" w:color="auto"/>
        <w:bottom w:val="none" w:sz="0" w:space="0" w:color="auto"/>
        <w:right w:val="none" w:sz="0" w:space="0" w:color="auto"/>
      </w:divBdr>
    </w:div>
    <w:div w:id="210843759">
      <w:bodyDiv w:val="1"/>
      <w:marLeft w:val="0"/>
      <w:marRight w:val="0"/>
      <w:marTop w:val="0"/>
      <w:marBottom w:val="0"/>
      <w:divBdr>
        <w:top w:val="none" w:sz="0" w:space="0" w:color="auto"/>
        <w:left w:val="none" w:sz="0" w:space="0" w:color="auto"/>
        <w:bottom w:val="none" w:sz="0" w:space="0" w:color="auto"/>
        <w:right w:val="none" w:sz="0" w:space="0" w:color="auto"/>
      </w:divBdr>
      <w:divsChild>
        <w:div w:id="588588957">
          <w:marLeft w:val="0"/>
          <w:marRight w:val="0"/>
          <w:marTop w:val="0"/>
          <w:marBottom w:val="0"/>
          <w:divBdr>
            <w:top w:val="none" w:sz="0" w:space="0" w:color="auto"/>
            <w:left w:val="none" w:sz="0" w:space="0" w:color="auto"/>
            <w:bottom w:val="none" w:sz="0" w:space="0" w:color="auto"/>
            <w:right w:val="none" w:sz="0" w:space="0" w:color="auto"/>
          </w:divBdr>
        </w:div>
        <w:div w:id="1372848208">
          <w:marLeft w:val="0"/>
          <w:marRight w:val="0"/>
          <w:marTop w:val="0"/>
          <w:marBottom w:val="0"/>
          <w:divBdr>
            <w:top w:val="none" w:sz="0" w:space="0" w:color="auto"/>
            <w:left w:val="none" w:sz="0" w:space="0" w:color="auto"/>
            <w:bottom w:val="none" w:sz="0" w:space="0" w:color="auto"/>
            <w:right w:val="none" w:sz="0" w:space="0" w:color="auto"/>
          </w:divBdr>
        </w:div>
      </w:divsChild>
    </w:div>
    <w:div w:id="440884824">
      <w:bodyDiv w:val="1"/>
      <w:marLeft w:val="0"/>
      <w:marRight w:val="0"/>
      <w:marTop w:val="0"/>
      <w:marBottom w:val="0"/>
      <w:divBdr>
        <w:top w:val="none" w:sz="0" w:space="0" w:color="auto"/>
        <w:left w:val="none" w:sz="0" w:space="0" w:color="auto"/>
        <w:bottom w:val="none" w:sz="0" w:space="0" w:color="auto"/>
        <w:right w:val="none" w:sz="0" w:space="0" w:color="auto"/>
      </w:divBdr>
      <w:divsChild>
        <w:div w:id="1178884831">
          <w:marLeft w:val="0"/>
          <w:marRight w:val="0"/>
          <w:marTop w:val="0"/>
          <w:marBottom w:val="0"/>
          <w:divBdr>
            <w:top w:val="none" w:sz="0" w:space="0" w:color="auto"/>
            <w:left w:val="none" w:sz="0" w:space="0" w:color="auto"/>
            <w:bottom w:val="none" w:sz="0" w:space="0" w:color="auto"/>
            <w:right w:val="none" w:sz="0" w:space="0" w:color="auto"/>
          </w:divBdr>
        </w:div>
        <w:div w:id="638997306">
          <w:marLeft w:val="0"/>
          <w:marRight w:val="0"/>
          <w:marTop w:val="0"/>
          <w:marBottom w:val="0"/>
          <w:divBdr>
            <w:top w:val="none" w:sz="0" w:space="0" w:color="auto"/>
            <w:left w:val="none" w:sz="0" w:space="0" w:color="auto"/>
            <w:bottom w:val="none" w:sz="0" w:space="0" w:color="auto"/>
            <w:right w:val="none" w:sz="0" w:space="0" w:color="auto"/>
          </w:divBdr>
        </w:div>
        <w:div w:id="24644259">
          <w:marLeft w:val="0"/>
          <w:marRight w:val="0"/>
          <w:marTop w:val="0"/>
          <w:marBottom w:val="0"/>
          <w:divBdr>
            <w:top w:val="none" w:sz="0" w:space="0" w:color="auto"/>
            <w:left w:val="none" w:sz="0" w:space="0" w:color="auto"/>
            <w:bottom w:val="none" w:sz="0" w:space="0" w:color="auto"/>
            <w:right w:val="none" w:sz="0" w:space="0" w:color="auto"/>
          </w:divBdr>
        </w:div>
      </w:divsChild>
    </w:div>
    <w:div w:id="455955919">
      <w:bodyDiv w:val="1"/>
      <w:marLeft w:val="0"/>
      <w:marRight w:val="0"/>
      <w:marTop w:val="0"/>
      <w:marBottom w:val="0"/>
      <w:divBdr>
        <w:top w:val="none" w:sz="0" w:space="0" w:color="auto"/>
        <w:left w:val="none" w:sz="0" w:space="0" w:color="auto"/>
        <w:bottom w:val="none" w:sz="0" w:space="0" w:color="auto"/>
        <w:right w:val="none" w:sz="0" w:space="0" w:color="auto"/>
      </w:divBdr>
    </w:div>
    <w:div w:id="821657083">
      <w:bodyDiv w:val="1"/>
      <w:marLeft w:val="0"/>
      <w:marRight w:val="0"/>
      <w:marTop w:val="0"/>
      <w:marBottom w:val="0"/>
      <w:divBdr>
        <w:top w:val="none" w:sz="0" w:space="0" w:color="auto"/>
        <w:left w:val="none" w:sz="0" w:space="0" w:color="auto"/>
        <w:bottom w:val="none" w:sz="0" w:space="0" w:color="auto"/>
        <w:right w:val="none" w:sz="0" w:space="0" w:color="auto"/>
      </w:divBdr>
    </w:div>
    <w:div w:id="1017119873">
      <w:bodyDiv w:val="1"/>
      <w:marLeft w:val="0"/>
      <w:marRight w:val="0"/>
      <w:marTop w:val="0"/>
      <w:marBottom w:val="0"/>
      <w:divBdr>
        <w:top w:val="none" w:sz="0" w:space="0" w:color="auto"/>
        <w:left w:val="none" w:sz="0" w:space="0" w:color="auto"/>
        <w:bottom w:val="none" w:sz="0" w:space="0" w:color="auto"/>
        <w:right w:val="none" w:sz="0" w:space="0" w:color="auto"/>
      </w:divBdr>
      <w:divsChild>
        <w:div w:id="494806915">
          <w:marLeft w:val="0"/>
          <w:marRight w:val="0"/>
          <w:marTop w:val="0"/>
          <w:marBottom w:val="0"/>
          <w:divBdr>
            <w:top w:val="none" w:sz="0" w:space="0" w:color="auto"/>
            <w:left w:val="none" w:sz="0" w:space="0" w:color="auto"/>
            <w:bottom w:val="none" w:sz="0" w:space="0" w:color="auto"/>
            <w:right w:val="none" w:sz="0" w:space="0" w:color="auto"/>
          </w:divBdr>
          <w:divsChild>
            <w:div w:id="1790976816">
              <w:marLeft w:val="0"/>
              <w:marRight w:val="0"/>
              <w:marTop w:val="0"/>
              <w:marBottom w:val="0"/>
              <w:divBdr>
                <w:top w:val="none" w:sz="0" w:space="0" w:color="auto"/>
                <w:left w:val="none" w:sz="0" w:space="0" w:color="auto"/>
                <w:bottom w:val="none" w:sz="0" w:space="0" w:color="auto"/>
                <w:right w:val="none" w:sz="0" w:space="0" w:color="auto"/>
              </w:divBdr>
            </w:div>
            <w:div w:id="2033220314">
              <w:marLeft w:val="0"/>
              <w:marRight w:val="0"/>
              <w:marTop w:val="0"/>
              <w:marBottom w:val="0"/>
              <w:divBdr>
                <w:top w:val="none" w:sz="0" w:space="0" w:color="auto"/>
                <w:left w:val="none" w:sz="0" w:space="0" w:color="auto"/>
                <w:bottom w:val="none" w:sz="0" w:space="0" w:color="auto"/>
                <w:right w:val="none" w:sz="0" w:space="0" w:color="auto"/>
              </w:divBdr>
            </w:div>
            <w:div w:id="475418181">
              <w:marLeft w:val="0"/>
              <w:marRight w:val="0"/>
              <w:marTop w:val="0"/>
              <w:marBottom w:val="0"/>
              <w:divBdr>
                <w:top w:val="none" w:sz="0" w:space="0" w:color="auto"/>
                <w:left w:val="none" w:sz="0" w:space="0" w:color="auto"/>
                <w:bottom w:val="none" w:sz="0" w:space="0" w:color="auto"/>
                <w:right w:val="none" w:sz="0" w:space="0" w:color="auto"/>
              </w:divBdr>
            </w:div>
            <w:div w:id="1291933252">
              <w:marLeft w:val="0"/>
              <w:marRight w:val="0"/>
              <w:marTop w:val="0"/>
              <w:marBottom w:val="0"/>
              <w:divBdr>
                <w:top w:val="none" w:sz="0" w:space="0" w:color="auto"/>
                <w:left w:val="none" w:sz="0" w:space="0" w:color="auto"/>
                <w:bottom w:val="none" w:sz="0" w:space="0" w:color="auto"/>
                <w:right w:val="none" w:sz="0" w:space="0" w:color="auto"/>
              </w:divBdr>
            </w:div>
          </w:divsChild>
        </w:div>
        <w:div w:id="488252493">
          <w:marLeft w:val="0"/>
          <w:marRight w:val="0"/>
          <w:marTop w:val="0"/>
          <w:marBottom w:val="0"/>
          <w:divBdr>
            <w:top w:val="none" w:sz="0" w:space="0" w:color="auto"/>
            <w:left w:val="none" w:sz="0" w:space="0" w:color="auto"/>
            <w:bottom w:val="none" w:sz="0" w:space="0" w:color="auto"/>
            <w:right w:val="none" w:sz="0" w:space="0" w:color="auto"/>
          </w:divBdr>
          <w:divsChild>
            <w:div w:id="1589386866">
              <w:marLeft w:val="0"/>
              <w:marRight w:val="0"/>
              <w:marTop w:val="0"/>
              <w:marBottom w:val="0"/>
              <w:divBdr>
                <w:top w:val="none" w:sz="0" w:space="0" w:color="auto"/>
                <w:left w:val="none" w:sz="0" w:space="0" w:color="auto"/>
                <w:bottom w:val="none" w:sz="0" w:space="0" w:color="auto"/>
                <w:right w:val="none" w:sz="0" w:space="0" w:color="auto"/>
              </w:divBdr>
            </w:div>
            <w:div w:id="86194297">
              <w:marLeft w:val="0"/>
              <w:marRight w:val="0"/>
              <w:marTop w:val="0"/>
              <w:marBottom w:val="0"/>
              <w:divBdr>
                <w:top w:val="none" w:sz="0" w:space="0" w:color="auto"/>
                <w:left w:val="none" w:sz="0" w:space="0" w:color="auto"/>
                <w:bottom w:val="none" w:sz="0" w:space="0" w:color="auto"/>
                <w:right w:val="none" w:sz="0" w:space="0" w:color="auto"/>
              </w:divBdr>
            </w:div>
            <w:div w:id="4402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6238">
      <w:bodyDiv w:val="1"/>
      <w:marLeft w:val="0"/>
      <w:marRight w:val="0"/>
      <w:marTop w:val="0"/>
      <w:marBottom w:val="0"/>
      <w:divBdr>
        <w:top w:val="none" w:sz="0" w:space="0" w:color="auto"/>
        <w:left w:val="none" w:sz="0" w:space="0" w:color="auto"/>
        <w:bottom w:val="none" w:sz="0" w:space="0" w:color="auto"/>
        <w:right w:val="none" w:sz="0" w:space="0" w:color="auto"/>
      </w:divBdr>
      <w:divsChild>
        <w:div w:id="1763070268">
          <w:marLeft w:val="0"/>
          <w:marRight w:val="0"/>
          <w:marTop w:val="0"/>
          <w:marBottom w:val="0"/>
          <w:divBdr>
            <w:top w:val="none" w:sz="0" w:space="0" w:color="auto"/>
            <w:left w:val="none" w:sz="0" w:space="0" w:color="auto"/>
            <w:bottom w:val="none" w:sz="0" w:space="0" w:color="auto"/>
            <w:right w:val="none" w:sz="0" w:space="0" w:color="auto"/>
          </w:divBdr>
        </w:div>
        <w:div w:id="80567750">
          <w:marLeft w:val="0"/>
          <w:marRight w:val="0"/>
          <w:marTop w:val="0"/>
          <w:marBottom w:val="0"/>
          <w:divBdr>
            <w:top w:val="none" w:sz="0" w:space="0" w:color="auto"/>
            <w:left w:val="none" w:sz="0" w:space="0" w:color="auto"/>
            <w:bottom w:val="none" w:sz="0" w:space="0" w:color="auto"/>
            <w:right w:val="none" w:sz="0" w:space="0" w:color="auto"/>
          </w:divBdr>
        </w:div>
        <w:div w:id="274295474">
          <w:marLeft w:val="0"/>
          <w:marRight w:val="0"/>
          <w:marTop w:val="0"/>
          <w:marBottom w:val="0"/>
          <w:divBdr>
            <w:top w:val="none" w:sz="0" w:space="0" w:color="auto"/>
            <w:left w:val="none" w:sz="0" w:space="0" w:color="auto"/>
            <w:bottom w:val="none" w:sz="0" w:space="0" w:color="auto"/>
            <w:right w:val="none" w:sz="0" w:space="0" w:color="auto"/>
          </w:divBdr>
        </w:div>
      </w:divsChild>
    </w:div>
    <w:div w:id="1310595182">
      <w:bodyDiv w:val="1"/>
      <w:marLeft w:val="0"/>
      <w:marRight w:val="0"/>
      <w:marTop w:val="0"/>
      <w:marBottom w:val="0"/>
      <w:divBdr>
        <w:top w:val="none" w:sz="0" w:space="0" w:color="auto"/>
        <w:left w:val="none" w:sz="0" w:space="0" w:color="auto"/>
        <w:bottom w:val="none" w:sz="0" w:space="0" w:color="auto"/>
        <w:right w:val="none" w:sz="0" w:space="0" w:color="auto"/>
      </w:divBdr>
      <w:divsChild>
        <w:div w:id="841050375">
          <w:marLeft w:val="0"/>
          <w:marRight w:val="0"/>
          <w:marTop w:val="0"/>
          <w:marBottom w:val="0"/>
          <w:divBdr>
            <w:top w:val="none" w:sz="0" w:space="0" w:color="auto"/>
            <w:left w:val="none" w:sz="0" w:space="0" w:color="auto"/>
            <w:bottom w:val="none" w:sz="0" w:space="0" w:color="auto"/>
            <w:right w:val="none" w:sz="0" w:space="0" w:color="auto"/>
          </w:divBdr>
        </w:div>
        <w:div w:id="1675454061">
          <w:marLeft w:val="0"/>
          <w:marRight w:val="0"/>
          <w:marTop w:val="0"/>
          <w:marBottom w:val="0"/>
          <w:divBdr>
            <w:top w:val="none" w:sz="0" w:space="0" w:color="auto"/>
            <w:left w:val="none" w:sz="0" w:space="0" w:color="auto"/>
            <w:bottom w:val="none" w:sz="0" w:space="0" w:color="auto"/>
            <w:right w:val="none" w:sz="0" w:space="0" w:color="auto"/>
          </w:divBdr>
        </w:div>
        <w:div w:id="1620331931">
          <w:marLeft w:val="0"/>
          <w:marRight w:val="0"/>
          <w:marTop w:val="0"/>
          <w:marBottom w:val="0"/>
          <w:divBdr>
            <w:top w:val="none" w:sz="0" w:space="0" w:color="auto"/>
            <w:left w:val="none" w:sz="0" w:space="0" w:color="auto"/>
            <w:bottom w:val="none" w:sz="0" w:space="0" w:color="auto"/>
            <w:right w:val="none" w:sz="0" w:space="0" w:color="auto"/>
          </w:divBdr>
        </w:div>
        <w:div w:id="1210604846">
          <w:marLeft w:val="0"/>
          <w:marRight w:val="0"/>
          <w:marTop w:val="0"/>
          <w:marBottom w:val="0"/>
          <w:divBdr>
            <w:top w:val="none" w:sz="0" w:space="0" w:color="auto"/>
            <w:left w:val="none" w:sz="0" w:space="0" w:color="auto"/>
            <w:bottom w:val="none" w:sz="0" w:space="0" w:color="auto"/>
            <w:right w:val="none" w:sz="0" w:space="0" w:color="auto"/>
          </w:divBdr>
        </w:div>
        <w:div w:id="681980509">
          <w:marLeft w:val="0"/>
          <w:marRight w:val="0"/>
          <w:marTop w:val="0"/>
          <w:marBottom w:val="0"/>
          <w:divBdr>
            <w:top w:val="none" w:sz="0" w:space="0" w:color="auto"/>
            <w:left w:val="none" w:sz="0" w:space="0" w:color="auto"/>
            <w:bottom w:val="none" w:sz="0" w:space="0" w:color="auto"/>
            <w:right w:val="none" w:sz="0" w:space="0" w:color="auto"/>
          </w:divBdr>
        </w:div>
        <w:div w:id="1182671964">
          <w:marLeft w:val="0"/>
          <w:marRight w:val="0"/>
          <w:marTop w:val="0"/>
          <w:marBottom w:val="0"/>
          <w:divBdr>
            <w:top w:val="none" w:sz="0" w:space="0" w:color="auto"/>
            <w:left w:val="none" w:sz="0" w:space="0" w:color="auto"/>
            <w:bottom w:val="none" w:sz="0" w:space="0" w:color="auto"/>
            <w:right w:val="none" w:sz="0" w:space="0" w:color="auto"/>
          </w:divBdr>
        </w:div>
        <w:div w:id="313721156">
          <w:marLeft w:val="0"/>
          <w:marRight w:val="0"/>
          <w:marTop w:val="0"/>
          <w:marBottom w:val="0"/>
          <w:divBdr>
            <w:top w:val="none" w:sz="0" w:space="0" w:color="auto"/>
            <w:left w:val="none" w:sz="0" w:space="0" w:color="auto"/>
            <w:bottom w:val="none" w:sz="0" w:space="0" w:color="auto"/>
            <w:right w:val="none" w:sz="0" w:space="0" w:color="auto"/>
          </w:divBdr>
        </w:div>
        <w:div w:id="1108162529">
          <w:marLeft w:val="0"/>
          <w:marRight w:val="0"/>
          <w:marTop w:val="0"/>
          <w:marBottom w:val="0"/>
          <w:divBdr>
            <w:top w:val="none" w:sz="0" w:space="0" w:color="auto"/>
            <w:left w:val="none" w:sz="0" w:space="0" w:color="auto"/>
            <w:bottom w:val="none" w:sz="0" w:space="0" w:color="auto"/>
            <w:right w:val="none" w:sz="0" w:space="0" w:color="auto"/>
          </w:divBdr>
        </w:div>
        <w:div w:id="1073310393">
          <w:marLeft w:val="0"/>
          <w:marRight w:val="0"/>
          <w:marTop w:val="0"/>
          <w:marBottom w:val="0"/>
          <w:divBdr>
            <w:top w:val="none" w:sz="0" w:space="0" w:color="auto"/>
            <w:left w:val="none" w:sz="0" w:space="0" w:color="auto"/>
            <w:bottom w:val="none" w:sz="0" w:space="0" w:color="auto"/>
            <w:right w:val="none" w:sz="0" w:space="0" w:color="auto"/>
          </w:divBdr>
        </w:div>
        <w:div w:id="11928743">
          <w:marLeft w:val="0"/>
          <w:marRight w:val="0"/>
          <w:marTop w:val="0"/>
          <w:marBottom w:val="0"/>
          <w:divBdr>
            <w:top w:val="none" w:sz="0" w:space="0" w:color="auto"/>
            <w:left w:val="none" w:sz="0" w:space="0" w:color="auto"/>
            <w:bottom w:val="none" w:sz="0" w:space="0" w:color="auto"/>
            <w:right w:val="none" w:sz="0" w:space="0" w:color="auto"/>
          </w:divBdr>
        </w:div>
        <w:div w:id="2079210754">
          <w:marLeft w:val="0"/>
          <w:marRight w:val="0"/>
          <w:marTop w:val="0"/>
          <w:marBottom w:val="0"/>
          <w:divBdr>
            <w:top w:val="none" w:sz="0" w:space="0" w:color="auto"/>
            <w:left w:val="none" w:sz="0" w:space="0" w:color="auto"/>
            <w:bottom w:val="none" w:sz="0" w:space="0" w:color="auto"/>
            <w:right w:val="none" w:sz="0" w:space="0" w:color="auto"/>
          </w:divBdr>
        </w:div>
        <w:div w:id="1159610940">
          <w:marLeft w:val="0"/>
          <w:marRight w:val="0"/>
          <w:marTop w:val="0"/>
          <w:marBottom w:val="0"/>
          <w:divBdr>
            <w:top w:val="none" w:sz="0" w:space="0" w:color="auto"/>
            <w:left w:val="none" w:sz="0" w:space="0" w:color="auto"/>
            <w:bottom w:val="none" w:sz="0" w:space="0" w:color="auto"/>
            <w:right w:val="none" w:sz="0" w:space="0" w:color="auto"/>
          </w:divBdr>
        </w:div>
        <w:div w:id="1215197840">
          <w:marLeft w:val="0"/>
          <w:marRight w:val="0"/>
          <w:marTop w:val="0"/>
          <w:marBottom w:val="0"/>
          <w:divBdr>
            <w:top w:val="none" w:sz="0" w:space="0" w:color="auto"/>
            <w:left w:val="none" w:sz="0" w:space="0" w:color="auto"/>
            <w:bottom w:val="none" w:sz="0" w:space="0" w:color="auto"/>
            <w:right w:val="none" w:sz="0" w:space="0" w:color="auto"/>
          </w:divBdr>
        </w:div>
        <w:div w:id="788203952">
          <w:marLeft w:val="0"/>
          <w:marRight w:val="0"/>
          <w:marTop w:val="0"/>
          <w:marBottom w:val="0"/>
          <w:divBdr>
            <w:top w:val="none" w:sz="0" w:space="0" w:color="auto"/>
            <w:left w:val="none" w:sz="0" w:space="0" w:color="auto"/>
            <w:bottom w:val="none" w:sz="0" w:space="0" w:color="auto"/>
            <w:right w:val="none" w:sz="0" w:space="0" w:color="auto"/>
          </w:divBdr>
        </w:div>
        <w:div w:id="822820268">
          <w:marLeft w:val="0"/>
          <w:marRight w:val="0"/>
          <w:marTop w:val="0"/>
          <w:marBottom w:val="0"/>
          <w:divBdr>
            <w:top w:val="none" w:sz="0" w:space="0" w:color="auto"/>
            <w:left w:val="none" w:sz="0" w:space="0" w:color="auto"/>
            <w:bottom w:val="none" w:sz="0" w:space="0" w:color="auto"/>
            <w:right w:val="none" w:sz="0" w:space="0" w:color="auto"/>
          </w:divBdr>
        </w:div>
        <w:div w:id="1921985096">
          <w:marLeft w:val="0"/>
          <w:marRight w:val="0"/>
          <w:marTop w:val="0"/>
          <w:marBottom w:val="0"/>
          <w:divBdr>
            <w:top w:val="none" w:sz="0" w:space="0" w:color="auto"/>
            <w:left w:val="none" w:sz="0" w:space="0" w:color="auto"/>
            <w:bottom w:val="none" w:sz="0" w:space="0" w:color="auto"/>
            <w:right w:val="none" w:sz="0" w:space="0" w:color="auto"/>
          </w:divBdr>
        </w:div>
        <w:div w:id="322854873">
          <w:marLeft w:val="0"/>
          <w:marRight w:val="0"/>
          <w:marTop w:val="0"/>
          <w:marBottom w:val="0"/>
          <w:divBdr>
            <w:top w:val="none" w:sz="0" w:space="0" w:color="auto"/>
            <w:left w:val="none" w:sz="0" w:space="0" w:color="auto"/>
            <w:bottom w:val="none" w:sz="0" w:space="0" w:color="auto"/>
            <w:right w:val="none" w:sz="0" w:space="0" w:color="auto"/>
          </w:divBdr>
        </w:div>
        <w:div w:id="1957254176">
          <w:marLeft w:val="0"/>
          <w:marRight w:val="0"/>
          <w:marTop w:val="0"/>
          <w:marBottom w:val="0"/>
          <w:divBdr>
            <w:top w:val="none" w:sz="0" w:space="0" w:color="auto"/>
            <w:left w:val="none" w:sz="0" w:space="0" w:color="auto"/>
            <w:bottom w:val="none" w:sz="0" w:space="0" w:color="auto"/>
            <w:right w:val="none" w:sz="0" w:space="0" w:color="auto"/>
          </w:divBdr>
        </w:div>
        <w:div w:id="858350505">
          <w:marLeft w:val="0"/>
          <w:marRight w:val="0"/>
          <w:marTop w:val="0"/>
          <w:marBottom w:val="0"/>
          <w:divBdr>
            <w:top w:val="none" w:sz="0" w:space="0" w:color="auto"/>
            <w:left w:val="none" w:sz="0" w:space="0" w:color="auto"/>
            <w:bottom w:val="none" w:sz="0" w:space="0" w:color="auto"/>
            <w:right w:val="none" w:sz="0" w:space="0" w:color="auto"/>
          </w:divBdr>
        </w:div>
        <w:div w:id="1608658553">
          <w:marLeft w:val="0"/>
          <w:marRight w:val="0"/>
          <w:marTop w:val="0"/>
          <w:marBottom w:val="0"/>
          <w:divBdr>
            <w:top w:val="none" w:sz="0" w:space="0" w:color="auto"/>
            <w:left w:val="none" w:sz="0" w:space="0" w:color="auto"/>
            <w:bottom w:val="none" w:sz="0" w:space="0" w:color="auto"/>
            <w:right w:val="none" w:sz="0" w:space="0" w:color="auto"/>
          </w:divBdr>
        </w:div>
        <w:div w:id="340008095">
          <w:marLeft w:val="0"/>
          <w:marRight w:val="0"/>
          <w:marTop w:val="0"/>
          <w:marBottom w:val="0"/>
          <w:divBdr>
            <w:top w:val="none" w:sz="0" w:space="0" w:color="auto"/>
            <w:left w:val="none" w:sz="0" w:space="0" w:color="auto"/>
            <w:bottom w:val="none" w:sz="0" w:space="0" w:color="auto"/>
            <w:right w:val="none" w:sz="0" w:space="0" w:color="auto"/>
          </w:divBdr>
        </w:div>
        <w:div w:id="272712907">
          <w:marLeft w:val="0"/>
          <w:marRight w:val="0"/>
          <w:marTop w:val="0"/>
          <w:marBottom w:val="0"/>
          <w:divBdr>
            <w:top w:val="none" w:sz="0" w:space="0" w:color="auto"/>
            <w:left w:val="none" w:sz="0" w:space="0" w:color="auto"/>
            <w:bottom w:val="none" w:sz="0" w:space="0" w:color="auto"/>
            <w:right w:val="none" w:sz="0" w:space="0" w:color="auto"/>
          </w:divBdr>
        </w:div>
        <w:div w:id="2001078435">
          <w:marLeft w:val="0"/>
          <w:marRight w:val="0"/>
          <w:marTop w:val="0"/>
          <w:marBottom w:val="0"/>
          <w:divBdr>
            <w:top w:val="none" w:sz="0" w:space="0" w:color="auto"/>
            <w:left w:val="none" w:sz="0" w:space="0" w:color="auto"/>
            <w:bottom w:val="none" w:sz="0" w:space="0" w:color="auto"/>
            <w:right w:val="none" w:sz="0" w:space="0" w:color="auto"/>
          </w:divBdr>
        </w:div>
      </w:divsChild>
    </w:div>
    <w:div w:id="1397314184">
      <w:bodyDiv w:val="1"/>
      <w:marLeft w:val="0"/>
      <w:marRight w:val="0"/>
      <w:marTop w:val="0"/>
      <w:marBottom w:val="0"/>
      <w:divBdr>
        <w:top w:val="none" w:sz="0" w:space="0" w:color="auto"/>
        <w:left w:val="none" w:sz="0" w:space="0" w:color="auto"/>
        <w:bottom w:val="none" w:sz="0" w:space="0" w:color="auto"/>
        <w:right w:val="none" w:sz="0" w:space="0" w:color="auto"/>
      </w:divBdr>
    </w:div>
    <w:div w:id="1467970064">
      <w:bodyDiv w:val="1"/>
      <w:marLeft w:val="0"/>
      <w:marRight w:val="0"/>
      <w:marTop w:val="0"/>
      <w:marBottom w:val="0"/>
      <w:divBdr>
        <w:top w:val="none" w:sz="0" w:space="0" w:color="auto"/>
        <w:left w:val="none" w:sz="0" w:space="0" w:color="auto"/>
        <w:bottom w:val="none" w:sz="0" w:space="0" w:color="auto"/>
        <w:right w:val="none" w:sz="0" w:space="0" w:color="auto"/>
      </w:divBdr>
      <w:divsChild>
        <w:div w:id="1326743198">
          <w:marLeft w:val="0"/>
          <w:marRight w:val="0"/>
          <w:marTop w:val="0"/>
          <w:marBottom w:val="0"/>
          <w:divBdr>
            <w:top w:val="none" w:sz="0" w:space="0" w:color="auto"/>
            <w:left w:val="none" w:sz="0" w:space="0" w:color="auto"/>
            <w:bottom w:val="none" w:sz="0" w:space="0" w:color="auto"/>
            <w:right w:val="none" w:sz="0" w:space="0" w:color="auto"/>
          </w:divBdr>
        </w:div>
        <w:div w:id="845293525">
          <w:marLeft w:val="0"/>
          <w:marRight w:val="0"/>
          <w:marTop w:val="0"/>
          <w:marBottom w:val="0"/>
          <w:divBdr>
            <w:top w:val="none" w:sz="0" w:space="0" w:color="auto"/>
            <w:left w:val="none" w:sz="0" w:space="0" w:color="auto"/>
            <w:bottom w:val="none" w:sz="0" w:space="0" w:color="auto"/>
            <w:right w:val="none" w:sz="0" w:space="0" w:color="auto"/>
          </w:divBdr>
        </w:div>
        <w:div w:id="912666155">
          <w:marLeft w:val="0"/>
          <w:marRight w:val="0"/>
          <w:marTop w:val="0"/>
          <w:marBottom w:val="0"/>
          <w:divBdr>
            <w:top w:val="none" w:sz="0" w:space="0" w:color="auto"/>
            <w:left w:val="none" w:sz="0" w:space="0" w:color="auto"/>
            <w:bottom w:val="none" w:sz="0" w:space="0" w:color="auto"/>
            <w:right w:val="none" w:sz="0" w:space="0" w:color="auto"/>
          </w:divBdr>
        </w:div>
        <w:div w:id="822159493">
          <w:marLeft w:val="0"/>
          <w:marRight w:val="0"/>
          <w:marTop w:val="0"/>
          <w:marBottom w:val="0"/>
          <w:divBdr>
            <w:top w:val="none" w:sz="0" w:space="0" w:color="auto"/>
            <w:left w:val="none" w:sz="0" w:space="0" w:color="auto"/>
            <w:bottom w:val="none" w:sz="0" w:space="0" w:color="auto"/>
            <w:right w:val="none" w:sz="0" w:space="0" w:color="auto"/>
          </w:divBdr>
        </w:div>
        <w:div w:id="445928106">
          <w:marLeft w:val="0"/>
          <w:marRight w:val="0"/>
          <w:marTop w:val="0"/>
          <w:marBottom w:val="0"/>
          <w:divBdr>
            <w:top w:val="none" w:sz="0" w:space="0" w:color="auto"/>
            <w:left w:val="none" w:sz="0" w:space="0" w:color="auto"/>
            <w:bottom w:val="none" w:sz="0" w:space="0" w:color="auto"/>
            <w:right w:val="none" w:sz="0" w:space="0" w:color="auto"/>
          </w:divBdr>
        </w:div>
        <w:div w:id="1923876289">
          <w:marLeft w:val="0"/>
          <w:marRight w:val="0"/>
          <w:marTop w:val="0"/>
          <w:marBottom w:val="0"/>
          <w:divBdr>
            <w:top w:val="none" w:sz="0" w:space="0" w:color="auto"/>
            <w:left w:val="none" w:sz="0" w:space="0" w:color="auto"/>
            <w:bottom w:val="none" w:sz="0" w:space="0" w:color="auto"/>
            <w:right w:val="none" w:sz="0" w:space="0" w:color="auto"/>
          </w:divBdr>
        </w:div>
        <w:div w:id="1435592323">
          <w:marLeft w:val="0"/>
          <w:marRight w:val="0"/>
          <w:marTop w:val="0"/>
          <w:marBottom w:val="0"/>
          <w:divBdr>
            <w:top w:val="none" w:sz="0" w:space="0" w:color="auto"/>
            <w:left w:val="none" w:sz="0" w:space="0" w:color="auto"/>
            <w:bottom w:val="none" w:sz="0" w:space="0" w:color="auto"/>
            <w:right w:val="none" w:sz="0" w:space="0" w:color="auto"/>
          </w:divBdr>
        </w:div>
        <w:div w:id="1573856189">
          <w:marLeft w:val="0"/>
          <w:marRight w:val="0"/>
          <w:marTop w:val="0"/>
          <w:marBottom w:val="0"/>
          <w:divBdr>
            <w:top w:val="none" w:sz="0" w:space="0" w:color="auto"/>
            <w:left w:val="none" w:sz="0" w:space="0" w:color="auto"/>
            <w:bottom w:val="none" w:sz="0" w:space="0" w:color="auto"/>
            <w:right w:val="none" w:sz="0" w:space="0" w:color="auto"/>
          </w:divBdr>
        </w:div>
        <w:div w:id="308559243">
          <w:marLeft w:val="0"/>
          <w:marRight w:val="0"/>
          <w:marTop w:val="0"/>
          <w:marBottom w:val="0"/>
          <w:divBdr>
            <w:top w:val="none" w:sz="0" w:space="0" w:color="auto"/>
            <w:left w:val="none" w:sz="0" w:space="0" w:color="auto"/>
            <w:bottom w:val="none" w:sz="0" w:space="0" w:color="auto"/>
            <w:right w:val="none" w:sz="0" w:space="0" w:color="auto"/>
          </w:divBdr>
        </w:div>
        <w:div w:id="420683158">
          <w:marLeft w:val="0"/>
          <w:marRight w:val="0"/>
          <w:marTop w:val="0"/>
          <w:marBottom w:val="0"/>
          <w:divBdr>
            <w:top w:val="none" w:sz="0" w:space="0" w:color="auto"/>
            <w:left w:val="none" w:sz="0" w:space="0" w:color="auto"/>
            <w:bottom w:val="none" w:sz="0" w:space="0" w:color="auto"/>
            <w:right w:val="none" w:sz="0" w:space="0" w:color="auto"/>
          </w:divBdr>
        </w:div>
        <w:div w:id="625160788">
          <w:marLeft w:val="0"/>
          <w:marRight w:val="0"/>
          <w:marTop w:val="0"/>
          <w:marBottom w:val="0"/>
          <w:divBdr>
            <w:top w:val="none" w:sz="0" w:space="0" w:color="auto"/>
            <w:left w:val="none" w:sz="0" w:space="0" w:color="auto"/>
            <w:bottom w:val="none" w:sz="0" w:space="0" w:color="auto"/>
            <w:right w:val="none" w:sz="0" w:space="0" w:color="auto"/>
          </w:divBdr>
        </w:div>
      </w:divsChild>
    </w:div>
    <w:div w:id="1561862750">
      <w:bodyDiv w:val="1"/>
      <w:marLeft w:val="0"/>
      <w:marRight w:val="0"/>
      <w:marTop w:val="0"/>
      <w:marBottom w:val="0"/>
      <w:divBdr>
        <w:top w:val="none" w:sz="0" w:space="0" w:color="auto"/>
        <w:left w:val="none" w:sz="0" w:space="0" w:color="auto"/>
        <w:bottom w:val="none" w:sz="0" w:space="0" w:color="auto"/>
        <w:right w:val="none" w:sz="0" w:space="0" w:color="auto"/>
      </w:divBdr>
    </w:div>
    <w:div w:id="1770856445">
      <w:bodyDiv w:val="1"/>
      <w:marLeft w:val="0"/>
      <w:marRight w:val="0"/>
      <w:marTop w:val="0"/>
      <w:marBottom w:val="0"/>
      <w:divBdr>
        <w:top w:val="none" w:sz="0" w:space="0" w:color="auto"/>
        <w:left w:val="none" w:sz="0" w:space="0" w:color="auto"/>
        <w:bottom w:val="none" w:sz="0" w:space="0" w:color="auto"/>
        <w:right w:val="none" w:sz="0" w:space="0" w:color="auto"/>
      </w:divBdr>
    </w:div>
    <w:div w:id="1850945147">
      <w:bodyDiv w:val="1"/>
      <w:marLeft w:val="0"/>
      <w:marRight w:val="0"/>
      <w:marTop w:val="0"/>
      <w:marBottom w:val="0"/>
      <w:divBdr>
        <w:top w:val="none" w:sz="0" w:space="0" w:color="auto"/>
        <w:left w:val="none" w:sz="0" w:space="0" w:color="auto"/>
        <w:bottom w:val="none" w:sz="0" w:space="0" w:color="auto"/>
        <w:right w:val="none" w:sz="0" w:space="0" w:color="auto"/>
      </w:divBdr>
      <w:divsChild>
        <w:div w:id="1557666991">
          <w:marLeft w:val="0"/>
          <w:marRight w:val="0"/>
          <w:marTop w:val="0"/>
          <w:marBottom w:val="0"/>
          <w:divBdr>
            <w:top w:val="none" w:sz="0" w:space="0" w:color="auto"/>
            <w:left w:val="none" w:sz="0" w:space="0" w:color="auto"/>
            <w:bottom w:val="none" w:sz="0" w:space="0" w:color="auto"/>
            <w:right w:val="none" w:sz="0" w:space="0" w:color="auto"/>
          </w:divBdr>
          <w:divsChild>
            <w:div w:id="1134329397">
              <w:marLeft w:val="0"/>
              <w:marRight w:val="0"/>
              <w:marTop w:val="0"/>
              <w:marBottom w:val="0"/>
              <w:divBdr>
                <w:top w:val="none" w:sz="0" w:space="0" w:color="auto"/>
                <w:left w:val="none" w:sz="0" w:space="0" w:color="auto"/>
                <w:bottom w:val="none" w:sz="0" w:space="0" w:color="auto"/>
                <w:right w:val="none" w:sz="0" w:space="0" w:color="auto"/>
              </w:divBdr>
            </w:div>
            <w:div w:id="1402752719">
              <w:marLeft w:val="0"/>
              <w:marRight w:val="0"/>
              <w:marTop w:val="0"/>
              <w:marBottom w:val="0"/>
              <w:divBdr>
                <w:top w:val="none" w:sz="0" w:space="0" w:color="auto"/>
                <w:left w:val="none" w:sz="0" w:space="0" w:color="auto"/>
                <w:bottom w:val="none" w:sz="0" w:space="0" w:color="auto"/>
                <w:right w:val="none" w:sz="0" w:space="0" w:color="auto"/>
              </w:divBdr>
            </w:div>
            <w:div w:id="1756827235">
              <w:marLeft w:val="0"/>
              <w:marRight w:val="0"/>
              <w:marTop w:val="0"/>
              <w:marBottom w:val="0"/>
              <w:divBdr>
                <w:top w:val="none" w:sz="0" w:space="0" w:color="auto"/>
                <w:left w:val="none" w:sz="0" w:space="0" w:color="auto"/>
                <w:bottom w:val="none" w:sz="0" w:space="0" w:color="auto"/>
                <w:right w:val="none" w:sz="0" w:space="0" w:color="auto"/>
              </w:divBdr>
            </w:div>
            <w:div w:id="1072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452">
      <w:bodyDiv w:val="1"/>
      <w:marLeft w:val="0"/>
      <w:marRight w:val="0"/>
      <w:marTop w:val="0"/>
      <w:marBottom w:val="0"/>
      <w:divBdr>
        <w:top w:val="none" w:sz="0" w:space="0" w:color="auto"/>
        <w:left w:val="none" w:sz="0" w:space="0" w:color="auto"/>
        <w:bottom w:val="none" w:sz="0" w:space="0" w:color="auto"/>
        <w:right w:val="none" w:sz="0" w:space="0" w:color="auto"/>
      </w:divBdr>
      <w:divsChild>
        <w:div w:id="781530344">
          <w:marLeft w:val="0"/>
          <w:marRight w:val="0"/>
          <w:marTop w:val="0"/>
          <w:marBottom w:val="0"/>
          <w:divBdr>
            <w:top w:val="none" w:sz="0" w:space="0" w:color="auto"/>
            <w:left w:val="none" w:sz="0" w:space="0" w:color="auto"/>
            <w:bottom w:val="none" w:sz="0" w:space="0" w:color="auto"/>
            <w:right w:val="none" w:sz="0" w:space="0" w:color="auto"/>
          </w:divBdr>
          <w:divsChild>
            <w:div w:id="2044864875">
              <w:marLeft w:val="0"/>
              <w:marRight w:val="0"/>
              <w:marTop w:val="0"/>
              <w:marBottom w:val="0"/>
              <w:divBdr>
                <w:top w:val="none" w:sz="0" w:space="0" w:color="auto"/>
                <w:left w:val="none" w:sz="0" w:space="0" w:color="auto"/>
                <w:bottom w:val="none" w:sz="0" w:space="0" w:color="auto"/>
                <w:right w:val="none" w:sz="0" w:space="0" w:color="auto"/>
              </w:divBdr>
            </w:div>
            <w:div w:id="317347622">
              <w:marLeft w:val="0"/>
              <w:marRight w:val="0"/>
              <w:marTop w:val="0"/>
              <w:marBottom w:val="0"/>
              <w:divBdr>
                <w:top w:val="none" w:sz="0" w:space="0" w:color="auto"/>
                <w:left w:val="none" w:sz="0" w:space="0" w:color="auto"/>
                <w:bottom w:val="none" w:sz="0" w:space="0" w:color="auto"/>
                <w:right w:val="none" w:sz="0" w:space="0" w:color="auto"/>
              </w:divBdr>
            </w:div>
            <w:div w:id="1760444092">
              <w:marLeft w:val="0"/>
              <w:marRight w:val="0"/>
              <w:marTop w:val="0"/>
              <w:marBottom w:val="0"/>
              <w:divBdr>
                <w:top w:val="none" w:sz="0" w:space="0" w:color="auto"/>
                <w:left w:val="none" w:sz="0" w:space="0" w:color="auto"/>
                <w:bottom w:val="none" w:sz="0" w:space="0" w:color="auto"/>
                <w:right w:val="none" w:sz="0" w:space="0" w:color="auto"/>
              </w:divBdr>
            </w:div>
            <w:div w:id="975641508">
              <w:marLeft w:val="0"/>
              <w:marRight w:val="0"/>
              <w:marTop w:val="0"/>
              <w:marBottom w:val="0"/>
              <w:divBdr>
                <w:top w:val="none" w:sz="0" w:space="0" w:color="auto"/>
                <w:left w:val="none" w:sz="0" w:space="0" w:color="auto"/>
                <w:bottom w:val="none" w:sz="0" w:space="0" w:color="auto"/>
                <w:right w:val="none" w:sz="0" w:space="0" w:color="auto"/>
              </w:divBdr>
            </w:div>
            <w:div w:id="1879271876">
              <w:marLeft w:val="0"/>
              <w:marRight w:val="0"/>
              <w:marTop w:val="0"/>
              <w:marBottom w:val="0"/>
              <w:divBdr>
                <w:top w:val="none" w:sz="0" w:space="0" w:color="auto"/>
                <w:left w:val="none" w:sz="0" w:space="0" w:color="auto"/>
                <w:bottom w:val="none" w:sz="0" w:space="0" w:color="auto"/>
                <w:right w:val="none" w:sz="0" w:space="0" w:color="auto"/>
              </w:divBdr>
            </w:div>
            <w:div w:id="987518975">
              <w:marLeft w:val="0"/>
              <w:marRight w:val="0"/>
              <w:marTop w:val="0"/>
              <w:marBottom w:val="0"/>
              <w:divBdr>
                <w:top w:val="none" w:sz="0" w:space="0" w:color="auto"/>
                <w:left w:val="none" w:sz="0" w:space="0" w:color="auto"/>
                <w:bottom w:val="none" w:sz="0" w:space="0" w:color="auto"/>
                <w:right w:val="none" w:sz="0" w:space="0" w:color="auto"/>
              </w:divBdr>
            </w:div>
            <w:div w:id="2101632831">
              <w:marLeft w:val="0"/>
              <w:marRight w:val="0"/>
              <w:marTop w:val="0"/>
              <w:marBottom w:val="0"/>
              <w:divBdr>
                <w:top w:val="none" w:sz="0" w:space="0" w:color="auto"/>
                <w:left w:val="none" w:sz="0" w:space="0" w:color="auto"/>
                <w:bottom w:val="none" w:sz="0" w:space="0" w:color="auto"/>
                <w:right w:val="none" w:sz="0" w:space="0" w:color="auto"/>
              </w:divBdr>
            </w:div>
            <w:div w:id="404112250">
              <w:marLeft w:val="0"/>
              <w:marRight w:val="0"/>
              <w:marTop w:val="0"/>
              <w:marBottom w:val="0"/>
              <w:divBdr>
                <w:top w:val="none" w:sz="0" w:space="0" w:color="auto"/>
                <w:left w:val="none" w:sz="0" w:space="0" w:color="auto"/>
                <w:bottom w:val="none" w:sz="0" w:space="0" w:color="auto"/>
                <w:right w:val="none" w:sz="0" w:space="0" w:color="auto"/>
              </w:divBdr>
            </w:div>
          </w:divsChild>
        </w:div>
        <w:div w:id="731392443">
          <w:marLeft w:val="0"/>
          <w:marRight w:val="0"/>
          <w:marTop w:val="0"/>
          <w:marBottom w:val="0"/>
          <w:divBdr>
            <w:top w:val="none" w:sz="0" w:space="0" w:color="auto"/>
            <w:left w:val="none" w:sz="0" w:space="0" w:color="auto"/>
            <w:bottom w:val="none" w:sz="0" w:space="0" w:color="auto"/>
            <w:right w:val="none" w:sz="0" w:space="0" w:color="auto"/>
          </w:divBdr>
          <w:divsChild>
            <w:div w:id="942492074">
              <w:marLeft w:val="0"/>
              <w:marRight w:val="0"/>
              <w:marTop w:val="0"/>
              <w:marBottom w:val="0"/>
              <w:divBdr>
                <w:top w:val="none" w:sz="0" w:space="0" w:color="auto"/>
                <w:left w:val="none" w:sz="0" w:space="0" w:color="auto"/>
                <w:bottom w:val="none" w:sz="0" w:space="0" w:color="auto"/>
                <w:right w:val="none" w:sz="0" w:space="0" w:color="auto"/>
              </w:divBdr>
            </w:div>
          </w:divsChild>
        </w:div>
        <w:div w:id="719478956">
          <w:marLeft w:val="0"/>
          <w:marRight w:val="0"/>
          <w:marTop w:val="0"/>
          <w:marBottom w:val="0"/>
          <w:divBdr>
            <w:top w:val="none" w:sz="0" w:space="0" w:color="auto"/>
            <w:left w:val="none" w:sz="0" w:space="0" w:color="auto"/>
            <w:bottom w:val="none" w:sz="0" w:space="0" w:color="auto"/>
            <w:right w:val="none" w:sz="0" w:space="0" w:color="auto"/>
          </w:divBdr>
          <w:divsChild>
            <w:div w:id="1981302092">
              <w:marLeft w:val="0"/>
              <w:marRight w:val="0"/>
              <w:marTop w:val="0"/>
              <w:marBottom w:val="0"/>
              <w:divBdr>
                <w:top w:val="none" w:sz="0" w:space="0" w:color="auto"/>
                <w:left w:val="none" w:sz="0" w:space="0" w:color="auto"/>
                <w:bottom w:val="none" w:sz="0" w:space="0" w:color="auto"/>
                <w:right w:val="none" w:sz="0" w:space="0" w:color="auto"/>
              </w:divBdr>
            </w:div>
            <w:div w:id="33385350">
              <w:marLeft w:val="0"/>
              <w:marRight w:val="0"/>
              <w:marTop w:val="0"/>
              <w:marBottom w:val="0"/>
              <w:divBdr>
                <w:top w:val="none" w:sz="0" w:space="0" w:color="auto"/>
                <w:left w:val="none" w:sz="0" w:space="0" w:color="auto"/>
                <w:bottom w:val="none" w:sz="0" w:space="0" w:color="auto"/>
                <w:right w:val="none" w:sz="0" w:space="0" w:color="auto"/>
              </w:divBdr>
            </w:div>
            <w:div w:id="929922116">
              <w:marLeft w:val="0"/>
              <w:marRight w:val="0"/>
              <w:marTop w:val="0"/>
              <w:marBottom w:val="0"/>
              <w:divBdr>
                <w:top w:val="none" w:sz="0" w:space="0" w:color="auto"/>
                <w:left w:val="none" w:sz="0" w:space="0" w:color="auto"/>
                <w:bottom w:val="none" w:sz="0" w:space="0" w:color="auto"/>
                <w:right w:val="none" w:sz="0" w:space="0" w:color="auto"/>
              </w:divBdr>
            </w:div>
            <w:div w:id="1519781112">
              <w:marLeft w:val="0"/>
              <w:marRight w:val="0"/>
              <w:marTop w:val="0"/>
              <w:marBottom w:val="0"/>
              <w:divBdr>
                <w:top w:val="none" w:sz="0" w:space="0" w:color="auto"/>
                <w:left w:val="none" w:sz="0" w:space="0" w:color="auto"/>
                <w:bottom w:val="none" w:sz="0" w:space="0" w:color="auto"/>
                <w:right w:val="none" w:sz="0" w:space="0" w:color="auto"/>
              </w:divBdr>
            </w:div>
          </w:divsChild>
        </w:div>
        <w:div w:id="760371511">
          <w:marLeft w:val="0"/>
          <w:marRight w:val="0"/>
          <w:marTop w:val="0"/>
          <w:marBottom w:val="0"/>
          <w:divBdr>
            <w:top w:val="none" w:sz="0" w:space="0" w:color="auto"/>
            <w:left w:val="none" w:sz="0" w:space="0" w:color="auto"/>
            <w:bottom w:val="none" w:sz="0" w:space="0" w:color="auto"/>
            <w:right w:val="none" w:sz="0" w:space="0" w:color="auto"/>
          </w:divBdr>
          <w:divsChild>
            <w:div w:id="1201626237">
              <w:marLeft w:val="0"/>
              <w:marRight w:val="0"/>
              <w:marTop w:val="0"/>
              <w:marBottom w:val="0"/>
              <w:divBdr>
                <w:top w:val="none" w:sz="0" w:space="0" w:color="auto"/>
                <w:left w:val="none" w:sz="0" w:space="0" w:color="auto"/>
                <w:bottom w:val="none" w:sz="0" w:space="0" w:color="auto"/>
                <w:right w:val="none" w:sz="0" w:space="0" w:color="auto"/>
              </w:divBdr>
            </w:div>
            <w:div w:id="1001619015">
              <w:marLeft w:val="0"/>
              <w:marRight w:val="0"/>
              <w:marTop w:val="0"/>
              <w:marBottom w:val="0"/>
              <w:divBdr>
                <w:top w:val="none" w:sz="0" w:space="0" w:color="auto"/>
                <w:left w:val="none" w:sz="0" w:space="0" w:color="auto"/>
                <w:bottom w:val="none" w:sz="0" w:space="0" w:color="auto"/>
                <w:right w:val="none" w:sz="0" w:space="0" w:color="auto"/>
              </w:divBdr>
            </w:div>
            <w:div w:id="450325517">
              <w:marLeft w:val="0"/>
              <w:marRight w:val="0"/>
              <w:marTop w:val="0"/>
              <w:marBottom w:val="0"/>
              <w:divBdr>
                <w:top w:val="none" w:sz="0" w:space="0" w:color="auto"/>
                <w:left w:val="none" w:sz="0" w:space="0" w:color="auto"/>
                <w:bottom w:val="none" w:sz="0" w:space="0" w:color="auto"/>
                <w:right w:val="none" w:sz="0" w:space="0" w:color="auto"/>
              </w:divBdr>
            </w:div>
            <w:div w:id="1581060992">
              <w:marLeft w:val="0"/>
              <w:marRight w:val="0"/>
              <w:marTop w:val="0"/>
              <w:marBottom w:val="0"/>
              <w:divBdr>
                <w:top w:val="none" w:sz="0" w:space="0" w:color="auto"/>
                <w:left w:val="none" w:sz="0" w:space="0" w:color="auto"/>
                <w:bottom w:val="none" w:sz="0" w:space="0" w:color="auto"/>
                <w:right w:val="none" w:sz="0" w:space="0" w:color="auto"/>
              </w:divBdr>
            </w:div>
          </w:divsChild>
        </w:div>
        <w:div w:id="351032652">
          <w:marLeft w:val="0"/>
          <w:marRight w:val="0"/>
          <w:marTop w:val="0"/>
          <w:marBottom w:val="0"/>
          <w:divBdr>
            <w:top w:val="none" w:sz="0" w:space="0" w:color="auto"/>
            <w:left w:val="none" w:sz="0" w:space="0" w:color="auto"/>
            <w:bottom w:val="none" w:sz="0" w:space="0" w:color="auto"/>
            <w:right w:val="none" w:sz="0" w:space="0" w:color="auto"/>
          </w:divBdr>
          <w:divsChild>
            <w:div w:id="1032459347">
              <w:marLeft w:val="0"/>
              <w:marRight w:val="0"/>
              <w:marTop w:val="0"/>
              <w:marBottom w:val="0"/>
              <w:divBdr>
                <w:top w:val="none" w:sz="0" w:space="0" w:color="auto"/>
                <w:left w:val="none" w:sz="0" w:space="0" w:color="auto"/>
                <w:bottom w:val="none" w:sz="0" w:space="0" w:color="auto"/>
                <w:right w:val="none" w:sz="0" w:space="0" w:color="auto"/>
              </w:divBdr>
            </w:div>
            <w:div w:id="846409509">
              <w:marLeft w:val="0"/>
              <w:marRight w:val="0"/>
              <w:marTop w:val="0"/>
              <w:marBottom w:val="0"/>
              <w:divBdr>
                <w:top w:val="none" w:sz="0" w:space="0" w:color="auto"/>
                <w:left w:val="none" w:sz="0" w:space="0" w:color="auto"/>
                <w:bottom w:val="none" w:sz="0" w:space="0" w:color="auto"/>
                <w:right w:val="none" w:sz="0" w:space="0" w:color="auto"/>
              </w:divBdr>
            </w:div>
            <w:div w:id="775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T/TXT/?uri=CELEX:52023DC0538" TargetMode="External"/><Relationship Id="rId13" Type="http://schemas.openxmlformats.org/officeDocument/2006/relationships/hyperlink" Target="http://data.europa.eu/eli/reg/1995/1683/oj" TargetMode="External"/><Relationship Id="rId18" Type="http://schemas.openxmlformats.org/officeDocument/2006/relationships/hyperlink" Target="http://data.europa.eu/eli/reg/2018/1724/oj" TargetMode="External"/><Relationship Id="rId3" Type="http://schemas.openxmlformats.org/officeDocument/2006/relationships/hyperlink" Target="http://data.europa.eu/eli/reg/2017/458/oj" TargetMode="External"/><Relationship Id="rId7" Type="http://schemas.openxmlformats.org/officeDocument/2006/relationships/hyperlink" Target="https://eur-lex.europa.eu/legal-content/EN/TXT/?uri=SWD:2018:110:FIN" TargetMode="External"/><Relationship Id="rId12" Type="http://schemas.openxmlformats.org/officeDocument/2006/relationships/hyperlink" Target="http://data.europa.eu/eli/reg/2011/182/oj" TargetMode="External"/><Relationship Id="rId17" Type="http://schemas.openxmlformats.org/officeDocument/2006/relationships/hyperlink" Target="http://data.europa.eu/eli/reg/2018/1725/oj" TargetMode="External"/><Relationship Id="rId2" Type="http://schemas.openxmlformats.org/officeDocument/2006/relationships/hyperlink" Target="http://data.europa.eu/eli/reg/2019/1157/oj" TargetMode="External"/><Relationship Id="rId16" Type="http://schemas.openxmlformats.org/officeDocument/2006/relationships/hyperlink" Target="http://data.europa.eu/eli/agree_interinstit/2016/512/oj" TargetMode="External"/><Relationship Id="rId1" Type="http://schemas.openxmlformats.org/officeDocument/2006/relationships/hyperlink" Target="https://eur-lex.europa.eu/legal-content/PT/TXT/?uri=COM:2018:0212:FIN" TargetMode="External"/><Relationship Id="rId6" Type="http://schemas.openxmlformats.org/officeDocument/2006/relationships/hyperlink" Target="https://eur-lex.europa.eu/legal-content/PT/TXT/?uri=COM:2018:0212:FIN" TargetMode="External"/><Relationship Id="rId11" Type="http://schemas.openxmlformats.org/officeDocument/2006/relationships/hyperlink" Target="http://data.europa.eu/eli/reg/2002/1030/oj" TargetMode="External"/><Relationship Id="rId5" Type="http://schemas.openxmlformats.org/officeDocument/2006/relationships/hyperlink" Target="https://eur-lex.europa.eu/legal-content/EN/TXT/?uri=SWD:2018:0110:FIN" TargetMode="External"/><Relationship Id="rId15" Type="http://schemas.openxmlformats.org/officeDocument/2006/relationships/hyperlink" Target="http://data.europa.eu/eli/reg/2016/679/oj" TargetMode="External"/><Relationship Id="rId10" Type="http://schemas.openxmlformats.org/officeDocument/2006/relationships/hyperlink" Target="http://data.europa.eu/eli/reg/2014/910/oj" TargetMode="External"/><Relationship Id="rId4" Type="http://schemas.openxmlformats.org/officeDocument/2006/relationships/hyperlink" Target="http://data.europa.eu/eli/dir/2004/38/oj" TargetMode="External"/><Relationship Id="rId9" Type="http://schemas.openxmlformats.org/officeDocument/2006/relationships/hyperlink" Target="http://data.europa.eu/eli/dir/2004/38/oj" TargetMode="External"/><Relationship Id="rId14" Type="http://schemas.openxmlformats.org/officeDocument/2006/relationships/hyperlink" Target="http://data.europa.eu/eli/reg/2017/1954/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a11a0ef1cef77ae5bc99683c69172be9">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5b5c64f28700cfc2c401d7b87f113873"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État" ma:default="Non commencé" ma:hidden="true" ma:internalName="_Status" ma:readOnly="false">
      <xsd:simpleType>
        <xsd:union memberTypes="dms:Text">
          <xsd:simpleType>
            <xsd:restriction base="dms:Choice">
              <xsd:enumeration value="Non commencé"/>
              <xsd:enumeration value="Brouillon"/>
              <xsd:enumeration value="Révisé"/>
              <xsd:enumeration value="Planifié"/>
              <xsd:enumeration value="Publié"/>
              <xsd:enumeration value="Final"/>
              <xsd:enumeration value="Date d'expir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Type de contenu"/>
        <xsd:element ref="dc:title" minOccurs="0" maxOccurs="1" ma:index="7" ma:displayName="Titr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Éta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6429E421B7D0B4085855E79BFBD84D8" ma:contentTypeVersion="8" ma:contentTypeDescription="Create a new document." ma:contentTypeScope="" ma:versionID="782106257a66d3c0877b97b1e9d93e95">
  <xsd:schema xmlns:xsd="http://www.w3.org/2001/XMLSchema" xmlns:xs="http://www.w3.org/2001/XMLSchema" xmlns:p="http://schemas.microsoft.com/office/2006/metadata/properties" xmlns:ns2="1124f467-e8a7-4788-95b6-921cce7bcfae" xmlns:ns3="d56ed46a-4164-40b6-a09a-3a2f9edb41ee" targetNamespace="http://schemas.microsoft.com/office/2006/metadata/properties" ma:root="true" ma:fieldsID="9948c92e7b082b901cea3e1094ee8487" ns2:_="" ns3:_="">
    <xsd:import namespace="1124f467-e8a7-4788-95b6-921cce7bcfae"/>
    <xsd:import namespace="d56ed46a-4164-40b6-a09a-3a2f9edb41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4f467-e8a7-4788-95b6-921cce7bc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ed46a-4164-40b6-a09a-3a2f9edb41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5FE6A-5E61-4AB7-A6E1-F9A5947793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D5449D-9D26-4378-A645-3FEA24ECF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FAFB8-027B-434C-B299-63DE4D770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4f467-e8a7-4788-95b6-921cce7bcfae"/>
    <ds:schemaRef ds:uri="d56ed46a-4164-40b6-a09a-3a2f9edb4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76F08-92A9-4E42-8418-FACF41DC605D}">
  <ds:schemaRefs>
    <ds:schemaRef ds:uri="http://schemas.microsoft.com/sharepoint/v3/contenttype/forms"/>
  </ds:schemaRefs>
</ds:datastoreItem>
</file>

<file path=customXml/itemProps5.xml><?xml version="1.0" encoding="utf-8"?>
<ds:datastoreItem xmlns:ds="http://schemas.openxmlformats.org/officeDocument/2006/customXml" ds:itemID="{BC29CEC4-ACE9-46CF-AD9E-FB6A17FE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152</TotalTime>
  <Pages>9</Pages>
  <Words>9738</Words>
  <Characters>55511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dcterms:created xsi:type="dcterms:W3CDTF">2024-07-04T19:18:00Z</dcterms:created>
  <dcterms:modified xsi:type="dcterms:W3CDTF">2024-07-19T13:12:00Z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2024-03-22T08:24:39Z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7be7fcf7-49fe-4c39-b18c-a22c22c04a65</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SJ-016</vt:lpwstr>
  </property>
  <property fmtid="{D5CDD505-2E9C-101B-9397-08002B2CF9AE}" pid="17" name="ContentTypeId">
    <vt:lpwstr>0x010100F6429E421B7D0B4085855E79BFBD84D8</vt:lpwstr>
  </property>
  <property fmtid="{D5CDD505-2E9C-101B-9397-08002B2CF9AE}" pid="18" name="DQCStatus">
    <vt:lpwstr>Green (DQC version 03)</vt:lpwstr>
  </property>
</Properties>
</file>