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4F99" w14:textId="47752D48" w:rsidR="00D429B9" w:rsidRPr="00233EA1" w:rsidRDefault="00456EA8" w:rsidP="00456EA8">
      <w:pPr>
        <w:pStyle w:val="Pagedecouverture"/>
        <w:rPr>
          <w:noProof/>
        </w:rPr>
      </w:pPr>
      <w:r>
        <w:rPr>
          <w:noProof/>
        </w:rPr>
        <w:pict w14:anchorId="5FBAA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E4AAE68-3E35-416E-8DB0-02704EE955F2" style="width:455.25pt;height:442.5pt">
            <v:imagedata r:id="rId11" o:title=""/>
          </v:shape>
        </w:pict>
      </w:r>
    </w:p>
    <w:p w14:paraId="1D279CBE" w14:textId="77777777" w:rsidR="00D429B9" w:rsidRPr="00233EA1" w:rsidRDefault="00D429B9" w:rsidP="00D429B9">
      <w:pPr>
        <w:rPr>
          <w:noProof/>
        </w:rPr>
        <w:sectPr w:rsidR="00D429B9" w:rsidRPr="00233EA1" w:rsidSect="00456EA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3B4D7C1" w14:textId="77777777" w:rsidR="00D429B9" w:rsidRPr="00233EA1" w:rsidRDefault="00D429B9" w:rsidP="00D429B9">
      <w:pPr>
        <w:pStyle w:val="Annexetitre"/>
        <w:rPr>
          <w:rStyle w:val="Marker"/>
          <w:noProof/>
        </w:rPr>
      </w:pPr>
      <w:bookmarkStart w:id="0" w:name="_Hlk144999041"/>
      <w:bookmarkStart w:id="1" w:name="_GoBack"/>
      <w:bookmarkEnd w:id="0"/>
      <w:bookmarkEnd w:id="1"/>
      <w:r w:rsidRPr="00233EA1">
        <w:rPr>
          <w:noProof/>
        </w:rPr>
        <w:lastRenderedPageBreak/>
        <w:t>ANHANG I</w:t>
      </w:r>
    </w:p>
    <w:p w14:paraId="1BC5B978" w14:textId="77777777" w:rsidR="00D429B9" w:rsidRPr="00233EA1" w:rsidRDefault="00D429B9" w:rsidP="01C23B02">
      <w:pPr>
        <w:pStyle w:val="ManualHeading1"/>
        <w:jc w:val="center"/>
        <w:rPr>
          <w:noProof/>
        </w:rPr>
      </w:pPr>
      <w:r w:rsidRPr="00233EA1">
        <w:rPr>
          <w:noProof/>
        </w:rPr>
        <w:t>In den Artikeln 2, 3, 8, 11, 12, 15, 17, 21, 22 und 23 genannte Rechtsakte der Union</w:t>
      </w:r>
    </w:p>
    <w:p w14:paraId="0B68E679" w14:textId="1A477C37" w:rsidR="00122056" w:rsidRPr="00233EA1" w:rsidRDefault="00122056" w:rsidP="00122056">
      <w:pPr>
        <w:pStyle w:val="Text1"/>
        <w:rPr>
          <w:noProof/>
          <w:sz w:val="22"/>
        </w:rPr>
      </w:pPr>
      <w:r w:rsidRPr="00233EA1">
        <w:rPr>
          <w:noProof/>
        </w:rPr>
        <w:t xml:space="preserve">Jeder Verweis auf einen der hier aufgeführten Rechtsakte der Union ist auch als Verweis auf alle gemäß diesem Rechtsakt erlassenen Durchführungsrechtsakte und delegierten Rechtsakte, sofern zutreffend, zu verstehen. </w:t>
      </w:r>
    </w:p>
    <w:p w14:paraId="525E5412" w14:textId="77777777" w:rsidR="0048403C" w:rsidRPr="00233EA1" w:rsidRDefault="00D429B9" w:rsidP="00D429B9">
      <w:pPr>
        <w:spacing w:after="0" w:line="276" w:lineRule="auto"/>
        <w:textAlignment w:val="baseline"/>
        <w:rPr>
          <w:rFonts w:ascii="Calibri" w:eastAsia="Times New Roman" w:hAnsi="Calibri" w:cs="Calibri"/>
          <w:noProof/>
        </w:rPr>
      </w:pPr>
      <w:r w:rsidRPr="00233EA1">
        <w:rPr>
          <w:rFonts w:ascii="Calibri" w:hAnsi="Calibri"/>
          <w:noProof/>
        </w:rPr>
        <w:t> </w:t>
      </w:r>
    </w:p>
    <w:p w14:paraId="07CC2583" w14:textId="77777777" w:rsidR="0006616A" w:rsidRPr="00233EA1" w:rsidRDefault="00F43E36" w:rsidP="0006616A">
      <w:pPr>
        <w:pStyle w:val="ListNumber"/>
        <w:rPr>
          <w:rFonts w:eastAsia="Times New Roman"/>
          <w:noProof/>
        </w:rPr>
      </w:pPr>
      <w:hyperlink r:id="rId18" w:history="1">
        <w:r w:rsidR="00233EA1" w:rsidRPr="00233EA1">
          <w:rPr>
            <w:rStyle w:val="Hyperlink"/>
            <w:noProof/>
          </w:rPr>
          <w:t>Richtlinie 91/271/EWG</w:t>
        </w:r>
      </w:hyperlink>
      <w:r w:rsidR="00233EA1" w:rsidRPr="00233EA1">
        <w:rPr>
          <w:noProof/>
        </w:rPr>
        <w:t xml:space="preserve"> des Rates vom 21. Mai 1991 über die Behandlung von kommunalem Abwasser (ABl. L 135 vom 30.5.1991, S. 40)</w:t>
      </w:r>
    </w:p>
    <w:p w14:paraId="3DC7C671" w14:textId="77777777" w:rsidR="0006616A" w:rsidRPr="00233EA1" w:rsidRDefault="00F43E36" w:rsidP="0006616A">
      <w:pPr>
        <w:pStyle w:val="ListNumber"/>
        <w:rPr>
          <w:rFonts w:eastAsia="Times New Roman"/>
          <w:noProof/>
        </w:rPr>
      </w:pPr>
      <w:hyperlink r:id="rId19">
        <w:r w:rsidR="00233EA1" w:rsidRPr="00233EA1">
          <w:rPr>
            <w:rStyle w:val="Hyperlink"/>
            <w:noProof/>
          </w:rPr>
          <w:t>Richtlinie 91/676/EWG</w:t>
        </w:r>
      </w:hyperlink>
      <w:r w:rsidR="00233EA1" w:rsidRPr="00233EA1">
        <w:rPr>
          <w:noProof/>
        </w:rPr>
        <w:t xml:space="preserve"> des Rates vom 12. Dezember 1991 zum Schutz der Gewässer vor Verunreinigung durch Nitrat aus landwirtschaftlichen Quellen (ABl. L 375 vom 31.12.1991, S. 1)</w:t>
      </w:r>
    </w:p>
    <w:p w14:paraId="3414AB34" w14:textId="77777777" w:rsidR="0006616A" w:rsidRPr="00233EA1" w:rsidRDefault="00F43E36" w:rsidP="0006616A">
      <w:pPr>
        <w:pStyle w:val="ListNumber"/>
        <w:rPr>
          <w:rFonts w:eastAsia="Times New Roman"/>
          <w:noProof/>
        </w:rPr>
      </w:pPr>
      <w:hyperlink r:id="rId20">
        <w:r w:rsidR="00233EA1" w:rsidRPr="00233EA1">
          <w:rPr>
            <w:rStyle w:val="Hyperlink"/>
            <w:noProof/>
          </w:rPr>
          <w:t>Verordnung (EWG) Nr. 315/93</w:t>
        </w:r>
      </w:hyperlink>
      <w:r w:rsidR="00233EA1" w:rsidRPr="00233EA1">
        <w:rPr>
          <w:noProof/>
        </w:rPr>
        <w:t xml:space="preserve"> des Rates vom 8. Februar 1993 zur Festlegung von gemeinschaftlichen Verfahren zur Kontrolle von Kontaminanten in Lebensmitteln (ABl. L 37 vom 13.2.1993, S. 1)</w:t>
      </w:r>
    </w:p>
    <w:p w14:paraId="17F8AEAD" w14:textId="77777777" w:rsidR="00A90D66" w:rsidRPr="00233EA1" w:rsidRDefault="00F43E36" w:rsidP="0006616A">
      <w:pPr>
        <w:pStyle w:val="ListNumber"/>
        <w:rPr>
          <w:rFonts w:eastAsia="Times New Roman"/>
          <w:noProof/>
        </w:rPr>
      </w:pPr>
      <w:hyperlink r:id="rId21" w:history="1">
        <w:r w:rsidR="00233EA1" w:rsidRPr="00233EA1">
          <w:rPr>
            <w:rStyle w:val="Hyperlink"/>
            <w:noProof/>
          </w:rPr>
          <w:t>Richtlinie 94/62/EG</w:t>
        </w:r>
      </w:hyperlink>
      <w:r w:rsidR="00233EA1" w:rsidRPr="00233EA1">
        <w:rPr>
          <w:noProof/>
        </w:rPr>
        <w:t xml:space="preserve"> des Europäischen Parlaments und des Rates vom 20. Dezember 1994 über Verpackungen und Verpackungsabfälle</w:t>
      </w:r>
    </w:p>
    <w:p w14:paraId="3A51F2F2" w14:textId="77777777" w:rsidR="0006616A" w:rsidRPr="00233EA1" w:rsidRDefault="00F43E36" w:rsidP="0006616A">
      <w:pPr>
        <w:pStyle w:val="ListNumber"/>
        <w:rPr>
          <w:rFonts w:eastAsia="Times New Roman"/>
          <w:noProof/>
        </w:rPr>
      </w:pPr>
      <w:hyperlink r:id="rId22">
        <w:r w:rsidR="00233EA1" w:rsidRPr="00233EA1">
          <w:rPr>
            <w:rStyle w:val="Hyperlink"/>
            <w:noProof/>
          </w:rPr>
          <w:t>Richtlinie 98/24/EG</w:t>
        </w:r>
      </w:hyperlink>
      <w:r w:rsidR="00233EA1" w:rsidRPr="00233EA1">
        <w:rPr>
          <w:noProof/>
        </w:rPr>
        <w:t xml:space="preserve"> des Rates vom 7. April 1998 zum Schutz von Gesundheit und Sicherheit der Arbeitnehmer vor der Gefährdung durch chemische Arbeitsstoffe bei der Arbeit (vierzehnte Einzelrichtlinie im Sinne des Artikels 16 Absatz 1 der Richtlinie 89/391/EWG) (ABl. L 131 vom 5.5.1998, S. 11)</w:t>
      </w:r>
    </w:p>
    <w:p w14:paraId="74E20E6B" w14:textId="77777777" w:rsidR="0006616A" w:rsidRPr="00233EA1" w:rsidRDefault="00F43E36" w:rsidP="0006616A">
      <w:pPr>
        <w:pStyle w:val="ListNumber"/>
        <w:rPr>
          <w:noProof/>
        </w:rPr>
      </w:pPr>
      <w:hyperlink r:id="rId23">
        <w:r w:rsidR="00233EA1" w:rsidRPr="00233EA1">
          <w:rPr>
            <w:rStyle w:val="Hyperlink"/>
            <w:noProof/>
          </w:rPr>
          <w:t>Richtlinie 2004/37/EG</w:t>
        </w:r>
      </w:hyperlink>
      <w:r w:rsidR="00233EA1" w:rsidRPr="00233EA1">
        <w:rPr>
          <w:noProof/>
        </w:rPr>
        <w:t xml:space="preserve"> des Europäischen Parlaments und des Rates vom 29. April 2004 über den Schutz der Arbeitnehmer gegen Gefährdung durch Karzinogene oder Mutagene bei der Arbeit (sechste Einzelrichtlinie im Sinne von Artikel 16 Absatz 1 der Richtlinie 89/391/EWG des Rates) (ABl. L 158 vom 30.4.2004, S. 50)</w:t>
      </w:r>
    </w:p>
    <w:p w14:paraId="1F501D47" w14:textId="77777777" w:rsidR="0006616A" w:rsidRPr="00233EA1" w:rsidRDefault="00F43E36" w:rsidP="0006616A">
      <w:pPr>
        <w:pStyle w:val="ListNumber"/>
        <w:rPr>
          <w:rFonts w:eastAsia="Times New Roman"/>
          <w:noProof/>
        </w:rPr>
      </w:pPr>
      <w:hyperlink r:id="rId24">
        <w:r w:rsidR="00233EA1" w:rsidRPr="00233EA1">
          <w:rPr>
            <w:rStyle w:val="Hyperlink"/>
            <w:noProof/>
          </w:rPr>
          <w:t>Richtlinie 2000/53/EG</w:t>
        </w:r>
      </w:hyperlink>
      <w:r w:rsidR="00233EA1" w:rsidRPr="00233EA1">
        <w:rPr>
          <w:noProof/>
        </w:rPr>
        <w:t xml:space="preserve"> des Europäischen Parlaments und des Rates vom 18. September 2000 über Altfahrzeuge (ABl. L 269 vom 21.10.2000, S. 34)</w:t>
      </w:r>
    </w:p>
    <w:p w14:paraId="5F7FF0C0" w14:textId="77777777" w:rsidR="0006616A" w:rsidRPr="00233EA1" w:rsidRDefault="00F43E36" w:rsidP="0006616A">
      <w:pPr>
        <w:pStyle w:val="ListNumber"/>
        <w:rPr>
          <w:rFonts w:eastAsia="Times New Roman"/>
          <w:noProof/>
        </w:rPr>
      </w:pPr>
      <w:hyperlink r:id="rId25">
        <w:r w:rsidR="00233EA1" w:rsidRPr="00233EA1">
          <w:rPr>
            <w:rStyle w:val="Hyperlink"/>
            <w:noProof/>
          </w:rPr>
          <w:t>Richtlinie 2000/60/EG</w:t>
        </w:r>
      </w:hyperlink>
      <w:r w:rsidR="00233EA1" w:rsidRPr="00233EA1">
        <w:rPr>
          <w:noProof/>
        </w:rPr>
        <w:t xml:space="preserve"> des Europäischen Parlaments und des Rates vom 23. Oktober 2000 zur Schaffung eines Ordnungsrahmens für Maßnahmen der Gemeinschaft im Bereich der Wasserpolitik (ABl. L 327 vom 22.12.2000, S. 1)</w:t>
      </w:r>
    </w:p>
    <w:p w14:paraId="4A43EC49" w14:textId="77777777" w:rsidR="0006616A" w:rsidRPr="00233EA1" w:rsidRDefault="00F43E36" w:rsidP="0006616A">
      <w:pPr>
        <w:pStyle w:val="ListNumber"/>
        <w:rPr>
          <w:rFonts w:eastAsia="Times New Roman"/>
          <w:noProof/>
        </w:rPr>
      </w:pPr>
      <w:hyperlink r:id="rId26">
        <w:r w:rsidR="00233EA1" w:rsidRPr="00233EA1">
          <w:rPr>
            <w:rStyle w:val="Hyperlink"/>
            <w:noProof/>
          </w:rPr>
          <w:t>Richtlinie 2001/18/EG</w:t>
        </w:r>
      </w:hyperlink>
      <w:r w:rsidR="00233EA1" w:rsidRPr="00233EA1">
        <w:rPr>
          <w:noProof/>
        </w:rPr>
        <w:t xml:space="preserve"> des Europäischen Parlaments und des Rates vom 12. März 2001 über die absichtliche Freisetzung genetisch veränderter Organismen in die Umwelt und zur Aufhebung der Richtlinie 90/220/EWG des Rates (ABl. L 106 vom 17.4.2001, S. 1)</w:t>
      </w:r>
    </w:p>
    <w:p w14:paraId="2ACC93FF" w14:textId="77777777" w:rsidR="0006616A" w:rsidRPr="00233EA1" w:rsidRDefault="00F43E36" w:rsidP="0006616A">
      <w:pPr>
        <w:pStyle w:val="ListNumber"/>
        <w:rPr>
          <w:rFonts w:eastAsia="Times New Roman"/>
          <w:noProof/>
        </w:rPr>
      </w:pPr>
      <w:hyperlink r:id="rId27">
        <w:r w:rsidR="00233EA1" w:rsidRPr="00233EA1">
          <w:rPr>
            <w:rStyle w:val="Hyperlink"/>
            <w:noProof/>
          </w:rPr>
          <w:t>Verordnung (EG) Nr. 178/2002</w:t>
        </w:r>
      </w:hyperlink>
      <w:r w:rsidR="00233EA1" w:rsidRPr="00233EA1">
        <w:rPr>
          <w:noProof/>
        </w:rPr>
        <w:t xml:space="preserve">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p w14:paraId="0556718F" w14:textId="77777777" w:rsidR="0006616A" w:rsidRPr="00233EA1" w:rsidRDefault="00F43E36" w:rsidP="0006616A">
      <w:pPr>
        <w:pStyle w:val="ListNumber"/>
        <w:rPr>
          <w:rFonts w:eastAsia="Times New Roman"/>
          <w:noProof/>
        </w:rPr>
      </w:pPr>
      <w:hyperlink r:id="rId28">
        <w:r w:rsidR="00233EA1" w:rsidRPr="00233EA1">
          <w:rPr>
            <w:rStyle w:val="Hyperlink"/>
            <w:noProof/>
          </w:rPr>
          <w:t>Richtlinie 2002/32/EG</w:t>
        </w:r>
      </w:hyperlink>
      <w:r w:rsidR="00233EA1" w:rsidRPr="00233EA1">
        <w:rPr>
          <w:noProof/>
        </w:rPr>
        <w:t xml:space="preserve"> des Europäischen Parlaments und des Rates vom 7. Mai 2002 über unerwünschte Stoffe in der Tierernährung (ABl. L 140 vom 30.5.2002, S. 10)</w:t>
      </w:r>
    </w:p>
    <w:p w14:paraId="604F3F35" w14:textId="77777777" w:rsidR="006E1516" w:rsidRPr="00233EA1" w:rsidRDefault="00F43E36" w:rsidP="00B343B8">
      <w:pPr>
        <w:pStyle w:val="ListNumber"/>
        <w:rPr>
          <w:rFonts w:eastAsia="Times New Roman"/>
          <w:noProof/>
        </w:rPr>
      </w:pPr>
      <w:hyperlink r:id="rId29">
        <w:r w:rsidR="00233EA1" w:rsidRPr="00233EA1">
          <w:rPr>
            <w:rStyle w:val="Hyperlink"/>
            <w:noProof/>
          </w:rPr>
          <w:t>Richtlinie 2002/46/EG</w:t>
        </w:r>
      </w:hyperlink>
      <w:r w:rsidR="00233EA1" w:rsidRPr="00233EA1">
        <w:rPr>
          <w:noProof/>
        </w:rPr>
        <w:t xml:space="preserve"> zur Angleichung der Rechtsvorschriften der Mitgliedstaaten über Nahrungsergänzungsmittel (ABl. L 183 vom 12.7.2002, S. 51)</w:t>
      </w:r>
    </w:p>
    <w:p w14:paraId="5B38C04D" w14:textId="77777777" w:rsidR="006E1516" w:rsidRPr="00233EA1" w:rsidRDefault="00F43E36" w:rsidP="006E1516">
      <w:pPr>
        <w:pStyle w:val="ListNumber"/>
        <w:rPr>
          <w:noProof/>
        </w:rPr>
      </w:pPr>
      <w:hyperlink r:id="rId30">
        <w:r w:rsidR="00233EA1" w:rsidRPr="00233EA1">
          <w:rPr>
            <w:rStyle w:val="Hyperlink"/>
            <w:noProof/>
          </w:rPr>
          <w:t>Verordnung (EG) Nr. 1829/2003</w:t>
        </w:r>
      </w:hyperlink>
      <w:r w:rsidR="00233EA1" w:rsidRPr="00233EA1">
        <w:rPr>
          <w:noProof/>
        </w:rPr>
        <w:t xml:space="preserve"> des Europäischen Parlaments und des Rates vom 22. September 2003 über genetisch veränderte Lebensmittel und Futtermittel (ABl. L 268 vom 18.10.2003, S. 1)</w:t>
      </w:r>
    </w:p>
    <w:p w14:paraId="2B3620F7" w14:textId="77777777" w:rsidR="006E1516" w:rsidRPr="00233EA1" w:rsidRDefault="00F43E36" w:rsidP="006E1516">
      <w:pPr>
        <w:pStyle w:val="ListNumber"/>
        <w:rPr>
          <w:noProof/>
        </w:rPr>
      </w:pPr>
      <w:hyperlink r:id="rId31">
        <w:r w:rsidR="00233EA1" w:rsidRPr="00233EA1">
          <w:rPr>
            <w:rStyle w:val="Hyperlink"/>
            <w:noProof/>
          </w:rPr>
          <w:t>Verordnung (EG) Nr. 1831/2003</w:t>
        </w:r>
      </w:hyperlink>
      <w:r w:rsidR="00233EA1" w:rsidRPr="00233EA1">
        <w:rPr>
          <w:noProof/>
        </w:rPr>
        <w:t xml:space="preserve"> des Europäischen Parlaments und des Rates vom 22. September 2003 über Zusatzstoffe zur Verwendung in der Tierernährung (ABl. L 268 vom 18.10.2003, S. 29)</w:t>
      </w:r>
    </w:p>
    <w:p w14:paraId="569B7926" w14:textId="77777777" w:rsidR="0006616A" w:rsidRPr="00233EA1" w:rsidRDefault="00F43E36" w:rsidP="006E1516">
      <w:pPr>
        <w:pStyle w:val="ListNumber"/>
        <w:rPr>
          <w:noProof/>
        </w:rPr>
      </w:pPr>
      <w:hyperlink r:id="rId32">
        <w:r w:rsidR="00233EA1" w:rsidRPr="00233EA1">
          <w:rPr>
            <w:rStyle w:val="Hyperlink"/>
            <w:noProof/>
          </w:rPr>
          <w:t>Verordnung (EG) Nr. 2065/2003</w:t>
        </w:r>
      </w:hyperlink>
      <w:r w:rsidR="00233EA1" w:rsidRPr="00233EA1">
        <w:rPr>
          <w:noProof/>
        </w:rPr>
        <w:t xml:space="preserve"> des Europäischen Parlaments und des Rates vom 10. November 2003 über Raucharomen zur tatsächlichen oder beabsichtigten Verwendung in oder auf Lebensmitteln (ABl. L 309 vom 26.11.2003, S. 1)</w:t>
      </w:r>
    </w:p>
    <w:p w14:paraId="25838358" w14:textId="77777777" w:rsidR="0006616A" w:rsidRPr="00233EA1" w:rsidRDefault="00F43E36" w:rsidP="0006616A">
      <w:pPr>
        <w:pStyle w:val="ListNumber"/>
        <w:rPr>
          <w:rFonts w:eastAsia="Times New Roman"/>
          <w:noProof/>
        </w:rPr>
      </w:pPr>
      <w:hyperlink r:id="rId33">
        <w:r w:rsidR="00233EA1" w:rsidRPr="00233EA1">
          <w:rPr>
            <w:rStyle w:val="Hyperlink"/>
            <w:noProof/>
          </w:rPr>
          <w:t>Verordnung (EG) Nr. 853/2004</w:t>
        </w:r>
      </w:hyperlink>
      <w:r w:rsidR="00233EA1" w:rsidRPr="00233EA1">
        <w:rPr>
          <w:noProof/>
        </w:rPr>
        <w:t xml:space="preserve"> des Europäischen Parlaments und des Rates vom 29. April 2004 mit spezifischen Hygienevorschriften für Lebensmittel tierischen Ursprungs (ABl. L 139 vom 30.4.2004, S. 55)</w:t>
      </w:r>
    </w:p>
    <w:p w14:paraId="415286F5" w14:textId="77777777" w:rsidR="0006616A" w:rsidRPr="00233EA1" w:rsidRDefault="00F43E36" w:rsidP="0006616A">
      <w:pPr>
        <w:pStyle w:val="ListNumber"/>
        <w:rPr>
          <w:rFonts w:eastAsia="Times New Roman"/>
          <w:noProof/>
        </w:rPr>
      </w:pPr>
      <w:hyperlink r:id="rId34">
        <w:r w:rsidR="00233EA1" w:rsidRPr="00233EA1">
          <w:rPr>
            <w:rStyle w:val="Hyperlink"/>
            <w:noProof/>
          </w:rPr>
          <w:t>Verordnung (EG) Nr. 648/2004</w:t>
        </w:r>
      </w:hyperlink>
      <w:r w:rsidR="00233EA1" w:rsidRPr="00233EA1">
        <w:rPr>
          <w:noProof/>
        </w:rPr>
        <w:t xml:space="preserve"> des Europäischen Parlaments und des Rates vom 31. März 2004 über Detergenzien (ABl. L 104 vom 8.4.2004, S. 1)</w:t>
      </w:r>
    </w:p>
    <w:p w14:paraId="1610437E" w14:textId="77777777" w:rsidR="0006616A" w:rsidRPr="00233EA1" w:rsidRDefault="00F43E36" w:rsidP="0006616A">
      <w:pPr>
        <w:pStyle w:val="ListNumber"/>
        <w:rPr>
          <w:rFonts w:eastAsia="Times New Roman"/>
          <w:noProof/>
        </w:rPr>
      </w:pPr>
      <w:hyperlink r:id="rId35">
        <w:r w:rsidR="00233EA1" w:rsidRPr="00233EA1">
          <w:rPr>
            <w:rStyle w:val="Hyperlink"/>
            <w:noProof/>
          </w:rPr>
          <w:t>Verordnung (EG) Nr. 852/2004</w:t>
        </w:r>
      </w:hyperlink>
      <w:r w:rsidR="00233EA1" w:rsidRPr="00233EA1">
        <w:rPr>
          <w:noProof/>
        </w:rPr>
        <w:t xml:space="preserve"> des Europäischen Parlaments und des Rates vom 29. April 2004 über Lebensmittelhygiene (ABl. L 139 vom 30.4.2004, S. 1)</w:t>
      </w:r>
    </w:p>
    <w:p w14:paraId="08F9EE20" w14:textId="77777777" w:rsidR="0006616A" w:rsidRPr="00233EA1" w:rsidRDefault="00F43E36" w:rsidP="0006616A">
      <w:pPr>
        <w:pStyle w:val="ListNumber"/>
        <w:rPr>
          <w:rFonts w:eastAsia="Times New Roman"/>
          <w:noProof/>
        </w:rPr>
      </w:pPr>
      <w:hyperlink r:id="rId36">
        <w:r w:rsidR="00233EA1" w:rsidRPr="00233EA1">
          <w:rPr>
            <w:rStyle w:val="Hyperlink"/>
            <w:noProof/>
          </w:rPr>
          <w:t>Verordnung (EG) Nr. 1935/2004</w:t>
        </w:r>
      </w:hyperlink>
      <w:r w:rsidR="00233EA1" w:rsidRPr="00233EA1">
        <w:rPr>
          <w:noProof/>
        </w:rPr>
        <w:t xml:space="preserve"> des Europäischen Parlaments und des Rates vom 27. Oktober 2004 über Materialien und Gegenstände, die dazu bestimmt sind, mit Lebensmitteln in Berührung zu kommen und zur Aufhebung der Richtlinien 80/590/EWG und 89/109/EWG (ABl. L 338 vom 13.11.2004, S. 4)</w:t>
      </w:r>
    </w:p>
    <w:p w14:paraId="773101B0" w14:textId="77777777" w:rsidR="0006616A" w:rsidRPr="00233EA1" w:rsidRDefault="00F43E36" w:rsidP="0006616A">
      <w:pPr>
        <w:pStyle w:val="ListNumber"/>
        <w:rPr>
          <w:rFonts w:eastAsia="Times New Roman"/>
          <w:noProof/>
        </w:rPr>
      </w:pPr>
      <w:hyperlink r:id="rId37">
        <w:r w:rsidR="00233EA1" w:rsidRPr="00233EA1">
          <w:rPr>
            <w:rStyle w:val="Hyperlink"/>
            <w:noProof/>
          </w:rPr>
          <w:t>Richtlinie 2004/107/EG</w:t>
        </w:r>
      </w:hyperlink>
      <w:r w:rsidR="00233EA1" w:rsidRPr="00233EA1">
        <w:rPr>
          <w:noProof/>
        </w:rPr>
        <w:t xml:space="preserve"> des Europäischen Parlaments und des Rates vom 15. Dezember 2004 über Arsen, Kadmium, Quecksilber, Nickel und polyzyklische aromatische Kohlenwasserstoffe in der Luft (ABl. L 23 vom 26.1.2005, S. 3)</w:t>
      </w:r>
    </w:p>
    <w:p w14:paraId="2E1AA264" w14:textId="77777777" w:rsidR="0006616A" w:rsidRPr="00233EA1" w:rsidRDefault="00F43E36" w:rsidP="0006616A">
      <w:pPr>
        <w:pStyle w:val="ListNumber"/>
        <w:rPr>
          <w:rFonts w:eastAsia="Times New Roman"/>
          <w:noProof/>
        </w:rPr>
      </w:pPr>
      <w:hyperlink r:id="rId38">
        <w:r w:rsidR="00233EA1" w:rsidRPr="00233EA1">
          <w:rPr>
            <w:rStyle w:val="Hyperlink"/>
            <w:noProof/>
          </w:rPr>
          <w:t>Verordnung (EG) Nr. 396/2005</w:t>
        </w:r>
      </w:hyperlink>
      <w:r w:rsidR="00233EA1" w:rsidRPr="00233EA1">
        <w:rPr>
          <w:noProof/>
        </w:rPr>
        <w:t xml:space="preserve"> des Europäischen Parlaments und des Rates vom 23. Februar 2005 über Höchstgehalte an Pestizidrückständen in oder auf Lebens- und Futtermitteln pflanzlichen und tierischen Ursprungs und zur Änderung der Richtlinie 91/414/EWG des Rates (ABl. L 70 vom 16.3.2005, S. 1)</w:t>
      </w:r>
    </w:p>
    <w:p w14:paraId="4ED4AE12" w14:textId="78BB0B72" w:rsidR="0006616A" w:rsidRPr="00233EA1" w:rsidRDefault="00F43E36" w:rsidP="0006616A">
      <w:pPr>
        <w:pStyle w:val="ListNumber"/>
        <w:rPr>
          <w:rFonts w:eastAsia="Times New Roman"/>
          <w:noProof/>
        </w:rPr>
      </w:pPr>
      <w:hyperlink r:id="rId39">
        <w:r w:rsidR="00233EA1" w:rsidRPr="00233EA1">
          <w:rPr>
            <w:rStyle w:val="Hyperlink"/>
            <w:noProof/>
          </w:rPr>
          <w:t>Verordnung (EG) Nr. 166/2006</w:t>
        </w:r>
      </w:hyperlink>
      <w:r w:rsidR="00233EA1" w:rsidRPr="00233EA1">
        <w:rPr>
          <w:noProof/>
        </w:rPr>
        <w:t xml:space="preserve"> des Europäischen Parlaments und des Rates vom 18. Januar 2006 über die Schaffung eines Europäischen Schadstofffreisetzungs- und </w:t>
      </w:r>
      <w:r w:rsidR="00233EA1">
        <w:rPr>
          <w:noProof/>
        </w:rPr>
        <w:br/>
      </w:r>
      <w:r w:rsidR="00233EA1" w:rsidRPr="00233EA1">
        <w:rPr>
          <w:noProof/>
        </w:rPr>
        <w:t>-verbringungsregisters und zur Änderung der Richtlinien 91/689/EWG und 96/61/EG des Rates (ABl. L 33 vom 4.2.2006, S. 1)</w:t>
      </w:r>
    </w:p>
    <w:p w14:paraId="5026B6EA" w14:textId="77777777" w:rsidR="0006616A" w:rsidRPr="00233EA1" w:rsidRDefault="00F43E36" w:rsidP="0006616A">
      <w:pPr>
        <w:pStyle w:val="ListNumber"/>
        <w:rPr>
          <w:rFonts w:eastAsia="Times New Roman"/>
          <w:noProof/>
        </w:rPr>
      </w:pPr>
      <w:hyperlink r:id="rId40">
        <w:r w:rsidR="00233EA1" w:rsidRPr="00233EA1">
          <w:rPr>
            <w:rStyle w:val="Hyperlink"/>
            <w:noProof/>
          </w:rPr>
          <w:t>Richtlinie 2006/118/EG</w:t>
        </w:r>
      </w:hyperlink>
      <w:r w:rsidR="00233EA1" w:rsidRPr="00233EA1">
        <w:rPr>
          <w:noProof/>
        </w:rPr>
        <w:t xml:space="preserve"> des Europäischen Parlaments und des Rates vom 12. Dezember 2006 zum Schutz des Grundwassers vor Verschmutzung und Verschlechterung (ABl. L 372 vom 27.12.2006, S. 19)</w:t>
      </w:r>
    </w:p>
    <w:p w14:paraId="784408B2" w14:textId="77777777" w:rsidR="0006616A" w:rsidRPr="00233EA1" w:rsidRDefault="00F43E36" w:rsidP="0006616A">
      <w:pPr>
        <w:pStyle w:val="ListNumber"/>
        <w:rPr>
          <w:rFonts w:eastAsia="Times New Roman"/>
          <w:noProof/>
        </w:rPr>
      </w:pPr>
      <w:hyperlink r:id="rId41">
        <w:r w:rsidR="00233EA1" w:rsidRPr="00233EA1">
          <w:rPr>
            <w:rStyle w:val="Hyperlink"/>
            <w:noProof/>
          </w:rPr>
          <w:t>Verordnung (EG) Nr. 1907/2006</w:t>
        </w:r>
      </w:hyperlink>
      <w:r w:rsidR="00233EA1" w:rsidRPr="00233EA1">
        <w:rPr>
          <w:noProof/>
        </w:rPr>
        <w:t xml:space="preserve">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p w14:paraId="650E7EC3" w14:textId="77777777" w:rsidR="0006616A" w:rsidRPr="00233EA1" w:rsidRDefault="00F43E36" w:rsidP="0006616A">
      <w:pPr>
        <w:pStyle w:val="ListNumber"/>
        <w:rPr>
          <w:rFonts w:eastAsia="Times New Roman"/>
          <w:noProof/>
        </w:rPr>
      </w:pPr>
      <w:hyperlink r:id="rId42">
        <w:r w:rsidR="00233EA1" w:rsidRPr="00233EA1">
          <w:rPr>
            <w:rStyle w:val="Hyperlink"/>
            <w:noProof/>
          </w:rPr>
          <w:t>Verordnung (EG) Nr. 1924/2006</w:t>
        </w:r>
      </w:hyperlink>
      <w:r w:rsidR="00233EA1" w:rsidRPr="00233EA1">
        <w:rPr>
          <w:noProof/>
        </w:rPr>
        <w:t xml:space="preserve"> des Europäischen Parlaments und des Rates vom 20. Dezember 2006 über nährwert- und gesundheitsbezogene Angaben über Lebensmittel (ABl. L 404 vom 30.12.2006, S. 9)</w:t>
      </w:r>
    </w:p>
    <w:p w14:paraId="7821E078" w14:textId="77777777" w:rsidR="0006616A" w:rsidRPr="00233EA1" w:rsidRDefault="00F43E36" w:rsidP="0006616A">
      <w:pPr>
        <w:pStyle w:val="ListNumber"/>
        <w:rPr>
          <w:rFonts w:eastAsia="Times New Roman"/>
          <w:noProof/>
        </w:rPr>
      </w:pPr>
      <w:hyperlink r:id="rId43">
        <w:r w:rsidR="00233EA1" w:rsidRPr="00233EA1">
          <w:rPr>
            <w:rStyle w:val="Hyperlink"/>
            <w:noProof/>
          </w:rPr>
          <w:t>Verordnung (EG) Nr. 1925/2006</w:t>
        </w:r>
      </w:hyperlink>
      <w:r w:rsidR="00233EA1" w:rsidRPr="00233EA1">
        <w:rPr>
          <w:noProof/>
        </w:rPr>
        <w:t xml:space="preserve"> des Europäischen Parlaments und des Rates vom 20. Dezember 2006 über den Zusatz von Vitaminen und Mineralstoffen sowie bestimmten anderen Stoffen zu Lebensmitteln (ABl. L 404 vom 30.12.2006, S. 26)</w:t>
      </w:r>
    </w:p>
    <w:p w14:paraId="46AD4F6F" w14:textId="77777777" w:rsidR="0006616A" w:rsidRPr="00233EA1" w:rsidRDefault="00F43E36" w:rsidP="0006616A">
      <w:pPr>
        <w:pStyle w:val="ListNumber"/>
        <w:rPr>
          <w:rFonts w:eastAsia="Times New Roman"/>
          <w:noProof/>
        </w:rPr>
      </w:pPr>
      <w:hyperlink r:id="rId44">
        <w:r w:rsidR="00233EA1" w:rsidRPr="00233EA1">
          <w:rPr>
            <w:rStyle w:val="Hyperlink"/>
            <w:noProof/>
          </w:rPr>
          <w:t>Richtlinie 2007/2/EG</w:t>
        </w:r>
      </w:hyperlink>
      <w:r w:rsidR="00233EA1" w:rsidRPr="00233EA1">
        <w:rPr>
          <w:noProof/>
        </w:rPr>
        <w:t xml:space="preserve"> des Europäischen Parlaments und des Rates vom 14. März 2007 zur Schaffung einer Geodateninfrastruktur in der Europäischen Gemeinschaft (INSPIRE) (ABl. L 108 vom 25.4.2007, S. 1)</w:t>
      </w:r>
    </w:p>
    <w:p w14:paraId="01CD2846" w14:textId="77777777" w:rsidR="0006616A" w:rsidRPr="00233EA1" w:rsidRDefault="00F43E36" w:rsidP="0006616A">
      <w:pPr>
        <w:pStyle w:val="ListNumber"/>
        <w:rPr>
          <w:rFonts w:eastAsia="Times New Roman"/>
          <w:noProof/>
        </w:rPr>
      </w:pPr>
      <w:hyperlink r:id="rId45">
        <w:r w:rsidR="00233EA1" w:rsidRPr="00233EA1">
          <w:rPr>
            <w:rStyle w:val="Hyperlink"/>
            <w:noProof/>
          </w:rPr>
          <w:t>Verordnung (EG) Nr. 108/2008</w:t>
        </w:r>
      </w:hyperlink>
      <w:r w:rsidR="00233EA1" w:rsidRPr="00233EA1">
        <w:rPr>
          <w:noProof/>
        </w:rPr>
        <w:t xml:space="preserve"> des Europäischen Parlaments und des Rates vom 15. Januar 2008 zur Änderung der Verordnung (EG) Nr. 1925/2006 über den Zusatz von Vitaminen und Mineralstoffen sowie bestimmten anderen Stoffen zu Lebensmitteln (ABl. L 39 vom 13.2.2008, S. 11)</w:t>
      </w:r>
    </w:p>
    <w:p w14:paraId="368EBBD4" w14:textId="77777777" w:rsidR="0006616A" w:rsidRPr="00233EA1" w:rsidRDefault="00F43E36" w:rsidP="00233EA1">
      <w:pPr>
        <w:pStyle w:val="ListNumber"/>
        <w:keepLines/>
        <w:ind w:left="782" w:hanging="357"/>
        <w:rPr>
          <w:rFonts w:eastAsia="Times New Roman"/>
          <w:noProof/>
        </w:rPr>
      </w:pPr>
      <w:hyperlink r:id="rId46">
        <w:r w:rsidR="00233EA1" w:rsidRPr="00233EA1">
          <w:rPr>
            <w:rStyle w:val="Hyperlink"/>
            <w:noProof/>
          </w:rPr>
          <w:t>Richtlinie 2008/56/EG</w:t>
        </w:r>
      </w:hyperlink>
      <w:r w:rsidR="00233EA1" w:rsidRPr="00233EA1">
        <w:rPr>
          <w:noProof/>
        </w:rPr>
        <w:t xml:space="preserve"> des Europäischen Parlaments und des Rates vom 17. Juni 2008 zur Schaffung eines Ordnungsrahmens für Maßnahmen der Gemeinschaft im Bereich der Meeresumwelt (Meeresstrategie-Rahmenrichtlinie) (ABl. L 164 vom 25.6.2008, S. 19)</w:t>
      </w:r>
    </w:p>
    <w:p w14:paraId="1CC888EA" w14:textId="77777777" w:rsidR="00C61AEF" w:rsidRPr="00233EA1" w:rsidRDefault="00F43E36" w:rsidP="00C61AEF">
      <w:pPr>
        <w:pStyle w:val="ListNumber"/>
        <w:rPr>
          <w:rFonts w:eastAsia="Times New Roman"/>
          <w:noProof/>
        </w:rPr>
      </w:pPr>
      <w:hyperlink r:id="rId47">
        <w:r w:rsidR="00233EA1" w:rsidRPr="00233EA1">
          <w:rPr>
            <w:rStyle w:val="Hyperlink"/>
            <w:noProof/>
          </w:rPr>
          <w:t>Richtlinie 2008/50/EG</w:t>
        </w:r>
      </w:hyperlink>
      <w:r w:rsidR="00233EA1" w:rsidRPr="00233EA1">
        <w:rPr>
          <w:noProof/>
        </w:rPr>
        <w:t xml:space="preserve"> des Europäischen Parlaments und des Rates vom 21. Mai 2008 über Luftqualität und saubere Luft für Europa (ABl. L 152 vom 11.6.2008, S. 1)</w:t>
      </w:r>
    </w:p>
    <w:p w14:paraId="54393BC5" w14:textId="77777777" w:rsidR="0006616A" w:rsidRPr="00233EA1" w:rsidRDefault="00F43E36" w:rsidP="00C61AEF">
      <w:pPr>
        <w:pStyle w:val="ListNumber"/>
        <w:rPr>
          <w:rStyle w:val="Hyperlink"/>
          <w:rFonts w:eastAsia="Times New Roman"/>
          <w:noProof/>
          <w:color w:val="auto"/>
          <w:u w:val="none"/>
        </w:rPr>
      </w:pPr>
      <w:hyperlink r:id="rId48">
        <w:r w:rsidR="00233EA1" w:rsidRPr="00233EA1">
          <w:rPr>
            <w:rStyle w:val="Hyperlink"/>
            <w:noProof/>
          </w:rPr>
          <w:t>Richtlinie 2008/98/EG</w:t>
        </w:r>
      </w:hyperlink>
      <w:r w:rsidR="00233EA1" w:rsidRPr="00233EA1">
        <w:rPr>
          <w:noProof/>
        </w:rPr>
        <w:t xml:space="preserve"> des Europäischen Parlaments und des Rates vom 19. November 2008 über Abfälle </w:t>
      </w:r>
      <w:r w:rsidR="00233EA1" w:rsidRPr="00233EA1">
        <w:rPr>
          <w:rStyle w:val="Hyperlink"/>
          <w:noProof/>
          <w:color w:val="auto"/>
          <w:u w:val="none"/>
        </w:rPr>
        <w:t>und zur Aufhebung bestimmter Richtlinien (ABl. L 312 vom 22.11.2008, S. 3)</w:t>
      </w:r>
    </w:p>
    <w:p w14:paraId="32B6C856" w14:textId="77777777" w:rsidR="0006616A" w:rsidRPr="00233EA1" w:rsidRDefault="00F43E36" w:rsidP="0006616A">
      <w:pPr>
        <w:pStyle w:val="ListNumber"/>
        <w:rPr>
          <w:rFonts w:eastAsia="Times New Roman"/>
          <w:noProof/>
        </w:rPr>
      </w:pPr>
      <w:hyperlink r:id="rId49">
        <w:r w:rsidR="00233EA1" w:rsidRPr="00233EA1">
          <w:rPr>
            <w:rStyle w:val="Hyperlink"/>
            <w:noProof/>
          </w:rPr>
          <w:t>Richtlinie 2008/105/EG</w:t>
        </w:r>
      </w:hyperlink>
      <w:r w:rsidR="00233EA1" w:rsidRPr="00233EA1">
        <w:rPr>
          <w:noProof/>
        </w:rPr>
        <w:t xml:space="preserve">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w:t>
      </w:r>
    </w:p>
    <w:p w14:paraId="293067EE" w14:textId="77777777" w:rsidR="0006616A" w:rsidRPr="00233EA1" w:rsidRDefault="00F43E36" w:rsidP="0006616A">
      <w:pPr>
        <w:pStyle w:val="ListNumber"/>
        <w:rPr>
          <w:rFonts w:eastAsia="Times New Roman"/>
          <w:noProof/>
        </w:rPr>
      </w:pPr>
      <w:hyperlink r:id="rId50">
        <w:r w:rsidR="00233EA1" w:rsidRPr="00233EA1">
          <w:rPr>
            <w:rStyle w:val="Hyperlink"/>
            <w:noProof/>
          </w:rPr>
          <w:t>Verordnung (EG) Nr. 1272/2008</w:t>
        </w:r>
      </w:hyperlink>
      <w:r w:rsidR="00233EA1" w:rsidRPr="00233EA1">
        <w:rPr>
          <w:noProof/>
        </w:rPr>
        <w:t xml:space="preserve">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p>
    <w:p w14:paraId="410FE363" w14:textId="77777777" w:rsidR="0006616A" w:rsidRPr="00233EA1" w:rsidRDefault="00F43E36" w:rsidP="0006616A">
      <w:pPr>
        <w:pStyle w:val="ListNumber"/>
        <w:rPr>
          <w:rFonts w:eastAsia="Times New Roman"/>
          <w:noProof/>
        </w:rPr>
      </w:pPr>
      <w:hyperlink r:id="rId51">
        <w:r w:rsidR="00233EA1" w:rsidRPr="00233EA1">
          <w:rPr>
            <w:rStyle w:val="Hyperlink"/>
            <w:noProof/>
          </w:rPr>
          <w:t>Verordnung (EG) Nr. 1331/2008</w:t>
        </w:r>
      </w:hyperlink>
      <w:r w:rsidR="00233EA1" w:rsidRPr="00233EA1">
        <w:rPr>
          <w:noProof/>
        </w:rPr>
        <w:t xml:space="preserve"> des Europäischen Parlaments und des Rates vom 16. Dezember 2008 über ein einheitliches Zulassungsverfahren für Lebensmittelzusatzstoffe, -enzyme und -aromen (ABl. L 354 vom 31.12.2008, S. 1)</w:t>
      </w:r>
    </w:p>
    <w:p w14:paraId="19932336" w14:textId="77777777" w:rsidR="0006616A" w:rsidRPr="00233EA1" w:rsidRDefault="00F43E36" w:rsidP="0006616A">
      <w:pPr>
        <w:pStyle w:val="ListNumber"/>
        <w:rPr>
          <w:rFonts w:eastAsia="Times New Roman"/>
          <w:noProof/>
        </w:rPr>
      </w:pPr>
      <w:hyperlink r:id="rId52">
        <w:r w:rsidR="00233EA1" w:rsidRPr="00233EA1">
          <w:rPr>
            <w:rStyle w:val="Hyperlink"/>
            <w:noProof/>
          </w:rPr>
          <w:t>Verordnung (EG) Nr. 1332/2008</w:t>
        </w:r>
      </w:hyperlink>
      <w:r w:rsidR="00233EA1" w:rsidRPr="00233EA1">
        <w:rPr>
          <w:noProof/>
        </w:rPr>
        <w:t xml:space="preserve"> des Europäischen Parlaments und des Rates vom 16. Dezember 2008 über Lebensmittelenzyme und zur Änderung der Richtlinie 83/417/EWG des Rates, der Verordnung (EG) Nr. 1493/1999 des Rates, der Richtlinie 2000/13/EG, der Richtlinie 2001/112/EG des Rates sowie der Verordnung (EG) Nr. 258/97 (ABl. L 354 vom 31.12.2008, S. 7)</w:t>
      </w:r>
    </w:p>
    <w:p w14:paraId="3CBA84B7" w14:textId="77777777" w:rsidR="0006616A" w:rsidRPr="00233EA1" w:rsidRDefault="00F43E36" w:rsidP="0006616A">
      <w:pPr>
        <w:pStyle w:val="ListNumber"/>
        <w:rPr>
          <w:rFonts w:eastAsia="Times New Roman"/>
          <w:noProof/>
        </w:rPr>
      </w:pPr>
      <w:hyperlink r:id="rId53">
        <w:r w:rsidR="00233EA1" w:rsidRPr="00233EA1">
          <w:rPr>
            <w:rStyle w:val="Hyperlink"/>
            <w:noProof/>
          </w:rPr>
          <w:t>Verordnung (EG) Nr. 1333/2008</w:t>
        </w:r>
      </w:hyperlink>
      <w:r w:rsidR="00233EA1" w:rsidRPr="00233EA1">
        <w:rPr>
          <w:noProof/>
        </w:rPr>
        <w:t xml:space="preserve"> des Europäischen Parlaments und des Rates vom 16. Dezember 2008 über Lebensmittelzusatzstoffe (ABl. L 354 vom 31.12.2008, S. 16)</w:t>
      </w:r>
    </w:p>
    <w:p w14:paraId="5A823FDD" w14:textId="77777777" w:rsidR="0006616A" w:rsidRPr="00233EA1" w:rsidRDefault="00F43E36" w:rsidP="0006616A">
      <w:pPr>
        <w:pStyle w:val="ListNumber"/>
        <w:rPr>
          <w:rFonts w:eastAsia="Times New Roman"/>
          <w:noProof/>
        </w:rPr>
      </w:pPr>
      <w:hyperlink r:id="rId54">
        <w:r w:rsidR="00233EA1" w:rsidRPr="00233EA1">
          <w:rPr>
            <w:rStyle w:val="Hyperlink"/>
            <w:noProof/>
          </w:rPr>
          <w:t>Verordnung (EG) Nr. 1334/2008</w:t>
        </w:r>
      </w:hyperlink>
      <w:r w:rsidR="00233EA1" w:rsidRPr="00233EA1">
        <w:rPr>
          <w:noProof/>
        </w:rPr>
        <w:t xml:space="preserve"> des Europäischen Parlaments und des Rates vom 16. Dezember 2008 über Aromen und bestimmte Lebensmittelzutaten mit Aromaeigenschaften zur Verwendung in und auf Lebensmitteln sowie zur Änderung der Verordnung (EWG) Nr. 1601/91 des Rates, der Verordnungen (EG) Nr. 2232/96 und (EG) Nr. 110/2008 und der Richtlinie 2000/13/EG (ABl. L 354 vom 31.12.2008, S. 34)</w:t>
      </w:r>
    </w:p>
    <w:p w14:paraId="51D8E3E4" w14:textId="77777777" w:rsidR="007902FB" w:rsidRPr="00233EA1" w:rsidRDefault="00F43E36" w:rsidP="0006616A">
      <w:pPr>
        <w:pStyle w:val="ListNumber"/>
        <w:rPr>
          <w:rFonts w:eastAsia="Times New Roman"/>
          <w:noProof/>
        </w:rPr>
      </w:pPr>
      <w:hyperlink r:id="rId55" w:history="1">
        <w:r w:rsidR="00233EA1" w:rsidRPr="00233EA1">
          <w:rPr>
            <w:rStyle w:val="Hyperlink"/>
            <w:noProof/>
          </w:rPr>
          <w:t>Richtlinie 2009/125/EG</w:t>
        </w:r>
      </w:hyperlink>
      <w:r w:rsidR="00233EA1" w:rsidRPr="00233EA1">
        <w:rPr>
          <w:noProof/>
        </w:rPr>
        <w:t xml:space="preserve"> des Europäischen Parlaments und des Rates vom 21. Oktober 2009 zur Schaffung eines Rahmens für die Festlegung von Anforderungen an die umweltgerechte Gestaltung energieverbrauchsrelevanter Produkte</w:t>
      </w:r>
    </w:p>
    <w:p w14:paraId="08AB7D2B" w14:textId="77777777" w:rsidR="0006616A" w:rsidRPr="00233EA1" w:rsidRDefault="00F43E36" w:rsidP="0006616A">
      <w:pPr>
        <w:pStyle w:val="ListNumber"/>
        <w:rPr>
          <w:rFonts w:eastAsia="Times New Roman"/>
          <w:noProof/>
        </w:rPr>
      </w:pPr>
      <w:hyperlink r:id="rId56">
        <w:r w:rsidR="00233EA1" w:rsidRPr="00233EA1">
          <w:rPr>
            <w:rStyle w:val="Hyperlink"/>
            <w:noProof/>
          </w:rPr>
          <w:t>Verordnung (EG) Nr. 401/2009</w:t>
        </w:r>
      </w:hyperlink>
      <w:r w:rsidR="00233EA1" w:rsidRPr="00233EA1">
        <w:rPr>
          <w:noProof/>
        </w:rPr>
        <w:t xml:space="preserve"> des Europäischen Parlaments und des Rates vom 23. April 2009 über die Europäische Umweltagentur und das Europäische Umweltinformations- und Umweltbeobachtungsnetz (ABl. L 126 vom 21.5.2009, S. 13)</w:t>
      </w:r>
    </w:p>
    <w:p w14:paraId="35ED9E35" w14:textId="77777777" w:rsidR="0006616A" w:rsidRPr="00233EA1" w:rsidRDefault="00F43E36" w:rsidP="0006616A">
      <w:pPr>
        <w:pStyle w:val="ListNumber"/>
        <w:rPr>
          <w:rFonts w:eastAsia="Times New Roman"/>
          <w:noProof/>
        </w:rPr>
      </w:pPr>
      <w:hyperlink r:id="rId57">
        <w:r w:rsidR="00233EA1" w:rsidRPr="00233EA1">
          <w:rPr>
            <w:rStyle w:val="Hyperlink"/>
            <w:noProof/>
          </w:rPr>
          <w:t>Richtlinie 2009/32/EG</w:t>
        </w:r>
      </w:hyperlink>
      <w:r w:rsidR="00233EA1" w:rsidRPr="00233EA1">
        <w:rPr>
          <w:noProof/>
        </w:rPr>
        <w:t xml:space="preserve"> des Europäischen Parlaments und des Rates vom 23. April 2009 zur Angleichung der Rechtsvorschriften der Mitgliedstaaten über Extraktionslösungsmittel, die bei der Herstellung von Lebensmitteln und Lebensmittelzutaten verwendet werden (ABl. L 141 vom 6.6.2009, S. 3)</w:t>
      </w:r>
    </w:p>
    <w:p w14:paraId="77DB2AF2" w14:textId="77777777" w:rsidR="0006616A" w:rsidRPr="00233EA1" w:rsidRDefault="00F43E36" w:rsidP="0006616A">
      <w:pPr>
        <w:pStyle w:val="ListNumber"/>
        <w:rPr>
          <w:rFonts w:eastAsia="Times New Roman"/>
          <w:noProof/>
        </w:rPr>
      </w:pPr>
      <w:hyperlink r:id="rId58">
        <w:r w:rsidR="00233EA1" w:rsidRPr="00233EA1">
          <w:rPr>
            <w:rStyle w:val="Hyperlink"/>
            <w:noProof/>
          </w:rPr>
          <w:t>Richtlinie 2009/48/EG</w:t>
        </w:r>
      </w:hyperlink>
      <w:r w:rsidR="00233EA1" w:rsidRPr="00233EA1">
        <w:rPr>
          <w:noProof/>
        </w:rPr>
        <w:t xml:space="preserve"> des Europäischen Parlaments und des Rates vom 18. Juni 2009 über die Sicherheit von Spielzeug (ABl. L 170 vom 30.6.2009, S. 1)</w:t>
      </w:r>
    </w:p>
    <w:p w14:paraId="2E0B81FF" w14:textId="77777777" w:rsidR="0006616A" w:rsidRPr="00233EA1" w:rsidRDefault="00F43E36" w:rsidP="00233EA1">
      <w:pPr>
        <w:pStyle w:val="ListNumber"/>
        <w:keepLines/>
        <w:ind w:left="782" w:hanging="357"/>
        <w:rPr>
          <w:rFonts w:eastAsia="Times New Roman"/>
          <w:noProof/>
        </w:rPr>
      </w:pPr>
      <w:hyperlink r:id="rId59">
        <w:r w:rsidR="00233EA1" w:rsidRPr="00233EA1">
          <w:rPr>
            <w:rStyle w:val="Hyperlink"/>
            <w:noProof/>
          </w:rPr>
          <w:t>Verordnung (EG) Nr. 1069/2009</w:t>
        </w:r>
      </w:hyperlink>
      <w:r w:rsidR="00233EA1" w:rsidRPr="00233EA1">
        <w:rPr>
          <w:rStyle w:val="Hyperlink"/>
          <w:noProof/>
          <w:color w:val="auto"/>
          <w:u w:val="none"/>
        </w:rPr>
        <w:t xml:space="preserve"> des Europäischen Parlaments und des Rates</w:t>
      </w:r>
      <w:r w:rsidR="00233EA1" w:rsidRPr="00233EA1">
        <w:rPr>
          <w:noProof/>
        </w:rPr>
        <w:t xml:space="preserve"> vom 21. Oktober 2009 mit Hygienevorschriften für nicht für den menschlichen Verzehr bestimmte tierische Nebenprodukte und zur Aufhebung der Verordnung (EG) Nr. 1774/2002 (ABl. L 300 vom 14.11.2009, S. 1)</w:t>
      </w:r>
    </w:p>
    <w:p w14:paraId="0A86E5B0" w14:textId="77777777" w:rsidR="0006616A" w:rsidRPr="00233EA1" w:rsidRDefault="00F43E36" w:rsidP="0006616A">
      <w:pPr>
        <w:pStyle w:val="ListNumber"/>
        <w:rPr>
          <w:rFonts w:eastAsia="Times New Roman"/>
          <w:noProof/>
        </w:rPr>
      </w:pPr>
      <w:hyperlink r:id="rId60">
        <w:r w:rsidR="00233EA1" w:rsidRPr="00233EA1">
          <w:rPr>
            <w:rStyle w:val="Hyperlink"/>
            <w:noProof/>
          </w:rPr>
          <w:t>Verordnung (EG) Nr. 1107/2009</w:t>
        </w:r>
      </w:hyperlink>
      <w:r w:rsidR="00233EA1" w:rsidRPr="00233EA1">
        <w:rPr>
          <w:noProof/>
        </w:rPr>
        <w:t xml:space="preserve"> des Europäischen Parlaments und des Rates vom 21. Oktober 2009 über das Inverkehrbringen von Pflanzenschutzmitteln und zur Aufhebung der Richtlinien 79/117/EWG und 91/414/EWG des Rates (ABl. L 309 vom 24.11.2009, S. 1)</w:t>
      </w:r>
    </w:p>
    <w:p w14:paraId="74264070" w14:textId="77777777" w:rsidR="0006616A" w:rsidRPr="00233EA1" w:rsidRDefault="00F43E36" w:rsidP="0006616A">
      <w:pPr>
        <w:pStyle w:val="ListNumber"/>
        <w:rPr>
          <w:rFonts w:eastAsia="Times New Roman"/>
          <w:noProof/>
        </w:rPr>
      </w:pPr>
      <w:hyperlink r:id="rId61">
        <w:r w:rsidR="00233EA1" w:rsidRPr="00233EA1">
          <w:rPr>
            <w:rStyle w:val="Hyperlink"/>
            <w:noProof/>
          </w:rPr>
          <w:t>Richtlinie 2009/128/EG</w:t>
        </w:r>
      </w:hyperlink>
      <w:r w:rsidR="00233EA1" w:rsidRPr="00233EA1">
        <w:rPr>
          <w:noProof/>
        </w:rPr>
        <w:t xml:space="preserve"> des Europäischen Parlaments und des Rates vom 21. Oktober 2009 über einen Aktionsrahmen der Gemeinschaft für die nachhaltige Verwendung von Pestiziden (ABl. L 309 vom 24.11.2009, S. 71)</w:t>
      </w:r>
    </w:p>
    <w:p w14:paraId="7A830F08" w14:textId="77777777" w:rsidR="0006616A" w:rsidRPr="00233EA1" w:rsidRDefault="00F43E36" w:rsidP="0006616A">
      <w:pPr>
        <w:pStyle w:val="ListNumber"/>
        <w:rPr>
          <w:rFonts w:eastAsia="Times New Roman"/>
          <w:noProof/>
        </w:rPr>
      </w:pPr>
      <w:hyperlink r:id="rId62">
        <w:r w:rsidR="00233EA1" w:rsidRPr="00233EA1">
          <w:rPr>
            <w:rStyle w:val="Hyperlink"/>
            <w:noProof/>
          </w:rPr>
          <w:t>Richtlinie 2009/148/EG</w:t>
        </w:r>
      </w:hyperlink>
      <w:r w:rsidR="00233EA1" w:rsidRPr="00233EA1">
        <w:rPr>
          <w:noProof/>
        </w:rPr>
        <w:t xml:space="preserve"> des Europäischen Parlaments und des Rates vom 30. November 2009 über den Schutz der Arbeitnehmer gegen Gefährdung durch Asbest am Arbeitsplatz (ABl. L 330 vom 16.12.2009, S. 28)</w:t>
      </w:r>
    </w:p>
    <w:p w14:paraId="10E499F9" w14:textId="77777777" w:rsidR="0006616A" w:rsidRPr="00233EA1" w:rsidRDefault="00F43E36" w:rsidP="0006616A">
      <w:pPr>
        <w:pStyle w:val="ListNumber"/>
        <w:rPr>
          <w:rFonts w:eastAsia="Times New Roman"/>
          <w:noProof/>
        </w:rPr>
      </w:pPr>
      <w:hyperlink r:id="rId63">
        <w:r w:rsidR="00233EA1" w:rsidRPr="00233EA1">
          <w:rPr>
            <w:rStyle w:val="Hyperlink"/>
            <w:noProof/>
          </w:rPr>
          <w:t>Verordnung (EG) Nr. 1221/2009</w:t>
        </w:r>
      </w:hyperlink>
      <w:r w:rsidR="00233EA1" w:rsidRPr="00233EA1">
        <w:rPr>
          <w:noProof/>
        </w:rPr>
        <w:t xml:space="preserve">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w:t>
      </w:r>
    </w:p>
    <w:p w14:paraId="2CF3A6DF" w14:textId="77777777" w:rsidR="0006616A" w:rsidRPr="00233EA1" w:rsidRDefault="00F43E36" w:rsidP="0006616A">
      <w:pPr>
        <w:pStyle w:val="ListNumber"/>
        <w:rPr>
          <w:rFonts w:eastAsia="Times New Roman"/>
          <w:noProof/>
        </w:rPr>
      </w:pPr>
      <w:hyperlink r:id="rId64">
        <w:r w:rsidR="00233EA1" w:rsidRPr="00233EA1">
          <w:rPr>
            <w:rStyle w:val="Hyperlink"/>
            <w:noProof/>
          </w:rPr>
          <w:t>Verordnung (EG) Nr. 1223/2009</w:t>
        </w:r>
      </w:hyperlink>
      <w:r w:rsidR="00233EA1" w:rsidRPr="00233EA1">
        <w:rPr>
          <w:noProof/>
        </w:rPr>
        <w:t xml:space="preserve"> des Europäischen Parlaments und des Rates vom 30. November 2009 über kosmetische Mittel (ABl. L 342 vom 22.12.2009, S. 59)</w:t>
      </w:r>
    </w:p>
    <w:p w14:paraId="1A558272" w14:textId="77777777" w:rsidR="0006616A" w:rsidRPr="00233EA1" w:rsidRDefault="00F43E36" w:rsidP="0006616A">
      <w:pPr>
        <w:pStyle w:val="ListNumber"/>
        <w:rPr>
          <w:rFonts w:eastAsia="Times New Roman"/>
          <w:noProof/>
        </w:rPr>
      </w:pPr>
      <w:hyperlink r:id="rId65">
        <w:r w:rsidR="00233EA1" w:rsidRPr="00233EA1">
          <w:rPr>
            <w:rStyle w:val="Hyperlink"/>
            <w:noProof/>
          </w:rPr>
          <w:t>Richtlinie 2010/75/EU</w:t>
        </w:r>
      </w:hyperlink>
      <w:r w:rsidR="00233EA1" w:rsidRPr="00233EA1">
        <w:rPr>
          <w:noProof/>
        </w:rPr>
        <w:t xml:space="preserve"> des Europäischen Parlaments und des Rates vom 24. November 2010 über Industrieemissionen (integrierte Vermeidung und Verminderung der Umweltverschmutzung) (ABl. L 334 vom 17.12.2010, S. 17)</w:t>
      </w:r>
    </w:p>
    <w:p w14:paraId="5D7A0330" w14:textId="77777777" w:rsidR="0006616A" w:rsidRPr="00233EA1" w:rsidRDefault="00F43E36" w:rsidP="0006616A">
      <w:pPr>
        <w:pStyle w:val="ListNumber"/>
        <w:rPr>
          <w:rFonts w:eastAsia="Times New Roman"/>
          <w:noProof/>
        </w:rPr>
      </w:pPr>
      <w:hyperlink r:id="rId66">
        <w:r w:rsidR="00233EA1" w:rsidRPr="00233EA1">
          <w:rPr>
            <w:rStyle w:val="Hyperlink"/>
            <w:noProof/>
          </w:rPr>
          <w:t>Verordnung (EG) Nr. 66/2010</w:t>
        </w:r>
      </w:hyperlink>
      <w:r w:rsidR="00233EA1" w:rsidRPr="00233EA1">
        <w:rPr>
          <w:noProof/>
        </w:rPr>
        <w:t xml:space="preserve"> des Europäischen Parlaments und des Rates vom 25. November 2009 über das EU-Umweltzeichen (ABl. L 27 vom 30.1.2010, S. 1) </w:t>
      </w:r>
    </w:p>
    <w:p w14:paraId="2CD935FC" w14:textId="77777777" w:rsidR="0006616A" w:rsidRPr="00233EA1" w:rsidRDefault="00F43E36" w:rsidP="0006616A">
      <w:pPr>
        <w:pStyle w:val="ListNumber"/>
        <w:rPr>
          <w:rFonts w:eastAsia="Times New Roman"/>
          <w:noProof/>
        </w:rPr>
      </w:pPr>
      <w:hyperlink r:id="rId67">
        <w:r w:rsidR="00233EA1" w:rsidRPr="00233EA1">
          <w:rPr>
            <w:rStyle w:val="Hyperlink"/>
            <w:noProof/>
          </w:rPr>
          <w:t>Richtlinie 2011/65/EU</w:t>
        </w:r>
      </w:hyperlink>
      <w:r w:rsidR="00233EA1" w:rsidRPr="00233EA1">
        <w:rPr>
          <w:noProof/>
        </w:rPr>
        <w:t xml:space="preserve"> des Europäischen Parlaments und des Rates vom 8. Juni 2011 zur Beschränkung der Verwendung bestimmter gefährlicher Stoffe in Elektro- und Elektronikgeräten (ABl. L 174 vom 1.7.2011, S. 88)</w:t>
      </w:r>
    </w:p>
    <w:p w14:paraId="23F8CD74" w14:textId="77777777" w:rsidR="0006616A" w:rsidRPr="00233EA1" w:rsidRDefault="00F43E36" w:rsidP="0006616A">
      <w:pPr>
        <w:pStyle w:val="ListNumber"/>
        <w:rPr>
          <w:rFonts w:eastAsia="Times New Roman"/>
          <w:noProof/>
        </w:rPr>
      </w:pPr>
      <w:hyperlink r:id="rId68">
        <w:r w:rsidR="00233EA1" w:rsidRPr="00233EA1">
          <w:rPr>
            <w:rStyle w:val="Hyperlink"/>
            <w:noProof/>
          </w:rPr>
          <w:t>Verordnung (EU) Nr. 1169/2011</w:t>
        </w:r>
      </w:hyperlink>
      <w:r w:rsidR="00233EA1" w:rsidRPr="00233EA1">
        <w:rPr>
          <w:noProof/>
        </w:rPr>
        <w:t xml:space="preserve">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w:t>
      </w:r>
    </w:p>
    <w:p w14:paraId="1AEEAADE" w14:textId="77777777" w:rsidR="0006616A" w:rsidRPr="00233EA1" w:rsidRDefault="00F43E36" w:rsidP="0006616A">
      <w:pPr>
        <w:pStyle w:val="ListNumber"/>
        <w:rPr>
          <w:rFonts w:eastAsia="Times New Roman"/>
          <w:noProof/>
        </w:rPr>
      </w:pPr>
      <w:hyperlink r:id="rId69">
        <w:r w:rsidR="00233EA1" w:rsidRPr="00233EA1">
          <w:rPr>
            <w:rStyle w:val="Hyperlink"/>
            <w:noProof/>
          </w:rPr>
          <w:t>Verordnung (EU) Nr. 528/2012</w:t>
        </w:r>
      </w:hyperlink>
      <w:r w:rsidR="00233EA1" w:rsidRPr="00233EA1">
        <w:rPr>
          <w:noProof/>
        </w:rPr>
        <w:t xml:space="preserve"> des Europäischen Parlaments und des Rates vom 22. Mai 2012 über die Bereitstellung auf dem Markt und die Verwendung von Biozidprodukten (ABl. L 167 vom 27.6.2012, S. 1)</w:t>
      </w:r>
    </w:p>
    <w:p w14:paraId="511DC450" w14:textId="77777777" w:rsidR="0006616A" w:rsidRPr="00233EA1" w:rsidRDefault="00F43E36" w:rsidP="0006616A">
      <w:pPr>
        <w:pStyle w:val="ListNumber"/>
        <w:rPr>
          <w:rFonts w:eastAsia="Times New Roman"/>
          <w:noProof/>
        </w:rPr>
      </w:pPr>
      <w:hyperlink r:id="rId70">
        <w:r w:rsidR="00233EA1" w:rsidRPr="00233EA1">
          <w:rPr>
            <w:rStyle w:val="Hyperlink"/>
            <w:noProof/>
          </w:rPr>
          <w:t>Richtlinie 2012/18/EU</w:t>
        </w:r>
      </w:hyperlink>
      <w:r w:rsidR="00233EA1" w:rsidRPr="00233EA1">
        <w:rPr>
          <w:noProof/>
        </w:rPr>
        <w:t xml:space="preserve"> des Europäischen Parlaments und des Rates vom 4. Juli 2012 zur Beherrschung der Gefahren schwerer Unfälle mit gefährlichen Stoffen, zur Änderung und anschließenden Aufhebung der Richtlinie 96/82/EG des Rates (ABl. L 197 vom 24.7.2012, S. 1)</w:t>
      </w:r>
    </w:p>
    <w:p w14:paraId="7E011DB4" w14:textId="77777777" w:rsidR="00FF528C" w:rsidRPr="00233EA1" w:rsidRDefault="00F43E36" w:rsidP="0006616A">
      <w:pPr>
        <w:pStyle w:val="ListNumber"/>
        <w:rPr>
          <w:rFonts w:eastAsia="Times New Roman"/>
          <w:noProof/>
        </w:rPr>
      </w:pPr>
      <w:hyperlink r:id="rId71" w:history="1">
        <w:r w:rsidR="00233EA1" w:rsidRPr="00233EA1">
          <w:rPr>
            <w:rStyle w:val="Hyperlink"/>
            <w:noProof/>
          </w:rPr>
          <w:t>Richtlinie 2012/19/EU</w:t>
        </w:r>
      </w:hyperlink>
      <w:r w:rsidR="00233EA1" w:rsidRPr="00233EA1">
        <w:rPr>
          <w:noProof/>
        </w:rPr>
        <w:t xml:space="preserve"> des Europäischen Parlaments und des Rates vom 4. Juli 2012 über Elektro- und Elektronik-Altgeräte (ABl. L 197 vom 24.7.2012, S. 38)</w:t>
      </w:r>
    </w:p>
    <w:p w14:paraId="0BDD9122" w14:textId="77777777" w:rsidR="0006616A" w:rsidRPr="00233EA1" w:rsidRDefault="00F43E36" w:rsidP="0006616A">
      <w:pPr>
        <w:pStyle w:val="ListNumber"/>
        <w:rPr>
          <w:rFonts w:eastAsia="Times New Roman"/>
          <w:noProof/>
        </w:rPr>
      </w:pPr>
      <w:hyperlink r:id="rId72">
        <w:r w:rsidR="00233EA1" w:rsidRPr="00233EA1">
          <w:rPr>
            <w:rStyle w:val="Hyperlink"/>
            <w:noProof/>
          </w:rPr>
          <w:t>Verordnung (EU) Nr. 649/2012</w:t>
        </w:r>
      </w:hyperlink>
      <w:r w:rsidR="00233EA1" w:rsidRPr="00233EA1">
        <w:rPr>
          <w:noProof/>
        </w:rPr>
        <w:t xml:space="preserve"> des Europäischen Parlaments und des Rates vom 4. Juli 2012 über die Aus- und Einfuhr gefährlicher Chemikalien (ABl. L 201 vom 27.7.2012, S. 60)</w:t>
      </w:r>
    </w:p>
    <w:p w14:paraId="4E1579E0" w14:textId="77777777" w:rsidR="0006616A" w:rsidRPr="00233EA1" w:rsidRDefault="00F43E36" w:rsidP="0006616A">
      <w:pPr>
        <w:pStyle w:val="ListNumber"/>
        <w:rPr>
          <w:rFonts w:eastAsia="Times New Roman"/>
          <w:noProof/>
        </w:rPr>
      </w:pPr>
      <w:hyperlink r:id="rId73">
        <w:r w:rsidR="00233EA1" w:rsidRPr="00233EA1">
          <w:rPr>
            <w:rStyle w:val="Hyperlink"/>
            <w:noProof/>
          </w:rPr>
          <w:t>Verordnung (EU) Nr. 609/2013</w:t>
        </w:r>
      </w:hyperlink>
      <w:r w:rsidR="00233EA1" w:rsidRPr="00233EA1">
        <w:rPr>
          <w:noProof/>
        </w:rPr>
        <w:t xml:space="preserve">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des Rates und der Kommission (ABl. L 181 vom 29.6.2013, S. 35)</w:t>
      </w:r>
    </w:p>
    <w:p w14:paraId="28F16CE1" w14:textId="77777777" w:rsidR="0006616A" w:rsidRPr="00233EA1" w:rsidRDefault="00F43E36" w:rsidP="0006616A">
      <w:pPr>
        <w:pStyle w:val="ListNumber"/>
        <w:rPr>
          <w:rFonts w:eastAsia="Times New Roman"/>
          <w:noProof/>
        </w:rPr>
      </w:pPr>
      <w:hyperlink r:id="rId74">
        <w:r w:rsidR="00233EA1" w:rsidRPr="00233EA1">
          <w:rPr>
            <w:rStyle w:val="Hyperlink"/>
            <w:noProof/>
          </w:rPr>
          <w:t>Richtlinie 2014/28/EU</w:t>
        </w:r>
      </w:hyperlink>
      <w:r w:rsidR="00233EA1" w:rsidRPr="00233EA1">
        <w:rPr>
          <w:noProof/>
        </w:rPr>
        <w:t xml:space="preserve"> des Europäischen Parlaments und des Rates vom 26. Februar 2014 zur Harmonisierung der Rechtsvorschriften der Mitgliedstaaten über die Bereitstellung auf dem Markt und die Kontrolle von Explosivstoffen für zivile Zwecke (ABl. L 96 vom 29.3.2014, S. 1)</w:t>
      </w:r>
    </w:p>
    <w:p w14:paraId="50EAB9CC" w14:textId="77777777" w:rsidR="0006616A" w:rsidRPr="00233EA1" w:rsidRDefault="00F43E36" w:rsidP="0006616A">
      <w:pPr>
        <w:pStyle w:val="ListNumber"/>
        <w:rPr>
          <w:rFonts w:eastAsia="Times New Roman"/>
          <w:noProof/>
        </w:rPr>
      </w:pPr>
      <w:hyperlink r:id="rId75">
        <w:r w:rsidR="00233EA1" w:rsidRPr="00233EA1">
          <w:rPr>
            <w:rStyle w:val="Hyperlink"/>
            <w:noProof/>
          </w:rPr>
          <w:t>Richtlinie 2014/40/EU</w:t>
        </w:r>
      </w:hyperlink>
      <w:r w:rsidR="00233EA1" w:rsidRPr="00233EA1">
        <w:rPr>
          <w:noProof/>
        </w:rPr>
        <w:t xml:space="preserve"> des Europäischen Parlaments und des Rates vom 3. April 2014 zur Angleichung der Rechts- und Verwaltungsvorschriften der Mitgliedstaaten über die Herstellung, die Aufmachung und den Verkauf von Tabakerzeugnissen und verwandten Erzeugnissen und zur Aufhebung der Richtlinie 2001/37/EG (ABl. L 127 vom 29.4.2014, S. 1)</w:t>
      </w:r>
    </w:p>
    <w:p w14:paraId="57E69A94" w14:textId="77777777" w:rsidR="0006616A" w:rsidRPr="00233EA1" w:rsidRDefault="00F43E36" w:rsidP="0006616A">
      <w:pPr>
        <w:pStyle w:val="ListNumber"/>
        <w:rPr>
          <w:rFonts w:eastAsia="Times New Roman"/>
          <w:noProof/>
        </w:rPr>
      </w:pPr>
      <w:hyperlink r:id="rId76">
        <w:r w:rsidR="00233EA1" w:rsidRPr="00233EA1">
          <w:rPr>
            <w:rStyle w:val="Hyperlink"/>
            <w:noProof/>
          </w:rPr>
          <w:t>Verordnung (EU) Nr. 517/2014</w:t>
        </w:r>
      </w:hyperlink>
      <w:r w:rsidR="00233EA1" w:rsidRPr="00233EA1">
        <w:rPr>
          <w:noProof/>
        </w:rPr>
        <w:t xml:space="preserve"> des Europäischen Parlaments und des Rates vom 16. April 2014 über fluorierte Treibhausgase und zur Aufhebung der Verordnung (EG) Nr. 842/2006 (ABl. L 150 vom 20.5.2014, S. 195)</w:t>
      </w:r>
    </w:p>
    <w:p w14:paraId="44C506F1" w14:textId="77777777" w:rsidR="0006616A" w:rsidRPr="00233EA1" w:rsidRDefault="00F43E36" w:rsidP="0006616A">
      <w:pPr>
        <w:pStyle w:val="ListNumber"/>
        <w:rPr>
          <w:rFonts w:eastAsia="Times New Roman"/>
          <w:noProof/>
        </w:rPr>
      </w:pPr>
      <w:hyperlink r:id="rId77">
        <w:r w:rsidR="00233EA1" w:rsidRPr="00233EA1">
          <w:rPr>
            <w:rStyle w:val="Hyperlink"/>
            <w:noProof/>
          </w:rPr>
          <w:t>Verordnung (EU) 2015/2283</w:t>
        </w:r>
      </w:hyperlink>
      <w:r w:rsidR="00233EA1" w:rsidRPr="00233EA1">
        <w:rPr>
          <w:noProof/>
        </w:rPr>
        <w:t xml:space="preserve"> des Europäischen Parlaments und des Rates vom 25. November 2015 über neuartige Lebensmittel, zur Änderung der Verordnung (EU) Nr. 1169/2011 des Europäischen Parlaments und des Rates und zur Aufhebung der Verordnung (EG) Nr. 258/97 des Europäischen Parlaments und des Rates und der Verordnung (EG) Nr. 1852/2001 der Kommission (ABl. L 327 vom 11.12.2015, S. 1)</w:t>
      </w:r>
    </w:p>
    <w:p w14:paraId="55A829F6" w14:textId="77777777" w:rsidR="0006616A" w:rsidRPr="00233EA1" w:rsidRDefault="00F43E36" w:rsidP="0006616A">
      <w:pPr>
        <w:pStyle w:val="ListNumber"/>
        <w:rPr>
          <w:rFonts w:eastAsia="Times New Roman"/>
          <w:noProof/>
        </w:rPr>
      </w:pPr>
      <w:hyperlink r:id="rId78">
        <w:r w:rsidR="00233EA1" w:rsidRPr="00233EA1">
          <w:rPr>
            <w:rStyle w:val="Hyperlink"/>
            <w:noProof/>
          </w:rPr>
          <w:t>Richtlinie (EU) 2016/2284</w:t>
        </w:r>
      </w:hyperlink>
      <w:r w:rsidR="00233EA1" w:rsidRPr="00233EA1">
        <w:rPr>
          <w:noProof/>
        </w:rPr>
        <w:t xml:space="preserve"> des Europäischen Parlaments und des Rates vom 14. Dezember 2016 über die Reduktion der nationalen Emissionen bestimmter Luftschadstoffe, zur Änderung der Richtlinie 2003/35/EG und zur Aufhebung der Richtlinie 2001/81/EG (ABl. L 344 vom 17.12.2016, S. 1)</w:t>
      </w:r>
    </w:p>
    <w:p w14:paraId="2F5E971D" w14:textId="77777777" w:rsidR="0006616A" w:rsidRPr="00233EA1" w:rsidRDefault="00F43E36" w:rsidP="0006616A">
      <w:pPr>
        <w:pStyle w:val="ListNumber"/>
        <w:rPr>
          <w:rFonts w:eastAsia="Times New Roman"/>
          <w:noProof/>
        </w:rPr>
      </w:pPr>
      <w:hyperlink r:id="rId79">
        <w:r w:rsidR="00233EA1" w:rsidRPr="00233EA1">
          <w:rPr>
            <w:rStyle w:val="Hyperlink"/>
            <w:noProof/>
          </w:rPr>
          <w:t>Verordnung (EU) 2017/625</w:t>
        </w:r>
      </w:hyperlink>
      <w:r w:rsidR="00233EA1" w:rsidRPr="00233EA1">
        <w:rPr>
          <w:noProof/>
        </w:rPr>
        <w:t xml:space="preserve">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w:t>
      </w:r>
    </w:p>
    <w:p w14:paraId="5AD7F7B8" w14:textId="5839AB17" w:rsidR="0006616A" w:rsidRPr="00233EA1" w:rsidRDefault="00F43E36" w:rsidP="0006616A">
      <w:pPr>
        <w:pStyle w:val="ListNumber"/>
        <w:rPr>
          <w:rFonts w:eastAsia="Times New Roman"/>
          <w:noProof/>
        </w:rPr>
      </w:pPr>
      <w:hyperlink r:id="rId80">
        <w:r w:rsidR="00233EA1" w:rsidRPr="00233EA1">
          <w:rPr>
            <w:rStyle w:val="Hyperlink"/>
            <w:noProof/>
          </w:rPr>
          <w:t>Verordnung (EU) 2017/745</w:t>
        </w:r>
      </w:hyperlink>
      <w:r w:rsidR="00233EA1" w:rsidRPr="00233EA1">
        <w:rPr>
          <w:noProof/>
        </w:rPr>
        <w:t xml:space="preserve"> des Europäischen Parlaments und des Rates über Medizinprodukte, zur Änderung der Richtlinie 2001/83/EG, der Verordnung (EG) Nr. 178/2002 und der Verordnung (EG) Nr. 1223/2009 und zur Aufhebung der Richtlinien 90/385/EWG und 93/42/EWG des Rates (ABl. L 117 vom 5.5.2017, S. 1)</w:t>
      </w:r>
    </w:p>
    <w:p w14:paraId="2A4732EC" w14:textId="77777777" w:rsidR="0006616A" w:rsidRPr="00233EA1" w:rsidRDefault="00F43E36" w:rsidP="0006616A">
      <w:pPr>
        <w:pStyle w:val="ListNumber"/>
        <w:rPr>
          <w:rFonts w:eastAsia="Times New Roman"/>
          <w:noProof/>
        </w:rPr>
      </w:pPr>
      <w:hyperlink r:id="rId81">
        <w:r w:rsidR="00233EA1" w:rsidRPr="00233EA1">
          <w:rPr>
            <w:rStyle w:val="Hyperlink"/>
            <w:noProof/>
          </w:rPr>
          <w:t>Verordnung (EU) 2017/852</w:t>
        </w:r>
      </w:hyperlink>
      <w:r w:rsidR="00233EA1" w:rsidRPr="00233EA1">
        <w:rPr>
          <w:noProof/>
        </w:rPr>
        <w:t xml:space="preserve"> des Europäischen Parlaments und des Rates vom 17. Mai 2017 über Quecksilber und zur Aufhebung der Verordnung (EG) Nr. 1102/2008 (ABl. L 137 vom 24.5.2017, S. 1)</w:t>
      </w:r>
    </w:p>
    <w:p w14:paraId="087962DA" w14:textId="77777777" w:rsidR="0006616A" w:rsidRPr="00233EA1" w:rsidRDefault="00F43E36" w:rsidP="0006616A">
      <w:pPr>
        <w:pStyle w:val="ListNumber"/>
        <w:rPr>
          <w:rFonts w:eastAsia="Times New Roman"/>
          <w:noProof/>
        </w:rPr>
      </w:pPr>
      <w:hyperlink r:id="rId82">
        <w:r w:rsidR="00233EA1" w:rsidRPr="00233EA1">
          <w:rPr>
            <w:rStyle w:val="Hyperlink"/>
            <w:noProof/>
          </w:rPr>
          <w:t>Verordnung (EU) 2019/4</w:t>
        </w:r>
      </w:hyperlink>
      <w:r w:rsidR="00233EA1" w:rsidRPr="00233EA1">
        <w:rPr>
          <w:noProof/>
        </w:rPr>
        <w:t xml:space="preserve"> des Europäischen Parlaments und des Rates vom 11. Dezember 2018 über die Herstellung, das Inverkehrbringen und die Verwendung von Arzneifuttermitteln, zur Änderung der Verordnung (EG) Nr. 183/2005 des Europäischen Parlaments und des Rates sowie zur Aufhebung der Richtlinie 90/167/EWG des Rates (ABl. L 4 vom 7.1.2019, S. 1)</w:t>
      </w:r>
    </w:p>
    <w:p w14:paraId="33D1F3E0" w14:textId="77777777" w:rsidR="0006616A" w:rsidRPr="00233EA1" w:rsidRDefault="00F43E36" w:rsidP="0006616A">
      <w:pPr>
        <w:pStyle w:val="ListNumber"/>
        <w:rPr>
          <w:rFonts w:eastAsia="Times New Roman"/>
          <w:noProof/>
        </w:rPr>
      </w:pPr>
      <w:hyperlink r:id="rId83">
        <w:r w:rsidR="00233EA1" w:rsidRPr="00233EA1">
          <w:rPr>
            <w:rStyle w:val="Hyperlink"/>
            <w:noProof/>
          </w:rPr>
          <w:t>Verordnung (EU) 2019/1009</w:t>
        </w:r>
      </w:hyperlink>
      <w:r w:rsidR="00233EA1" w:rsidRPr="00233EA1">
        <w:rPr>
          <w:noProof/>
        </w:rPr>
        <w:t xml:space="preserve"> des Europäischen Parlaments und des Rates vom 5. Juni 2019 mit Vorschriften für die Bereitstellung von EU-Düngeprodukten auf dem Markt und zur Änderung der Verordnungen (EG) Nr. 1069/2009 und (EG) Nr. 1107/2009 sowie zur Aufhebung der Verordnung (EG) Nr. 2003/2003 (ABl. L 170 vom 25.6.2019, S. 1)</w:t>
      </w:r>
    </w:p>
    <w:p w14:paraId="1885B870" w14:textId="77777777" w:rsidR="0006616A" w:rsidRPr="00233EA1" w:rsidRDefault="00F43E36" w:rsidP="0006616A">
      <w:pPr>
        <w:pStyle w:val="ListNumber"/>
        <w:rPr>
          <w:noProof/>
        </w:rPr>
      </w:pPr>
      <w:hyperlink r:id="rId84">
        <w:r w:rsidR="00233EA1" w:rsidRPr="00233EA1">
          <w:rPr>
            <w:rStyle w:val="Hyperlink"/>
            <w:noProof/>
          </w:rPr>
          <w:t>Verordnung (EU) 2019/1021</w:t>
        </w:r>
      </w:hyperlink>
      <w:r w:rsidR="00233EA1" w:rsidRPr="00233EA1">
        <w:rPr>
          <w:noProof/>
        </w:rPr>
        <w:t xml:space="preserve"> des Europäischen Parlaments und des Rates vom 20. Juni 2019 über persistente organische Schadstoffe (ABl. L 169 vom 25.6.2019, S. 45)</w:t>
      </w:r>
    </w:p>
    <w:p w14:paraId="5D014EEB" w14:textId="77777777" w:rsidR="004E57C7" w:rsidRPr="00233EA1" w:rsidRDefault="00F43E36" w:rsidP="0024583E">
      <w:pPr>
        <w:pStyle w:val="ListNumber"/>
        <w:rPr>
          <w:rFonts w:eastAsia="Times New Roman"/>
          <w:noProof/>
        </w:rPr>
      </w:pPr>
      <w:hyperlink r:id="rId85">
        <w:r w:rsidR="00233EA1" w:rsidRPr="00233EA1">
          <w:rPr>
            <w:rStyle w:val="Hyperlink"/>
            <w:noProof/>
          </w:rPr>
          <w:t>Richtlinie (EU) 2020/2184</w:t>
        </w:r>
      </w:hyperlink>
      <w:r w:rsidR="00233EA1" w:rsidRPr="00233EA1">
        <w:rPr>
          <w:noProof/>
        </w:rPr>
        <w:t xml:space="preserve"> des Europäischen Parlaments und des Rates vom 16. Dezember 2020 über die Qualität von Wasser für den menschlichen Gebrauch (ABl. L 435 vom 23.12.2020, S. 1)</w:t>
      </w:r>
    </w:p>
    <w:p w14:paraId="163D69FC" w14:textId="77777777" w:rsidR="00DE08DF" w:rsidRPr="00233EA1" w:rsidRDefault="005F48FF" w:rsidP="26231176">
      <w:pPr>
        <w:pStyle w:val="ListNumber"/>
        <w:tabs>
          <w:tab w:val="num" w:pos="426"/>
        </w:tabs>
        <w:ind w:hanging="374"/>
        <w:rPr>
          <w:rFonts w:eastAsia="Times New Roman"/>
          <w:noProof/>
        </w:rPr>
      </w:pPr>
      <w:r w:rsidRPr="00233EA1">
        <w:rPr>
          <w:noProof/>
        </w:rPr>
        <w:t>Verordnung (EU) …/… des Europäischen Parlaments und des Rates über die Wiederherstellung der Natur (ABl. …/ELI: … [</w:t>
      </w:r>
      <w:r w:rsidRPr="00233EA1">
        <w:rPr>
          <w:i/>
          <w:noProof/>
        </w:rPr>
        <w:t>Amt für Veröffentlichungen: bitte Nummer und Fundstelle einfügen</w:t>
      </w:r>
      <w:r w:rsidRPr="00233EA1">
        <w:rPr>
          <w:noProof/>
        </w:rPr>
        <w:t>].</w:t>
      </w:r>
    </w:p>
    <w:p w14:paraId="4D17AF81" w14:textId="77777777" w:rsidR="00A96E27" w:rsidRPr="00233EA1" w:rsidRDefault="00D805FB" w:rsidP="00C54EF3">
      <w:pPr>
        <w:pStyle w:val="ListNumber"/>
        <w:tabs>
          <w:tab w:val="num" w:pos="426"/>
        </w:tabs>
        <w:ind w:hanging="374"/>
        <w:rPr>
          <w:rFonts w:eastAsia="Times New Roman"/>
          <w:noProof/>
        </w:rPr>
      </w:pPr>
      <w:r w:rsidRPr="00233EA1">
        <w:rPr>
          <w:noProof/>
        </w:rPr>
        <w:t>Verordnung (EU) …/… des Europäischen Parlaments und des Rates über Batterien und Altbatterien, zur Aufhebung der Richtlinie 2006/66/EG und zur Änderung der Verordnung (EU) 2019/1020 (ABl. …/ELI: … [</w:t>
      </w:r>
      <w:r w:rsidRPr="00233EA1">
        <w:rPr>
          <w:i/>
          <w:noProof/>
        </w:rPr>
        <w:t>Amt für Veröffentlichungen: bitte Nummer und Fundstelle einfügen</w:t>
      </w:r>
      <w:r w:rsidRPr="00233EA1">
        <w:rPr>
          <w:noProof/>
        </w:rPr>
        <w:t>].</w:t>
      </w:r>
    </w:p>
    <w:p w14:paraId="1A7B85EE" w14:textId="77777777" w:rsidR="005E5908" w:rsidRPr="00233EA1" w:rsidRDefault="005E5908" w:rsidP="26231176">
      <w:pPr>
        <w:rPr>
          <w:noProof/>
        </w:rPr>
        <w:sectPr w:rsidR="005E5908" w:rsidRPr="00233EA1" w:rsidSect="00456EA8">
          <w:headerReference w:type="even" r:id="rId86"/>
          <w:footerReference w:type="even" r:id="rId87"/>
          <w:footerReference w:type="default" r:id="rId88"/>
          <w:headerReference w:type="first" r:id="rId89"/>
          <w:footerReference w:type="first" r:id="rId90"/>
          <w:pgSz w:w="11907" w:h="16839"/>
          <w:pgMar w:top="1134" w:right="1417" w:bottom="1134" w:left="1417" w:header="709" w:footer="709" w:gutter="0"/>
          <w:cols w:space="720"/>
          <w:docGrid w:linePitch="360"/>
        </w:sectPr>
      </w:pPr>
    </w:p>
    <w:p w14:paraId="5F7BD589" w14:textId="77777777" w:rsidR="09C9DDE0" w:rsidRPr="00233EA1" w:rsidRDefault="09C9DDE0" w:rsidP="01C23B02">
      <w:pPr>
        <w:pStyle w:val="Annexetitre"/>
        <w:rPr>
          <w:rStyle w:val="Marker"/>
          <w:noProof/>
        </w:rPr>
      </w:pPr>
      <w:r w:rsidRPr="00233EA1">
        <w:rPr>
          <w:noProof/>
        </w:rPr>
        <w:t>ANHANG II</w:t>
      </w:r>
    </w:p>
    <w:p w14:paraId="2CBBC23C" w14:textId="77777777" w:rsidR="01C23B02" w:rsidRPr="00233EA1" w:rsidRDefault="60E26DE2" w:rsidP="000C2094">
      <w:pPr>
        <w:pStyle w:val="ManualHeading1"/>
        <w:jc w:val="center"/>
        <w:rPr>
          <w:noProof/>
        </w:rPr>
      </w:pPr>
      <w:r w:rsidRPr="00233EA1">
        <w:rPr>
          <w:noProof/>
        </w:rPr>
        <w:t>In den Artikeln 2, 3, 12, 17 und 23 genannte Rechtsakte der Union und in Artikel 8 genannte Referenzwerte</w:t>
      </w:r>
    </w:p>
    <w:p w14:paraId="3A174CFE" w14:textId="77777777" w:rsidR="09C9DDE0" w:rsidRPr="00233EA1" w:rsidRDefault="7B859C47" w:rsidP="26231176">
      <w:pPr>
        <w:rPr>
          <w:rFonts w:eastAsiaTheme="minorEastAsia"/>
          <w:noProof/>
        </w:rPr>
      </w:pPr>
      <w:r w:rsidRPr="00233EA1">
        <w:rPr>
          <w:b/>
          <w:noProof/>
        </w:rPr>
        <w:t>Teil 1</w:t>
      </w:r>
      <w:r w:rsidRPr="00233EA1">
        <w:rPr>
          <w:noProof/>
        </w:rPr>
        <w:t xml:space="preserve"> – Für die Zwecke des Artikels 3 betreffend Human- und Tierarzneimittel gemäß Artikel 4 Absatz 5 Buchstabe b festzulegende spezifische Wirkstoffdaten, die in den Anwendungsbereich dieser Verordnung fallen</w:t>
      </w:r>
    </w:p>
    <w:p w14:paraId="2AF173E8" w14:textId="77777777" w:rsidR="09C9DDE0" w:rsidRPr="00233EA1" w:rsidRDefault="09C9DDE0" w:rsidP="005E5908">
      <w:pPr>
        <w:pStyle w:val="ListNumber2"/>
        <w:rPr>
          <w:noProof/>
        </w:rPr>
      </w:pPr>
      <w:r w:rsidRPr="00233EA1">
        <w:rPr>
          <w:noProof/>
        </w:rPr>
        <w:t>Nichtklinische Unbedenklichkeitsdaten, einschließlich Daten im Zusammenhang mit Umweltverträglichkeitsprüfungen, die gemäß der Richtlinie 2001/83/EG des Europäischen Parlaments und des Rates</w:t>
      </w:r>
      <w:r w:rsidR="00521270" w:rsidRPr="00233EA1">
        <w:rPr>
          <w:rStyle w:val="FootnoteReference"/>
          <w:rFonts w:eastAsiaTheme="minorEastAsia"/>
          <w:noProof/>
          <w:szCs w:val="24"/>
          <w:lang w:eastAsia="en-IE"/>
        </w:rPr>
        <w:footnoteReference w:id="2"/>
      </w:r>
      <w:r w:rsidRPr="00233EA1">
        <w:rPr>
          <w:noProof/>
        </w:rPr>
        <w:t xml:space="preserve"> und der Verordnung (EG) Nr. 726/2004 des Europäischen Parlaments und des Rates</w:t>
      </w:r>
      <w:r w:rsidR="00521270" w:rsidRPr="00233EA1">
        <w:rPr>
          <w:rStyle w:val="FootnoteReference"/>
          <w:rFonts w:eastAsiaTheme="minorEastAsia"/>
          <w:noProof/>
          <w:szCs w:val="24"/>
          <w:lang w:eastAsia="en-IE"/>
        </w:rPr>
        <w:footnoteReference w:id="3"/>
      </w:r>
      <w:r w:rsidRPr="00233EA1">
        <w:rPr>
          <w:noProof/>
        </w:rPr>
        <w:t xml:space="preserve"> gesammelt werden, </w:t>
      </w:r>
    </w:p>
    <w:p w14:paraId="0BF857A3" w14:textId="77777777" w:rsidR="09C9DDE0" w:rsidRPr="00233EA1" w:rsidRDefault="1407F42F" w:rsidP="005E5908">
      <w:pPr>
        <w:pStyle w:val="ListNumber2"/>
        <w:rPr>
          <w:rFonts w:eastAsiaTheme="minorEastAsia"/>
          <w:noProof/>
          <w:szCs w:val="24"/>
        </w:rPr>
      </w:pPr>
      <w:r w:rsidRPr="00233EA1">
        <w:rPr>
          <w:noProof/>
        </w:rPr>
        <w:t>Daten im Zusammenhang mit Umweltverträglichkeitsprüfungen, die gemäß der Verordnung (EU) 2019/6 des Europäischen Parlaments und des Rates</w:t>
      </w:r>
      <w:r w:rsidR="00521270" w:rsidRPr="00233EA1">
        <w:rPr>
          <w:rStyle w:val="FootnoteReference"/>
          <w:rFonts w:eastAsiaTheme="minorEastAsia"/>
          <w:noProof/>
          <w:szCs w:val="24"/>
          <w:lang w:eastAsia="en-IE"/>
        </w:rPr>
        <w:footnoteReference w:id="4"/>
      </w:r>
      <w:r w:rsidRPr="00233EA1">
        <w:rPr>
          <w:noProof/>
        </w:rPr>
        <w:t xml:space="preserve"> gesammelt werden, und</w:t>
      </w:r>
    </w:p>
    <w:p w14:paraId="5146BF36" w14:textId="77777777" w:rsidR="09C9DDE0" w:rsidRPr="00233EA1" w:rsidRDefault="09C9DDE0" w:rsidP="005E5908">
      <w:pPr>
        <w:pStyle w:val="ListNumber2"/>
        <w:rPr>
          <w:rFonts w:eastAsiaTheme="minorEastAsia"/>
          <w:noProof/>
          <w:szCs w:val="24"/>
        </w:rPr>
      </w:pPr>
      <w:r w:rsidRPr="00233EA1">
        <w:rPr>
          <w:noProof/>
        </w:rPr>
        <w:t>Daten im Zusammenhang mit Rückstandshöchstmengen, die gemäß der Verordnung (EU) Nr. 470/2009 des Europäischen Parlaments und des Rates</w:t>
      </w:r>
      <w:r w:rsidR="00521270" w:rsidRPr="00233EA1">
        <w:rPr>
          <w:rStyle w:val="FootnoteReference"/>
          <w:rFonts w:eastAsiaTheme="minorEastAsia"/>
          <w:noProof/>
          <w:szCs w:val="24"/>
          <w:lang w:eastAsia="en-IE"/>
        </w:rPr>
        <w:footnoteReference w:id="5"/>
      </w:r>
      <w:r w:rsidRPr="00233EA1">
        <w:rPr>
          <w:noProof/>
        </w:rPr>
        <w:t xml:space="preserve"> gesammelt werden.</w:t>
      </w:r>
    </w:p>
    <w:p w14:paraId="222260E5" w14:textId="77777777" w:rsidR="09C9DDE0" w:rsidRPr="00233EA1" w:rsidRDefault="09C9DDE0" w:rsidP="01C23B02">
      <w:pPr>
        <w:rPr>
          <w:noProof/>
        </w:rPr>
      </w:pPr>
      <w:r w:rsidRPr="00233EA1">
        <w:rPr>
          <w:noProof/>
        </w:rPr>
        <w:t>Bei diesen Daten handelt es sich ausschließlich um Daten, die der EMA im Zusammenhang mit den einschlägigen Verfahren übermittelt werden, die nach dem Inkrafttreten dieser Verordnung abgeschlossen werden. Gegebenenfalls kann auch erwogen werden, von der EMA gesammelte Daten, die aus vor dem Inkrafttreten dieser Verordnung abgeschlossenen Verfahren stammen, in die gemeinsame Datenplattform aufzunehmen.</w:t>
      </w:r>
    </w:p>
    <w:p w14:paraId="1BEC08B6" w14:textId="77777777" w:rsidR="09C9DDE0" w:rsidRPr="00233EA1" w:rsidRDefault="09C9DDE0" w:rsidP="01C23B02">
      <w:pPr>
        <w:rPr>
          <w:noProof/>
        </w:rPr>
      </w:pPr>
      <w:r w:rsidRPr="00233EA1">
        <w:rPr>
          <w:noProof/>
        </w:rPr>
        <w:br/>
      </w:r>
      <w:bookmarkStart w:id="2" w:name="_Hlk149640106"/>
      <w:r w:rsidRPr="00233EA1">
        <w:rPr>
          <w:b/>
          <w:noProof/>
        </w:rPr>
        <w:t>Teil 2</w:t>
      </w:r>
      <w:r w:rsidRPr="00233EA1">
        <w:rPr>
          <w:noProof/>
        </w:rPr>
        <w:t xml:space="preserve"> – In das Verzeichnis der Referenzwerte aufzunehmende Referenzwerte gemäß Artikel 8 Absatz 3</w:t>
      </w:r>
    </w:p>
    <w:p w14:paraId="4916E796" w14:textId="77777777" w:rsidR="09C9DDE0" w:rsidRPr="00233EA1" w:rsidRDefault="09C9DDE0" w:rsidP="00DB1C4C">
      <w:pPr>
        <w:pStyle w:val="ListNumber2"/>
        <w:numPr>
          <w:ilvl w:val="0"/>
          <w:numId w:val="9"/>
        </w:numPr>
        <w:rPr>
          <w:rFonts w:eastAsia="Calibri"/>
          <w:noProof/>
        </w:rPr>
      </w:pPr>
      <w:r w:rsidRPr="00233EA1">
        <w:rPr>
          <w:noProof/>
        </w:rPr>
        <w:t>Abgeschätzte Nicht-Effekt-Konzentrationen als Teil der Umweltverträglichkeitsprüfung gemäß der Richtlinie 2001/83/EG des Europäischen Parlaments und des Rates, der Verordnung (EG) Nr. 726/2004 des Europäischen Parlaments und des Rates und der Verordnung (EU) 2019/6 des Europäischen Parlaments und des Rates.</w:t>
      </w:r>
    </w:p>
    <w:p w14:paraId="0EBF4B8C" w14:textId="77777777" w:rsidR="09C9DDE0" w:rsidRPr="00233EA1" w:rsidRDefault="09C9DDE0" w:rsidP="00233EA1">
      <w:pPr>
        <w:keepLines/>
        <w:rPr>
          <w:rFonts w:eastAsia="Times New Roman"/>
          <w:noProof/>
          <w:color w:val="000000" w:themeColor="text1"/>
        </w:rPr>
      </w:pPr>
      <w:r w:rsidRPr="00233EA1">
        <w:rPr>
          <w:noProof/>
        </w:rPr>
        <w:t>Bei diesen Daten handelt es sich ausschließlich um Daten, die der EMA im Zusammenhang mit den einschlägigen Verfahren übermittelt werden, die nach dem Inkrafttreten dieser Verordnung abgeschlossen werden. Gegebenenfalls ist auch zu erwägen, von der EMA gesammelte Daten, die aus vor dem Datum des Inkrafttretens dieser Verordnung abgeschlossenen Verfahren stammen, in die gemeinsame Datenplattform aufzunehmen.</w:t>
      </w:r>
      <w:r w:rsidRPr="00233EA1">
        <w:rPr>
          <w:noProof/>
        </w:rPr>
        <w:br/>
      </w:r>
    </w:p>
    <w:bookmarkEnd w:id="2"/>
    <w:p w14:paraId="5BC1FC78" w14:textId="77777777" w:rsidR="01C23B02" w:rsidRPr="00233EA1" w:rsidRDefault="01C23B02" w:rsidP="01C23B02">
      <w:pPr>
        <w:rPr>
          <w:noProof/>
        </w:rPr>
        <w:sectPr w:rsidR="01C23B02" w:rsidRPr="00233EA1" w:rsidSect="00456EA8">
          <w:pgSz w:w="11907" w:h="16839"/>
          <w:pgMar w:top="1134" w:right="1417" w:bottom="1134" w:left="1417" w:header="709" w:footer="709" w:gutter="0"/>
          <w:cols w:space="720"/>
          <w:docGrid w:linePitch="360"/>
        </w:sectPr>
      </w:pPr>
    </w:p>
    <w:p w14:paraId="3BFF73CA" w14:textId="77777777" w:rsidR="00D429B9" w:rsidRPr="00233EA1" w:rsidRDefault="10223B2A" w:rsidP="00D429B9">
      <w:pPr>
        <w:pStyle w:val="Annexetitre"/>
        <w:rPr>
          <w:rStyle w:val="Marker"/>
          <w:noProof/>
        </w:rPr>
      </w:pPr>
      <w:r w:rsidRPr="00233EA1">
        <w:rPr>
          <w:noProof/>
        </w:rPr>
        <w:t>ANHANG III</w:t>
      </w:r>
    </w:p>
    <w:p w14:paraId="5209F14F" w14:textId="77777777" w:rsidR="00D429B9" w:rsidRPr="00233EA1" w:rsidRDefault="19A3894E" w:rsidP="01C23B02">
      <w:pPr>
        <w:pStyle w:val="ManualHeading1"/>
        <w:jc w:val="center"/>
        <w:rPr>
          <w:noProof/>
        </w:rPr>
      </w:pPr>
      <w:r w:rsidRPr="00233EA1">
        <w:rPr>
          <w:noProof/>
        </w:rPr>
        <w:t>In den Artikeln 2, 10 und 23 genannte Rechtsakte der Union</w:t>
      </w:r>
    </w:p>
    <w:p w14:paraId="627B573D" w14:textId="77777777" w:rsidR="00EF4BF1" w:rsidRPr="00233EA1" w:rsidRDefault="00EF4BF1" w:rsidP="00EF4BF1">
      <w:pPr>
        <w:pStyle w:val="Text1"/>
        <w:rPr>
          <w:noProof/>
        </w:rPr>
      </w:pPr>
    </w:p>
    <w:p w14:paraId="30CE9C72" w14:textId="3D0F5CC2" w:rsidR="00EF4BF1" w:rsidRPr="00233EA1" w:rsidRDefault="00122056" w:rsidP="00EF4BF1">
      <w:pPr>
        <w:pStyle w:val="Text1"/>
        <w:rPr>
          <w:noProof/>
          <w:sz w:val="22"/>
        </w:rPr>
      </w:pPr>
      <w:r w:rsidRPr="00233EA1">
        <w:rPr>
          <w:noProof/>
        </w:rPr>
        <w:t xml:space="preserve">Jeder Verweis auf einen der hier aufgeführten Rechtsakte der Union ist auch als Verweis auf alle gemäß diesem Rechtsakt erlassenen Durchführungsrechtsakte und delegierten Rechtsakte, sofern zutreffend, zu verstehen. </w:t>
      </w:r>
    </w:p>
    <w:p w14:paraId="0154A0BA" w14:textId="77777777" w:rsidR="00EF4BF1" w:rsidRPr="00233EA1" w:rsidRDefault="00EF4BF1" w:rsidP="00EF4BF1">
      <w:pPr>
        <w:pStyle w:val="Text1"/>
        <w:rPr>
          <w:noProof/>
        </w:rPr>
      </w:pPr>
    </w:p>
    <w:p w14:paraId="26A6B4D9" w14:textId="77777777" w:rsidR="00594DF6" w:rsidRPr="00233EA1" w:rsidRDefault="00F43E36" w:rsidP="00DB1C4C">
      <w:pPr>
        <w:pStyle w:val="ListNumber"/>
        <w:numPr>
          <w:ilvl w:val="0"/>
          <w:numId w:val="7"/>
        </w:numPr>
        <w:rPr>
          <w:rFonts w:eastAsia="Times New Roman"/>
          <w:noProof/>
          <w:szCs w:val="24"/>
        </w:rPr>
      </w:pPr>
      <w:hyperlink r:id="rId91">
        <w:r w:rsidR="00233EA1" w:rsidRPr="00233EA1">
          <w:rPr>
            <w:rStyle w:val="Hyperlink"/>
            <w:noProof/>
          </w:rPr>
          <w:t>Verordnung (EWG) Nr. 315/93</w:t>
        </w:r>
      </w:hyperlink>
      <w:r w:rsidR="00233EA1" w:rsidRPr="00233EA1">
        <w:rPr>
          <w:noProof/>
        </w:rPr>
        <w:t xml:space="preserve"> des Rates vom 8. Februar 1993 zur Festlegung von gemeinschaftlichen Verfahren zur Kontrolle von Kontaminanten in Lebensmitteln (ABl. L 37 vom 13.2.1993, S. 1)</w:t>
      </w:r>
    </w:p>
    <w:p w14:paraId="6474A1ED" w14:textId="77777777" w:rsidR="005C5C82" w:rsidRPr="00233EA1" w:rsidRDefault="00F43E36" w:rsidP="00DB1C4C">
      <w:pPr>
        <w:pStyle w:val="ListNumber"/>
        <w:numPr>
          <w:ilvl w:val="0"/>
          <w:numId w:val="7"/>
        </w:numPr>
        <w:rPr>
          <w:rFonts w:eastAsia="Times New Roman"/>
          <w:noProof/>
        </w:rPr>
      </w:pPr>
      <w:hyperlink r:id="rId92" w:history="1">
        <w:r w:rsidR="00233EA1" w:rsidRPr="00233EA1">
          <w:rPr>
            <w:rStyle w:val="Hyperlink"/>
            <w:noProof/>
          </w:rPr>
          <w:t>Richtlinie 94/62/EG</w:t>
        </w:r>
      </w:hyperlink>
      <w:r w:rsidR="00233EA1" w:rsidRPr="00233EA1">
        <w:rPr>
          <w:noProof/>
        </w:rPr>
        <w:t xml:space="preserve"> des Europäischen Parlaments und des Rates vom 20. Dezember 1994 über Verpackungen und Verpackungsabfälle</w:t>
      </w:r>
    </w:p>
    <w:p w14:paraId="6974F62C" w14:textId="77777777" w:rsidR="00594DF6" w:rsidRPr="00233EA1" w:rsidRDefault="00F43E36" w:rsidP="00594DF6">
      <w:pPr>
        <w:pStyle w:val="ListNumber"/>
        <w:rPr>
          <w:noProof/>
        </w:rPr>
      </w:pPr>
      <w:hyperlink r:id="rId93">
        <w:r w:rsidR="00233EA1" w:rsidRPr="00233EA1">
          <w:rPr>
            <w:rStyle w:val="Hyperlink"/>
            <w:noProof/>
          </w:rPr>
          <w:t>Richtlinie 2004/37/EG</w:t>
        </w:r>
      </w:hyperlink>
      <w:r w:rsidR="00233EA1" w:rsidRPr="00233EA1">
        <w:rPr>
          <w:noProof/>
        </w:rPr>
        <w:t xml:space="preserve"> des Europäischen Parlaments und des Rates vom 29. April 2004 über den Schutz der Arbeitnehmer gegen Gefährdung durch Karzinogene oder Mutagene bei der Arbeit (sechste Einzelrichtlinie im Sinne von Artikel 16 Absatz 1 der Richtlinie 89/391/EWG des Rates) (ABl. L 158 vom 30.4.2004, S. 50)</w:t>
      </w:r>
    </w:p>
    <w:p w14:paraId="4714DBE3" w14:textId="77777777" w:rsidR="00594DF6" w:rsidRPr="00233EA1" w:rsidRDefault="00F43E36" w:rsidP="00594DF6">
      <w:pPr>
        <w:pStyle w:val="ListNumber"/>
        <w:rPr>
          <w:rFonts w:eastAsia="Times New Roman"/>
          <w:noProof/>
        </w:rPr>
      </w:pPr>
      <w:hyperlink r:id="rId94">
        <w:r w:rsidR="00233EA1" w:rsidRPr="00233EA1">
          <w:rPr>
            <w:rStyle w:val="Hyperlink"/>
            <w:noProof/>
          </w:rPr>
          <w:t>Richtlinie 98/24/EG</w:t>
        </w:r>
      </w:hyperlink>
      <w:r w:rsidR="00233EA1" w:rsidRPr="00233EA1">
        <w:rPr>
          <w:noProof/>
        </w:rPr>
        <w:t xml:space="preserve"> des Rates vom 7. April 1998 zum Schutz von Gesundheit und Sicherheit der Arbeitnehmer vor der Gefährdung durch chemische Arbeitsstoffe bei der Arbeit (vierzehnte Einzelrichtlinie im Sinne des Artikels 16 Absatz 1 der Richtlinie 89/391/EWG) (ABl. L 131 vom 5.5.1998, S. 11)</w:t>
      </w:r>
    </w:p>
    <w:p w14:paraId="06446E82" w14:textId="77777777" w:rsidR="00594DF6" w:rsidRPr="00233EA1" w:rsidRDefault="00F43E36" w:rsidP="00594DF6">
      <w:pPr>
        <w:pStyle w:val="ListNumber"/>
        <w:rPr>
          <w:rFonts w:eastAsia="Times New Roman"/>
          <w:noProof/>
        </w:rPr>
      </w:pPr>
      <w:hyperlink r:id="rId95">
        <w:r w:rsidR="00233EA1" w:rsidRPr="00233EA1">
          <w:rPr>
            <w:rStyle w:val="Hyperlink"/>
            <w:noProof/>
          </w:rPr>
          <w:t>Richtlinie 2000/53/EG</w:t>
        </w:r>
      </w:hyperlink>
      <w:r w:rsidR="00233EA1" w:rsidRPr="00233EA1">
        <w:rPr>
          <w:noProof/>
        </w:rPr>
        <w:t xml:space="preserve"> des Europäischen Parlaments und des Rates vom 18. September 2000 über Altfahrzeuge (ABl. L 269 vom 21.10.2000, S. 34)</w:t>
      </w:r>
    </w:p>
    <w:p w14:paraId="0A5018F1" w14:textId="77777777" w:rsidR="00594DF6" w:rsidRPr="00233EA1" w:rsidRDefault="00F43E36" w:rsidP="00594DF6">
      <w:pPr>
        <w:pStyle w:val="ListNumber"/>
        <w:rPr>
          <w:rFonts w:eastAsia="Times New Roman"/>
          <w:noProof/>
        </w:rPr>
      </w:pPr>
      <w:hyperlink r:id="rId96">
        <w:r w:rsidR="00233EA1" w:rsidRPr="00233EA1">
          <w:rPr>
            <w:rStyle w:val="Hyperlink"/>
            <w:noProof/>
          </w:rPr>
          <w:t>Verordnung (EG) Nr. 178/2002</w:t>
        </w:r>
      </w:hyperlink>
      <w:r w:rsidR="00233EA1" w:rsidRPr="00233EA1">
        <w:rPr>
          <w:noProof/>
        </w:rPr>
        <w:t xml:space="preserve">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p w14:paraId="3DD9935E" w14:textId="77777777" w:rsidR="00594DF6" w:rsidRPr="00233EA1" w:rsidRDefault="00F43E36" w:rsidP="00594DF6">
      <w:pPr>
        <w:pStyle w:val="ListNumber"/>
        <w:rPr>
          <w:rFonts w:eastAsia="Times New Roman"/>
          <w:noProof/>
        </w:rPr>
      </w:pPr>
      <w:hyperlink r:id="rId97">
        <w:r w:rsidR="00233EA1" w:rsidRPr="00233EA1">
          <w:rPr>
            <w:rStyle w:val="Hyperlink"/>
            <w:noProof/>
          </w:rPr>
          <w:t>Richtlinie 2002/32/EG</w:t>
        </w:r>
      </w:hyperlink>
      <w:r w:rsidR="00233EA1" w:rsidRPr="00233EA1">
        <w:rPr>
          <w:noProof/>
        </w:rPr>
        <w:t xml:space="preserve"> des Europäischen Parlaments und des Rates vom 7. Mai 2002 über unerwünschte Stoffe in der Tierernährung (ABl. L 140 vom 30.5.2002, S. 10)</w:t>
      </w:r>
    </w:p>
    <w:p w14:paraId="5EF7515E" w14:textId="77777777" w:rsidR="00594DF6" w:rsidRPr="00233EA1" w:rsidRDefault="00F43E36" w:rsidP="00594DF6">
      <w:pPr>
        <w:pStyle w:val="ListNumber"/>
        <w:rPr>
          <w:rFonts w:eastAsia="Times New Roman"/>
          <w:noProof/>
        </w:rPr>
      </w:pPr>
      <w:hyperlink r:id="rId98">
        <w:r w:rsidR="00233EA1" w:rsidRPr="00233EA1">
          <w:rPr>
            <w:rStyle w:val="Hyperlink"/>
            <w:noProof/>
          </w:rPr>
          <w:t>Verordnung (EG) Nr. 1831/2003</w:t>
        </w:r>
      </w:hyperlink>
      <w:r w:rsidR="00233EA1" w:rsidRPr="00233EA1">
        <w:rPr>
          <w:noProof/>
        </w:rPr>
        <w:t xml:space="preserve"> des Europäischen Parlaments und des Rates vom 22. September 2003 über Zusatzstoffe zur Verwendung in der Tierernährung (ABl. L 268 vom 18.10.2003, S. 29)</w:t>
      </w:r>
    </w:p>
    <w:p w14:paraId="50F96348" w14:textId="77777777" w:rsidR="00594DF6" w:rsidRPr="00233EA1" w:rsidRDefault="00F43E36" w:rsidP="00594DF6">
      <w:pPr>
        <w:pStyle w:val="ListNumber"/>
        <w:rPr>
          <w:rFonts w:eastAsia="Times New Roman"/>
          <w:noProof/>
        </w:rPr>
      </w:pPr>
      <w:hyperlink r:id="rId99">
        <w:r w:rsidR="00233EA1" w:rsidRPr="00233EA1">
          <w:rPr>
            <w:rStyle w:val="Hyperlink"/>
            <w:noProof/>
          </w:rPr>
          <w:t>Verordnung (EG) Nr. 1935/2004</w:t>
        </w:r>
      </w:hyperlink>
      <w:r w:rsidR="00233EA1" w:rsidRPr="00233EA1">
        <w:rPr>
          <w:noProof/>
        </w:rPr>
        <w:t xml:space="preserve"> des Europäischen Parlaments und des Rates vom 27. Oktober 2004 über Materialien und Gegenstände, die dazu bestimmt sind, mit Lebensmitteln in Berührung zu kommen und zur Aufhebung der Richtlinien 80/590/EWG und 89/109/EWG (ABl. L 338 vom 13.11.2004, S. 4)</w:t>
      </w:r>
    </w:p>
    <w:p w14:paraId="0A629CB9" w14:textId="77777777" w:rsidR="00594DF6" w:rsidRPr="00233EA1" w:rsidRDefault="00F43E36" w:rsidP="00594DF6">
      <w:pPr>
        <w:pStyle w:val="ListNumber"/>
        <w:rPr>
          <w:rFonts w:eastAsia="Times New Roman"/>
          <w:noProof/>
        </w:rPr>
      </w:pPr>
      <w:hyperlink r:id="rId100">
        <w:r w:rsidR="00233EA1" w:rsidRPr="00233EA1">
          <w:rPr>
            <w:rStyle w:val="Hyperlink"/>
            <w:noProof/>
          </w:rPr>
          <w:t>Richtlinie 2004/107/EG</w:t>
        </w:r>
      </w:hyperlink>
      <w:r w:rsidR="00233EA1" w:rsidRPr="00233EA1">
        <w:rPr>
          <w:noProof/>
        </w:rPr>
        <w:t xml:space="preserve"> des Europäischen Parlaments und des Rates vom 15. Dezember 2004 über Arsen, Kadmium, Quecksilber, Nickel und polyzyklische aromatische Kohlenwasserstoffe in der Luft (ABl. L 23 vom 26.1.2005, S. 3)</w:t>
      </w:r>
    </w:p>
    <w:p w14:paraId="04231757" w14:textId="77777777" w:rsidR="00594DF6" w:rsidRPr="00233EA1" w:rsidRDefault="00F43E36" w:rsidP="00594DF6">
      <w:pPr>
        <w:pStyle w:val="ListNumber"/>
        <w:rPr>
          <w:rFonts w:eastAsia="Times New Roman"/>
          <w:noProof/>
        </w:rPr>
      </w:pPr>
      <w:hyperlink r:id="rId101">
        <w:r w:rsidR="00233EA1" w:rsidRPr="00233EA1">
          <w:rPr>
            <w:rStyle w:val="Hyperlink"/>
            <w:noProof/>
          </w:rPr>
          <w:t>Verordnung (EG) Nr. 396/2005</w:t>
        </w:r>
      </w:hyperlink>
      <w:r w:rsidR="00233EA1" w:rsidRPr="00233EA1">
        <w:rPr>
          <w:noProof/>
        </w:rPr>
        <w:t xml:space="preserve"> des Europäischen Parlaments und des Rates vom 23. Februar 2005 über Höchstgehalte an Pestizidrückständen in oder auf Lebens- und Futtermitteln pflanzlichen und tierischen Ursprungs und zur Änderung der Richtlinie 91/414/EWG des Rates (ABl. L 70 vom 16.3.2005, S. 1)</w:t>
      </w:r>
    </w:p>
    <w:p w14:paraId="51430593" w14:textId="77777777" w:rsidR="00594DF6" w:rsidRPr="00233EA1" w:rsidRDefault="00F43E36" w:rsidP="00594DF6">
      <w:pPr>
        <w:pStyle w:val="ListNumber"/>
        <w:rPr>
          <w:rFonts w:eastAsia="Times New Roman"/>
          <w:noProof/>
        </w:rPr>
      </w:pPr>
      <w:hyperlink r:id="rId102">
        <w:r w:rsidR="00233EA1" w:rsidRPr="00233EA1">
          <w:rPr>
            <w:rStyle w:val="Hyperlink"/>
            <w:noProof/>
          </w:rPr>
          <w:t>Richtlinie 2006/118/EG</w:t>
        </w:r>
      </w:hyperlink>
      <w:r w:rsidR="00233EA1" w:rsidRPr="00233EA1">
        <w:rPr>
          <w:noProof/>
        </w:rPr>
        <w:t xml:space="preserve"> des Europäischen Parlaments und des Rates vom 12. Dezember 2006 zum Schutz des Grundwassers vor Verschmutzung und Verschlechterung (ABl. L 372 vom 27.12.2006, S. 19)</w:t>
      </w:r>
    </w:p>
    <w:p w14:paraId="1339AF3F" w14:textId="77777777" w:rsidR="00594DF6" w:rsidRPr="00233EA1" w:rsidRDefault="00F43E36" w:rsidP="00594DF6">
      <w:pPr>
        <w:pStyle w:val="ListNumber"/>
        <w:tabs>
          <w:tab w:val="num" w:pos="284"/>
        </w:tabs>
        <w:rPr>
          <w:noProof/>
        </w:rPr>
      </w:pPr>
      <w:hyperlink r:id="rId103">
        <w:r w:rsidR="00233EA1" w:rsidRPr="00233EA1">
          <w:rPr>
            <w:rStyle w:val="Hyperlink"/>
            <w:noProof/>
          </w:rPr>
          <w:t>Verordnung (EG) Nr. 1907/2006</w:t>
        </w:r>
      </w:hyperlink>
      <w:r w:rsidR="00233EA1" w:rsidRPr="00233EA1">
        <w:rPr>
          <w:noProof/>
        </w:rPr>
        <w:t xml:space="preserve">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p w14:paraId="2704CB5F" w14:textId="77777777" w:rsidR="00AC24D2" w:rsidRPr="00233EA1" w:rsidRDefault="00F43E36" w:rsidP="00231385">
      <w:pPr>
        <w:pStyle w:val="ListNumber"/>
        <w:rPr>
          <w:rFonts w:eastAsia="Times New Roman"/>
          <w:noProof/>
        </w:rPr>
      </w:pPr>
      <w:hyperlink r:id="rId104" w:history="1">
        <w:r w:rsidR="00233EA1" w:rsidRPr="00233EA1">
          <w:rPr>
            <w:rStyle w:val="Hyperlink"/>
            <w:noProof/>
          </w:rPr>
          <w:t>Richtlinie 2012/19/EU</w:t>
        </w:r>
      </w:hyperlink>
      <w:r w:rsidR="00233EA1" w:rsidRPr="00233EA1">
        <w:rPr>
          <w:noProof/>
        </w:rPr>
        <w:t xml:space="preserve"> des Europäischen Parlaments und des Rates vom 4. Juli 2012 über Elektro- und Elektronik-Altgeräte (ABl. L 197 vom 24.7.2012, S. 38)</w:t>
      </w:r>
    </w:p>
    <w:p w14:paraId="7DFAB9EC" w14:textId="77777777" w:rsidR="00594DF6" w:rsidRPr="00233EA1" w:rsidRDefault="00F43E36" w:rsidP="00594DF6">
      <w:pPr>
        <w:pStyle w:val="ListNumber"/>
        <w:rPr>
          <w:rFonts w:eastAsia="Times New Roman"/>
          <w:noProof/>
        </w:rPr>
      </w:pPr>
      <w:hyperlink r:id="rId105">
        <w:r w:rsidR="00233EA1" w:rsidRPr="00233EA1">
          <w:rPr>
            <w:rStyle w:val="Hyperlink"/>
            <w:noProof/>
          </w:rPr>
          <w:t>Richtlinie 2008/105/EG</w:t>
        </w:r>
      </w:hyperlink>
      <w:r w:rsidR="00233EA1" w:rsidRPr="00233EA1">
        <w:rPr>
          <w:noProof/>
        </w:rPr>
        <w:t xml:space="preserve">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w:t>
      </w:r>
    </w:p>
    <w:p w14:paraId="16BB9EB4" w14:textId="77777777" w:rsidR="00594DF6" w:rsidRPr="00233EA1" w:rsidRDefault="00F43E36" w:rsidP="00594DF6">
      <w:pPr>
        <w:pStyle w:val="ListNumber"/>
        <w:rPr>
          <w:rFonts w:eastAsia="Times New Roman"/>
          <w:noProof/>
        </w:rPr>
      </w:pPr>
      <w:hyperlink r:id="rId106">
        <w:r w:rsidR="00233EA1" w:rsidRPr="00233EA1">
          <w:rPr>
            <w:rStyle w:val="Hyperlink"/>
            <w:noProof/>
          </w:rPr>
          <w:t>Verordnung (EG) Nr. 1272/2008</w:t>
        </w:r>
      </w:hyperlink>
      <w:r w:rsidR="00233EA1" w:rsidRPr="00233EA1">
        <w:rPr>
          <w:noProof/>
        </w:rPr>
        <w:t xml:space="preserve">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p>
    <w:p w14:paraId="36C41E8E" w14:textId="77777777" w:rsidR="00594DF6" w:rsidRPr="00233EA1" w:rsidRDefault="00F43E36" w:rsidP="00594DF6">
      <w:pPr>
        <w:pStyle w:val="ListNumber"/>
        <w:rPr>
          <w:rFonts w:eastAsia="Times New Roman"/>
          <w:noProof/>
        </w:rPr>
      </w:pPr>
      <w:hyperlink r:id="rId107">
        <w:r w:rsidR="00233EA1" w:rsidRPr="00233EA1">
          <w:rPr>
            <w:rStyle w:val="Hyperlink"/>
            <w:noProof/>
          </w:rPr>
          <w:t>Verordnung (EG) Nr. 1331/2008</w:t>
        </w:r>
      </w:hyperlink>
      <w:r w:rsidR="00233EA1" w:rsidRPr="00233EA1">
        <w:rPr>
          <w:noProof/>
        </w:rPr>
        <w:t xml:space="preserve"> des Europäischen Parlaments und des Rates vom 16. Dezember 2008 über ein einheitliches Zulassungsverfahren für Lebensmittelzusatzstoffe, -enzyme und -aromen (ABl. L 354 vom 31.12.2008, S. 1)</w:t>
      </w:r>
    </w:p>
    <w:p w14:paraId="1CD50C26" w14:textId="77777777" w:rsidR="00594DF6" w:rsidRPr="00233EA1" w:rsidRDefault="00F43E36" w:rsidP="00594DF6">
      <w:pPr>
        <w:pStyle w:val="ListNumber"/>
        <w:rPr>
          <w:rFonts w:eastAsia="Times New Roman"/>
          <w:noProof/>
        </w:rPr>
      </w:pPr>
      <w:hyperlink r:id="rId108">
        <w:r w:rsidR="00233EA1" w:rsidRPr="00233EA1">
          <w:rPr>
            <w:rStyle w:val="Hyperlink"/>
            <w:noProof/>
          </w:rPr>
          <w:t>Verordnung (EG) Nr. 1332/2008</w:t>
        </w:r>
      </w:hyperlink>
      <w:r w:rsidR="00233EA1" w:rsidRPr="00233EA1">
        <w:rPr>
          <w:noProof/>
        </w:rPr>
        <w:t xml:space="preserve"> des Europäischen Parlaments und des Rates vom 16. Dezember 2008 über Lebensmittelenzyme und zur Änderung der Richtlinie 83/417/EWG des Rates, der Verordnung (EG) Nr. 1493/1999 des Rates, der Richtlinie 2000/13/EG, der Richtlinie 2001/112/EG des Rates sowie der Verordnung (EG) Nr. 258/97 (ABl. L 354 vom 31.12.2008, S. 7)</w:t>
      </w:r>
    </w:p>
    <w:p w14:paraId="343FCA1F" w14:textId="77777777" w:rsidR="00594DF6" w:rsidRPr="00233EA1" w:rsidRDefault="00F43E36" w:rsidP="00594DF6">
      <w:pPr>
        <w:pStyle w:val="ListNumber"/>
        <w:rPr>
          <w:rFonts w:eastAsia="Times New Roman"/>
          <w:noProof/>
        </w:rPr>
      </w:pPr>
      <w:hyperlink r:id="rId109">
        <w:r w:rsidR="00233EA1" w:rsidRPr="00233EA1">
          <w:rPr>
            <w:rStyle w:val="Hyperlink"/>
            <w:noProof/>
          </w:rPr>
          <w:t>Verordnung (EG) Nr. 1333/2008</w:t>
        </w:r>
      </w:hyperlink>
      <w:r w:rsidR="00233EA1" w:rsidRPr="00233EA1">
        <w:rPr>
          <w:noProof/>
        </w:rPr>
        <w:t xml:space="preserve"> des Europäischen Parlaments und des Rates vom 16. Dezember 2008 über Lebensmittelzusatzstoffe (ABl. L 354 vom 31.12.2008, S. 16)</w:t>
      </w:r>
    </w:p>
    <w:p w14:paraId="0E39E992" w14:textId="77777777" w:rsidR="00594DF6" w:rsidRPr="00233EA1" w:rsidRDefault="00F43E36" w:rsidP="00594DF6">
      <w:pPr>
        <w:pStyle w:val="ListNumber"/>
        <w:rPr>
          <w:rFonts w:eastAsia="Times New Roman"/>
          <w:noProof/>
        </w:rPr>
      </w:pPr>
      <w:hyperlink r:id="rId110">
        <w:r w:rsidR="00233EA1" w:rsidRPr="00233EA1">
          <w:rPr>
            <w:rStyle w:val="Hyperlink"/>
            <w:noProof/>
          </w:rPr>
          <w:t>Verordnung (EG) Nr. 1334/2008</w:t>
        </w:r>
      </w:hyperlink>
      <w:r w:rsidR="00233EA1" w:rsidRPr="00233EA1">
        <w:rPr>
          <w:noProof/>
        </w:rPr>
        <w:t xml:space="preserve"> des Europäischen Parlaments und des Rates vom 16. Dezember 2008 über Aromen und bestimmte Lebensmittelzutaten mit Aromaeigenschaften zur Verwendung in und auf Lebensmitteln sowie zur Änderung der Verordnung (EWG) Nr. 1601/91 des Rates, der Verordnungen (EG) Nr. 2232/96 und (EG) Nr. 110/2008 und der Richtlinie 2000/13/EG (ABl. L 354 vom 31.12.2008, S. 34)</w:t>
      </w:r>
    </w:p>
    <w:p w14:paraId="5EC24580" w14:textId="77777777" w:rsidR="00594DF6" w:rsidRPr="00233EA1" w:rsidRDefault="00F43E36" w:rsidP="00594DF6">
      <w:pPr>
        <w:pStyle w:val="ListNumber"/>
        <w:rPr>
          <w:rFonts w:eastAsia="Times New Roman"/>
          <w:noProof/>
        </w:rPr>
      </w:pPr>
      <w:hyperlink r:id="rId111">
        <w:r w:rsidR="00233EA1" w:rsidRPr="00233EA1">
          <w:rPr>
            <w:rStyle w:val="Hyperlink"/>
            <w:noProof/>
          </w:rPr>
          <w:t>Verordnung (EG) Nr. 1331/2008</w:t>
        </w:r>
      </w:hyperlink>
      <w:r w:rsidR="00233EA1" w:rsidRPr="00233EA1">
        <w:rPr>
          <w:noProof/>
        </w:rPr>
        <w:t xml:space="preserve"> des Europäischen Parlaments und des Rates vom 16. Dezember 2008 über ein einheitliches Zulassungsverfahren für Lebensmittelzusatzstoffe, -enzyme und -aromen (ABl. L 354 vom 31.12.2008, S. 1)</w:t>
      </w:r>
    </w:p>
    <w:p w14:paraId="5DF139EE" w14:textId="77777777" w:rsidR="00594DF6" w:rsidRPr="00233EA1" w:rsidRDefault="00F43E36" w:rsidP="00594DF6">
      <w:pPr>
        <w:pStyle w:val="ListNumber"/>
        <w:rPr>
          <w:rFonts w:eastAsia="Times New Roman"/>
          <w:noProof/>
        </w:rPr>
      </w:pPr>
      <w:hyperlink r:id="rId112">
        <w:r w:rsidR="00233EA1" w:rsidRPr="00233EA1">
          <w:rPr>
            <w:rStyle w:val="Hyperlink"/>
            <w:noProof/>
          </w:rPr>
          <w:t>Richtlinie 2009/32/EG</w:t>
        </w:r>
      </w:hyperlink>
      <w:r w:rsidR="00233EA1" w:rsidRPr="00233EA1">
        <w:rPr>
          <w:noProof/>
        </w:rPr>
        <w:t xml:space="preserve"> des Europäischen Parlaments und des Rates vom 23. April 2009 zur Angleichung der Rechtsvorschriften der Mitgliedstaaten über Extraktionslösungsmittel, die bei der Herstellung von Lebensmitteln und Lebensmittelzutaten verwendet werden (ABl. L 141 vom 6.6.2009, S. 3)</w:t>
      </w:r>
    </w:p>
    <w:p w14:paraId="0A485806" w14:textId="77777777" w:rsidR="000E5BBF" w:rsidRPr="00233EA1" w:rsidRDefault="00F43E36" w:rsidP="0024583E">
      <w:pPr>
        <w:pStyle w:val="ListNumber"/>
        <w:rPr>
          <w:rFonts w:eastAsia="Times New Roman"/>
          <w:noProof/>
        </w:rPr>
      </w:pPr>
      <w:hyperlink r:id="rId113" w:history="1">
        <w:r w:rsidR="00233EA1" w:rsidRPr="00233EA1">
          <w:rPr>
            <w:rStyle w:val="Hyperlink"/>
            <w:noProof/>
          </w:rPr>
          <w:t>Richtlinie 2009/125/EG</w:t>
        </w:r>
      </w:hyperlink>
      <w:r w:rsidR="00233EA1" w:rsidRPr="00233EA1">
        <w:rPr>
          <w:noProof/>
        </w:rPr>
        <w:t xml:space="preserve"> des Europäischen Parlaments und des Rates vom 21. Oktober 2009 zur Schaffung eines Rahmens für die Festlegung von Anforderungen an die umweltgerechte Gestaltung energieverbrauchsrelevanter Produkte</w:t>
      </w:r>
    </w:p>
    <w:p w14:paraId="14659BA0" w14:textId="77777777" w:rsidR="00594DF6" w:rsidRPr="00233EA1" w:rsidRDefault="00F43E36" w:rsidP="00594DF6">
      <w:pPr>
        <w:pStyle w:val="ListNumber"/>
        <w:rPr>
          <w:rFonts w:eastAsia="Times New Roman"/>
          <w:noProof/>
        </w:rPr>
      </w:pPr>
      <w:hyperlink r:id="rId114">
        <w:r w:rsidR="00233EA1" w:rsidRPr="00233EA1">
          <w:rPr>
            <w:rStyle w:val="Hyperlink"/>
            <w:noProof/>
          </w:rPr>
          <w:t>Richtlinie 2009/48/EG</w:t>
        </w:r>
      </w:hyperlink>
      <w:r w:rsidR="00233EA1" w:rsidRPr="00233EA1">
        <w:rPr>
          <w:noProof/>
        </w:rPr>
        <w:t xml:space="preserve"> des Europäischen Parlaments und des Rates vom 18. Juni 2009 über die Sicherheit von Spielzeug (ABl. L 170 vom 30.6.2009, S. 1)</w:t>
      </w:r>
    </w:p>
    <w:p w14:paraId="190FFA81" w14:textId="77777777" w:rsidR="1C8B2D55" w:rsidRPr="00233EA1" w:rsidRDefault="00F43E36" w:rsidP="7557380A">
      <w:pPr>
        <w:pStyle w:val="ListNumber"/>
        <w:rPr>
          <w:rFonts w:eastAsia="Times New Roman"/>
          <w:noProof/>
        </w:rPr>
      </w:pPr>
      <w:hyperlink r:id="rId115" w:history="1">
        <w:r w:rsidR="00233EA1" w:rsidRPr="00233EA1">
          <w:rPr>
            <w:rStyle w:val="Hyperlink"/>
            <w:noProof/>
          </w:rPr>
          <w:t>Verordnung (EG) Nr. 1005/2009</w:t>
        </w:r>
      </w:hyperlink>
      <w:r w:rsidR="00233EA1" w:rsidRPr="00233EA1">
        <w:rPr>
          <w:noProof/>
        </w:rPr>
        <w:t xml:space="preserve"> des Europäischen Parlaments und des Rates vom 16. September 2009 über Stoffe, die zum Abbau der Ozonschicht führen (ABl. L 286 vom 31.10.2009, S. 1)</w:t>
      </w:r>
    </w:p>
    <w:p w14:paraId="1509F53E" w14:textId="77777777" w:rsidR="00594DF6" w:rsidRPr="00233EA1" w:rsidRDefault="00F43E36" w:rsidP="00594DF6">
      <w:pPr>
        <w:pStyle w:val="ListNumber"/>
        <w:rPr>
          <w:rFonts w:eastAsia="Times New Roman"/>
          <w:noProof/>
        </w:rPr>
      </w:pPr>
      <w:hyperlink r:id="rId116">
        <w:r w:rsidR="00233EA1" w:rsidRPr="00233EA1">
          <w:rPr>
            <w:rStyle w:val="Hyperlink"/>
            <w:noProof/>
          </w:rPr>
          <w:t>Verordnung (EG) Nr. 1107/2009</w:t>
        </w:r>
      </w:hyperlink>
      <w:r w:rsidR="00233EA1" w:rsidRPr="00233EA1">
        <w:rPr>
          <w:noProof/>
        </w:rPr>
        <w:t xml:space="preserve"> des Europäischen Parlaments und des Rates vom 21. Oktober 2009 über das Inverkehrbringen von Pflanzenschutzmitteln und zur Aufhebung der Richtlinien 79/117/EWG und 91/414/EWG des Rates (ABl. L 309 vom 24.11.2009, S. 1)</w:t>
      </w:r>
    </w:p>
    <w:p w14:paraId="3A11FEDA" w14:textId="77777777" w:rsidR="00594DF6" w:rsidRPr="00233EA1" w:rsidRDefault="00F43E36" w:rsidP="00594DF6">
      <w:pPr>
        <w:pStyle w:val="ListNumber"/>
        <w:rPr>
          <w:rFonts w:eastAsia="Times New Roman"/>
          <w:noProof/>
        </w:rPr>
      </w:pPr>
      <w:hyperlink r:id="rId117">
        <w:r w:rsidR="00233EA1" w:rsidRPr="00233EA1">
          <w:rPr>
            <w:rStyle w:val="Hyperlink"/>
            <w:noProof/>
          </w:rPr>
          <w:t>Richtlinie 2009/148/EG</w:t>
        </w:r>
      </w:hyperlink>
      <w:r w:rsidR="00233EA1" w:rsidRPr="00233EA1">
        <w:rPr>
          <w:noProof/>
        </w:rPr>
        <w:t xml:space="preserve"> des Europäischen Parlaments und des Rates vom 30. November 2009 über den Schutz der Arbeitnehmer gegen Gefährdung durch Asbest am Arbeitsplatz (ABl. L 330 vom 16.12.2009, S. 28)</w:t>
      </w:r>
    </w:p>
    <w:p w14:paraId="5F6AB4EE" w14:textId="77777777" w:rsidR="00594DF6" w:rsidRPr="00233EA1" w:rsidRDefault="00F43E36" w:rsidP="00594DF6">
      <w:pPr>
        <w:pStyle w:val="ListNumber"/>
        <w:rPr>
          <w:rFonts w:eastAsia="Times New Roman"/>
          <w:noProof/>
        </w:rPr>
      </w:pPr>
      <w:hyperlink r:id="rId118">
        <w:r w:rsidR="00233EA1" w:rsidRPr="00233EA1">
          <w:rPr>
            <w:rStyle w:val="Hyperlink"/>
            <w:noProof/>
          </w:rPr>
          <w:t>Verordnung (EG) Nr. 1223/2009</w:t>
        </w:r>
      </w:hyperlink>
      <w:r w:rsidR="00233EA1" w:rsidRPr="00233EA1">
        <w:rPr>
          <w:noProof/>
        </w:rPr>
        <w:t xml:space="preserve"> des Europäischen Parlaments und des Rates vom 30. November 2009 über kosmetische Mittel (ABl. L 342 vom 22.12.2009, S. 59)</w:t>
      </w:r>
    </w:p>
    <w:p w14:paraId="1BABF018" w14:textId="77777777" w:rsidR="00594DF6" w:rsidRPr="00233EA1" w:rsidRDefault="00F43E36" w:rsidP="00594DF6">
      <w:pPr>
        <w:pStyle w:val="ListNumber"/>
        <w:rPr>
          <w:rFonts w:eastAsia="Times New Roman"/>
          <w:noProof/>
        </w:rPr>
      </w:pPr>
      <w:hyperlink r:id="rId119">
        <w:r w:rsidR="00233EA1" w:rsidRPr="00233EA1">
          <w:rPr>
            <w:rStyle w:val="Hyperlink"/>
            <w:noProof/>
          </w:rPr>
          <w:t>Richtlinie 2011/65/EU</w:t>
        </w:r>
      </w:hyperlink>
      <w:r w:rsidR="00233EA1" w:rsidRPr="00233EA1">
        <w:rPr>
          <w:noProof/>
        </w:rPr>
        <w:t xml:space="preserve"> des Europäischen Parlaments und des Rates vom 8. Juni 2011 zur Beschränkung der Verwendung bestimmter gefährlicher Stoffe in Elektro- und Elektronikgeräten (ABl. L 174 vom 1.7.2011, S. 88)</w:t>
      </w:r>
    </w:p>
    <w:p w14:paraId="2E269632" w14:textId="77777777" w:rsidR="00594DF6" w:rsidRPr="00233EA1" w:rsidRDefault="00F43E36" w:rsidP="00594DF6">
      <w:pPr>
        <w:pStyle w:val="ListNumber"/>
        <w:rPr>
          <w:rFonts w:eastAsia="Times New Roman"/>
          <w:noProof/>
        </w:rPr>
      </w:pPr>
      <w:hyperlink r:id="rId120">
        <w:r w:rsidR="00233EA1" w:rsidRPr="00233EA1">
          <w:rPr>
            <w:rStyle w:val="Hyperlink"/>
            <w:noProof/>
          </w:rPr>
          <w:t>Verordnung (EU) Nr. 528/2012</w:t>
        </w:r>
      </w:hyperlink>
      <w:r w:rsidR="00233EA1" w:rsidRPr="00233EA1">
        <w:rPr>
          <w:noProof/>
        </w:rPr>
        <w:t xml:space="preserve"> des Europäischen Parlaments und des Rates vom 22. Mai 2012 über die Bereitstellung auf dem Markt und die Verwendung von Biozidprodukten (ABl. L 167 vom 27.6.2012, S. 1)</w:t>
      </w:r>
    </w:p>
    <w:p w14:paraId="195CCEF6" w14:textId="77777777" w:rsidR="00594DF6" w:rsidRPr="00233EA1" w:rsidRDefault="00F43E36" w:rsidP="00594DF6">
      <w:pPr>
        <w:pStyle w:val="ListNumber"/>
        <w:rPr>
          <w:noProof/>
        </w:rPr>
      </w:pPr>
      <w:hyperlink r:id="rId121">
        <w:r w:rsidR="00233EA1" w:rsidRPr="00233EA1">
          <w:rPr>
            <w:rStyle w:val="Hyperlink"/>
            <w:noProof/>
          </w:rPr>
          <w:t>Verordnung (EU) 2019/4</w:t>
        </w:r>
      </w:hyperlink>
      <w:r w:rsidR="00233EA1" w:rsidRPr="00233EA1">
        <w:rPr>
          <w:noProof/>
        </w:rPr>
        <w:t xml:space="preserve"> des Europäischen Parlaments und des Rates vom 11. Dezember 2018 über die Herstellung, das Inverkehrbringen und die Verwendung von Arzneifuttermitteln, zur Änderung der Verordnung (EG) Nr. 183/2005 des Europäischen Parlaments und des Rates sowie zur Aufhebung der Richtlinie 90/167/EWG des Rates (ABl. L 4 vom 7.1.2019, S. 1)</w:t>
      </w:r>
    </w:p>
    <w:p w14:paraId="187C8232" w14:textId="77777777" w:rsidR="00F37613" w:rsidRPr="00233EA1" w:rsidRDefault="00F43E36" w:rsidP="00F37613">
      <w:pPr>
        <w:pStyle w:val="ListNumber"/>
        <w:rPr>
          <w:noProof/>
        </w:rPr>
      </w:pPr>
      <w:hyperlink r:id="rId122">
        <w:r w:rsidR="00233EA1" w:rsidRPr="00233EA1">
          <w:rPr>
            <w:rStyle w:val="Hyperlink"/>
            <w:noProof/>
          </w:rPr>
          <w:t>Verordnung (EU) 2019/1021</w:t>
        </w:r>
      </w:hyperlink>
      <w:r w:rsidR="00233EA1" w:rsidRPr="00233EA1">
        <w:rPr>
          <w:noProof/>
        </w:rPr>
        <w:t xml:space="preserve"> des Europäischen Parlaments und des Rates vom 20. Juni 2019 über persistente organische Schadstoffe (ABl. L 169 vom 25.6.2019, S. 45)</w:t>
      </w:r>
    </w:p>
    <w:p w14:paraId="7B9B6EEF" w14:textId="77777777" w:rsidR="00A64EC3" w:rsidRPr="00233EA1" w:rsidRDefault="00F43E36" w:rsidP="0099106D">
      <w:pPr>
        <w:pStyle w:val="ListNumber"/>
        <w:rPr>
          <w:noProof/>
        </w:rPr>
      </w:pPr>
      <w:hyperlink r:id="rId123">
        <w:r w:rsidR="00233EA1" w:rsidRPr="00233EA1">
          <w:rPr>
            <w:rStyle w:val="Hyperlink"/>
            <w:noProof/>
          </w:rPr>
          <w:t>Richtlinie (EU) 2020/2184</w:t>
        </w:r>
      </w:hyperlink>
      <w:r w:rsidR="00233EA1" w:rsidRPr="00233EA1">
        <w:rPr>
          <w:noProof/>
        </w:rPr>
        <w:t xml:space="preserve"> des Europäischen Parlaments und des Rates vom 16. Dezember 2020 über die Qualität von Wasser für den menschlichen Gebrauch (ABl. L 435 vom 23.12.2020, S. 1)</w:t>
      </w:r>
    </w:p>
    <w:p w14:paraId="14FBBE90" w14:textId="77777777" w:rsidR="00D805FB" w:rsidRPr="00233EA1" w:rsidRDefault="00D805FB" w:rsidP="00C54EF3">
      <w:pPr>
        <w:pStyle w:val="ListNumber"/>
        <w:tabs>
          <w:tab w:val="num" w:pos="426"/>
        </w:tabs>
        <w:ind w:hanging="374"/>
        <w:rPr>
          <w:rFonts w:eastAsia="Times New Roman"/>
          <w:noProof/>
        </w:rPr>
      </w:pPr>
      <w:r w:rsidRPr="00233EA1">
        <w:rPr>
          <w:noProof/>
        </w:rPr>
        <w:t>Verordnung (EU) …/… des Europäischen Parlaments und des Rates über Batterien und Altbatterien, zur Aufhebung der Richtlinie 2006/66/EG und zur Änderung der Verordnung (EU) 2019/1020 (ABl. …/ELI: … [</w:t>
      </w:r>
      <w:r w:rsidRPr="00233EA1">
        <w:rPr>
          <w:i/>
          <w:noProof/>
        </w:rPr>
        <w:t>Amt für Veröffentlichungen: bitte Nummer und Fundstelle einfügen</w:t>
      </w:r>
      <w:r w:rsidRPr="00233EA1">
        <w:rPr>
          <w:noProof/>
        </w:rPr>
        <w:t>].</w:t>
      </w:r>
    </w:p>
    <w:sectPr w:rsidR="00D805FB" w:rsidRPr="00233EA1" w:rsidSect="00456EA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4953" w14:textId="77777777" w:rsidR="00511320" w:rsidRDefault="00511320" w:rsidP="00D429B9">
      <w:pPr>
        <w:spacing w:before="0" w:after="0"/>
      </w:pPr>
      <w:r>
        <w:separator/>
      </w:r>
    </w:p>
  </w:endnote>
  <w:endnote w:type="continuationSeparator" w:id="0">
    <w:p w14:paraId="5F575379" w14:textId="77777777" w:rsidR="00511320" w:rsidRDefault="00511320" w:rsidP="00D429B9">
      <w:pPr>
        <w:spacing w:before="0" w:after="0"/>
      </w:pPr>
      <w:r>
        <w:continuationSeparator/>
      </w:r>
    </w:p>
  </w:endnote>
  <w:endnote w:type="continuationNotice" w:id="1">
    <w:p w14:paraId="53850FBE" w14:textId="77777777" w:rsidR="00511320" w:rsidRDefault="005113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6390" w14:textId="4F3C64AD" w:rsidR="00456EA8" w:rsidRPr="00456EA8" w:rsidRDefault="00456EA8" w:rsidP="00456EA8">
    <w:pPr>
      <w:pStyle w:val="Footer"/>
      <w:rPr>
        <w:rFonts w:ascii="Arial" w:hAnsi="Arial" w:cs="Arial"/>
        <w:b/>
        <w:sz w:val="48"/>
      </w:rPr>
    </w:pPr>
    <w:r w:rsidRPr="00456EA8">
      <w:rPr>
        <w:rFonts w:ascii="Arial" w:hAnsi="Arial" w:cs="Arial"/>
        <w:b/>
        <w:sz w:val="48"/>
      </w:rPr>
      <w:t>DE</w:t>
    </w:r>
    <w:r w:rsidRPr="00456EA8">
      <w:rPr>
        <w:rFonts w:ascii="Arial" w:hAnsi="Arial" w:cs="Arial"/>
        <w:b/>
        <w:sz w:val="48"/>
      </w:rPr>
      <w:tab/>
    </w:r>
    <w:r w:rsidRPr="00456EA8">
      <w:rPr>
        <w:rFonts w:ascii="Arial" w:hAnsi="Arial" w:cs="Arial"/>
        <w:b/>
        <w:sz w:val="48"/>
      </w:rPr>
      <w:tab/>
    </w:r>
    <w:r w:rsidRPr="00456EA8">
      <w:tab/>
    </w:r>
    <w:r w:rsidRPr="00456EA8">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BB4A" w14:textId="7FDBD63C" w:rsidR="00456EA8" w:rsidRPr="00456EA8" w:rsidRDefault="00456EA8" w:rsidP="00456EA8">
    <w:pPr>
      <w:pStyle w:val="Footer"/>
      <w:rPr>
        <w:rFonts w:ascii="Arial" w:hAnsi="Arial" w:cs="Arial"/>
        <w:b/>
        <w:sz w:val="48"/>
      </w:rPr>
    </w:pPr>
    <w:r w:rsidRPr="00456EA8">
      <w:rPr>
        <w:rFonts w:ascii="Arial" w:hAnsi="Arial" w:cs="Arial"/>
        <w:b/>
        <w:sz w:val="48"/>
      </w:rPr>
      <w:t>DE</w:t>
    </w:r>
    <w:r w:rsidRPr="00456EA8">
      <w:rPr>
        <w:rFonts w:ascii="Arial" w:hAnsi="Arial" w:cs="Arial"/>
        <w:b/>
        <w:sz w:val="48"/>
      </w:rPr>
      <w:tab/>
    </w:r>
    <w:r w:rsidRPr="00456EA8">
      <w:rPr>
        <w:rFonts w:ascii="Arial" w:hAnsi="Arial" w:cs="Arial"/>
        <w:b/>
        <w:sz w:val="48"/>
      </w:rPr>
      <w:tab/>
    </w:r>
    <w:r w:rsidRPr="00456EA8">
      <w:tab/>
    </w:r>
    <w:r w:rsidRPr="00456EA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0349" w14:textId="77777777" w:rsidR="00456EA8" w:rsidRPr="00456EA8" w:rsidRDefault="00456EA8" w:rsidP="00456E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F583" w14:textId="77777777" w:rsidR="00456EA8" w:rsidRDefault="00456E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AE46" w14:textId="7ABBF91A" w:rsidR="00456EA8" w:rsidRPr="00456EA8" w:rsidRDefault="00456EA8" w:rsidP="00456EA8">
    <w:pPr>
      <w:pStyle w:val="Footer"/>
      <w:rPr>
        <w:rFonts w:ascii="Arial" w:hAnsi="Arial" w:cs="Arial"/>
        <w:b/>
        <w:sz w:val="48"/>
      </w:rPr>
    </w:pPr>
    <w:r w:rsidRPr="00456EA8">
      <w:rPr>
        <w:rFonts w:ascii="Arial" w:hAnsi="Arial" w:cs="Arial"/>
        <w:b/>
        <w:sz w:val="48"/>
      </w:rPr>
      <w:t>DE</w:t>
    </w:r>
    <w:r w:rsidRPr="00456EA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56EA8">
      <w:tab/>
    </w:r>
    <w:r w:rsidRPr="00456EA8">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88FC" w14:textId="77777777" w:rsidR="00456EA8" w:rsidRDefault="00456EA8" w:rsidP="0045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AD2E" w14:textId="77777777" w:rsidR="00511320" w:rsidRDefault="00511320" w:rsidP="00D429B9">
      <w:pPr>
        <w:spacing w:before="0" w:after="0"/>
      </w:pPr>
      <w:r>
        <w:separator/>
      </w:r>
    </w:p>
  </w:footnote>
  <w:footnote w:type="continuationSeparator" w:id="0">
    <w:p w14:paraId="546691B8" w14:textId="77777777" w:rsidR="00511320" w:rsidRDefault="00511320" w:rsidP="00D429B9">
      <w:pPr>
        <w:spacing w:before="0" w:after="0"/>
      </w:pPr>
      <w:r>
        <w:continuationSeparator/>
      </w:r>
    </w:p>
  </w:footnote>
  <w:footnote w:type="continuationNotice" w:id="1">
    <w:p w14:paraId="23FA9131" w14:textId="77777777" w:rsidR="00511320" w:rsidRDefault="00511320">
      <w:pPr>
        <w:spacing w:before="0" w:after="0"/>
      </w:pPr>
    </w:p>
  </w:footnote>
  <w:footnote w:id="2">
    <w:p w14:paraId="6C57DA76" w14:textId="77777777" w:rsidR="00521270" w:rsidRPr="0024583E" w:rsidRDefault="00521270">
      <w:pPr>
        <w:pStyle w:val="FootnoteText"/>
      </w:pPr>
      <w:r>
        <w:rPr>
          <w:rStyle w:val="FootnoteReference"/>
        </w:rPr>
        <w:footnoteRef/>
      </w:r>
      <w:r>
        <w:tab/>
        <w:t>Richtlinie 2001/83/EG des Europäischen Parlaments und des Rates vom 6. November 2001 zur Schaffung eines Gemeinschaftskodexes für Humanarzneimittel (ABl. L 311 vom 28.11.2001, S. 67).</w:t>
      </w:r>
    </w:p>
  </w:footnote>
  <w:footnote w:id="3">
    <w:p w14:paraId="0164D875" w14:textId="77777777" w:rsidR="00521270" w:rsidRPr="0024583E" w:rsidRDefault="00521270">
      <w:pPr>
        <w:pStyle w:val="FootnoteText"/>
      </w:pPr>
      <w:r>
        <w:rPr>
          <w:rStyle w:val="FootnoteReference"/>
        </w:rPr>
        <w:footnoteRef/>
      </w:r>
      <w:r>
        <w:tab/>
        <w:t>Verordnung (EG) Nr. 726/2004 des Europäischen Parlaments und des Rates vom 31. März 2004 zur Festlegung der Verfahren der Union für die Genehmigung und Überwachung von Humanarzneimitteln und zur Errichtung einer Europäischen Arzneimittel-Agentur (ABl. L 136 vom 30.4.2004, S. 1).</w:t>
      </w:r>
    </w:p>
  </w:footnote>
  <w:footnote w:id="4">
    <w:p w14:paraId="14D0B016" w14:textId="77777777" w:rsidR="00521270" w:rsidRPr="0024583E" w:rsidRDefault="00521270">
      <w:pPr>
        <w:pStyle w:val="FootnoteText"/>
      </w:pPr>
      <w:r>
        <w:rPr>
          <w:rStyle w:val="FootnoteReference"/>
        </w:rPr>
        <w:footnoteRef/>
      </w:r>
      <w:r>
        <w:tab/>
        <w:t>Verordnung (EU) 2019/6 des Europäischen Parlaments und des Rates vom 11. Dezember 2018 über Tierarzneimittel und zur Aufhebung der Richtlinie 2001/82/EG (ABl. L 4 vom 7.1.2019, S. 43).</w:t>
      </w:r>
    </w:p>
  </w:footnote>
  <w:footnote w:id="5">
    <w:p w14:paraId="24FFFC95" w14:textId="77777777" w:rsidR="00521270" w:rsidRPr="0024583E" w:rsidRDefault="00521270">
      <w:pPr>
        <w:pStyle w:val="FootnoteText"/>
      </w:pPr>
      <w:r>
        <w:rPr>
          <w:rStyle w:val="FootnoteReference"/>
        </w:rPr>
        <w:footnoteRef/>
      </w:r>
      <w:r>
        <w:tab/>
        <w:t>Verordnung (EG) Nr. 470/2009 des Europäischen Parlaments und des Rates vom 6. Mai 2009 über die Schaffung eines Gemeinschaftsverfahrens für die Festsetzung von Höchstmengen für Rückstände pharmakologisch wirksamer Stoffe in Lebensmitteln tierischen Ursprungs, zur Aufhebung der Verordnung (EWG) Nr. 2377/90 des Rates und zur Änderung der Richtlinie 2001/82/EG des Europäischen Parlaments und des Rates und der Verordnung (EG) Nr. 726/2004 des Europäischen Parlaments und des Rates (ABl. L 152 vom 16.6.2009, S.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2D5" w14:textId="77777777" w:rsidR="00456EA8" w:rsidRPr="00456EA8" w:rsidRDefault="00456EA8" w:rsidP="00456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3479" w14:textId="77777777" w:rsidR="00456EA8" w:rsidRPr="00456EA8" w:rsidRDefault="00456EA8" w:rsidP="00456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1ED7" w14:textId="77777777" w:rsidR="00456EA8" w:rsidRPr="00456EA8" w:rsidRDefault="00456EA8" w:rsidP="00456E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9BE2" w14:textId="77777777" w:rsidR="00456EA8" w:rsidRDefault="00456E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ED0C" w14:textId="77777777" w:rsidR="00456EA8" w:rsidRDefault="00456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1CE06C2"/>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84866B5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0AC707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1E6FC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7EE9070"/>
    <w:lvl w:ilvl="0">
      <w:start w:val="1"/>
      <w:numFmt w:val="decimal"/>
      <w:pStyle w:val="ListNumber"/>
      <w:lvlText w:val="%1."/>
      <w:lvlJc w:val="left"/>
      <w:pPr>
        <w:tabs>
          <w:tab w:val="num" w:pos="785"/>
        </w:tabs>
        <w:ind w:left="785" w:hanging="360"/>
      </w:pPr>
    </w:lvl>
  </w:abstractNum>
  <w:abstractNum w:abstractNumId="5" w15:restartNumberingAfterBreak="0">
    <w:nsid w:val="FFFFFF89"/>
    <w:multiLevelType w:val="singleLevel"/>
    <w:tmpl w:val="734A37C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DB801FE"/>
    <w:multiLevelType w:val="hybridMultilevel"/>
    <w:tmpl w:val="CDEA3762"/>
    <w:lvl w:ilvl="0" w:tplc="0E68E6CE">
      <w:start w:val="1"/>
      <w:numFmt w:val="decimal"/>
      <w:pStyle w:val="Style1"/>
      <w:lvlText w:val="%1."/>
      <w:lvlJc w:val="left"/>
      <w:pPr>
        <w:ind w:left="360" w:hanging="360"/>
      </w:pPr>
    </w:lvl>
    <w:lvl w:ilvl="1" w:tplc="151C233E">
      <w:start w:val="1"/>
      <w:numFmt w:val="lowerLetter"/>
      <w:lvlText w:val="%2."/>
      <w:lvlJc w:val="left"/>
      <w:pPr>
        <w:ind w:left="1080" w:hanging="360"/>
      </w:pPr>
    </w:lvl>
    <w:lvl w:ilvl="2" w:tplc="86C81FCA">
      <w:start w:val="1"/>
      <w:numFmt w:val="lowerRoman"/>
      <w:lvlText w:val="%3."/>
      <w:lvlJc w:val="right"/>
      <w:pPr>
        <w:ind w:left="1800" w:hanging="180"/>
      </w:pPr>
    </w:lvl>
    <w:lvl w:ilvl="3" w:tplc="CD780982">
      <w:start w:val="1"/>
      <w:numFmt w:val="decimal"/>
      <w:lvlText w:val="%4."/>
      <w:lvlJc w:val="left"/>
      <w:pPr>
        <w:ind w:left="2520" w:hanging="360"/>
      </w:pPr>
    </w:lvl>
    <w:lvl w:ilvl="4" w:tplc="27E26AD8">
      <w:start w:val="1"/>
      <w:numFmt w:val="lowerLetter"/>
      <w:lvlText w:val="%5."/>
      <w:lvlJc w:val="left"/>
      <w:pPr>
        <w:ind w:left="3240" w:hanging="360"/>
      </w:pPr>
    </w:lvl>
    <w:lvl w:ilvl="5" w:tplc="64A6B304">
      <w:start w:val="1"/>
      <w:numFmt w:val="lowerRoman"/>
      <w:lvlText w:val="%6."/>
      <w:lvlJc w:val="right"/>
      <w:pPr>
        <w:ind w:left="3960" w:hanging="180"/>
      </w:pPr>
    </w:lvl>
    <w:lvl w:ilvl="6" w:tplc="4A2E3EE4">
      <w:start w:val="1"/>
      <w:numFmt w:val="decimal"/>
      <w:lvlText w:val="%7."/>
      <w:lvlJc w:val="left"/>
      <w:pPr>
        <w:ind w:left="4680" w:hanging="360"/>
      </w:pPr>
    </w:lvl>
    <w:lvl w:ilvl="7" w:tplc="FBB045BA">
      <w:start w:val="1"/>
      <w:numFmt w:val="lowerLetter"/>
      <w:lvlText w:val="%8."/>
      <w:lvlJc w:val="left"/>
      <w:pPr>
        <w:ind w:left="5400" w:hanging="360"/>
      </w:pPr>
    </w:lvl>
    <w:lvl w:ilvl="8" w:tplc="4350E062">
      <w:start w:val="1"/>
      <w:numFmt w:val="lowerRoman"/>
      <w:lvlText w:val="%9."/>
      <w:lvlJc w:val="right"/>
      <w:pPr>
        <w:ind w:left="6120" w:hanging="180"/>
      </w:p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4"/>
  </w:num>
  <w:num w:numId="3">
    <w:abstractNumId w:val="5"/>
  </w:num>
  <w:num w:numId="4">
    <w:abstractNumId w:val="3"/>
  </w:num>
  <w:num w:numId="5">
    <w:abstractNumId w:val="2"/>
  </w:num>
  <w:num w:numId="6">
    <w:abstractNumId w:val="1"/>
  </w:num>
  <w:num w:numId="7">
    <w:abstractNumId w:val="4"/>
    <w:lvlOverride w:ilvl="0">
      <w:startOverride w:val="1"/>
    </w:lvlOverride>
  </w:num>
  <w:num w:numId="8">
    <w:abstractNumId w:val="0"/>
  </w:num>
  <w:num w:numId="9">
    <w:abstractNumId w:val="0"/>
    <w:lvlOverride w:ilvl="0">
      <w:startOverride w:val="1"/>
    </w:lvlOverride>
  </w:num>
  <w:num w:numId="10">
    <w:abstractNumId w:val="18"/>
  </w:num>
  <w:num w:numId="11">
    <w:abstractNumId w:val="10"/>
  </w:num>
  <w:num w:numId="12">
    <w:abstractNumId w:val="20"/>
  </w:num>
  <w:num w:numId="13">
    <w:abstractNumId w:val="9"/>
  </w:num>
  <w:num w:numId="14">
    <w:abstractNumId w:val="11"/>
  </w:num>
  <w:num w:numId="15">
    <w:abstractNumId w:val="12"/>
  </w:num>
  <w:num w:numId="16">
    <w:abstractNumId w:val="7"/>
  </w:num>
  <w:num w:numId="17">
    <w:abstractNumId w:val="19"/>
  </w:num>
  <w:num w:numId="18">
    <w:abstractNumId w:val="6"/>
  </w:num>
  <w:num w:numId="19">
    <w:abstractNumId w:val="13"/>
  </w:num>
  <w:num w:numId="20">
    <w:abstractNumId w:val="16"/>
  </w:num>
  <w:num w:numId="21">
    <w:abstractNumId w:val="17"/>
  </w:num>
  <w:num w:numId="22">
    <w:abstractNumId w:val="8"/>
  </w:num>
  <w:num w:numId="23">
    <w:abstractNumId w:val="15"/>
  </w:num>
  <w:num w:numId="24">
    <w:abstractNumId w:val="21"/>
  </w:num>
  <w:num w:numId="25">
    <w:abstractNumId w:val="18"/>
  </w:num>
  <w:num w:numId="26">
    <w:abstractNumId w:val="10"/>
  </w:num>
  <w:num w:numId="27">
    <w:abstractNumId w:val="20"/>
  </w:num>
  <w:num w:numId="28">
    <w:abstractNumId w:val="9"/>
  </w:num>
  <w:num w:numId="29">
    <w:abstractNumId w:val="11"/>
  </w:num>
  <w:num w:numId="30">
    <w:abstractNumId w:val="12"/>
  </w:num>
  <w:num w:numId="31">
    <w:abstractNumId w:val="7"/>
  </w:num>
  <w:num w:numId="32">
    <w:abstractNumId w:val="19"/>
  </w:num>
  <w:num w:numId="33">
    <w:abstractNumId w:val="6"/>
  </w:num>
  <w:num w:numId="34">
    <w:abstractNumId w:val="13"/>
  </w:num>
  <w:num w:numId="35">
    <w:abstractNumId w:val="16"/>
  </w:num>
  <w:num w:numId="36">
    <w:abstractNumId w:val="17"/>
  </w:num>
  <w:num w:numId="37">
    <w:abstractNumId w:val="8"/>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08 10:33: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3"/>
    <w:docVar w:name="LW_ANNEX_UNIQUE" w:val="0"/>
    <w:docVar w:name="LW_CORRIGENDUM" w:val="&lt;UNUSED&gt;"/>
    <w:docVar w:name="LW_COVERPAGE_EXISTS" w:val="True"/>
    <w:docVar w:name="LW_COVERPAGE_GUID" w:val="6E4AAE68-3E35-416E-8DB0-02704EE955F2"/>
    <w:docVar w:name="LW_COVERPAGE_TYPE" w:val="1"/>
    <w:docVar w:name="LW_CROSSREFERENCE" w:val="{SWD(2023) 855 final}"/>
    <w:docVar w:name="LW_DocType" w:val="ANNEX"/>
    <w:docVar w:name="LW_EMISSION" w:val="7.12.2023"/>
    <w:docVar w:name="LW_EMISSION_ISODATE" w:val="2023-12-07"/>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Einrichtung einer gemeinsamen Datenplattform für Chemikalien und zur Festlegung von Vorschriften, die sicherstellen sollen, dass die darin enthaltenen Daten auffindbar, zugänglich, interoperabel und wiederverwendbar sind, sowie zur Schaffung eines Überwachungs- und Prospektivrahmens für Chemikalien"/>
    <w:docVar w:name="LW_OBJETACTEPRINCIPAL.CP" w:val="zur Einrichtung einer gemeinsamen Datenplattform für Chemikalien und zur Festlegung von Vorschriften, die sicherstellen sollen, dass die darin enthaltenen Daten auffindbar, zugänglich, interoperabel und wiederverwendbar sind, sowie zur Schaffung eines Überwachungs- und Prospektivrahmens für Chemikalien"/>
    <w:docVar w:name="LW_PART_NBR" w:val="&lt;UNUSED&gt;"/>
    <w:docVar w:name="LW_PART_NBR_TOTAL" w:val="&lt;UNUSED&gt;"/>
    <w:docVar w:name="LW_REF.INST.NEW" w:val="COM"/>
    <w:docVar w:name="LW_REF.INST.NEW_ADOPTED" w:val="final"/>
    <w:docVar w:name="LW_REF.INST.NEW_TEXT" w:val="(2023) 7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Verordnung des Europäischen Parlaments und des Rates_x000b_"/>
    <w:docVar w:name="LW_TYPEACTEPRINCIPAL.CP" w:val="Vorschlags für eine Verordnung des Europäischen Parlaments und des Rates_x000b_"/>
    <w:docVar w:name="LwApiVersions" w:val="LW4CoDe 1.24.4.0; LW 9.0, Build 20240125"/>
  </w:docVars>
  <w:rsids>
    <w:rsidRoot w:val="00D429B9"/>
    <w:rsid w:val="0000714E"/>
    <w:rsid w:val="000250E5"/>
    <w:rsid w:val="00031C88"/>
    <w:rsid w:val="00033B6F"/>
    <w:rsid w:val="00034939"/>
    <w:rsid w:val="0004286E"/>
    <w:rsid w:val="00055822"/>
    <w:rsid w:val="0006616A"/>
    <w:rsid w:val="00070064"/>
    <w:rsid w:val="00070F2B"/>
    <w:rsid w:val="00072208"/>
    <w:rsid w:val="00077264"/>
    <w:rsid w:val="00077B44"/>
    <w:rsid w:val="00086F65"/>
    <w:rsid w:val="000A6C9A"/>
    <w:rsid w:val="000B28E4"/>
    <w:rsid w:val="000B362C"/>
    <w:rsid w:val="000C2094"/>
    <w:rsid w:val="000C6647"/>
    <w:rsid w:val="000D6234"/>
    <w:rsid w:val="000E5BBF"/>
    <w:rsid w:val="000F3672"/>
    <w:rsid w:val="000F3C30"/>
    <w:rsid w:val="00100298"/>
    <w:rsid w:val="001002A6"/>
    <w:rsid w:val="00122056"/>
    <w:rsid w:val="001227AE"/>
    <w:rsid w:val="00123AFC"/>
    <w:rsid w:val="00124D25"/>
    <w:rsid w:val="00125A5A"/>
    <w:rsid w:val="00137419"/>
    <w:rsid w:val="00165C4F"/>
    <w:rsid w:val="001745F0"/>
    <w:rsid w:val="001769BF"/>
    <w:rsid w:val="00180F9E"/>
    <w:rsid w:val="001862CB"/>
    <w:rsid w:val="001929AB"/>
    <w:rsid w:val="001B21C0"/>
    <w:rsid w:val="001B67C1"/>
    <w:rsid w:val="001C241F"/>
    <w:rsid w:val="001C6EFA"/>
    <w:rsid w:val="001D454B"/>
    <w:rsid w:val="001D6B99"/>
    <w:rsid w:val="001E24E7"/>
    <w:rsid w:val="001F0E48"/>
    <w:rsid w:val="001F343E"/>
    <w:rsid w:val="001F621D"/>
    <w:rsid w:val="001F75F9"/>
    <w:rsid w:val="002032FE"/>
    <w:rsid w:val="00225F6B"/>
    <w:rsid w:val="00231385"/>
    <w:rsid w:val="00232002"/>
    <w:rsid w:val="00232A0B"/>
    <w:rsid w:val="00233EA1"/>
    <w:rsid w:val="00236236"/>
    <w:rsid w:val="00240C44"/>
    <w:rsid w:val="0024583E"/>
    <w:rsid w:val="002549D0"/>
    <w:rsid w:val="002562DE"/>
    <w:rsid w:val="00264FB0"/>
    <w:rsid w:val="0027013D"/>
    <w:rsid w:val="00274915"/>
    <w:rsid w:val="00282385"/>
    <w:rsid w:val="00283D63"/>
    <w:rsid w:val="0029626C"/>
    <w:rsid w:val="002B683F"/>
    <w:rsid w:val="002C1947"/>
    <w:rsid w:val="002D493C"/>
    <w:rsid w:val="002D5B07"/>
    <w:rsid w:val="002D5D7E"/>
    <w:rsid w:val="002F01B0"/>
    <w:rsid w:val="002F3D54"/>
    <w:rsid w:val="003019E9"/>
    <w:rsid w:val="00305777"/>
    <w:rsid w:val="003073B5"/>
    <w:rsid w:val="00307648"/>
    <w:rsid w:val="003154D4"/>
    <w:rsid w:val="0034261B"/>
    <w:rsid w:val="0034372F"/>
    <w:rsid w:val="00353F9F"/>
    <w:rsid w:val="003615CB"/>
    <w:rsid w:val="00361EEC"/>
    <w:rsid w:val="00373CB5"/>
    <w:rsid w:val="00376F98"/>
    <w:rsid w:val="00380E8D"/>
    <w:rsid w:val="00390C62"/>
    <w:rsid w:val="00393D73"/>
    <w:rsid w:val="00396BAE"/>
    <w:rsid w:val="00397C65"/>
    <w:rsid w:val="003A3658"/>
    <w:rsid w:val="003A4410"/>
    <w:rsid w:val="003B0EEB"/>
    <w:rsid w:val="003C2C62"/>
    <w:rsid w:val="003C5EC8"/>
    <w:rsid w:val="003D1FD3"/>
    <w:rsid w:val="003D4E83"/>
    <w:rsid w:val="003D5E16"/>
    <w:rsid w:val="003E29AB"/>
    <w:rsid w:val="003E5447"/>
    <w:rsid w:val="003F42AB"/>
    <w:rsid w:val="003F7B20"/>
    <w:rsid w:val="0040406B"/>
    <w:rsid w:val="00420419"/>
    <w:rsid w:val="00431E60"/>
    <w:rsid w:val="00433DD4"/>
    <w:rsid w:val="00435637"/>
    <w:rsid w:val="00440F59"/>
    <w:rsid w:val="00441E46"/>
    <w:rsid w:val="00446579"/>
    <w:rsid w:val="00446CBB"/>
    <w:rsid w:val="004518EA"/>
    <w:rsid w:val="00452730"/>
    <w:rsid w:val="00456EA8"/>
    <w:rsid w:val="004610DE"/>
    <w:rsid w:val="00461B70"/>
    <w:rsid w:val="00470B1F"/>
    <w:rsid w:val="0047405A"/>
    <w:rsid w:val="00477200"/>
    <w:rsid w:val="0048403C"/>
    <w:rsid w:val="004875E2"/>
    <w:rsid w:val="004910AF"/>
    <w:rsid w:val="00492895"/>
    <w:rsid w:val="004929BD"/>
    <w:rsid w:val="00492EB7"/>
    <w:rsid w:val="0049488E"/>
    <w:rsid w:val="00494AD7"/>
    <w:rsid w:val="00495D27"/>
    <w:rsid w:val="004A0764"/>
    <w:rsid w:val="004A59C1"/>
    <w:rsid w:val="004A71C8"/>
    <w:rsid w:val="004B71A6"/>
    <w:rsid w:val="004C5C9C"/>
    <w:rsid w:val="004D7E90"/>
    <w:rsid w:val="004E1129"/>
    <w:rsid w:val="004E57C7"/>
    <w:rsid w:val="004E6224"/>
    <w:rsid w:val="004F25E9"/>
    <w:rsid w:val="00506C9C"/>
    <w:rsid w:val="00511320"/>
    <w:rsid w:val="00515396"/>
    <w:rsid w:val="0051783A"/>
    <w:rsid w:val="00521270"/>
    <w:rsid w:val="0052144D"/>
    <w:rsid w:val="00522358"/>
    <w:rsid w:val="00542872"/>
    <w:rsid w:val="00542977"/>
    <w:rsid w:val="00546154"/>
    <w:rsid w:val="005560CF"/>
    <w:rsid w:val="00573153"/>
    <w:rsid w:val="005851DC"/>
    <w:rsid w:val="005940DD"/>
    <w:rsid w:val="00594DF6"/>
    <w:rsid w:val="00595FF2"/>
    <w:rsid w:val="005A1158"/>
    <w:rsid w:val="005B00D3"/>
    <w:rsid w:val="005B23C1"/>
    <w:rsid w:val="005B4E7A"/>
    <w:rsid w:val="005B5FD2"/>
    <w:rsid w:val="005C4A7D"/>
    <w:rsid w:val="005C52B0"/>
    <w:rsid w:val="005C5C82"/>
    <w:rsid w:val="005E1231"/>
    <w:rsid w:val="005E51CF"/>
    <w:rsid w:val="005E5908"/>
    <w:rsid w:val="005F372D"/>
    <w:rsid w:val="005F48FF"/>
    <w:rsid w:val="00601D39"/>
    <w:rsid w:val="00604022"/>
    <w:rsid w:val="00612DEB"/>
    <w:rsid w:val="006247DE"/>
    <w:rsid w:val="00626E37"/>
    <w:rsid w:val="00635D6D"/>
    <w:rsid w:val="00640266"/>
    <w:rsid w:val="00641CE9"/>
    <w:rsid w:val="00642C0C"/>
    <w:rsid w:val="00643BAC"/>
    <w:rsid w:val="00646C67"/>
    <w:rsid w:val="006505EA"/>
    <w:rsid w:val="00652E80"/>
    <w:rsid w:val="00653D46"/>
    <w:rsid w:val="0065596F"/>
    <w:rsid w:val="006613AC"/>
    <w:rsid w:val="00662654"/>
    <w:rsid w:val="006663E9"/>
    <w:rsid w:val="0067551F"/>
    <w:rsid w:val="00680490"/>
    <w:rsid w:val="00691085"/>
    <w:rsid w:val="006A6BCB"/>
    <w:rsid w:val="006C1ECA"/>
    <w:rsid w:val="006C5AE8"/>
    <w:rsid w:val="006E0CA6"/>
    <w:rsid w:val="006E1516"/>
    <w:rsid w:val="006F67C5"/>
    <w:rsid w:val="00700B9E"/>
    <w:rsid w:val="0070537F"/>
    <w:rsid w:val="00715CBF"/>
    <w:rsid w:val="0071613D"/>
    <w:rsid w:val="00717CCC"/>
    <w:rsid w:val="00726697"/>
    <w:rsid w:val="00736A38"/>
    <w:rsid w:val="00741450"/>
    <w:rsid w:val="00757918"/>
    <w:rsid w:val="007833EC"/>
    <w:rsid w:val="00787A1B"/>
    <w:rsid w:val="007902FB"/>
    <w:rsid w:val="00795243"/>
    <w:rsid w:val="007B608D"/>
    <w:rsid w:val="007C1E06"/>
    <w:rsid w:val="007C33FF"/>
    <w:rsid w:val="007D3AE8"/>
    <w:rsid w:val="007D504D"/>
    <w:rsid w:val="007D5DEC"/>
    <w:rsid w:val="007E68B6"/>
    <w:rsid w:val="007F1B1B"/>
    <w:rsid w:val="007F3296"/>
    <w:rsid w:val="007F3FB2"/>
    <w:rsid w:val="007F5145"/>
    <w:rsid w:val="007F67FF"/>
    <w:rsid w:val="007F686B"/>
    <w:rsid w:val="00801F2C"/>
    <w:rsid w:val="00812174"/>
    <w:rsid w:val="00812EFA"/>
    <w:rsid w:val="00817462"/>
    <w:rsid w:val="00825DD4"/>
    <w:rsid w:val="00842826"/>
    <w:rsid w:val="00850251"/>
    <w:rsid w:val="00852E95"/>
    <w:rsid w:val="0085509C"/>
    <w:rsid w:val="0086224B"/>
    <w:rsid w:val="008659BA"/>
    <w:rsid w:val="00880246"/>
    <w:rsid w:val="00881222"/>
    <w:rsid w:val="008A197C"/>
    <w:rsid w:val="008C4215"/>
    <w:rsid w:val="008D31E1"/>
    <w:rsid w:val="008D6398"/>
    <w:rsid w:val="008E3228"/>
    <w:rsid w:val="0090167B"/>
    <w:rsid w:val="0090382D"/>
    <w:rsid w:val="00905D22"/>
    <w:rsid w:val="00906D6B"/>
    <w:rsid w:val="0093660B"/>
    <w:rsid w:val="009459D2"/>
    <w:rsid w:val="009528F6"/>
    <w:rsid w:val="00954C85"/>
    <w:rsid w:val="0095509A"/>
    <w:rsid w:val="0096454E"/>
    <w:rsid w:val="0097143E"/>
    <w:rsid w:val="00972F7C"/>
    <w:rsid w:val="009731C0"/>
    <w:rsid w:val="00974B53"/>
    <w:rsid w:val="00980DBB"/>
    <w:rsid w:val="00980FFB"/>
    <w:rsid w:val="009902B0"/>
    <w:rsid w:val="0099106D"/>
    <w:rsid w:val="009B49DA"/>
    <w:rsid w:val="009B6BA9"/>
    <w:rsid w:val="009C2579"/>
    <w:rsid w:val="009C72FB"/>
    <w:rsid w:val="009D2284"/>
    <w:rsid w:val="009D4158"/>
    <w:rsid w:val="009E6914"/>
    <w:rsid w:val="009F7541"/>
    <w:rsid w:val="00A01280"/>
    <w:rsid w:val="00A03D00"/>
    <w:rsid w:val="00A065AF"/>
    <w:rsid w:val="00A10D0B"/>
    <w:rsid w:val="00A306EF"/>
    <w:rsid w:val="00A36237"/>
    <w:rsid w:val="00A40F6E"/>
    <w:rsid w:val="00A4122D"/>
    <w:rsid w:val="00A41A9C"/>
    <w:rsid w:val="00A47797"/>
    <w:rsid w:val="00A57F41"/>
    <w:rsid w:val="00A6243B"/>
    <w:rsid w:val="00A64EC3"/>
    <w:rsid w:val="00A71F6D"/>
    <w:rsid w:val="00A73688"/>
    <w:rsid w:val="00A86E6D"/>
    <w:rsid w:val="00A90148"/>
    <w:rsid w:val="00A90D66"/>
    <w:rsid w:val="00A92F25"/>
    <w:rsid w:val="00A93C04"/>
    <w:rsid w:val="00A96D86"/>
    <w:rsid w:val="00A96E27"/>
    <w:rsid w:val="00A977F1"/>
    <w:rsid w:val="00AA5E85"/>
    <w:rsid w:val="00AA6500"/>
    <w:rsid w:val="00AB57DE"/>
    <w:rsid w:val="00AC24D2"/>
    <w:rsid w:val="00AD0B77"/>
    <w:rsid w:val="00AD29F6"/>
    <w:rsid w:val="00AE1E09"/>
    <w:rsid w:val="00AE505D"/>
    <w:rsid w:val="00AF2A98"/>
    <w:rsid w:val="00B03F9F"/>
    <w:rsid w:val="00B04325"/>
    <w:rsid w:val="00B11962"/>
    <w:rsid w:val="00B11BE1"/>
    <w:rsid w:val="00B12E58"/>
    <w:rsid w:val="00B23D5A"/>
    <w:rsid w:val="00B25DA6"/>
    <w:rsid w:val="00B343B8"/>
    <w:rsid w:val="00B50440"/>
    <w:rsid w:val="00B528F5"/>
    <w:rsid w:val="00B76E94"/>
    <w:rsid w:val="00B82538"/>
    <w:rsid w:val="00B92816"/>
    <w:rsid w:val="00B938A7"/>
    <w:rsid w:val="00B95FAE"/>
    <w:rsid w:val="00BA4F3C"/>
    <w:rsid w:val="00BA5A96"/>
    <w:rsid w:val="00BB12FB"/>
    <w:rsid w:val="00BB30BC"/>
    <w:rsid w:val="00BC1239"/>
    <w:rsid w:val="00BC1336"/>
    <w:rsid w:val="00BC3B21"/>
    <w:rsid w:val="00BC426F"/>
    <w:rsid w:val="00BC45FB"/>
    <w:rsid w:val="00BD2B01"/>
    <w:rsid w:val="00BD4571"/>
    <w:rsid w:val="00BD5D38"/>
    <w:rsid w:val="00BD6120"/>
    <w:rsid w:val="00BF012D"/>
    <w:rsid w:val="00BF59BF"/>
    <w:rsid w:val="00C11C66"/>
    <w:rsid w:val="00C12A61"/>
    <w:rsid w:val="00C1630D"/>
    <w:rsid w:val="00C17978"/>
    <w:rsid w:val="00C27294"/>
    <w:rsid w:val="00C30EC6"/>
    <w:rsid w:val="00C3529A"/>
    <w:rsid w:val="00C5299E"/>
    <w:rsid w:val="00C54EF3"/>
    <w:rsid w:val="00C57D8E"/>
    <w:rsid w:val="00C61AEF"/>
    <w:rsid w:val="00C649CC"/>
    <w:rsid w:val="00C6732A"/>
    <w:rsid w:val="00C74A6D"/>
    <w:rsid w:val="00C827E1"/>
    <w:rsid w:val="00C953CA"/>
    <w:rsid w:val="00C96337"/>
    <w:rsid w:val="00C971BB"/>
    <w:rsid w:val="00CA7569"/>
    <w:rsid w:val="00CB1841"/>
    <w:rsid w:val="00CB7DC5"/>
    <w:rsid w:val="00CD4ABA"/>
    <w:rsid w:val="00CD7063"/>
    <w:rsid w:val="00CF2E89"/>
    <w:rsid w:val="00D00064"/>
    <w:rsid w:val="00D14BE3"/>
    <w:rsid w:val="00D22A0D"/>
    <w:rsid w:val="00D328C4"/>
    <w:rsid w:val="00D33986"/>
    <w:rsid w:val="00D379FE"/>
    <w:rsid w:val="00D41A6C"/>
    <w:rsid w:val="00D429B9"/>
    <w:rsid w:val="00D463C0"/>
    <w:rsid w:val="00D60A1F"/>
    <w:rsid w:val="00D7498B"/>
    <w:rsid w:val="00D805FB"/>
    <w:rsid w:val="00D97A62"/>
    <w:rsid w:val="00DA2998"/>
    <w:rsid w:val="00DA3E7F"/>
    <w:rsid w:val="00DA67C0"/>
    <w:rsid w:val="00DB1C4C"/>
    <w:rsid w:val="00DB2CE5"/>
    <w:rsid w:val="00DB7353"/>
    <w:rsid w:val="00DE08DF"/>
    <w:rsid w:val="00DE430E"/>
    <w:rsid w:val="00DF1187"/>
    <w:rsid w:val="00DF3DC8"/>
    <w:rsid w:val="00E21BAF"/>
    <w:rsid w:val="00E42A73"/>
    <w:rsid w:val="00E4621A"/>
    <w:rsid w:val="00E47D04"/>
    <w:rsid w:val="00E53496"/>
    <w:rsid w:val="00E54A0F"/>
    <w:rsid w:val="00E62190"/>
    <w:rsid w:val="00E63D82"/>
    <w:rsid w:val="00E71E17"/>
    <w:rsid w:val="00E84B3A"/>
    <w:rsid w:val="00E917F8"/>
    <w:rsid w:val="00EB2D6A"/>
    <w:rsid w:val="00EB446C"/>
    <w:rsid w:val="00EB634E"/>
    <w:rsid w:val="00EB6492"/>
    <w:rsid w:val="00EB7CE7"/>
    <w:rsid w:val="00EC4FBD"/>
    <w:rsid w:val="00ED3E86"/>
    <w:rsid w:val="00EE569E"/>
    <w:rsid w:val="00EE7CFE"/>
    <w:rsid w:val="00EF4BF1"/>
    <w:rsid w:val="00F11AB2"/>
    <w:rsid w:val="00F13056"/>
    <w:rsid w:val="00F37613"/>
    <w:rsid w:val="00F47BAF"/>
    <w:rsid w:val="00F554BB"/>
    <w:rsid w:val="00F576F6"/>
    <w:rsid w:val="00F626BB"/>
    <w:rsid w:val="00F64C05"/>
    <w:rsid w:val="00F65F0F"/>
    <w:rsid w:val="00F7024E"/>
    <w:rsid w:val="00F7357C"/>
    <w:rsid w:val="00F82260"/>
    <w:rsid w:val="00F84A53"/>
    <w:rsid w:val="00F85127"/>
    <w:rsid w:val="00F95AC9"/>
    <w:rsid w:val="00F97C54"/>
    <w:rsid w:val="00FA1875"/>
    <w:rsid w:val="00FA3274"/>
    <w:rsid w:val="00FA37D6"/>
    <w:rsid w:val="00FA5336"/>
    <w:rsid w:val="00FB02F0"/>
    <w:rsid w:val="00FB2B27"/>
    <w:rsid w:val="00FC0482"/>
    <w:rsid w:val="00FD0953"/>
    <w:rsid w:val="00FD2770"/>
    <w:rsid w:val="00FD4AE7"/>
    <w:rsid w:val="00FD715E"/>
    <w:rsid w:val="00FF528C"/>
    <w:rsid w:val="01570527"/>
    <w:rsid w:val="01C23B02"/>
    <w:rsid w:val="01F90BF8"/>
    <w:rsid w:val="0242DA94"/>
    <w:rsid w:val="034548A8"/>
    <w:rsid w:val="0355C7B8"/>
    <w:rsid w:val="048EA5E9"/>
    <w:rsid w:val="069CB4F3"/>
    <w:rsid w:val="06F321BF"/>
    <w:rsid w:val="07F776D6"/>
    <w:rsid w:val="090DA2BC"/>
    <w:rsid w:val="09C9DDE0"/>
    <w:rsid w:val="0AE4BF10"/>
    <w:rsid w:val="0AEEA730"/>
    <w:rsid w:val="0B97489E"/>
    <w:rsid w:val="0BE904F2"/>
    <w:rsid w:val="0BF95225"/>
    <w:rsid w:val="0CE88CC1"/>
    <w:rsid w:val="0E036A46"/>
    <w:rsid w:val="0E256712"/>
    <w:rsid w:val="10223B2A"/>
    <w:rsid w:val="10865E84"/>
    <w:rsid w:val="10D2C240"/>
    <w:rsid w:val="114C0B17"/>
    <w:rsid w:val="138F843F"/>
    <w:rsid w:val="1407F42F"/>
    <w:rsid w:val="15AB5504"/>
    <w:rsid w:val="16A8AFFF"/>
    <w:rsid w:val="16CF2CB5"/>
    <w:rsid w:val="19A3894E"/>
    <w:rsid w:val="1C799E7F"/>
    <w:rsid w:val="1C85AB35"/>
    <w:rsid w:val="1C8B2D55"/>
    <w:rsid w:val="1C9EA0C1"/>
    <w:rsid w:val="1D72A6A0"/>
    <w:rsid w:val="1EBEA03B"/>
    <w:rsid w:val="1ECCF1B8"/>
    <w:rsid w:val="1F981DCB"/>
    <w:rsid w:val="1FF0100D"/>
    <w:rsid w:val="20477725"/>
    <w:rsid w:val="211E958C"/>
    <w:rsid w:val="23DE04B7"/>
    <w:rsid w:val="247794BD"/>
    <w:rsid w:val="26231176"/>
    <w:rsid w:val="26D60BBC"/>
    <w:rsid w:val="27A4410D"/>
    <w:rsid w:val="2B62A784"/>
    <w:rsid w:val="2BE7B4DB"/>
    <w:rsid w:val="2CE715F0"/>
    <w:rsid w:val="2EF87F39"/>
    <w:rsid w:val="2F13C49B"/>
    <w:rsid w:val="2F40BEDF"/>
    <w:rsid w:val="30FBEEF8"/>
    <w:rsid w:val="340A3050"/>
    <w:rsid w:val="342D8E6E"/>
    <w:rsid w:val="37364167"/>
    <w:rsid w:val="382216D4"/>
    <w:rsid w:val="38B91C3C"/>
    <w:rsid w:val="39DF14CE"/>
    <w:rsid w:val="39E51913"/>
    <w:rsid w:val="3A54EC9D"/>
    <w:rsid w:val="3D8C5A8E"/>
    <w:rsid w:val="3DD6DFFC"/>
    <w:rsid w:val="3FB4B2FB"/>
    <w:rsid w:val="421B9619"/>
    <w:rsid w:val="422B702A"/>
    <w:rsid w:val="44DFEA96"/>
    <w:rsid w:val="45B13AFD"/>
    <w:rsid w:val="45C3C64D"/>
    <w:rsid w:val="4621DFD4"/>
    <w:rsid w:val="4623B831"/>
    <w:rsid w:val="467F5581"/>
    <w:rsid w:val="495B58F3"/>
    <w:rsid w:val="49D85F85"/>
    <w:rsid w:val="4A8CFD3E"/>
    <w:rsid w:val="4BAF2CC2"/>
    <w:rsid w:val="4E3007BB"/>
    <w:rsid w:val="4E8372DD"/>
    <w:rsid w:val="4EAF69A8"/>
    <w:rsid w:val="50E20CA0"/>
    <w:rsid w:val="50EA55DB"/>
    <w:rsid w:val="515AD363"/>
    <w:rsid w:val="516A5E60"/>
    <w:rsid w:val="523917E8"/>
    <w:rsid w:val="529E047F"/>
    <w:rsid w:val="5400B7D6"/>
    <w:rsid w:val="550582CF"/>
    <w:rsid w:val="56885DA4"/>
    <w:rsid w:val="57D66C98"/>
    <w:rsid w:val="58242E05"/>
    <w:rsid w:val="5AC1F14E"/>
    <w:rsid w:val="5DEE4E81"/>
    <w:rsid w:val="5F719D82"/>
    <w:rsid w:val="60273416"/>
    <w:rsid w:val="60BB58D7"/>
    <w:rsid w:val="60E26DE2"/>
    <w:rsid w:val="60E6B9D0"/>
    <w:rsid w:val="636037BA"/>
    <w:rsid w:val="64BFC0FD"/>
    <w:rsid w:val="650A9E93"/>
    <w:rsid w:val="658EC9FA"/>
    <w:rsid w:val="66E65223"/>
    <w:rsid w:val="672AD254"/>
    <w:rsid w:val="676974C4"/>
    <w:rsid w:val="69030787"/>
    <w:rsid w:val="6C487F1D"/>
    <w:rsid w:val="6D157DA7"/>
    <w:rsid w:val="6EF134F6"/>
    <w:rsid w:val="703D6E37"/>
    <w:rsid w:val="73EB0807"/>
    <w:rsid w:val="7557380A"/>
    <w:rsid w:val="76BB5ADC"/>
    <w:rsid w:val="7783E6B5"/>
    <w:rsid w:val="784535E8"/>
    <w:rsid w:val="78C02E51"/>
    <w:rsid w:val="792B766A"/>
    <w:rsid w:val="7961829E"/>
    <w:rsid w:val="7B859C47"/>
    <w:rsid w:val="7B8E7467"/>
    <w:rsid w:val="7CEEC9DE"/>
    <w:rsid w:val="7F7E6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8DFAA5"/>
  <w15:docId w15:val="{2C4ACBA2-9AB4-4CFB-A5D0-808B3135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29B9"/>
  </w:style>
  <w:style w:type="paragraph" w:styleId="ListParagraph">
    <w:name w:val="List Paragraph"/>
    <w:basedOn w:val="Normal"/>
    <w:uiPriority w:val="34"/>
    <w:qFormat/>
    <w:rsid w:val="00D429B9"/>
    <w:pPr>
      <w:spacing w:before="0" w:after="160" w:line="259" w:lineRule="auto"/>
      <w:ind w:left="720"/>
      <w:contextualSpacing/>
      <w:jc w:val="left"/>
    </w:pPr>
    <w:rPr>
      <w:rFonts w:asciiTheme="minorHAnsi" w:hAnsiTheme="minorHAnsi" w:cstheme="minorBidi"/>
      <w:sz w:val="22"/>
    </w:rPr>
  </w:style>
  <w:style w:type="table" w:styleId="TableGrid">
    <w:name w:val="Table Grid"/>
    <w:basedOn w:val="TableNormal"/>
    <w:uiPriority w:val="59"/>
    <w:rsid w:val="00D42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D429B9"/>
    <w:pPr>
      <w:numPr>
        <w:numId w:val="2"/>
      </w:numPr>
      <w:contextualSpacing/>
    </w:pPr>
  </w:style>
  <w:style w:type="paragraph" w:customStyle="1" w:styleId="Style1">
    <w:name w:val="Style1"/>
    <w:basedOn w:val="Index1"/>
    <w:qFormat/>
    <w:rsid w:val="003C5EC8"/>
    <w:pPr>
      <w:numPr>
        <w:numId w:val="1"/>
      </w:numPr>
    </w:pPr>
  </w:style>
  <w:style w:type="paragraph" w:styleId="Index1">
    <w:name w:val="index 1"/>
    <w:basedOn w:val="Normal"/>
    <w:next w:val="Normal"/>
    <w:autoRedefine/>
    <w:uiPriority w:val="99"/>
    <w:semiHidden/>
    <w:unhideWhenUsed/>
    <w:rsid w:val="003C5EC8"/>
    <w:pPr>
      <w:spacing w:before="0" w:after="0"/>
      <w:ind w:left="240" w:hanging="240"/>
    </w:pPr>
  </w:style>
  <w:style w:type="paragraph" w:styleId="ListBullet">
    <w:name w:val="List Bullet"/>
    <w:basedOn w:val="Normal"/>
    <w:uiPriority w:val="99"/>
    <w:unhideWhenUsed/>
    <w:rsid w:val="00CD4ABA"/>
    <w:pPr>
      <w:numPr>
        <w:numId w:val="3"/>
      </w:numPr>
      <w:contextualSpacing/>
    </w:pPr>
  </w:style>
  <w:style w:type="paragraph" w:styleId="ListBullet2">
    <w:name w:val="List Bullet 2"/>
    <w:basedOn w:val="Normal"/>
    <w:uiPriority w:val="99"/>
    <w:unhideWhenUsed/>
    <w:rsid w:val="00CD4ABA"/>
    <w:pPr>
      <w:numPr>
        <w:numId w:val="4"/>
      </w:numPr>
      <w:contextualSpacing/>
    </w:pPr>
  </w:style>
  <w:style w:type="paragraph" w:styleId="ListBullet3">
    <w:name w:val="List Bullet 3"/>
    <w:basedOn w:val="Normal"/>
    <w:uiPriority w:val="99"/>
    <w:semiHidden/>
    <w:unhideWhenUsed/>
    <w:rsid w:val="00CD4ABA"/>
    <w:pPr>
      <w:numPr>
        <w:numId w:val="5"/>
      </w:numPr>
      <w:contextualSpacing/>
    </w:pPr>
  </w:style>
  <w:style w:type="paragraph" w:styleId="ListBullet4">
    <w:name w:val="List Bullet 4"/>
    <w:basedOn w:val="Normal"/>
    <w:uiPriority w:val="99"/>
    <w:semiHidden/>
    <w:unhideWhenUsed/>
    <w:rsid w:val="00CD4ABA"/>
    <w:pPr>
      <w:numPr>
        <w:numId w:val="6"/>
      </w:numPr>
      <w:contextualSpacing/>
    </w:pPr>
  </w:style>
  <w:style w:type="character" w:styleId="Hyperlink">
    <w:name w:val="Hyperlink"/>
    <w:aliases w:val=" Znak Znak Znak,Znak Znak Znak"/>
    <w:basedOn w:val="DefaultParagraphFont"/>
    <w:uiPriority w:val="99"/>
    <w:unhideWhenUsed/>
    <w:qFormat/>
    <w:rsid w:val="00BA5A96"/>
    <w:rPr>
      <w:color w:val="0000FF" w:themeColor="hyperlink"/>
      <w:u w:val="single"/>
    </w:rPr>
  </w:style>
  <w:style w:type="character" w:styleId="CommentReference">
    <w:name w:val="annotation reference"/>
    <w:basedOn w:val="DefaultParagraphFont"/>
    <w:uiPriority w:val="99"/>
    <w:semiHidden/>
    <w:unhideWhenUsed/>
    <w:rsid w:val="00A64EC3"/>
    <w:rPr>
      <w:sz w:val="16"/>
      <w:szCs w:val="16"/>
    </w:rPr>
  </w:style>
  <w:style w:type="paragraph" w:styleId="CommentText">
    <w:name w:val="annotation text"/>
    <w:basedOn w:val="Normal"/>
    <w:link w:val="CommentTextChar"/>
    <w:uiPriority w:val="99"/>
    <w:unhideWhenUsed/>
    <w:rsid w:val="00A64EC3"/>
    <w:rPr>
      <w:sz w:val="20"/>
      <w:szCs w:val="20"/>
    </w:rPr>
  </w:style>
  <w:style w:type="character" w:customStyle="1" w:styleId="CommentTextChar">
    <w:name w:val="Comment Text Char"/>
    <w:basedOn w:val="DefaultParagraphFont"/>
    <w:link w:val="CommentText"/>
    <w:uiPriority w:val="99"/>
    <w:rsid w:val="00A64EC3"/>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A64EC3"/>
    <w:rPr>
      <w:b/>
      <w:bCs/>
    </w:rPr>
  </w:style>
  <w:style w:type="character" w:customStyle="1" w:styleId="CommentSubjectChar">
    <w:name w:val="Comment Subject Char"/>
    <w:basedOn w:val="CommentTextChar"/>
    <w:link w:val="CommentSubject"/>
    <w:uiPriority w:val="99"/>
    <w:semiHidden/>
    <w:rsid w:val="00A64EC3"/>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A64E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3"/>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4286E"/>
    <w:rPr>
      <w:color w:val="605E5C"/>
      <w:shd w:val="clear" w:color="auto" w:fill="E1DFDD"/>
    </w:rPr>
  </w:style>
  <w:style w:type="paragraph" w:styleId="Revision">
    <w:name w:val="Revision"/>
    <w:hidden/>
    <w:uiPriority w:val="99"/>
    <w:semiHidden/>
    <w:rsid w:val="00376F98"/>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1B21C0"/>
    <w:rPr>
      <w:color w:val="800080" w:themeColor="followedHyperlink"/>
      <w:u w:val="single"/>
    </w:rPr>
  </w:style>
  <w:style w:type="character" w:customStyle="1" w:styleId="UnresolvedMention2">
    <w:name w:val="Unresolved Mention2"/>
    <w:basedOn w:val="DefaultParagraphFont"/>
    <w:uiPriority w:val="99"/>
    <w:semiHidden/>
    <w:unhideWhenUsed/>
    <w:rsid w:val="00077264"/>
    <w:rPr>
      <w:color w:val="605E5C"/>
      <w:shd w:val="clear" w:color="auto" w:fill="E1DFDD"/>
    </w:rPr>
  </w:style>
  <w:style w:type="character" w:customStyle="1" w:styleId="UnresolvedMention3">
    <w:name w:val="Unresolved Mention3"/>
    <w:basedOn w:val="DefaultParagraphFont"/>
    <w:uiPriority w:val="99"/>
    <w:semiHidden/>
    <w:unhideWhenUsed/>
    <w:rsid w:val="00C827E1"/>
    <w:rPr>
      <w:color w:val="605E5C"/>
      <w:shd w:val="clear" w:color="auto" w:fill="E1DFDD"/>
    </w:rPr>
  </w:style>
  <w:style w:type="character" w:customStyle="1" w:styleId="UnresolvedMention">
    <w:name w:val="Unresolved Mention"/>
    <w:basedOn w:val="DefaultParagraphFont"/>
    <w:uiPriority w:val="99"/>
    <w:semiHidden/>
    <w:unhideWhenUsed/>
    <w:rsid w:val="008C4215"/>
    <w:rPr>
      <w:color w:val="605E5C"/>
      <w:shd w:val="clear" w:color="auto" w:fill="E1DFDD"/>
    </w:rPr>
  </w:style>
  <w:style w:type="character" w:customStyle="1" w:styleId="Mention">
    <w:name w:val="Mention"/>
    <w:basedOn w:val="DefaultParagraphFont"/>
    <w:uiPriority w:val="99"/>
    <w:unhideWhenUsed/>
    <w:rsid w:val="00361EEC"/>
    <w:rPr>
      <w:color w:val="2B579A"/>
      <w:shd w:val="clear" w:color="auto" w:fill="E1DFDD"/>
    </w:rPr>
  </w:style>
  <w:style w:type="paragraph" w:styleId="ListNumber2">
    <w:name w:val="List Number 2"/>
    <w:basedOn w:val="Normal"/>
    <w:uiPriority w:val="99"/>
    <w:unhideWhenUsed/>
    <w:rsid w:val="005E5908"/>
    <w:pPr>
      <w:numPr>
        <w:numId w:val="8"/>
      </w:numPr>
      <w:contextualSpacing/>
    </w:pPr>
  </w:style>
  <w:style w:type="character" w:customStyle="1" w:styleId="HeaderChar">
    <w:name w:val="Header Char"/>
    <w:basedOn w:val="DefaultParagraphFont"/>
    <w:link w:val="Header"/>
    <w:uiPriority w:val="99"/>
    <w:rsid w:val="00456EA8"/>
    <w:rPr>
      <w:rFonts w:ascii="Times New Roman" w:hAnsi="Times New Roman" w:cs="Times New Roman"/>
      <w:sz w:val="24"/>
      <w:lang w:val="de-DE"/>
    </w:rPr>
  </w:style>
  <w:style w:type="character" w:customStyle="1" w:styleId="FooterChar">
    <w:name w:val="Footer Char"/>
    <w:basedOn w:val="DefaultParagraphFont"/>
    <w:link w:val="Footer"/>
    <w:uiPriority w:val="99"/>
    <w:rsid w:val="00456EA8"/>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56EA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56EA8"/>
    <w:pPr>
      <w:spacing w:before="0"/>
      <w:jc w:val="right"/>
    </w:pPr>
    <w:rPr>
      <w:sz w:val="28"/>
    </w:rPr>
  </w:style>
  <w:style w:type="paragraph" w:customStyle="1" w:styleId="FooterSensitivity">
    <w:name w:val="Footer Sensitivity"/>
    <w:basedOn w:val="Normal"/>
    <w:rsid w:val="00456EA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56EA8"/>
    <w:pPr>
      <w:tabs>
        <w:tab w:val="center" w:pos="4535"/>
        <w:tab w:val="right" w:pos="9071"/>
      </w:tabs>
      <w:spacing w:before="0"/>
    </w:pPr>
  </w:style>
  <w:style w:type="paragraph" w:customStyle="1" w:styleId="HeaderLandscape">
    <w:name w:val="HeaderLandscape"/>
    <w:basedOn w:val="Normal"/>
    <w:rsid w:val="00456EA8"/>
    <w:pPr>
      <w:tabs>
        <w:tab w:val="center" w:pos="7285"/>
        <w:tab w:val="right" w:pos="14003"/>
      </w:tabs>
      <w:spacing w:before="0"/>
    </w:pPr>
  </w:style>
  <w:style w:type="paragraph" w:styleId="Footer">
    <w:name w:val="footer"/>
    <w:basedOn w:val="Normal"/>
    <w:link w:val="FooterChar"/>
    <w:uiPriority w:val="99"/>
    <w:unhideWhenUsed/>
    <w:rsid w:val="00456EA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56EA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DE/ALL/?uri=CELEX:32001L0018" TargetMode="External"/><Relationship Id="rId117" Type="http://schemas.openxmlformats.org/officeDocument/2006/relationships/hyperlink" Target="https://eur-lex.europa.eu/legal-content/DE/TXT/?uri=CELEX:02009L0148-20190726" TargetMode="External"/><Relationship Id="rId21" Type="http://schemas.openxmlformats.org/officeDocument/2006/relationships/hyperlink" Target="https://eur-lex.europa.eu/legal-content/DE/TXT/?uri=CELEX%3A01994L0062-20180704" TargetMode="External"/><Relationship Id="rId42" Type="http://schemas.openxmlformats.org/officeDocument/2006/relationships/hyperlink" Target="https://eur-lex.europa.eu/legal-content/DE/ALL/?uri=CELEX:02006R1924-20121129" TargetMode="External"/><Relationship Id="rId47" Type="http://schemas.openxmlformats.org/officeDocument/2006/relationships/hyperlink" Target="https://eur-lex.europa.eu/legal-content/DE/TXT/?uri=CELEX:02008L0050-20150918" TargetMode="External"/><Relationship Id="rId63" Type="http://schemas.openxmlformats.org/officeDocument/2006/relationships/hyperlink" Target="https://eur-lex.europa.eu/legal-content/DE/TXT/?uri=CELEX:02009R1221-20190109" TargetMode="External"/><Relationship Id="rId68" Type="http://schemas.openxmlformats.org/officeDocument/2006/relationships/hyperlink" Target="https://eur-lex.europa.eu/legal-content/DE/TXT/?uri=CELEX:32011R1169" TargetMode="External"/><Relationship Id="rId84" Type="http://schemas.openxmlformats.org/officeDocument/2006/relationships/hyperlink" Target="https://eur-lex.europa.eu/legal-content/DE/TXT/?uri=CELEX:02019R1021-20221213" TargetMode="External"/><Relationship Id="rId89" Type="http://schemas.openxmlformats.org/officeDocument/2006/relationships/header" Target="header5.xml"/><Relationship Id="rId112" Type="http://schemas.openxmlformats.org/officeDocument/2006/relationships/hyperlink" Target="https://eur-lex.europa.eu/legal-content/DE/TXT/?uri=CELEX:02009L0032-20230216" TargetMode="External"/><Relationship Id="rId16" Type="http://schemas.openxmlformats.org/officeDocument/2006/relationships/header" Target="header3.xml"/><Relationship Id="rId107" Type="http://schemas.openxmlformats.org/officeDocument/2006/relationships/hyperlink" Target="https://eur-lex.europa.eu/legal-content/DE/TXT/?uri=CELEX:02008R1331-20210327" TargetMode="External"/><Relationship Id="rId11" Type="http://schemas.openxmlformats.org/officeDocument/2006/relationships/image" Target="media/image1.emf"/><Relationship Id="rId32" Type="http://schemas.openxmlformats.org/officeDocument/2006/relationships/hyperlink" Target="https://eur-lex.europa.eu/legal-content/DE/ALL/?uri=CELEX:32003R2065" TargetMode="External"/><Relationship Id="rId37" Type="http://schemas.openxmlformats.org/officeDocument/2006/relationships/hyperlink" Target="https://eur-lex.europa.eu/legal-content/DE/TXT/?uri=CELEX:02004L0107-20150918" TargetMode="External"/><Relationship Id="rId53" Type="http://schemas.openxmlformats.org/officeDocument/2006/relationships/hyperlink" Target="https://eur-lex.europa.eu/legal-content/DE/TXT/?uri=CELEX:02008R1333-20230322" TargetMode="External"/><Relationship Id="rId58" Type="http://schemas.openxmlformats.org/officeDocument/2006/relationships/hyperlink" Target="https://eur-lex.europa.eu/legal-content/DE/TXT/?uri=CELEX:02009L0048-20221205" TargetMode="External"/><Relationship Id="rId74" Type="http://schemas.openxmlformats.org/officeDocument/2006/relationships/hyperlink" Target="https://eur-lex.europa.eu/legal-content/DE/TXT/?uri=CELEX:32014L0028" TargetMode="External"/><Relationship Id="rId79" Type="http://schemas.openxmlformats.org/officeDocument/2006/relationships/hyperlink" Target="https://eur-lex.europa.eu/legal-content/DE/TXT/?uri=CELEX:02017R0625-20220128" TargetMode="External"/><Relationship Id="rId102" Type="http://schemas.openxmlformats.org/officeDocument/2006/relationships/hyperlink" Target="https://eur-lex.europa.eu/legal-content/DE/TXT/?uri=CELEX:02006L0118-20140711" TargetMode="External"/><Relationship Id="rId123" Type="http://schemas.openxmlformats.org/officeDocument/2006/relationships/hyperlink" Target="https://eur-lex.europa.eu/legal-content/DE/TXT/?uri=CELEX:32020L2184" TargetMode="External"/><Relationship Id="rId5" Type="http://schemas.openxmlformats.org/officeDocument/2006/relationships/numbering" Target="numbering.xml"/><Relationship Id="rId61" Type="http://schemas.openxmlformats.org/officeDocument/2006/relationships/hyperlink" Target="https://eur-lex.europa.eu/legal-content/DE/TXT/?uri=CELEX:02009L0128-20190726" TargetMode="External"/><Relationship Id="rId82" Type="http://schemas.openxmlformats.org/officeDocument/2006/relationships/hyperlink" Target="https://eur-lex.europa.eu/legal-content/DE/TXT/?uri=CELEX:32019R0004" TargetMode="External"/><Relationship Id="rId90" Type="http://schemas.openxmlformats.org/officeDocument/2006/relationships/footer" Target="footer6.xml"/><Relationship Id="rId95" Type="http://schemas.openxmlformats.org/officeDocument/2006/relationships/hyperlink" Target="https://eur-lex.europa.eu/legal-content/DE/TXT/?uri=CELEX:02000L0053-20230330" TargetMode="External"/><Relationship Id="rId19" Type="http://schemas.openxmlformats.org/officeDocument/2006/relationships/hyperlink" Target="https://eur-lex.europa.eu/legal-content/DE/TXT/?uri=CELEX%3A01991L0676-20081211" TargetMode="External"/><Relationship Id="rId14" Type="http://schemas.openxmlformats.org/officeDocument/2006/relationships/footer" Target="footer1.xml"/><Relationship Id="rId22" Type="http://schemas.openxmlformats.org/officeDocument/2006/relationships/hyperlink" Target="https://eur-lex.europa.eu/legal-content/DE/TXT/?uri=CELEX%3A01998L0024-20190726" TargetMode="External"/><Relationship Id="rId27" Type="http://schemas.openxmlformats.org/officeDocument/2006/relationships/hyperlink" Target="https://eur-lex.europa.eu/legal-content/DE/TXT/?uri=CELEX:02002R0178-20220701" TargetMode="External"/><Relationship Id="rId30" Type="http://schemas.openxmlformats.org/officeDocument/2006/relationships/hyperlink" Target="https://eur-lex.europa.eu/legal-content/DE/ALL/?uri=CELEX:32003R1829" TargetMode="External"/><Relationship Id="rId35" Type="http://schemas.openxmlformats.org/officeDocument/2006/relationships/hyperlink" Target="https://eur-lex.europa.eu/legal-content/DE/TXT/?uri=CELEX:02004R0852-20090420" TargetMode="External"/><Relationship Id="rId43" Type="http://schemas.openxmlformats.org/officeDocument/2006/relationships/hyperlink" Target="https://eur-lex.europa.eu/legal-content/DE/TXT/?uri=CELEX:02006R1925-20221221" TargetMode="External"/><Relationship Id="rId48" Type="http://schemas.openxmlformats.org/officeDocument/2006/relationships/hyperlink" Target="https://eur-lex.europa.eu/legal-content/DE/TXT/?uri=CELEX:02008L0098-20180705" TargetMode="External"/><Relationship Id="rId56" Type="http://schemas.openxmlformats.org/officeDocument/2006/relationships/hyperlink" Target="https://eur-lex.europa.eu/legal-content/DE/TXT/?uri=CELEX:02009R0401-20210729" TargetMode="External"/><Relationship Id="rId64" Type="http://schemas.openxmlformats.org/officeDocument/2006/relationships/hyperlink" Target="https://eur-lex.europa.eu/legal-content/DE/TXT/?uri=CELEX:02009R1223-20221217" TargetMode="External"/><Relationship Id="rId69" Type="http://schemas.openxmlformats.org/officeDocument/2006/relationships/hyperlink" Target="https://eur-lex.europa.eu/legal-content/DE/TXT/?uri=CELEX:02012R0528-20220415" TargetMode="External"/><Relationship Id="rId77" Type="http://schemas.openxmlformats.org/officeDocument/2006/relationships/hyperlink" Target="https://eur-lex.europa.eu/legal-content/DE/TXT/?uri=CELEX:02015R2283-20210327" TargetMode="External"/><Relationship Id="rId100" Type="http://schemas.openxmlformats.org/officeDocument/2006/relationships/hyperlink" Target="https://eur-lex.europa.eu/legal-content/DE/TXT/?uri=CELEX:02004L0107-20150918" TargetMode="External"/><Relationship Id="rId105" Type="http://schemas.openxmlformats.org/officeDocument/2006/relationships/hyperlink" Target="https://eur-lex.europa.eu/legal-content/DE/TXT/?uri=CELEX:02008L0105-20130913" TargetMode="External"/><Relationship Id="rId113" Type="http://schemas.openxmlformats.org/officeDocument/2006/relationships/hyperlink" Target="https://eur-lex.europa.eu/legal-content/DE/TXT/PDF/?uri=CELEX:02009L0125-20121204&amp;from=DE" TargetMode="External"/><Relationship Id="rId118" Type="http://schemas.openxmlformats.org/officeDocument/2006/relationships/hyperlink" Target="https://eur-lex.europa.eu/legal-content/DE/TXT/?uri=CELEX:02009R1223-20221217" TargetMode="External"/><Relationship Id="rId8" Type="http://schemas.openxmlformats.org/officeDocument/2006/relationships/webSettings" Target="webSettings.xml"/><Relationship Id="rId51" Type="http://schemas.openxmlformats.org/officeDocument/2006/relationships/hyperlink" Target="https://eur-lex.europa.eu/legal-content/DE/TXT/?uri=CELEX:02008R1331-20210327" TargetMode="External"/><Relationship Id="rId72" Type="http://schemas.openxmlformats.org/officeDocument/2006/relationships/hyperlink" Target="https://eur-lex.europa.eu/legal-content/DE/TXT/?uri=CELEX:02012R0649-20220701" TargetMode="External"/><Relationship Id="rId80" Type="http://schemas.openxmlformats.org/officeDocument/2006/relationships/hyperlink" Target="https://eur-lex.europa.eu/legal-content/DE/TXT/?uri=CELEX:02017R0745-20230320" TargetMode="External"/><Relationship Id="rId85" Type="http://schemas.openxmlformats.org/officeDocument/2006/relationships/hyperlink" Target="https://eur-lex.europa.eu/legal-content/DE/TXT/?uri=CELEX:32020L2184" TargetMode="External"/><Relationship Id="rId93" Type="http://schemas.openxmlformats.org/officeDocument/2006/relationships/hyperlink" Target="https://eur-lex.europa.eu/legal-content/DE/TXT/?uri=CELEX:02004L0037-20140325" TargetMode="External"/><Relationship Id="rId98" Type="http://schemas.openxmlformats.org/officeDocument/2006/relationships/hyperlink" Target="https://eur-lex.europa.eu/legal-content/DE/TXT/?uri=CELEX:02003R1831-20210327" TargetMode="External"/><Relationship Id="rId121" Type="http://schemas.openxmlformats.org/officeDocument/2006/relationships/hyperlink" Target="https://eur-lex.europa.eu/legal-content/DE/TXT/?uri=CELEX:32019R0004"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DE/TXT/?uri=CELEX:02000L0060-20141120" TargetMode="External"/><Relationship Id="rId33" Type="http://schemas.openxmlformats.org/officeDocument/2006/relationships/hyperlink" Target="https://eur-lex.europa.eu/legal-content/DE/TXT/?uri=CELEX:02004R0853-20210101" TargetMode="External"/><Relationship Id="rId38" Type="http://schemas.openxmlformats.org/officeDocument/2006/relationships/hyperlink" Target="https://eur-lex.europa.eu/legal-content/DE/TXT/?uri=CELEX:02005R0396-20230228" TargetMode="External"/><Relationship Id="rId46" Type="http://schemas.openxmlformats.org/officeDocument/2006/relationships/hyperlink" Target="https://eur-lex.europa.eu/legal-content/DE/TXT/?uri=CELEX:02008L0056-20170607" TargetMode="External"/><Relationship Id="rId59" Type="http://schemas.openxmlformats.org/officeDocument/2006/relationships/hyperlink" Target="https://eur-lex.europa.eu/legal-content/DE/TXT/?uri=CELEX:02009R1069-20191214" TargetMode="External"/><Relationship Id="rId67" Type="http://schemas.openxmlformats.org/officeDocument/2006/relationships/hyperlink" Target="https://eur-lex.europa.eu/legal-content/DE/TXT/?uri=CELEX:02011L0065-20230301" TargetMode="External"/><Relationship Id="rId103" Type="http://schemas.openxmlformats.org/officeDocument/2006/relationships/hyperlink" Target="https://eur-lex.europa.eu/legal-content/DE/TXT/?uri=CELEX:02006R1907-20221217" TargetMode="External"/><Relationship Id="rId108" Type="http://schemas.openxmlformats.org/officeDocument/2006/relationships/hyperlink" Target="https://eur-lex.europa.eu/legal-content/DE/TXT/?uri=CELEX:02008R1332-20121203" TargetMode="External"/><Relationship Id="rId116" Type="http://schemas.openxmlformats.org/officeDocument/2006/relationships/hyperlink" Target="https://eur-lex.europa.eu/legal-content/DE/TXT/?uri=CELEX:02009R1107-20221121" TargetMode="External"/><Relationship Id="rId124" Type="http://schemas.openxmlformats.org/officeDocument/2006/relationships/fontTable" Target="fontTable.xml"/><Relationship Id="rId20" Type="http://schemas.openxmlformats.org/officeDocument/2006/relationships/hyperlink" Target="https://eur-lex.europa.eu/legal-content/DE/TXT/?uri=CELEX%3A01993R0315-20090807" TargetMode="External"/><Relationship Id="rId41" Type="http://schemas.openxmlformats.org/officeDocument/2006/relationships/hyperlink" Target="https://eur-lex.europa.eu/legal-content/DE/TXT/?uri=CELEX:02006R1907-20221217" TargetMode="External"/><Relationship Id="rId54" Type="http://schemas.openxmlformats.org/officeDocument/2006/relationships/hyperlink" Target="https://eur-lex.europa.eu/legal-content/DE/TXT/?uri=CELEX:02008R1334-20230321" TargetMode="External"/><Relationship Id="rId62" Type="http://schemas.openxmlformats.org/officeDocument/2006/relationships/hyperlink" Target="https://eur-lex.europa.eu/legal-content/DE/TXT/?uri=CELEX:02009L0148-20190726" TargetMode="External"/><Relationship Id="rId70" Type="http://schemas.openxmlformats.org/officeDocument/2006/relationships/hyperlink" Target="https://eur-lex.europa.eu/legal-content/DE/TXT/?uri=CELEX:32012L0018" TargetMode="External"/><Relationship Id="rId75" Type="http://schemas.openxmlformats.org/officeDocument/2006/relationships/hyperlink" Target="https://eur-lex.europa.eu/legal-content/DE/TXT/?uri=CELEX:02014L0040-20150106" TargetMode="External"/><Relationship Id="rId83" Type="http://schemas.openxmlformats.org/officeDocument/2006/relationships/hyperlink" Target="https://eur-lex.europa.eu/legal-content/DE/TXT/?uri=CELEX:02019R1009-20230316" TargetMode="External"/><Relationship Id="rId88" Type="http://schemas.openxmlformats.org/officeDocument/2006/relationships/footer" Target="footer5.xml"/><Relationship Id="rId91" Type="http://schemas.openxmlformats.org/officeDocument/2006/relationships/hyperlink" Target="https://eur-lex.europa.eu/legal-content/DE/TXT/?uri=CELEX%3A01993R0315-20090807" TargetMode="External"/><Relationship Id="rId96" Type="http://schemas.openxmlformats.org/officeDocument/2006/relationships/hyperlink" Target="https://eur-lex.europa.eu/legal-content/DE/TXT/?uri=CELEX:02002R0178-20220701" TargetMode="External"/><Relationship Id="rId111" Type="http://schemas.openxmlformats.org/officeDocument/2006/relationships/hyperlink" Target="https://eur-lex.europa.eu/legal-content/DE/TXT/?uri=CELEX:02008R1331-202103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lex.europa.eu/legal-content/DE/TXT/?uri=CELEX:02004L0037-20140325" TargetMode="External"/><Relationship Id="rId28" Type="http://schemas.openxmlformats.org/officeDocument/2006/relationships/hyperlink" Target="https://eur-lex.europa.eu/legal-content/DE/TXT/?uri=CELEX:02002L0032-20191128" TargetMode="External"/><Relationship Id="rId36" Type="http://schemas.openxmlformats.org/officeDocument/2006/relationships/hyperlink" Target="https://eur-lex.europa.eu/legal-content/DE/TXT/?uri=CELEX:02004R1935-20210327" TargetMode="External"/><Relationship Id="rId49" Type="http://schemas.openxmlformats.org/officeDocument/2006/relationships/hyperlink" Target="https://eur-lex.europa.eu/legal-content/DE/TXT/?uri=CELEX:02008L0105-20130913" TargetMode="External"/><Relationship Id="rId57" Type="http://schemas.openxmlformats.org/officeDocument/2006/relationships/hyperlink" Target="https://eur-lex.europa.eu/legal-content/DE/TXT/?uri=CELEX:02009L0032-20230216" TargetMode="External"/><Relationship Id="rId106" Type="http://schemas.openxmlformats.org/officeDocument/2006/relationships/hyperlink" Target="https://eur-lex.europa.eu/legal-content/DE/TXT/?uri=CELEX:02008R1272-20221217" TargetMode="External"/><Relationship Id="rId114" Type="http://schemas.openxmlformats.org/officeDocument/2006/relationships/hyperlink" Target="https://eur-lex.europa.eu/legal-content/DE/TXT/?uri=CELEX:02009L0048-20221205" TargetMode="External"/><Relationship Id="rId119" Type="http://schemas.openxmlformats.org/officeDocument/2006/relationships/hyperlink" Target="https://eur-lex.europa.eu/legal-content/DE/TXT/?uri=CELEX:02011L0065-20230301" TargetMode="External"/><Relationship Id="rId10" Type="http://schemas.openxmlformats.org/officeDocument/2006/relationships/endnotes" Target="endnotes.xml"/><Relationship Id="rId31" Type="http://schemas.openxmlformats.org/officeDocument/2006/relationships/hyperlink" Target="https://eur-lex.europa.eu/legal-content/DE/TXT/?uri=CELEX:02003R1831-20210327" TargetMode="External"/><Relationship Id="rId44" Type="http://schemas.openxmlformats.org/officeDocument/2006/relationships/hyperlink" Target="https://eur-lex.europa.eu/legal-content/DE/TXT/?uri=CELEX:02007L0002-20190626" TargetMode="External"/><Relationship Id="rId52" Type="http://schemas.openxmlformats.org/officeDocument/2006/relationships/hyperlink" Target="https://eur-lex.europa.eu/legal-content/DE/TXT/?uri=CELEX:02008R1332-20121203" TargetMode="External"/><Relationship Id="rId60" Type="http://schemas.openxmlformats.org/officeDocument/2006/relationships/hyperlink" Target="https://eur-lex.europa.eu/legal-content/DE/TXT/?uri=CELEX:02009R1107-20221121" TargetMode="External"/><Relationship Id="rId65" Type="http://schemas.openxmlformats.org/officeDocument/2006/relationships/hyperlink" Target="https://eur-lex.europa.eu/legal-content/DE/TXT/?uri=CELEX:02010L0075-20110106" TargetMode="External"/><Relationship Id="rId73" Type="http://schemas.openxmlformats.org/officeDocument/2006/relationships/hyperlink" Target="https://eur-lex.europa.eu/legal-content/DE/ALL/?uri=CELEX:32013R0609" TargetMode="External"/><Relationship Id="rId78" Type="http://schemas.openxmlformats.org/officeDocument/2006/relationships/hyperlink" Target="https://eur-lex.europa.eu/legal-content/DE/TXT/?uri=CELEX:32016L2284" TargetMode="External"/><Relationship Id="rId81" Type="http://schemas.openxmlformats.org/officeDocument/2006/relationships/hyperlink" Target="https://eur-lex.europa.eu/legal-content/DE/TXT/?uri=CELEX:02017R0852-20221225" TargetMode="External"/><Relationship Id="rId86" Type="http://schemas.openxmlformats.org/officeDocument/2006/relationships/header" Target="header4.xml"/><Relationship Id="rId94" Type="http://schemas.openxmlformats.org/officeDocument/2006/relationships/hyperlink" Target="https://eur-lex.europa.eu/legal-content/DE/TXT/?uri=CELEX%3A01998L0024-20190726" TargetMode="External"/><Relationship Id="rId99" Type="http://schemas.openxmlformats.org/officeDocument/2006/relationships/hyperlink" Target="https://eur-lex.europa.eu/legal-content/DE/TXT/?uri=CELEX:02004R1935-20210327" TargetMode="External"/><Relationship Id="rId101" Type="http://schemas.openxmlformats.org/officeDocument/2006/relationships/hyperlink" Target="https://eur-lex.europa.eu/legal-content/DE/TXT/?uri=CELEX:02005R0396-20230228" TargetMode="External"/><Relationship Id="rId122" Type="http://schemas.openxmlformats.org/officeDocument/2006/relationships/hyperlink" Target="https://eur-lex.europa.eu/legal-content/DE/TXT/?uri=CELEX:02019R1021-202212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ur-lex.europa.eu/legal-content/DE/TXT/?uri=CELEX%3A01991L0271-20140101" TargetMode="External"/><Relationship Id="rId39" Type="http://schemas.openxmlformats.org/officeDocument/2006/relationships/hyperlink" Target="https://eur-lex.europa.eu/legal-content/DE/TXT/?uri=CELEX:02006R0166-20200101" TargetMode="External"/><Relationship Id="rId109" Type="http://schemas.openxmlformats.org/officeDocument/2006/relationships/hyperlink" Target="https://eur-lex.europa.eu/legal-content/DE/TXT/?uri=CELEX:02008R1333-20230322" TargetMode="External"/><Relationship Id="rId34" Type="http://schemas.openxmlformats.org/officeDocument/2006/relationships/hyperlink" Target="https://eur-lex.europa.eu/legal-content/DE/TXT/?uri=CELEX:02004R0648-20150601" TargetMode="External"/><Relationship Id="rId50" Type="http://schemas.openxmlformats.org/officeDocument/2006/relationships/hyperlink" Target="https://eur-lex.europa.eu/legal-content/DE/TXT/?uri=CELEX:02008R1272-20221217" TargetMode="External"/><Relationship Id="rId55" Type="http://schemas.openxmlformats.org/officeDocument/2006/relationships/hyperlink" Target="https://eur-lex.europa.eu/legal-content/DE/TXT/PDF/?uri=CELEX:02009L0125-20121204&amp;from=DE" TargetMode="External"/><Relationship Id="rId76" Type="http://schemas.openxmlformats.org/officeDocument/2006/relationships/hyperlink" Target="https://eur-lex.europa.eu/legal-content/DE/TXT/?uri=CELEX:32014R0517" TargetMode="External"/><Relationship Id="rId97" Type="http://schemas.openxmlformats.org/officeDocument/2006/relationships/hyperlink" Target="https://eur-lex.europa.eu/legal-content/DE/TXT/?uri=CELEX:02002L0032-20191128" TargetMode="External"/><Relationship Id="rId104" Type="http://schemas.openxmlformats.org/officeDocument/2006/relationships/hyperlink" Target="https://eur-lex.europa.eu/legal-content/DE/TXT/?uri=CELEX:32012L0019" TargetMode="External"/><Relationship Id="rId120" Type="http://schemas.openxmlformats.org/officeDocument/2006/relationships/hyperlink" Target="https://eur-lex.europa.eu/legal-content/DE/TXT/?uri=CELEX:02012R0528-20220415"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ur-lex.europa.eu/legal-content/DE/TXT/?uri=CELEX:32012L0019" TargetMode="External"/><Relationship Id="rId92" Type="http://schemas.openxmlformats.org/officeDocument/2006/relationships/hyperlink" Target="https://eur-lex.europa.eu/legal-content/DE/TXT/?uri=CELEX%3A01994L0062-20180704" TargetMode="External"/><Relationship Id="rId2" Type="http://schemas.openxmlformats.org/officeDocument/2006/relationships/customXml" Target="../customXml/item2.xml"/><Relationship Id="rId29" Type="http://schemas.openxmlformats.org/officeDocument/2006/relationships/hyperlink" Target="https://eur-lex.europa.eu/legal-content/DE/TXT/?uri=CELEX:02002L0046-20220930" TargetMode="External"/><Relationship Id="rId24" Type="http://schemas.openxmlformats.org/officeDocument/2006/relationships/hyperlink" Target="https://eur-lex.europa.eu/legal-content/DE/TXT/?uri=CELEX:02000L0053-20230330" TargetMode="External"/><Relationship Id="rId40" Type="http://schemas.openxmlformats.org/officeDocument/2006/relationships/hyperlink" Target="https://eur-lex.europa.eu/legal-content/DE/TXT/?uri=CELEX:02006L0118-20140711" TargetMode="External"/><Relationship Id="rId45" Type="http://schemas.openxmlformats.org/officeDocument/2006/relationships/hyperlink" Target="https://eur-lex.europa.eu/legal-content/DE/ALL/?uri=CELEX:32008R0108" TargetMode="External"/><Relationship Id="rId66" Type="http://schemas.openxmlformats.org/officeDocument/2006/relationships/hyperlink" Target="https://eur-lex.europa.eu/legal-content/DE/TXT/?uri=CELEX:02010R0066-20171114" TargetMode="External"/><Relationship Id="rId87" Type="http://schemas.openxmlformats.org/officeDocument/2006/relationships/footer" Target="footer4.xml"/><Relationship Id="rId110" Type="http://schemas.openxmlformats.org/officeDocument/2006/relationships/hyperlink" Target="https://eur-lex.europa.eu/legal-content/DE/TXT/?uri=CELEX:02008R1334-20230321" TargetMode="External"/><Relationship Id="rId115" Type="http://schemas.openxmlformats.org/officeDocument/2006/relationships/hyperlink" Target="https://eur-lex.europa.eu/legal-content/DE/TXT/?uri=CELEX:32009R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7" ma:contentTypeDescription="Create a new document." ma:contentTypeScope="" ma:versionID="10deb79d14eaeeed0c953ddf0bbd8776">
  <xsd:schema xmlns:xsd="http://www.w3.org/2001/XMLSchema" xmlns:xs="http://www.w3.org/2001/XMLSchema" xmlns:p="http://schemas.microsoft.com/office/2006/metadata/properties" xmlns:ns2="65364dff-70db-4bc7-8648-010248a19ac0" targetNamespace="http://schemas.microsoft.com/office/2006/metadata/properties" ma:root="true" ma:fieldsID="f81f0e2a177fa802e81c45fe2530fa57" ns2:_="">
    <xsd:import namespace="65364dff-70db-4bc7-8648-010248a19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9993-CDFA-493B-9B26-CFCB0297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03F72-C1D6-42BB-A280-2673E599DDD8}">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65364dff-70db-4bc7-8648-010248a19ac0"/>
    <ds:schemaRef ds:uri="http://www.w3.org/XML/1998/namespace"/>
    <ds:schemaRef ds:uri="http://purl.org/dc/dcmitype/"/>
  </ds:schemaRefs>
</ds:datastoreItem>
</file>

<file path=customXml/itemProps3.xml><?xml version="1.0" encoding="utf-8"?>
<ds:datastoreItem xmlns:ds="http://schemas.openxmlformats.org/officeDocument/2006/customXml" ds:itemID="{8355900E-12AF-4A70-B6FC-C792BF6C53C2}">
  <ds:schemaRefs>
    <ds:schemaRef ds:uri="http://schemas.microsoft.com/sharepoint/v3/contenttype/forms"/>
  </ds:schemaRefs>
</ds:datastoreItem>
</file>

<file path=customXml/itemProps4.xml><?xml version="1.0" encoding="utf-8"?>
<ds:datastoreItem xmlns:ds="http://schemas.openxmlformats.org/officeDocument/2006/customXml" ds:itemID="{0365ED10-AFFB-40B2-B94D-6B19EEFE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7</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TERCJAK Ewa (ENV)</dc:creator>
  <cp:keywords/>
  <dc:description/>
  <cp:lastModifiedBy>EC CoDe</cp:lastModifiedBy>
  <cp:revision>15</cp:revision>
  <dcterms:created xsi:type="dcterms:W3CDTF">2023-11-29T13:52:00Z</dcterms:created>
  <dcterms:modified xsi:type="dcterms:W3CDTF">2024-02-08T09:33:00Z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2023-05-05T11:45:29Z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d56e4d87-a332-4cbb-a393-1d851d00ebc7</vt:lpwstr>
  </property>
  <property fmtid="{D5CDD505-2E9C-101B-9397-08002B2CF9AE}" pid="19" name="MSIP_Label_6bd9ddd1-4d20-43f6-abfa-fc3c07406f94_ContentBits">
    <vt:lpwstr>0</vt:lpwstr>
  </property>
  <property fmtid="{D5CDD505-2E9C-101B-9397-08002B2CF9AE}" pid="20" name="ContentTypeId">
    <vt:lpwstr>0x010100FC9AE72D67C1FC4DBF89100B390AF2EC</vt:lpwstr>
  </property>
  <property fmtid="{D5CDD505-2E9C-101B-9397-08002B2CF9AE}" pid="21" name="DQCStatus">
    <vt:lpwstr>Green (DQC version 03)</vt:lpwstr>
  </property>
</Properties>
</file>