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08D8C" w14:textId="0297CC72" w:rsidR="00D429B9" w:rsidRPr="008D3351" w:rsidRDefault="00EB469E" w:rsidP="00EB469E">
      <w:pPr>
        <w:pStyle w:val="Pagedecouverture"/>
        <w:rPr>
          <w:noProof/>
        </w:rPr>
      </w:pPr>
      <w:r>
        <w:rPr>
          <w:noProof/>
        </w:rPr>
        <w:pict w14:anchorId="0E556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A93050C2-D7D3-4144-A606-C4B0E3871961" style="width:455.25pt;height:442.5pt">
            <v:imagedata r:id="rId11" o:title=""/>
          </v:shape>
        </w:pict>
      </w:r>
    </w:p>
    <w:p w14:paraId="59030109" w14:textId="77777777" w:rsidR="00D429B9" w:rsidRPr="008D3351" w:rsidRDefault="00D429B9" w:rsidP="00D429B9">
      <w:pPr>
        <w:rPr>
          <w:noProof/>
        </w:rPr>
        <w:sectPr w:rsidR="00D429B9" w:rsidRPr="008D3351" w:rsidSect="00EB469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634B938E" w14:textId="77777777" w:rsidR="00D429B9" w:rsidRPr="008D3351" w:rsidRDefault="00D429B9" w:rsidP="00D429B9">
      <w:pPr>
        <w:pStyle w:val="Annexetitre"/>
        <w:rPr>
          <w:rStyle w:val="Marker"/>
          <w:noProof/>
        </w:rPr>
      </w:pPr>
      <w:bookmarkStart w:id="0" w:name="_Hlk144999041"/>
      <w:bookmarkStart w:id="1" w:name="_GoBack"/>
      <w:bookmarkEnd w:id="0"/>
      <w:bookmarkEnd w:id="1"/>
      <w:r w:rsidRPr="008D3351">
        <w:rPr>
          <w:noProof/>
        </w:rPr>
        <w:lastRenderedPageBreak/>
        <w:t>ALLEGATO I</w:t>
      </w:r>
    </w:p>
    <w:p w14:paraId="65688DE5" w14:textId="77777777" w:rsidR="00D429B9" w:rsidRPr="008D3351" w:rsidRDefault="00D429B9" w:rsidP="01C23B02">
      <w:pPr>
        <w:pStyle w:val="ManualHeading1"/>
        <w:jc w:val="center"/>
        <w:rPr>
          <w:noProof/>
        </w:rPr>
      </w:pPr>
      <w:r w:rsidRPr="008D3351">
        <w:rPr>
          <w:noProof/>
        </w:rPr>
        <w:t>Atti dell'Unione di cui agli articoli 2, 3, 8, 11, 12, 15, 17, 21, 22 e 23</w:t>
      </w:r>
    </w:p>
    <w:p w14:paraId="771865D3" w14:textId="77777777" w:rsidR="00122056" w:rsidRPr="008D3351" w:rsidRDefault="00122056" w:rsidP="00122056">
      <w:pPr>
        <w:pStyle w:val="Text1"/>
        <w:rPr>
          <w:noProof/>
          <w:sz w:val="22"/>
        </w:rPr>
      </w:pPr>
      <w:r w:rsidRPr="008D3351">
        <w:rPr>
          <w:noProof/>
        </w:rPr>
        <w:t xml:space="preserve">I riferimenti a ciascun atto dell'Unione ivi elencato dovrebbero essere intesi anche come riferimenti a tutti gli atti delegati e di esecuzione eventualmente adottati a norma di tale atto dell'Unione. </w:t>
      </w:r>
    </w:p>
    <w:p w14:paraId="7E075579" w14:textId="77777777" w:rsidR="0048403C" w:rsidRPr="008D3351" w:rsidRDefault="00D429B9" w:rsidP="00D429B9">
      <w:pPr>
        <w:spacing w:after="0" w:line="276" w:lineRule="auto"/>
        <w:textAlignment w:val="baseline"/>
        <w:rPr>
          <w:rFonts w:ascii="Calibri" w:eastAsia="Times New Roman" w:hAnsi="Calibri" w:cs="Calibri"/>
          <w:noProof/>
        </w:rPr>
      </w:pPr>
      <w:r w:rsidRPr="008D3351">
        <w:rPr>
          <w:rFonts w:ascii="Calibri" w:hAnsi="Calibri"/>
          <w:noProof/>
        </w:rPr>
        <w:t> </w:t>
      </w:r>
    </w:p>
    <w:p w14:paraId="7A66ECAD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18" w:history="1">
        <w:r w:rsidR="00F3388F" w:rsidRPr="008D3351">
          <w:rPr>
            <w:rStyle w:val="Hyperlink"/>
            <w:noProof/>
          </w:rPr>
          <w:t>Direttiva 91/271/CEE</w:t>
        </w:r>
      </w:hyperlink>
      <w:r w:rsidR="00F3388F" w:rsidRPr="008D3351">
        <w:rPr>
          <w:noProof/>
        </w:rPr>
        <w:t xml:space="preserve"> del Consiglio, del 21 maggio 1991, concernente il trattamento delle acque reflue urbane (GU L 135 del 30.5.1991, pag. 40)</w:t>
      </w:r>
    </w:p>
    <w:p w14:paraId="5992B470" w14:textId="2E5BB6B1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19">
        <w:r w:rsidR="00F3388F" w:rsidRPr="008D3351">
          <w:rPr>
            <w:rStyle w:val="Hyperlink"/>
            <w:noProof/>
          </w:rPr>
          <w:t>Direttiva 91/676/CEE</w:t>
        </w:r>
      </w:hyperlink>
      <w:r w:rsidR="00F3388F" w:rsidRPr="008D3351">
        <w:rPr>
          <w:noProof/>
        </w:rPr>
        <w:t xml:space="preserve"> del Consiglio, del 12 dicembre 1991, relativa alla protezione delle acque dall'inquinamento provocato dai nitrati provenienti da fonti agricole (GU</w:t>
      </w:r>
      <w:r w:rsidR="00E00AF1">
        <w:rPr>
          <w:noProof/>
        </w:rPr>
        <w:t> </w:t>
      </w:r>
      <w:r w:rsidR="00F3388F" w:rsidRPr="008D3351">
        <w:rPr>
          <w:noProof/>
        </w:rPr>
        <w:t>L 375 del 31.12.1991, pag. 1)</w:t>
      </w:r>
    </w:p>
    <w:p w14:paraId="6C2115CF" w14:textId="610324F6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20">
        <w:r w:rsidR="00F3388F" w:rsidRPr="008D3351">
          <w:rPr>
            <w:rStyle w:val="Hyperlink"/>
            <w:noProof/>
          </w:rPr>
          <w:t xml:space="preserve">Regolamento (CEE)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315/93</w:t>
        </w:r>
      </w:hyperlink>
      <w:r w:rsidR="00F3388F" w:rsidRPr="008D3351">
        <w:rPr>
          <w:noProof/>
        </w:rPr>
        <w:t xml:space="preserve"> del Consiglio, dell'8 febbraio 1993, che stabilisce procedure comunitarie relative ai contaminanti nei prodotti alimentari (GU L 37 del 13.2.1993, pag. 1)</w:t>
      </w:r>
    </w:p>
    <w:p w14:paraId="4C4EA055" w14:textId="77777777" w:rsidR="00A90D66" w:rsidRPr="008D3351" w:rsidRDefault="00BE17F2" w:rsidP="0006616A">
      <w:pPr>
        <w:pStyle w:val="ListNumber"/>
        <w:rPr>
          <w:rFonts w:eastAsia="Times New Roman"/>
          <w:noProof/>
        </w:rPr>
      </w:pPr>
      <w:hyperlink r:id="rId21" w:history="1">
        <w:r w:rsidR="00F3388F" w:rsidRPr="008D3351">
          <w:rPr>
            <w:rStyle w:val="Hyperlink"/>
            <w:noProof/>
          </w:rPr>
          <w:t>Direttiva 94/62/CE</w:t>
        </w:r>
      </w:hyperlink>
      <w:r w:rsidR="00F3388F" w:rsidRPr="008D3351">
        <w:rPr>
          <w:noProof/>
        </w:rPr>
        <w:t xml:space="preserve"> del Parlamento europeo e del Consiglio, del 20 dicembre 1994, sugli imballaggi e i rifiuti di imballaggio (GU L 365 del 31.12.1994, pag. 10)</w:t>
      </w:r>
    </w:p>
    <w:p w14:paraId="7F69B9B6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22">
        <w:r w:rsidR="00F3388F" w:rsidRPr="008D3351">
          <w:rPr>
            <w:rStyle w:val="Hyperlink"/>
            <w:noProof/>
          </w:rPr>
          <w:t>Direttiva 98/24/CE</w:t>
        </w:r>
      </w:hyperlink>
      <w:r w:rsidR="00F3388F" w:rsidRPr="008D3351">
        <w:rPr>
          <w:noProof/>
        </w:rPr>
        <w:t xml:space="preserve"> del Consiglio, del 7 aprile 1998, sulla protezione della salute e della sicurezza dei lavoratori contro i rischi derivanti da agenti chimici durante il lavoro (quattordicesima direttiva particolare ai sensi dell'articolo 16, paragrafo 1, della direttiva 89/391/CEE) (GU L 131 del 5.5.1998, pag. 11)</w:t>
      </w:r>
    </w:p>
    <w:p w14:paraId="16067D58" w14:textId="77777777" w:rsidR="0006616A" w:rsidRPr="008D3351" w:rsidRDefault="00BE17F2" w:rsidP="0006616A">
      <w:pPr>
        <w:pStyle w:val="ListNumber"/>
        <w:rPr>
          <w:noProof/>
        </w:rPr>
      </w:pPr>
      <w:hyperlink r:id="rId23">
        <w:r w:rsidR="00F3388F" w:rsidRPr="008D3351">
          <w:rPr>
            <w:rStyle w:val="Hyperlink"/>
            <w:noProof/>
          </w:rPr>
          <w:t>Direttiva 2004/37/CE</w:t>
        </w:r>
      </w:hyperlink>
      <w:r w:rsidR="00F3388F" w:rsidRPr="008D3351">
        <w:rPr>
          <w:noProof/>
        </w:rPr>
        <w:t xml:space="preserve"> del Parlamento europeo e del Consiglio, del 29 aprile 2004, sulla protezione dei lavoratori contro i rischi derivanti da un'esposizione ad agenti cancerogeni o mutageni durante il lavoro (sesta direttiva particolare ai sensi dell'articolo 16, paragrafo 1, della direttiva 89/391/CEE del Consiglio) (GU L 158 del 30.4.2004, pag. 50)</w:t>
      </w:r>
    </w:p>
    <w:p w14:paraId="1203671F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24">
        <w:r w:rsidR="00F3388F" w:rsidRPr="008D3351">
          <w:rPr>
            <w:rStyle w:val="Hyperlink"/>
            <w:noProof/>
          </w:rPr>
          <w:t>Direttiva 2000/53/CE</w:t>
        </w:r>
      </w:hyperlink>
      <w:r w:rsidR="00F3388F" w:rsidRPr="008D3351">
        <w:rPr>
          <w:noProof/>
        </w:rPr>
        <w:t xml:space="preserve"> del Parlamento europeo e del Consiglio, del 18 settembre 2000, relativa ai veicoli fuori uso (GU L 269 del 21.10.2000, pag. 34)</w:t>
      </w:r>
    </w:p>
    <w:p w14:paraId="2797D50C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25">
        <w:r w:rsidR="00F3388F" w:rsidRPr="008D3351">
          <w:rPr>
            <w:rStyle w:val="Hyperlink"/>
            <w:noProof/>
          </w:rPr>
          <w:t>Direttiva 2000/60/CE</w:t>
        </w:r>
      </w:hyperlink>
      <w:r w:rsidR="00F3388F" w:rsidRPr="008D3351">
        <w:rPr>
          <w:noProof/>
        </w:rPr>
        <w:t xml:space="preserve"> del Parlamento europeo e del Consiglio, del 23 ottobre 2000, che istituisce un quadro per l'azione comunitaria in materia di acque (GU L 327 del 22.12.2000, pag. 1)</w:t>
      </w:r>
    </w:p>
    <w:p w14:paraId="06D4FD76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26">
        <w:r w:rsidR="00F3388F" w:rsidRPr="008D3351">
          <w:rPr>
            <w:rStyle w:val="Hyperlink"/>
            <w:noProof/>
          </w:rPr>
          <w:t>Direttiva 2001/18/CE</w:t>
        </w:r>
      </w:hyperlink>
      <w:r w:rsidR="00F3388F" w:rsidRPr="008D3351">
        <w:rPr>
          <w:noProof/>
        </w:rPr>
        <w:t xml:space="preserve"> del Parlamento europeo e del Consiglio, del 12 marzo 2001, sull'emissione deliberata nell'ambiente di organismi geneticamente modificati e che abroga la direttiva 90/220/CEE del Consiglio (GU L 106 del 17.4.2001, pag. 1)</w:t>
      </w:r>
    </w:p>
    <w:p w14:paraId="340C5203" w14:textId="4E7B7131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27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178/2002</w:t>
        </w:r>
      </w:hyperlink>
      <w:r w:rsidR="00F3388F" w:rsidRPr="008D3351">
        <w:rPr>
          <w:noProof/>
        </w:rPr>
        <w:t xml:space="preserve"> del Parlamento europeo e del Consiglio, del 28</w:t>
      </w:r>
      <w:r w:rsidR="00E00AF1">
        <w:rPr>
          <w:noProof/>
        </w:rPr>
        <w:t> </w:t>
      </w:r>
      <w:r w:rsidR="00F3388F" w:rsidRPr="008D3351">
        <w:rPr>
          <w:noProof/>
        </w:rPr>
        <w:t>gennaio 2002, che stabilisce i principi e i requisiti generali della legislazione alimentare, istituisce l'Autorità europea per la sicurezza alimentare e fissa procedure nel campo della sicurezza alimentare (GU L 031 dell'1.2.2002, pag. 1)</w:t>
      </w:r>
    </w:p>
    <w:p w14:paraId="57B31521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28">
        <w:r w:rsidR="00F3388F" w:rsidRPr="008D3351">
          <w:rPr>
            <w:rStyle w:val="Hyperlink"/>
            <w:noProof/>
          </w:rPr>
          <w:t>Direttiva 2002/32/CE</w:t>
        </w:r>
      </w:hyperlink>
      <w:r w:rsidR="00F3388F" w:rsidRPr="008D3351">
        <w:rPr>
          <w:noProof/>
        </w:rPr>
        <w:t xml:space="preserve"> del Parlamento europeo e del Consiglio, del 7 maggio 2002, relativa alle sostanze indesiderabili nell'alimentazione degli animali (GU L 140 del 30.5.2002, pag. 10)</w:t>
      </w:r>
    </w:p>
    <w:p w14:paraId="0C3E7D3D" w14:textId="77777777" w:rsidR="006E1516" w:rsidRPr="008D3351" w:rsidRDefault="00BE17F2" w:rsidP="00B343B8">
      <w:pPr>
        <w:pStyle w:val="ListNumber"/>
        <w:rPr>
          <w:rFonts w:eastAsia="Times New Roman"/>
          <w:noProof/>
        </w:rPr>
      </w:pPr>
      <w:hyperlink r:id="rId29">
        <w:r w:rsidR="00F3388F" w:rsidRPr="008D3351">
          <w:rPr>
            <w:rStyle w:val="Hyperlink"/>
            <w:noProof/>
          </w:rPr>
          <w:t>Direttiva 2002/46/CE</w:t>
        </w:r>
      </w:hyperlink>
      <w:r w:rsidR="00F3388F" w:rsidRPr="008D3351">
        <w:rPr>
          <w:noProof/>
        </w:rPr>
        <w:t xml:space="preserve"> del Parlamento europeo e del Consiglio, del 10 giugno 2002, per il ravvicinamento delle legislazioni degli Stati membri relative agli integratori alimentari (GU L 183 del 12.7.2002, pag. 51)</w:t>
      </w:r>
    </w:p>
    <w:p w14:paraId="5457565D" w14:textId="17DC8AF3" w:rsidR="006E1516" w:rsidRPr="008D3351" w:rsidRDefault="00BE17F2" w:rsidP="006E1516">
      <w:pPr>
        <w:pStyle w:val="ListNumber"/>
        <w:rPr>
          <w:noProof/>
        </w:rPr>
      </w:pPr>
      <w:hyperlink r:id="rId30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1829/2003</w:t>
        </w:r>
      </w:hyperlink>
      <w:r w:rsidR="00F3388F" w:rsidRPr="008D3351">
        <w:rPr>
          <w:noProof/>
        </w:rPr>
        <w:t xml:space="preserve"> del Parlamento europeo e del Consiglio, del 22</w:t>
      </w:r>
      <w:r w:rsidR="00E00AF1">
        <w:rPr>
          <w:noProof/>
        </w:rPr>
        <w:t> </w:t>
      </w:r>
      <w:r w:rsidR="00F3388F" w:rsidRPr="008D3351">
        <w:rPr>
          <w:noProof/>
        </w:rPr>
        <w:t>settembre 2003, relativo agli alimenti e ai mangimi geneticamente modificati (GU</w:t>
      </w:r>
      <w:r w:rsidR="00E00AF1">
        <w:rPr>
          <w:noProof/>
        </w:rPr>
        <w:t> </w:t>
      </w:r>
      <w:r w:rsidR="00F3388F" w:rsidRPr="008D3351">
        <w:rPr>
          <w:noProof/>
        </w:rPr>
        <w:t>L 268 del 18.10.2003, pag. 1)</w:t>
      </w:r>
    </w:p>
    <w:p w14:paraId="35991962" w14:textId="03BAA3FF" w:rsidR="006E1516" w:rsidRPr="008D3351" w:rsidRDefault="00BE17F2" w:rsidP="006E1516">
      <w:pPr>
        <w:pStyle w:val="ListNumber"/>
        <w:rPr>
          <w:noProof/>
        </w:rPr>
      </w:pPr>
      <w:hyperlink r:id="rId31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1831/2003</w:t>
        </w:r>
      </w:hyperlink>
      <w:r w:rsidR="00F3388F" w:rsidRPr="008D3351">
        <w:rPr>
          <w:noProof/>
        </w:rPr>
        <w:t xml:space="preserve"> del Parlamento europeo e del Consiglio, del 22</w:t>
      </w:r>
      <w:r w:rsidR="00E00AF1">
        <w:rPr>
          <w:noProof/>
        </w:rPr>
        <w:t> </w:t>
      </w:r>
      <w:r w:rsidR="00F3388F" w:rsidRPr="008D3351">
        <w:rPr>
          <w:noProof/>
        </w:rPr>
        <w:t>settembre 2003, sugli additivi destinati all’alimentazione animale (GU L 268 del 18.10.2003, pag. 29)</w:t>
      </w:r>
    </w:p>
    <w:p w14:paraId="4D6F9825" w14:textId="5DF9C08E" w:rsidR="0006616A" w:rsidRPr="008D3351" w:rsidRDefault="00BE17F2" w:rsidP="006E1516">
      <w:pPr>
        <w:pStyle w:val="ListNumber"/>
        <w:rPr>
          <w:noProof/>
        </w:rPr>
      </w:pPr>
      <w:hyperlink r:id="rId32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2065/2003</w:t>
        </w:r>
      </w:hyperlink>
      <w:r w:rsidR="00F3388F" w:rsidRPr="008D3351">
        <w:rPr>
          <w:noProof/>
        </w:rPr>
        <w:t xml:space="preserve"> del Parlamento europeo e del Consiglio, del 10</w:t>
      </w:r>
      <w:r w:rsidR="00E00AF1">
        <w:rPr>
          <w:noProof/>
        </w:rPr>
        <w:t> </w:t>
      </w:r>
      <w:r w:rsidR="00F3388F" w:rsidRPr="008D3351">
        <w:rPr>
          <w:noProof/>
        </w:rPr>
        <w:t>novembre 2003, relativo agli aromatizzanti di affumicatura utilizzati o destinati ad essere utilizzati nei o sui prodotti alimentari (GU L 309 del 26.11.2003, pag. 1)</w:t>
      </w:r>
    </w:p>
    <w:p w14:paraId="4D2CB196" w14:textId="01A9F8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33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 xml:space="preserve">853/2004 </w:t>
        </w:r>
      </w:hyperlink>
      <w:r w:rsidR="00F3388F" w:rsidRPr="008D3351">
        <w:rPr>
          <w:noProof/>
        </w:rPr>
        <w:t>del Parlamento europeo e del Consiglio, del 29 aprile 2004, che stabilisce norme specifiche in materia di igiene per gli alimenti di origine animale (GU L 139 del 30.4.2004, pag. 55)</w:t>
      </w:r>
    </w:p>
    <w:p w14:paraId="46A5A1C8" w14:textId="4E9F4113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34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648/2004</w:t>
        </w:r>
      </w:hyperlink>
      <w:r w:rsidR="00F3388F" w:rsidRPr="008D3351">
        <w:rPr>
          <w:noProof/>
        </w:rPr>
        <w:t xml:space="preserve"> del Parlamento europeo e del Consiglio, del 31 marzo 2004, relativo ai detergenti (GU L 104 dell’8.4.2004, pag. 1)</w:t>
      </w:r>
    </w:p>
    <w:p w14:paraId="5B3C4AC6" w14:textId="12F96A8F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35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852/2004</w:t>
        </w:r>
      </w:hyperlink>
      <w:r w:rsidR="00F3388F" w:rsidRPr="008D3351">
        <w:rPr>
          <w:noProof/>
        </w:rPr>
        <w:t xml:space="preserve"> del Parlamento europeo e del Consiglio, del 29 aprile 2004, sull'igiene dei prodotti alimentari (GU L 139 del 30.4.2004, pag. 1)</w:t>
      </w:r>
    </w:p>
    <w:p w14:paraId="330D74F5" w14:textId="27039853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36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1935/2004</w:t>
        </w:r>
      </w:hyperlink>
      <w:r w:rsidR="00F3388F" w:rsidRPr="008D3351">
        <w:rPr>
          <w:noProof/>
        </w:rPr>
        <w:t xml:space="preserve"> del Parlamento europeo e del Consiglio, del 27 ottobre 2004, riguardante i materiali e gli oggetti destinati a venire a contatto con i prodotti alimentari e che abroga le direttive 80/590/CEE e 89/109/CEE (GU L 338 del 13.11.2004, pag. 4)</w:t>
      </w:r>
    </w:p>
    <w:p w14:paraId="264CAB7B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37">
        <w:r w:rsidR="00F3388F" w:rsidRPr="008D3351">
          <w:rPr>
            <w:rStyle w:val="Hyperlink"/>
            <w:noProof/>
          </w:rPr>
          <w:t>Direttiva 2004/107/CE</w:t>
        </w:r>
      </w:hyperlink>
      <w:r w:rsidR="00F3388F" w:rsidRPr="008D3351">
        <w:rPr>
          <w:noProof/>
        </w:rPr>
        <w:t xml:space="preserve"> del Parlamento europeo e del Consiglio, del 15 dicembre 2004, concernente l'arsenico, il cadmio, il mercurio, il nickel e gli idrocarburi policiclici aromatici nell'aria ambiente (GU L 023 del 26.1.2005, pag. 3)</w:t>
      </w:r>
    </w:p>
    <w:p w14:paraId="665B444E" w14:textId="5FC7FE0E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38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396/2005</w:t>
        </w:r>
      </w:hyperlink>
      <w:r w:rsidR="00F3388F" w:rsidRPr="008D3351">
        <w:rPr>
          <w:noProof/>
        </w:rPr>
        <w:t xml:space="preserve"> del Parlamento europeo e del Consiglio, del 23 febbraio 2005, concernente i livelli massimi di residui di antiparassitari nei o sui prodotti alimentari e mangimi di origine vegetale e animale e che modifica la direttiva 91/414/CEE del Consiglio (GU L 070 del 16.3.2005, pag. 1)</w:t>
      </w:r>
    </w:p>
    <w:p w14:paraId="56584E22" w14:textId="0672529D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39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 xml:space="preserve">166/2006 </w:t>
        </w:r>
      </w:hyperlink>
      <w:r w:rsidR="00F3388F" w:rsidRPr="008D3351">
        <w:rPr>
          <w:noProof/>
        </w:rPr>
        <w:t>del Parlamento europeo e del Consiglio, del 18 gennaio 2006, relativo all'istituzione di un registro europeo delle emissioni e dei trasferimenti di sostanze inquinanti e che modifica le direttive 91/689/CEE e 96/61/CE del Consiglio (GU L 033 del 4.2.2006, pag. 1)</w:t>
      </w:r>
    </w:p>
    <w:p w14:paraId="14BA5A7A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40">
        <w:r w:rsidR="00F3388F" w:rsidRPr="008D3351">
          <w:rPr>
            <w:rStyle w:val="Hyperlink"/>
            <w:noProof/>
          </w:rPr>
          <w:t>Direttiva 2006/118/CE</w:t>
        </w:r>
      </w:hyperlink>
      <w:r w:rsidR="00F3388F" w:rsidRPr="008D3351">
        <w:rPr>
          <w:noProof/>
        </w:rPr>
        <w:t xml:space="preserve"> del Parlamento europeo e del Consiglio, del 12 dicembre 2006, sulla protezione delle acque sotterranee dall'inquinamento e dal deterioramento (GU L 372 del 27.12.2006, pag. 19)</w:t>
      </w:r>
    </w:p>
    <w:p w14:paraId="4C2DB1EB" w14:textId="6B72DFFE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41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 xml:space="preserve">1907/2006 </w:t>
        </w:r>
      </w:hyperlink>
      <w:r w:rsidR="00F3388F" w:rsidRPr="008D3351">
        <w:rPr>
          <w:noProof/>
        </w:rPr>
        <w:t xml:space="preserve">del Parlamento europeo e del Consiglio, del 18 dicembre 2006, concernente la registrazione, la valutazione, l'autorizzazione e la restrizione delle sostanze chimiche (REACH), che istituisce un'agenzia europea per le sostanze chimiche, che modifica la direttiva 1999/45/CE e che abroga il regolamento (CEE)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793/93 del Consiglio e il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>1488/94 della Commissione, nonché la direttiva 76/769/CEE del Consiglio e le direttive della Commissione 91/155/CEE, 93/67/CEE, 93/105/CE e 2000/21/CE (GU L 396 del 30.12.2006, pag. 1)</w:t>
      </w:r>
    </w:p>
    <w:p w14:paraId="100F55AC" w14:textId="720ADCBF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42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 xml:space="preserve">1924/2006 </w:t>
        </w:r>
      </w:hyperlink>
      <w:r w:rsidR="00F3388F" w:rsidRPr="008D3351">
        <w:rPr>
          <w:noProof/>
        </w:rPr>
        <w:t>del Parlamento europeo e del Consiglio, del</w:t>
      </w:r>
      <w:r w:rsidR="00E00AF1">
        <w:rPr>
          <w:noProof/>
        </w:rPr>
        <w:t> </w:t>
      </w:r>
      <w:r w:rsidR="00F3388F" w:rsidRPr="008D3351">
        <w:rPr>
          <w:noProof/>
        </w:rPr>
        <w:t>20</w:t>
      </w:r>
      <w:r w:rsidR="00E00AF1">
        <w:rPr>
          <w:noProof/>
        </w:rPr>
        <w:t> </w:t>
      </w:r>
      <w:r w:rsidR="00F3388F" w:rsidRPr="008D3351">
        <w:rPr>
          <w:noProof/>
        </w:rPr>
        <w:t>dicembre 2006, relativo alle indicazioni nutrizionali e sulla salute fornite sui prodotti alimentari (GU L 404 del 30.12.2006, pag. 9)</w:t>
      </w:r>
    </w:p>
    <w:p w14:paraId="37565E08" w14:textId="55990206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43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1925/2006</w:t>
        </w:r>
      </w:hyperlink>
      <w:r w:rsidR="00F3388F" w:rsidRPr="008D3351">
        <w:rPr>
          <w:noProof/>
        </w:rPr>
        <w:t xml:space="preserve"> del Parlamento europeo e del Consiglio, del</w:t>
      </w:r>
      <w:r w:rsidR="00E00AF1">
        <w:rPr>
          <w:noProof/>
        </w:rPr>
        <w:t> </w:t>
      </w:r>
      <w:r w:rsidR="00F3388F" w:rsidRPr="008D3351">
        <w:rPr>
          <w:noProof/>
        </w:rPr>
        <w:t>20</w:t>
      </w:r>
      <w:r w:rsidR="00E00AF1">
        <w:rPr>
          <w:noProof/>
        </w:rPr>
        <w:t> </w:t>
      </w:r>
      <w:r w:rsidR="00F3388F" w:rsidRPr="008D3351">
        <w:rPr>
          <w:noProof/>
        </w:rPr>
        <w:t>dicembre 2006, sull'aggiunta di vitamine e minerali e di talune altre sostanze agli alimenti (GU L 404 del 30.12.2006, pag. 26)</w:t>
      </w:r>
    </w:p>
    <w:p w14:paraId="07623BBE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44">
        <w:r w:rsidR="00F3388F" w:rsidRPr="008D3351">
          <w:rPr>
            <w:rStyle w:val="Hyperlink"/>
            <w:noProof/>
          </w:rPr>
          <w:t xml:space="preserve">Direttiva 2007/2/CE </w:t>
        </w:r>
      </w:hyperlink>
      <w:r w:rsidR="00F3388F" w:rsidRPr="008D3351">
        <w:rPr>
          <w:noProof/>
        </w:rPr>
        <w:t>del Parlamento europeo e del Consiglio, del 14 marzo 2007, che istituisce un'Infrastruttura per l'informazione territoriale nella Comunità europea (Inspire) (GU L 108 del 25.4.2007, pag. 1)</w:t>
      </w:r>
    </w:p>
    <w:p w14:paraId="5E9A8B8A" w14:textId="31466076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45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 xml:space="preserve">108/2008 </w:t>
        </w:r>
      </w:hyperlink>
      <w:r w:rsidR="00F3388F" w:rsidRPr="008D3351">
        <w:rPr>
          <w:noProof/>
        </w:rPr>
        <w:t xml:space="preserve">del Parlamento europeo e del Consiglio, del 15 gennaio 2008, che modifica il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>1925/2006 concernente l’aggiunta di vitamine e minerali nonché di alcune altre sostanze agli alimenti (GU L 39 del 13.2.2008, pag. 11)</w:t>
      </w:r>
    </w:p>
    <w:p w14:paraId="69E80AB7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46">
        <w:r w:rsidR="00F3388F" w:rsidRPr="008D3351">
          <w:rPr>
            <w:rStyle w:val="Hyperlink"/>
            <w:noProof/>
          </w:rPr>
          <w:t>Direttiva 2008/56/CE</w:t>
        </w:r>
      </w:hyperlink>
      <w:r w:rsidR="00F3388F" w:rsidRPr="008D3351">
        <w:rPr>
          <w:noProof/>
        </w:rPr>
        <w:t xml:space="preserve"> del Parlamento europeo e del Consiglio, del 17 giugno 2008, che istituisce un quadro per l’azione comunitaria nel campo della politica per l’ambiente marino (direttiva quadro sulla strategia per l’ambiente marino) (GU L 164 del 25.6.2008, pag. 19)</w:t>
      </w:r>
    </w:p>
    <w:p w14:paraId="05F009AB" w14:textId="77777777" w:rsidR="00C61AEF" w:rsidRPr="008D3351" w:rsidRDefault="00BE17F2" w:rsidP="00C61AEF">
      <w:pPr>
        <w:pStyle w:val="ListNumber"/>
        <w:rPr>
          <w:rFonts w:eastAsia="Times New Roman"/>
          <w:noProof/>
        </w:rPr>
      </w:pPr>
      <w:hyperlink r:id="rId47">
        <w:r w:rsidR="00F3388F" w:rsidRPr="008D3351">
          <w:rPr>
            <w:rStyle w:val="Hyperlink"/>
            <w:noProof/>
          </w:rPr>
          <w:t>Direttiva 2008/50/CE</w:t>
        </w:r>
      </w:hyperlink>
      <w:r w:rsidR="00F3388F" w:rsidRPr="008D3351">
        <w:rPr>
          <w:noProof/>
        </w:rPr>
        <w:t xml:space="preserve"> del Parlamento europeo e del Consiglio, del 21 maggio 2008, relativa alla qualità dell’aria ambiente e per un’aria più pulita in Europa (GU L 152 dell’11.6.2008, pag. 1)</w:t>
      </w:r>
    </w:p>
    <w:p w14:paraId="64AF89E9" w14:textId="77777777" w:rsidR="0006616A" w:rsidRPr="008D3351" w:rsidRDefault="00BE17F2" w:rsidP="00C61AEF">
      <w:pPr>
        <w:pStyle w:val="ListNumber"/>
        <w:rPr>
          <w:rStyle w:val="Hyperlink"/>
          <w:rFonts w:eastAsia="Times New Roman"/>
          <w:noProof/>
          <w:color w:val="auto"/>
          <w:u w:val="none"/>
        </w:rPr>
      </w:pPr>
      <w:hyperlink r:id="rId48">
        <w:r w:rsidR="00F3388F" w:rsidRPr="008D3351">
          <w:rPr>
            <w:rStyle w:val="Hyperlink"/>
            <w:noProof/>
          </w:rPr>
          <w:t>Direttiva 2008/98/CE</w:t>
        </w:r>
      </w:hyperlink>
      <w:r w:rsidR="00F3388F" w:rsidRPr="008D3351">
        <w:rPr>
          <w:noProof/>
        </w:rPr>
        <w:t xml:space="preserve"> del Parlamento europeo e del Consiglio, del 19 novembre 2008, relativa ai rifiuti e che abroga alcune direttive (GU L 312 del 22.11.2008, pag. 3)</w:t>
      </w:r>
    </w:p>
    <w:p w14:paraId="3D4A909A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49">
        <w:r w:rsidR="00F3388F" w:rsidRPr="008D3351">
          <w:rPr>
            <w:rStyle w:val="Hyperlink"/>
            <w:noProof/>
          </w:rPr>
          <w:t>Direttiva 2008/105/CE</w:t>
        </w:r>
      </w:hyperlink>
      <w:r w:rsidR="00F3388F" w:rsidRPr="008D3351">
        <w:rPr>
          <w:noProof/>
        </w:rPr>
        <w:t xml:space="preserve"> del Parlamento europeo e del Consiglio, del 16 dicembre 2008, relativa a standard di qualità ambientale nel settore della politica delle acque, recante modifica e successiva abrogazione delle direttive del Consiglio 82/176/CEE, 83/513/CEE, 84/156/CEE, 84/491/CEE e 86/280/CEE, nonché modifica della direttiva 2000/60/CE del Parlamento europeo e del Consiglio (GU L 348 del 24.12.2008, pag. 84)</w:t>
      </w:r>
    </w:p>
    <w:p w14:paraId="709A3F6E" w14:textId="24B87184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50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1272/2008</w:t>
        </w:r>
      </w:hyperlink>
      <w:r w:rsidR="00F3388F" w:rsidRPr="008D3351">
        <w:rPr>
          <w:noProof/>
        </w:rPr>
        <w:t xml:space="preserve"> del Parlamento europeo e del Consiglio, del 16</w:t>
      </w:r>
      <w:r w:rsidR="00E00AF1">
        <w:rPr>
          <w:noProof/>
        </w:rPr>
        <w:t> </w:t>
      </w:r>
      <w:r w:rsidR="00F3388F" w:rsidRPr="008D3351">
        <w:rPr>
          <w:noProof/>
        </w:rPr>
        <w:t xml:space="preserve">dicembre 2008,relativo alla classificazione, all'etichettatura e all'imballaggio delle sostanze e delle miscele che modifica e abroga le direttive 67/548/CEE e 1999/45/CE e che reca modifica al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>1907/2006 (GU L 353 del 31.12.2008, pag. 1)</w:t>
      </w:r>
    </w:p>
    <w:p w14:paraId="688056D8" w14:textId="17BD11E3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51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1331/2008</w:t>
        </w:r>
      </w:hyperlink>
      <w:r w:rsidR="00F3388F" w:rsidRPr="008D3351">
        <w:rPr>
          <w:noProof/>
        </w:rPr>
        <w:t xml:space="preserve"> del Parlamento europeo e del Consiglio, del 16</w:t>
      </w:r>
      <w:r w:rsidR="00E00AF1">
        <w:rPr>
          <w:noProof/>
        </w:rPr>
        <w:t> </w:t>
      </w:r>
      <w:r w:rsidR="00F3388F" w:rsidRPr="008D3351">
        <w:rPr>
          <w:noProof/>
        </w:rPr>
        <w:t>dicembre 2008, che istituisce una procedura uniforme di autorizzazione per gli additivi, gli enzimi e gli aromi alimentari (GU L 354 del 31.12.2008, pag. 1)</w:t>
      </w:r>
    </w:p>
    <w:p w14:paraId="1E908E4A" w14:textId="023F9F22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52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1332/2008</w:t>
        </w:r>
      </w:hyperlink>
      <w:r w:rsidR="00F3388F" w:rsidRPr="008D3351">
        <w:rPr>
          <w:noProof/>
        </w:rPr>
        <w:t xml:space="preserve"> del Parlamento europeo e del Consiglio, del 16</w:t>
      </w:r>
      <w:r w:rsidR="00E00AF1">
        <w:rPr>
          <w:noProof/>
        </w:rPr>
        <w:t> </w:t>
      </w:r>
      <w:r w:rsidR="00F3388F" w:rsidRPr="008D3351">
        <w:rPr>
          <w:noProof/>
        </w:rPr>
        <w:t xml:space="preserve">dicembre 2008, relativo agli enzimi alimentari e che modifica la direttiva 83/417/CEE del Consiglio, il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1493/1999 del Consiglio, la direttiva 2000/13/CE, la direttiva 2001/112/CE del Consiglio e il regolamento (CE) </w:t>
      </w:r>
      <w:r w:rsidR="008D3351">
        <w:rPr>
          <w:noProof/>
        </w:rPr>
        <w:t>n.</w:t>
      </w:r>
      <w:r w:rsidR="00E00AF1">
        <w:rPr>
          <w:noProof/>
        </w:rPr>
        <w:t> </w:t>
      </w:r>
      <w:r w:rsidR="00F3388F" w:rsidRPr="008D3351">
        <w:rPr>
          <w:noProof/>
        </w:rPr>
        <w:t>258/97 (GU L 354 del 31.12.2008, pag. 7)</w:t>
      </w:r>
    </w:p>
    <w:p w14:paraId="2AAF5CFD" w14:textId="47EF9F4E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53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1333/2008</w:t>
        </w:r>
      </w:hyperlink>
      <w:r w:rsidR="00F3388F" w:rsidRPr="008D3351">
        <w:rPr>
          <w:noProof/>
        </w:rPr>
        <w:t xml:space="preserve"> del Parlamento europeo e del Consiglio, del 16 dicembre 2008, relativo agli additivi alimentari (GU L 354 del 31.12.2008, pag. 16)</w:t>
      </w:r>
    </w:p>
    <w:p w14:paraId="248F20EA" w14:textId="6FCEE733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54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1334/2008</w:t>
        </w:r>
      </w:hyperlink>
      <w:r w:rsidR="00F3388F" w:rsidRPr="008D3351">
        <w:rPr>
          <w:noProof/>
        </w:rPr>
        <w:t xml:space="preserve"> del Parlamento europeo e del Consiglio, del 16 dicembre 2008, relativo agli aromi e ad alcuni ingredienti alimentari con proprietà aromatizzanti destinati a essere utilizzati negli e sugli alimenti e che modifica il regolamento (CEE)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1601/91 del Consiglio, i regolamenti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2232/96 e (CE) </w:t>
      </w:r>
      <w:r w:rsidR="008D3351">
        <w:rPr>
          <w:noProof/>
        </w:rPr>
        <w:t>n.</w:t>
      </w:r>
      <w:r w:rsidR="00E00AF1">
        <w:rPr>
          <w:noProof/>
        </w:rPr>
        <w:t> </w:t>
      </w:r>
      <w:r w:rsidR="00F3388F" w:rsidRPr="008D3351">
        <w:rPr>
          <w:noProof/>
        </w:rPr>
        <w:t>110/2008 e la direttiva 2000/13/CE (GU L 354 del 31.12.2008, pag. 34).</w:t>
      </w:r>
    </w:p>
    <w:p w14:paraId="21EE8408" w14:textId="77777777" w:rsidR="007902FB" w:rsidRPr="008D3351" w:rsidRDefault="00BE17F2" w:rsidP="0006616A">
      <w:pPr>
        <w:pStyle w:val="ListNumber"/>
        <w:rPr>
          <w:rFonts w:eastAsia="Times New Roman"/>
          <w:noProof/>
        </w:rPr>
      </w:pPr>
      <w:hyperlink r:id="rId55" w:history="1">
        <w:r w:rsidR="00F3388F" w:rsidRPr="008D3351">
          <w:rPr>
            <w:rStyle w:val="Hyperlink"/>
            <w:noProof/>
          </w:rPr>
          <w:t>Direttiva 2009/125/CE</w:t>
        </w:r>
      </w:hyperlink>
      <w:r w:rsidR="00F3388F" w:rsidRPr="008D3351">
        <w:rPr>
          <w:noProof/>
        </w:rPr>
        <w:t xml:space="preserve"> del Parlamento europeo e del Consiglio, del 21 ottobre 2009, relativa all'istituzione di un quadro per l'elaborazione di specifiche per la progettazione ecocompatibile dei prodotti connessi all'energia (GU L 285 del 31.10.2009, pag. 10)</w:t>
      </w:r>
    </w:p>
    <w:p w14:paraId="564BE446" w14:textId="36C0549A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56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401/2009</w:t>
        </w:r>
      </w:hyperlink>
      <w:r w:rsidR="00F3388F" w:rsidRPr="008D3351">
        <w:rPr>
          <w:noProof/>
        </w:rPr>
        <w:t xml:space="preserve"> del Parlamento europeo e del Consiglio, del 23 aprile 2009, sull'Agenzia europea dell’ambiente e la rete europea d’informazione e di osservazione in materia ambientale (GU L 126 del 21.5.2009, pag. 13)</w:t>
      </w:r>
    </w:p>
    <w:p w14:paraId="38812234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57">
        <w:r w:rsidR="00F3388F" w:rsidRPr="008D3351">
          <w:rPr>
            <w:rStyle w:val="Hyperlink"/>
            <w:noProof/>
          </w:rPr>
          <w:t>Direttiva 2009/32/CE</w:t>
        </w:r>
      </w:hyperlink>
      <w:r w:rsidR="00F3388F" w:rsidRPr="008D3351">
        <w:rPr>
          <w:noProof/>
        </w:rPr>
        <w:t xml:space="preserve"> del Parlamento europeo e del Consiglio, del 23 aprile 2009, per il ravvicinamento delle legislazioni degli Stati membri riguardanti i solventi da estrazione impiegati nella preparazione dei prodotti alimentari e dei loro ingredienti (GU L 141 del 6.6.2009, pag. 3)</w:t>
      </w:r>
    </w:p>
    <w:p w14:paraId="4D09F763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58">
        <w:r w:rsidR="00F3388F" w:rsidRPr="008D3351">
          <w:rPr>
            <w:rStyle w:val="Hyperlink"/>
            <w:noProof/>
          </w:rPr>
          <w:t>Direttiva 2009/48/CE</w:t>
        </w:r>
      </w:hyperlink>
      <w:r w:rsidR="00F3388F" w:rsidRPr="008D3351">
        <w:rPr>
          <w:noProof/>
        </w:rPr>
        <w:t xml:space="preserve"> del Parlamento europeo e del Consiglio, del 18 giugno 2009, sulla sicurezza dei giocattoli (GU L 170 del 30.6.2009, pag. 1)</w:t>
      </w:r>
    </w:p>
    <w:p w14:paraId="12646A48" w14:textId="0E7EFB2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59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1069/2009</w:t>
        </w:r>
      </w:hyperlink>
      <w:r w:rsidR="00F3388F" w:rsidRPr="008D3351">
        <w:rPr>
          <w:noProof/>
        </w:rPr>
        <w:t xml:space="preserve"> </w:t>
      </w:r>
      <w:r w:rsidR="00F3388F" w:rsidRPr="008D3351">
        <w:rPr>
          <w:rStyle w:val="Hyperlink"/>
          <w:noProof/>
          <w:color w:val="auto"/>
          <w:u w:val="none"/>
        </w:rPr>
        <w:t>del Parlamento europeo e del Consiglio, del 21</w:t>
      </w:r>
      <w:r w:rsidR="00E00AF1">
        <w:rPr>
          <w:rStyle w:val="Hyperlink"/>
          <w:noProof/>
          <w:color w:val="auto"/>
          <w:u w:val="none"/>
        </w:rPr>
        <w:t> </w:t>
      </w:r>
      <w:r w:rsidR="00F3388F" w:rsidRPr="008D3351">
        <w:rPr>
          <w:rStyle w:val="Hyperlink"/>
          <w:noProof/>
          <w:color w:val="auto"/>
          <w:u w:val="none"/>
        </w:rPr>
        <w:t>ottobre 2009</w:t>
      </w:r>
      <w:r w:rsidR="00F3388F" w:rsidRPr="008D3351">
        <w:rPr>
          <w:noProof/>
        </w:rPr>
        <w:t xml:space="preserve">, recante norme sanitarie relative ai sottoprodotti di origine animale e ai prodotti derivati non destinati al consumo umano e che abroga il regolamento (CE) </w:t>
      </w:r>
      <w:r w:rsidR="008D3351">
        <w:rPr>
          <w:noProof/>
        </w:rPr>
        <w:t>n.</w:t>
      </w:r>
      <w:r w:rsidR="00E00AF1">
        <w:rPr>
          <w:noProof/>
        </w:rPr>
        <w:t> </w:t>
      </w:r>
      <w:r w:rsidR="00F3388F" w:rsidRPr="008D3351">
        <w:rPr>
          <w:noProof/>
        </w:rPr>
        <w:t>1774/2002 (GU L 300 del 14.11.2009, pag. 1)</w:t>
      </w:r>
    </w:p>
    <w:p w14:paraId="314E136A" w14:textId="49EDC376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60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1107/2009</w:t>
        </w:r>
      </w:hyperlink>
      <w:r w:rsidR="00F3388F" w:rsidRPr="008D3351">
        <w:rPr>
          <w:noProof/>
        </w:rPr>
        <w:t xml:space="preserve"> del Parlamento europeo e del Consiglio, del 21</w:t>
      </w:r>
      <w:r w:rsidR="00E00AF1">
        <w:rPr>
          <w:noProof/>
        </w:rPr>
        <w:t> </w:t>
      </w:r>
      <w:r w:rsidR="00F3388F" w:rsidRPr="008D3351">
        <w:rPr>
          <w:noProof/>
        </w:rPr>
        <w:t>ottobre 2009, relativo all’immissione sul mercato dei prodotti fitosanitari e che abroga le direttive del Consiglio 79/117/CEE e 91/414/CEE (GU L 309 del 24.11.2009, pag. 1)</w:t>
      </w:r>
    </w:p>
    <w:p w14:paraId="1B4B9962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61">
        <w:r w:rsidR="00F3388F" w:rsidRPr="008D3351">
          <w:rPr>
            <w:rStyle w:val="Hyperlink"/>
            <w:noProof/>
          </w:rPr>
          <w:t>Direttiva 2009/128/CE</w:t>
        </w:r>
      </w:hyperlink>
      <w:r w:rsidR="00F3388F" w:rsidRPr="008D3351">
        <w:rPr>
          <w:noProof/>
        </w:rPr>
        <w:t xml:space="preserve"> del Parlamento europeo e del Consiglio, del 21 ottobre 2009, che istituisce un quadro per l'azione comunitaria ai fini dell'utilizzo sostenibile dei pesticidi (GU L 309 del 24.11.2009, pag. 71)</w:t>
      </w:r>
    </w:p>
    <w:p w14:paraId="3E481034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62">
        <w:r w:rsidR="00F3388F" w:rsidRPr="008D3351">
          <w:rPr>
            <w:rStyle w:val="Hyperlink"/>
            <w:noProof/>
          </w:rPr>
          <w:t>Direttiva 2009/148/CE</w:t>
        </w:r>
      </w:hyperlink>
      <w:r w:rsidR="00F3388F" w:rsidRPr="008D3351">
        <w:rPr>
          <w:noProof/>
        </w:rPr>
        <w:t xml:space="preserve"> del Parlamento europeo e del Consiglio, del 30 novembre 2009, sulla protezione dei lavoratori contro i rischi connessi con un’esposizione all’amianto durante il lavoro (GU L 330 del 16.12.2009, pag. 28)</w:t>
      </w:r>
    </w:p>
    <w:p w14:paraId="6DA27F4B" w14:textId="45EDE470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63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1221/2009</w:t>
        </w:r>
      </w:hyperlink>
      <w:r w:rsidR="00F3388F" w:rsidRPr="008D3351">
        <w:rPr>
          <w:noProof/>
        </w:rPr>
        <w:t xml:space="preserve"> del Parlamento europeo e del Consiglio, del 25</w:t>
      </w:r>
      <w:r w:rsidR="00E00AF1">
        <w:rPr>
          <w:noProof/>
        </w:rPr>
        <w:t> </w:t>
      </w:r>
      <w:r w:rsidR="00F3388F" w:rsidRPr="008D3351">
        <w:rPr>
          <w:noProof/>
        </w:rPr>
        <w:t xml:space="preserve">novembre 2009, sull’adesione volontaria delle organizzazioni a un sistema comunitario di ecogestione e audit (EMAS), che abroga il regolamento (CE) </w:t>
      </w:r>
      <w:r w:rsidR="008D3351">
        <w:rPr>
          <w:noProof/>
        </w:rPr>
        <w:t>n.</w:t>
      </w:r>
      <w:r w:rsidR="00E00AF1">
        <w:rPr>
          <w:noProof/>
        </w:rPr>
        <w:t> </w:t>
      </w:r>
      <w:r w:rsidR="00F3388F" w:rsidRPr="008D3351">
        <w:rPr>
          <w:noProof/>
        </w:rPr>
        <w:t>761/2001 e le decisioni della Commissione 2001/681/CE e 2006/193/CE (GU L 342 del 22.12.2009, pag. 1)</w:t>
      </w:r>
    </w:p>
    <w:p w14:paraId="0DFA4960" w14:textId="7E01C240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64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1223/2009</w:t>
        </w:r>
      </w:hyperlink>
      <w:r w:rsidR="00F3388F" w:rsidRPr="008D3351">
        <w:rPr>
          <w:noProof/>
        </w:rPr>
        <w:t xml:space="preserve"> del Parlamento europeo e del Consiglio, del 30</w:t>
      </w:r>
      <w:r w:rsidR="00E00AF1">
        <w:rPr>
          <w:noProof/>
        </w:rPr>
        <w:t> </w:t>
      </w:r>
      <w:r w:rsidR="00F3388F" w:rsidRPr="008D3351">
        <w:rPr>
          <w:noProof/>
        </w:rPr>
        <w:t>novembre 2009, sui prodotti cosmetici (GU L 342 del 22.12.2009, pag. 59)</w:t>
      </w:r>
    </w:p>
    <w:p w14:paraId="55DD955B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65">
        <w:r w:rsidR="00F3388F" w:rsidRPr="008D3351">
          <w:rPr>
            <w:rStyle w:val="Hyperlink"/>
            <w:noProof/>
          </w:rPr>
          <w:t>Direttiva 2010/75/UE</w:t>
        </w:r>
      </w:hyperlink>
      <w:r w:rsidR="00F3388F" w:rsidRPr="008D3351">
        <w:rPr>
          <w:noProof/>
        </w:rPr>
        <w:t xml:space="preserve"> del Parlamento europeo e del Consiglio, del 24 novembre 2010, relativa alle emissioni industriali (prevenzione e riduzione integrate dell'inquinamento) (GU L 334 del 17.12.2010, pag. 17)</w:t>
      </w:r>
    </w:p>
    <w:p w14:paraId="30B7A7B7" w14:textId="43B1FF69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66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66/2010</w:t>
        </w:r>
      </w:hyperlink>
      <w:r w:rsidR="00F3388F" w:rsidRPr="008D3351">
        <w:rPr>
          <w:noProof/>
        </w:rPr>
        <w:t xml:space="preserve"> del Parlamento europeo e del Consiglio, del 25</w:t>
      </w:r>
      <w:r w:rsidR="00E00AF1">
        <w:rPr>
          <w:noProof/>
        </w:rPr>
        <w:t> </w:t>
      </w:r>
      <w:r w:rsidR="00F3388F" w:rsidRPr="008D3351">
        <w:rPr>
          <w:noProof/>
        </w:rPr>
        <w:t xml:space="preserve">novembre 2009, relativo al marchio di qualità ecologica dell'Unione europea (Ecolabel UE) (GU L 027 del 30.1.2010, pag. 1) </w:t>
      </w:r>
    </w:p>
    <w:p w14:paraId="10A9E14A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67">
        <w:r w:rsidR="00F3388F" w:rsidRPr="008D3351">
          <w:rPr>
            <w:rStyle w:val="Hyperlink"/>
            <w:noProof/>
          </w:rPr>
          <w:t xml:space="preserve">Direttiva 2011/65/UE </w:t>
        </w:r>
      </w:hyperlink>
      <w:r w:rsidR="00F3388F" w:rsidRPr="008D3351">
        <w:rPr>
          <w:noProof/>
        </w:rPr>
        <w:t>del Parlamento europeo e del Consiglio, dell’8 giugno 2011, sulla restrizione dell'uso di determinate sostanze pericolose nelle apparecchiature elettriche ed elettroniche (GU L 174 dell’1.7.2011, pag. 88)</w:t>
      </w:r>
    </w:p>
    <w:p w14:paraId="60348423" w14:textId="50ACFA55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68">
        <w:r w:rsidR="00F3388F" w:rsidRPr="008D3351">
          <w:rPr>
            <w:rStyle w:val="Hyperlink"/>
            <w:noProof/>
          </w:rPr>
          <w:t xml:space="preserve">Regolamento (UE)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1169/2011</w:t>
        </w:r>
      </w:hyperlink>
      <w:r w:rsidR="00F3388F" w:rsidRPr="008D3351">
        <w:rPr>
          <w:noProof/>
        </w:rPr>
        <w:t xml:space="preserve"> del Parlamento europeo e del Consiglio, del 25</w:t>
      </w:r>
      <w:r w:rsidR="00E00AF1">
        <w:rPr>
          <w:noProof/>
        </w:rPr>
        <w:t> </w:t>
      </w:r>
      <w:r w:rsidR="00F3388F" w:rsidRPr="008D3351">
        <w:rPr>
          <w:noProof/>
        </w:rPr>
        <w:t xml:space="preserve">ottobre 2011, relativo alla fornitura di informazioni sugli alimenti ai consumatori, che modifica i regolamenti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1924/2006 e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1925/2006 del Parlamento europeo e del Consiglio e abroga la direttiva 87/250/CEE della Commissione, la direttiva 90/496/CEE del Consiglio, la direttiva 1999/10/CE della Commissione, la direttiva 2000/13/CE del Parlamento europeo e del Consiglio, le direttive 2002/67/CE e 2008/5/CE della Commissione e il regolamento (CE) </w:t>
      </w:r>
      <w:r w:rsidR="008D3351">
        <w:rPr>
          <w:noProof/>
        </w:rPr>
        <w:t>n.</w:t>
      </w:r>
      <w:r w:rsidR="00E00AF1">
        <w:rPr>
          <w:noProof/>
        </w:rPr>
        <w:t> </w:t>
      </w:r>
      <w:r w:rsidR="00F3388F" w:rsidRPr="008D3351">
        <w:rPr>
          <w:noProof/>
        </w:rPr>
        <w:t>608/2004 della Commissione (GU L 304 del 22.11.2011, pag. 18)</w:t>
      </w:r>
    </w:p>
    <w:p w14:paraId="59BE0BA7" w14:textId="3B7E76D9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69">
        <w:r w:rsidR="00F3388F" w:rsidRPr="008D3351">
          <w:rPr>
            <w:rStyle w:val="Hyperlink"/>
            <w:noProof/>
          </w:rPr>
          <w:t xml:space="preserve">Regolamento (UE)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 xml:space="preserve">528/2012 </w:t>
        </w:r>
      </w:hyperlink>
      <w:r w:rsidR="00F3388F" w:rsidRPr="008D3351">
        <w:rPr>
          <w:noProof/>
        </w:rPr>
        <w:t>del Parlamento europeo e del Consiglio, del 22</w:t>
      </w:r>
      <w:r w:rsidR="00E00AF1">
        <w:rPr>
          <w:noProof/>
        </w:rPr>
        <w:t> </w:t>
      </w:r>
      <w:r w:rsidR="00F3388F" w:rsidRPr="008D3351">
        <w:rPr>
          <w:noProof/>
        </w:rPr>
        <w:t>maggio 2012, relativo alla messa a disposizione sul mercato e all'uso dei biocidi (GU L 167 del 27.6.2012, pag. 1)</w:t>
      </w:r>
    </w:p>
    <w:p w14:paraId="6AD1F6CF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70">
        <w:r w:rsidR="00F3388F" w:rsidRPr="008D3351">
          <w:rPr>
            <w:rStyle w:val="Hyperlink"/>
            <w:noProof/>
          </w:rPr>
          <w:t>Direttiva 2012/18/UE</w:t>
        </w:r>
      </w:hyperlink>
      <w:r w:rsidR="00F3388F" w:rsidRPr="008D3351">
        <w:rPr>
          <w:noProof/>
        </w:rPr>
        <w:t xml:space="preserve"> del Parlamento europeo e del Consiglio, del 4 luglio 2012, sul controllo del pericolo di incidenti rilevanti connessi con sostanze pericolose, recante modifica e successiva abrogazione della direttiva 96/82/CE del Consiglio (GU L 197 del 24.7.2012, pag. 1)</w:t>
      </w:r>
    </w:p>
    <w:p w14:paraId="13F647AE" w14:textId="77777777" w:rsidR="00FF528C" w:rsidRPr="008D3351" w:rsidRDefault="00BE17F2" w:rsidP="0006616A">
      <w:pPr>
        <w:pStyle w:val="ListNumber"/>
        <w:rPr>
          <w:rFonts w:eastAsia="Times New Roman"/>
          <w:noProof/>
        </w:rPr>
      </w:pPr>
      <w:hyperlink r:id="rId71" w:history="1">
        <w:r w:rsidR="00F3388F" w:rsidRPr="008D3351">
          <w:rPr>
            <w:rStyle w:val="Hyperlink"/>
            <w:noProof/>
          </w:rPr>
          <w:t>Direttiva 2012/19/UE</w:t>
        </w:r>
      </w:hyperlink>
      <w:r w:rsidR="00F3388F" w:rsidRPr="008D3351">
        <w:rPr>
          <w:noProof/>
        </w:rPr>
        <w:t xml:space="preserve"> del Parlamento europeo e del Consiglio, del 4 luglio 2012, sui rifiuti di apparecchiature elettriche ed elettroniche (RAEE) (GU L 197 del 24.7.2012, pag. 38)</w:t>
      </w:r>
    </w:p>
    <w:p w14:paraId="6A28A803" w14:textId="5FC3BA0D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72">
        <w:r w:rsidR="00F3388F" w:rsidRPr="008D3351">
          <w:rPr>
            <w:rStyle w:val="Hyperlink"/>
            <w:noProof/>
          </w:rPr>
          <w:t xml:space="preserve">Regolamento (UE)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649/2012</w:t>
        </w:r>
      </w:hyperlink>
      <w:r w:rsidR="00F3388F" w:rsidRPr="008D3351">
        <w:rPr>
          <w:noProof/>
        </w:rPr>
        <w:t xml:space="preserve"> del Parlamento europeo e del Consiglio, del 4 luglio 2012, sull’esportazione e importazione di sostanze chimiche pericolose (GU L 201 del 27.7.2012, pag. 60)</w:t>
      </w:r>
    </w:p>
    <w:p w14:paraId="34C27812" w14:textId="24A9C9B4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73">
        <w:r w:rsidR="00F3388F" w:rsidRPr="008D3351">
          <w:rPr>
            <w:rStyle w:val="Hyperlink"/>
            <w:noProof/>
          </w:rPr>
          <w:t xml:space="preserve">Regolamento (UE)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609/2013</w:t>
        </w:r>
      </w:hyperlink>
      <w:r w:rsidR="00F3388F" w:rsidRPr="008D3351">
        <w:rPr>
          <w:noProof/>
        </w:rPr>
        <w:t xml:space="preserve"> del Parlamento europeo e del Consiglio, del 12</w:t>
      </w:r>
      <w:r w:rsidR="00E00AF1">
        <w:rPr>
          <w:noProof/>
        </w:rPr>
        <w:t> </w:t>
      </w:r>
      <w:r w:rsidR="00F3388F" w:rsidRPr="008D3351">
        <w:rPr>
          <w:noProof/>
        </w:rPr>
        <w:t xml:space="preserve">giugno 2013, relativo agli alimenti destinati ai lattanti e ai bambini nella prima infanzia, agli alimenti a fini medici speciali e ai sostituti dell’intera razione alimentare giornaliera per il controllo del peso e che abroga la direttiva 92/52/CEE del Consiglio, le direttive 96/8/CE, 1999/21/CE, 2006/125/CE e 2006/141/CE della Commissione, la direttiva 2009/39/CE del Parlamento europeo e del Consiglio e i regolamenti (CE) </w:t>
      </w:r>
      <w:r w:rsidR="008D3351">
        <w:rPr>
          <w:noProof/>
        </w:rPr>
        <w:t>n.</w:t>
      </w:r>
      <w:r w:rsidR="00E00AF1">
        <w:rPr>
          <w:noProof/>
        </w:rPr>
        <w:t> </w:t>
      </w:r>
      <w:r w:rsidR="00F3388F" w:rsidRPr="008D3351">
        <w:rPr>
          <w:noProof/>
        </w:rPr>
        <w:t xml:space="preserve">41/2009 e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>953/2009 della Commissione (GU L 181 del 29.6.2013, pag. 35)</w:t>
      </w:r>
    </w:p>
    <w:p w14:paraId="2385237B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74">
        <w:r w:rsidR="00F3388F" w:rsidRPr="008D3351">
          <w:rPr>
            <w:rStyle w:val="Hyperlink"/>
            <w:noProof/>
          </w:rPr>
          <w:t>Direttiva 2014/28/UE</w:t>
        </w:r>
      </w:hyperlink>
      <w:r w:rsidR="00F3388F" w:rsidRPr="008D3351">
        <w:rPr>
          <w:noProof/>
        </w:rPr>
        <w:t xml:space="preserve"> del Parlamento europeo e del Consiglio, del 26 febbraio 2014, concernente l’armonizzazione delle legislazioni degli Stati membri relative alla messa a disposizione sul mercato e al controllo degli esplosivi per uso civile (GU L 96 del 29.3.2014, pag. 1)</w:t>
      </w:r>
    </w:p>
    <w:p w14:paraId="45AEF076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75">
        <w:r w:rsidR="00F3388F" w:rsidRPr="008D3351">
          <w:rPr>
            <w:rStyle w:val="Hyperlink"/>
            <w:noProof/>
          </w:rPr>
          <w:t>Direttiva 2014/40/UE</w:t>
        </w:r>
      </w:hyperlink>
      <w:r w:rsidR="00F3388F" w:rsidRPr="008D3351">
        <w:rPr>
          <w:noProof/>
        </w:rPr>
        <w:t xml:space="preserve"> del Parlamento europeo e del Consiglio, del 3 aprile 2014, sul ravvicinamento delle disposizioni legislative, regolamentari e amministrative degli Stati membri relative alla lavorazione, alla presentazione e alla vendita dei prodotti del tabacco e dei prodotti correlati e che abroga la direttiva 2001/37/CE (GU L 127 del 29.4.2014, pag. 1)</w:t>
      </w:r>
    </w:p>
    <w:p w14:paraId="634BC358" w14:textId="687C557D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76">
        <w:r w:rsidR="00F3388F" w:rsidRPr="008D3351">
          <w:rPr>
            <w:rStyle w:val="Hyperlink"/>
            <w:noProof/>
          </w:rPr>
          <w:t xml:space="preserve">Regolamento (UE)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 xml:space="preserve">517/2014 </w:t>
        </w:r>
      </w:hyperlink>
      <w:r w:rsidR="00F3388F" w:rsidRPr="008D3351">
        <w:rPr>
          <w:noProof/>
        </w:rPr>
        <w:t xml:space="preserve">del Parlamento europeo e del Consiglio, del 16 aprile 2014, sui gas fluorurati a effetto serra e che abroga il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>842/2006 (GU L 150 del 20.5.2014, pag. 195)</w:t>
      </w:r>
    </w:p>
    <w:p w14:paraId="6C91F70F" w14:textId="1BF32561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77">
        <w:r w:rsidR="00F3388F" w:rsidRPr="008D3351">
          <w:rPr>
            <w:rStyle w:val="Hyperlink"/>
            <w:noProof/>
          </w:rPr>
          <w:t>Regolamento (UE) 2015/2283</w:t>
        </w:r>
      </w:hyperlink>
      <w:r w:rsidR="00F3388F" w:rsidRPr="008D3351">
        <w:rPr>
          <w:noProof/>
        </w:rPr>
        <w:t xml:space="preserve"> del Parlamento europeo e del Consiglio, del 25</w:t>
      </w:r>
      <w:r w:rsidR="00E00AF1">
        <w:rPr>
          <w:noProof/>
        </w:rPr>
        <w:t> </w:t>
      </w:r>
      <w:r w:rsidR="00F3388F" w:rsidRPr="008D3351">
        <w:rPr>
          <w:noProof/>
        </w:rPr>
        <w:t xml:space="preserve">novembre 2015, relativo ai nuovi alimenti e che modifica il regolamento (UE) </w:t>
      </w:r>
      <w:r w:rsidR="008D3351">
        <w:rPr>
          <w:noProof/>
        </w:rPr>
        <w:t>n.</w:t>
      </w:r>
      <w:r w:rsidR="00E00AF1">
        <w:rPr>
          <w:noProof/>
        </w:rPr>
        <w:t> </w:t>
      </w:r>
      <w:r w:rsidR="00F3388F" w:rsidRPr="008D3351">
        <w:rPr>
          <w:noProof/>
        </w:rPr>
        <w:t xml:space="preserve">1169/2011 del Parlamento europeo e del Consiglio e abroga il regolamento (CE) </w:t>
      </w:r>
      <w:r w:rsidR="008D3351">
        <w:rPr>
          <w:noProof/>
        </w:rPr>
        <w:t>n.</w:t>
      </w:r>
      <w:r w:rsidR="00E00AF1">
        <w:rPr>
          <w:noProof/>
        </w:rPr>
        <w:t> </w:t>
      </w:r>
      <w:r w:rsidR="00F3388F" w:rsidRPr="008D3351">
        <w:rPr>
          <w:noProof/>
        </w:rPr>
        <w:t xml:space="preserve">258/97 del Parlamento europeo e del Consiglio e il regolamento (CE) </w:t>
      </w:r>
      <w:r w:rsidR="008D3351">
        <w:rPr>
          <w:noProof/>
        </w:rPr>
        <w:t>n.</w:t>
      </w:r>
      <w:r w:rsidR="00E00AF1">
        <w:rPr>
          <w:noProof/>
        </w:rPr>
        <w:t> </w:t>
      </w:r>
      <w:r w:rsidR="00F3388F" w:rsidRPr="008D3351">
        <w:rPr>
          <w:noProof/>
        </w:rPr>
        <w:t>1852/2001 della Commissione (GU L 327 dell'11.12.2015, pag. 1)</w:t>
      </w:r>
    </w:p>
    <w:p w14:paraId="36BFF076" w14:textId="7777777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78">
        <w:r w:rsidR="00F3388F" w:rsidRPr="008D3351">
          <w:rPr>
            <w:rStyle w:val="Hyperlink"/>
            <w:noProof/>
          </w:rPr>
          <w:t>Direttiva (UE) 2016/2284</w:t>
        </w:r>
      </w:hyperlink>
      <w:r w:rsidR="00F3388F" w:rsidRPr="008D3351">
        <w:rPr>
          <w:noProof/>
        </w:rPr>
        <w:t xml:space="preserve"> del Parlamento europeo e del Consiglio, del 14 dicembre 2016, concernente la riduzione delle emissioni nazionali di determinati inquinanti atmosferici, che modifica la direttiva 2003/35/CE e abroga la direttiva 2001/81/CE (GU L 344 del 17.12.2016, pag. 1)</w:t>
      </w:r>
    </w:p>
    <w:p w14:paraId="7C78BC00" w14:textId="11C8CDA4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79">
        <w:r w:rsidR="00F3388F" w:rsidRPr="008D3351">
          <w:rPr>
            <w:rStyle w:val="Hyperlink"/>
            <w:noProof/>
          </w:rPr>
          <w:t>Regolamento (UE) 2017/625</w:t>
        </w:r>
      </w:hyperlink>
      <w:r w:rsidR="00F3388F" w:rsidRPr="008D3351">
        <w:rPr>
          <w:noProof/>
        </w:rPr>
        <w:t xml:space="preserve"> del Parlamento europeo e del Consiglio, del 15 marzo 2017, relativo ai controlli ufficiali e alle altre attività ufficiali effettuati per garantire l’applicazione della legislazione sugli alimenti e sui mangimi, delle norme sulla salute e sul benessere degli animali, sulla sanità delle piante nonché sui prodotti fitosanitari, recante modifica dei regolamenti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999/2001,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396/2005, (CE) </w:t>
      </w:r>
      <w:r w:rsidR="008D3351">
        <w:rPr>
          <w:noProof/>
        </w:rPr>
        <w:t>n.</w:t>
      </w:r>
      <w:r w:rsidR="00E00AF1">
        <w:rPr>
          <w:noProof/>
        </w:rPr>
        <w:t> </w:t>
      </w:r>
      <w:r w:rsidR="00F3388F" w:rsidRPr="008D3351">
        <w:rPr>
          <w:noProof/>
        </w:rPr>
        <w:t xml:space="preserve">1069/2009,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1107/2009, (UE)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1151/2012, (UE)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652/2014, (UE) 2016/429 e (UE) 2016/2031 del Parlamento europeo e del Consiglio, dei regolamenti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1/2005 e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1099/2009 del Consiglio e delle direttive 98/58/CE, 1999/74/CE, 2007/43/CE, 2008/119/CE e 2008/120/CE del Consiglio, e che abroga i regolamenti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854/2004 e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>882/2004 del Parlamento europeo e del Consiglio, le direttive 89/608/CEE, 89/662/CEE, 90/425/CEE, 91/496/CEE, 96/23/CE, 96/93/CE e 97/78/CE del Consiglio e la decisione 92/438/CEE del Consiglio (regolamento sui controlli ufficiali) (GU L 095 del 7.4.2017, pag. 1)</w:t>
      </w:r>
    </w:p>
    <w:p w14:paraId="3ED143BC" w14:textId="2FB9A0D7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80">
        <w:r w:rsidR="00F3388F" w:rsidRPr="008D3351">
          <w:rPr>
            <w:rStyle w:val="Hyperlink"/>
            <w:noProof/>
          </w:rPr>
          <w:t>Regolamento (UE) 2017/745</w:t>
        </w:r>
      </w:hyperlink>
      <w:r w:rsidR="00F3388F" w:rsidRPr="008D3351">
        <w:rPr>
          <w:noProof/>
        </w:rPr>
        <w:t xml:space="preserve"> del Parlamento europeo e del Consiglio, del 5 aprile 2017, relativo ai dispositivi medici, che modifica la direttiva 2001/83/CE, il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178/2002 e il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>1223/2009 e che abroga le direttive 90/385/CEE e 93/42/CEE del Consiglio (GU L 117 del 5.5.2017, pag. 1)</w:t>
      </w:r>
    </w:p>
    <w:p w14:paraId="7D206753" w14:textId="2C0E2944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81">
        <w:r w:rsidR="00F3388F" w:rsidRPr="008D3351">
          <w:rPr>
            <w:rStyle w:val="Hyperlink"/>
            <w:noProof/>
          </w:rPr>
          <w:t>Regolamento (UE) 2017/852</w:t>
        </w:r>
      </w:hyperlink>
      <w:r w:rsidR="00F3388F" w:rsidRPr="008D3351">
        <w:rPr>
          <w:noProof/>
        </w:rPr>
        <w:t xml:space="preserve"> del Parlamento europeo e del Consiglio, del 17</w:t>
      </w:r>
      <w:r w:rsidR="00E00AF1">
        <w:rPr>
          <w:noProof/>
        </w:rPr>
        <w:t> </w:t>
      </w:r>
      <w:r w:rsidR="00F3388F" w:rsidRPr="008D3351">
        <w:rPr>
          <w:noProof/>
        </w:rPr>
        <w:t xml:space="preserve">maggio 2017, sul mercurio, che abroga il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>1102/2008 (GU L 137 del 24.5.2017, pag. 1)</w:t>
      </w:r>
    </w:p>
    <w:p w14:paraId="5F28C7CC" w14:textId="4AE55D08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82">
        <w:r w:rsidR="00F3388F" w:rsidRPr="008D3351">
          <w:rPr>
            <w:rStyle w:val="Hyperlink"/>
            <w:noProof/>
          </w:rPr>
          <w:t>Regolamento (UE) 2019/4</w:t>
        </w:r>
      </w:hyperlink>
      <w:r w:rsidR="00F3388F" w:rsidRPr="008D3351">
        <w:rPr>
          <w:noProof/>
        </w:rPr>
        <w:t xml:space="preserve"> del Parlamento europeo e del Consiglio, dell'11 dicembre 2018, relativo alla fabbricazione, all’immissione sul mercato e all’utilizzo di mangimi medicati, che modifica il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>183/2005 del Parlamento europeo e del Consiglio e che abroga la direttiva 90/167/CEE del Consiglio (GU L 4 del 7.1.2019, pag. 1)</w:t>
      </w:r>
    </w:p>
    <w:p w14:paraId="3A85C5A3" w14:textId="0898E74B" w:rsidR="0006616A" w:rsidRPr="008D3351" w:rsidRDefault="00BE17F2" w:rsidP="0006616A">
      <w:pPr>
        <w:pStyle w:val="ListNumber"/>
        <w:rPr>
          <w:rFonts w:eastAsia="Times New Roman"/>
          <w:noProof/>
        </w:rPr>
      </w:pPr>
      <w:hyperlink r:id="rId83">
        <w:r w:rsidR="00F3388F" w:rsidRPr="008D3351">
          <w:rPr>
            <w:rStyle w:val="Hyperlink"/>
            <w:noProof/>
          </w:rPr>
          <w:t>Regolamento (UE) 2019/1009</w:t>
        </w:r>
      </w:hyperlink>
      <w:r w:rsidR="00F3388F" w:rsidRPr="008D3351">
        <w:rPr>
          <w:noProof/>
        </w:rPr>
        <w:t xml:space="preserve"> del Parlamento europeo e del Consiglio, del 5 giugno 2019, che stabilisce norme relative alla messa a disposizione sul mercato di prodotti fertilizzanti dell’UE, che modifica i regolamenti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1069/2009 e (CE) </w:t>
      </w:r>
      <w:r w:rsidR="008D3351">
        <w:rPr>
          <w:noProof/>
        </w:rPr>
        <w:t>n.</w:t>
      </w:r>
      <w:r w:rsidR="00445C32">
        <w:rPr>
          <w:noProof/>
        </w:rPr>
        <w:t> </w:t>
      </w:r>
      <w:r w:rsidR="00F3388F" w:rsidRPr="008D3351">
        <w:rPr>
          <w:noProof/>
        </w:rPr>
        <w:t xml:space="preserve">1107/2009 e che abroga il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>2003/2003 (GU L 170 del 25.6.2019, pag. 1)</w:t>
      </w:r>
    </w:p>
    <w:p w14:paraId="38FBC09A" w14:textId="77777777" w:rsidR="0006616A" w:rsidRPr="008D3351" w:rsidRDefault="00BE17F2" w:rsidP="0006616A">
      <w:pPr>
        <w:pStyle w:val="ListNumber"/>
        <w:rPr>
          <w:noProof/>
        </w:rPr>
      </w:pPr>
      <w:hyperlink r:id="rId84">
        <w:r w:rsidR="00F3388F" w:rsidRPr="008D3351">
          <w:rPr>
            <w:rStyle w:val="Hyperlink"/>
            <w:noProof/>
          </w:rPr>
          <w:t>Regolamento (UE) 2019/1021</w:t>
        </w:r>
      </w:hyperlink>
      <w:r w:rsidR="00F3388F" w:rsidRPr="008D3351">
        <w:rPr>
          <w:noProof/>
        </w:rPr>
        <w:t xml:space="preserve"> del Parlamento europeo e del Consiglio, del 20 giugno 2019, relativo agli inquinanti organici persistenti (GU L 169 del 25.6.2019, pag. 45)</w:t>
      </w:r>
    </w:p>
    <w:p w14:paraId="2D18AB3D" w14:textId="77777777" w:rsidR="004E57C7" w:rsidRPr="008D3351" w:rsidRDefault="00BE17F2" w:rsidP="0024583E">
      <w:pPr>
        <w:pStyle w:val="ListNumber"/>
        <w:rPr>
          <w:rFonts w:eastAsia="Times New Roman"/>
          <w:noProof/>
        </w:rPr>
      </w:pPr>
      <w:hyperlink r:id="rId85">
        <w:r w:rsidR="00F3388F" w:rsidRPr="008D3351">
          <w:rPr>
            <w:rStyle w:val="Hyperlink"/>
            <w:noProof/>
          </w:rPr>
          <w:t>Direttiva (UE) 2020/2184</w:t>
        </w:r>
      </w:hyperlink>
      <w:r w:rsidR="00F3388F" w:rsidRPr="008D3351">
        <w:rPr>
          <w:noProof/>
        </w:rPr>
        <w:t xml:space="preserve"> del Parlamento europeo e del Consiglio, del 16 dicembre 2020, concernente la qualità delle acque destinate al consumo umano (GU L 435 del 23.12.2020, pag. 1)</w:t>
      </w:r>
    </w:p>
    <w:p w14:paraId="266E0E17" w14:textId="77777777" w:rsidR="00DE08DF" w:rsidRPr="008D3351" w:rsidRDefault="005F48FF" w:rsidP="26231176">
      <w:pPr>
        <w:pStyle w:val="ListNumber"/>
        <w:tabs>
          <w:tab w:val="num" w:pos="426"/>
        </w:tabs>
        <w:ind w:hanging="374"/>
        <w:rPr>
          <w:rFonts w:eastAsia="Times New Roman"/>
          <w:noProof/>
        </w:rPr>
      </w:pPr>
      <w:r w:rsidRPr="008D3351">
        <w:rPr>
          <w:noProof/>
        </w:rPr>
        <w:t>Regolamento (UE) .../... del Parlamento europeo e del Consiglio, del ..., sul ripristino della natura (GU .../ELI: … [</w:t>
      </w:r>
      <w:r w:rsidRPr="008D3351">
        <w:rPr>
          <w:i/>
          <w:noProof/>
        </w:rPr>
        <w:t>OP: aggiungere il numero e il riferimento della pubblicazione</w:t>
      </w:r>
      <w:r w:rsidRPr="008D3351">
        <w:rPr>
          <w:noProof/>
        </w:rPr>
        <w:t>])</w:t>
      </w:r>
    </w:p>
    <w:p w14:paraId="671F5468" w14:textId="77777777" w:rsidR="00A96E27" w:rsidRPr="008D3351" w:rsidRDefault="00D805FB" w:rsidP="00C54EF3">
      <w:pPr>
        <w:pStyle w:val="ListNumber"/>
        <w:tabs>
          <w:tab w:val="num" w:pos="426"/>
        </w:tabs>
        <w:ind w:hanging="374"/>
        <w:rPr>
          <w:rFonts w:eastAsia="Times New Roman"/>
          <w:noProof/>
        </w:rPr>
      </w:pPr>
      <w:r w:rsidRPr="008D3351">
        <w:rPr>
          <w:noProof/>
        </w:rPr>
        <w:t>Regolamento (UE) .../... del Parlamento europeo e del Consiglio, del ..., relativo alle batterie e ai rifiuti di batterie, che abroga la direttiva 2006/66/CE e modifica il regolamento (UE) 2019/1020 (GU .../ELI: … [</w:t>
      </w:r>
      <w:r w:rsidRPr="008D3351">
        <w:rPr>
          <w:i/>
          <w:noProof/>
        </w:rPr>
        <w:t>OP: aggiungere il numero e il riferimento della pubblicazione</w:t>
      </w:r>
      <w:r w:rsidRPr="008D3351">
        <w:rPr>
          <w:noProof/>
        </w:rPr>
        <w:t>])</w:t>
      </w:r>
    </w:p>
    <w:p w14:paraId="37F601A2" w14:textId="77777777" w:rsidR="005E5908" w:rsidRPr="008D3351" w:rsidRDefault="005E5908" w:rsidP="26231176">
      <w:pPr>
        <w:rPr>
          <w:noProof/>
        </w:rPr>
        <w:sectPr w:rsidR="005E5908" w:rsidRPr="008D3351" w:rsidSect="00EB469E">
          <w:headerReference w:type="even" r:id="rId86"/>
          <w:footerReference w:type="even" r:id="rId87"/>
          <w:footerReference w:type="default" r:id="rId88"/>
          <w:headerReference w:type="first" r:id="rId89"/>
          <w:footerReference w:type="first" r:id="rId90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73A9743F" w14:textId="77777777" w:rsidR="00FD2770" w:rsidRPr="008D3351" w:rsidRDefault="00FD2770">
      <w:pPr>
        <w:spacing w:before="0" w:after="200" w:line="276" w:lineRule="auto"/>
        <w:jc w:val="left"/>
        <w:rPr>
          <w:b/>
          <w:noProof/>
          <w:u w:val="single"/>
        </w:rPr>
      </w:pPr>
    </w:p>
    <w:p w14:paraId="46DD9145" w14:textId="77777777" w:rsidR="09C9DDE0" w:rsidRPr="008D3351" w:rsidRDefault="09C9DDE0" w:rsidP="01C23B02">
      <w:pPr>
        <w:pStyle w:val="Annexetitre"/>
        <w:rPr>
          <w:rStyle w:val="Marker"/>
          <w:noProof/>
        </w:rPr>
      </w:pPr>
      <w:r w:rsidRPr="008D3351">
        <w:rPr>
          <w:noProof/>
        </w:rPr>
        <w:t>ALLEGATO II</w:t>
      </w:r>
    </w:p>
    <w:p w14:paraId="3D1ACBA0" w14:textId="77777777" w:rsidR="01C23B02" w:rsidRPr="008D3351" w:rsidRDefault="60E26DE2" w:rsidP="000C2094">
      <w:pPr>
        <w:pStyle w:val="ManualHeading1"/>
        <w:jc w:val="center"/>
        <w:rPr>
          <w:noProof/>
        </w:rPr>
      </w:pPr>
      <w:r w:rsidRPr="008D3351">
        <w:rPr>
          <w:noProof/>
        </w:rPr>
        <w:t>Atti dell'Unione di cui agli articoli 2, 3, 12, 17 e 23 e valori di riferimento di cui all'articolo 8</w:t>
      </w:r>
    </w:p>
    <w:p w14:paraId="48027E82" w14:textId="77777777" w:rsidR="09C9DDE0" w:rsidRPr="008D3351" w:rsidRDefault="7B859C47" w:rsidP="26231176">
      <w:pPr>
        <w:rPr>
          <w:rFonts w:eastAsiaTheme="minorEastAsia"/>
          <w:noProof/>
        </w:rPr>
      </w:pPr>
      <w:r w:rsidRPr="008D3351">
        <w:rPr>
          <w:b/>
          <w:noProof/>
        </w:rPr>
        <w:t>Parte 1</w:t>
      </w:r>
      <w:r w:rsidRPr="008D3351">
        <w:rPr>
          <w:noProof/>
        </w:rPr>
        <w:t xml:space="preserve"> – Dati specifici sulle sostanze attive pertinenti da identificare conformemente all'articolo 4, paragrafo 5, lettera b), che rientrano nell'ambito di applicazione del presente regolamento ai fini dell'articolo 3 per i medicinali per uso umano e veterinario:</w:t>
      </w:r>
    </w:p>
    <w:p w14:paraId="22BC22B6" w14:textId="4AC570EB" w:rsidR="09C9DDE0" w:rsidRPr="008D3351" w:rsidRDefault="09C9DDE0" w:rsidP="005E5908">
      <w:pPr>
        <w:pStyle w:val="ListNumber2"/>
        <w:rPr>
          <w:noProof/>
        </w:rPr>
      </w:pPr>
      <w:r w:rsidRPr="008D3351">
        <w:rPr>
          <w:noProof/>
        </w:rPr>
        <w:t>dati non clinici sulla sicurezza, compresi i dati relativi alle valutazioni del rischio ambientale, raccolti a norma della direttiva 2001/83/CE del Parlamento europeo e del Consiglio</w:t>
      </w:r>
      <w:r w:rsidR="00521270" w:rsidRPr="008D3351">
        <w:rPr>
          <w:rStyle w:val="FootnoteReference"/>
          <w:rFonts w:eastAsiaTheme="minorEastAsia"/>
          <w:noProof/>
          <w:szCs w:val="24"/>
          <w:lang w:eastAsia="en-IE"/>
        </w:rPr>
        <w:footnoteReference w:id="2"/>
      </w:r>
      <w:r w:rsidRPr="008D3351">
        <w:rPr>
          <w:noProof/>
        </w:rPr>
        <w:t xml:space="preserve"> e del regolamento (CE) </w:t>
      </w:r>
      <w:r w:rsidR="008D3351">
        <w:rPr>
          <w:noProof/>
        </w:rPr>
        <w:t xml:space="preserve">n. </w:t>
      </w:r>
      <w:r w:rsidRPr="008D3351">
        <w:rPr>
          <w:noProof/>
        </w:rPr>
        <w:t>726/2004 del Parlamento europeo e del Consiglio</w:t>
      </w:r>
      <w:r w:rsidR="00521270" w:rsidRPr="008D3351">
        <w:rPr>
          <w:rStyle w:val="FootnoteReference"/>
          <w:rFonts w:eastAsiaTheme="minorEastAsia"/>
          <w:noProof/>
          <w:szCs w:val="24"/>
          <w:lang w:eastAsia="en-IE"/>
        </w:rPr>
        <w:footnoteReference w:id="3"/>
      </w:r>
      <w:r w:rsidRPr="008D3351">
        <w:rPr>
          <w:noProof/>
        </w:rPr>
        <w:t xml:space="preserve">; </w:t>
      </w:r>
    </w:p>
    <w:p w14:paraId="268C5FA9" w14:textId="77777777" w:rsidR="09C9DDE0" w:rsidRPr="008D3351" w:rsidRDefault="1407F42F" w:rsidP="005E5908">
      <w:pPr>
        <w:pStyle w:val="ListNumber2"/>
        <w:rPr>
          <w:rFonts w:eastAsiaTheme="minorEastAsia"/>
          <w:noProof/>
          <w:szCs w:val="24"/>
        </w:rPr>
      </w:pPr>
      <w:r w:rsidRPr="008D3351">
        <w:rPr>
          <w:noProof/>
        </w:rPr>
        <w:t>dati relativi alle valutazioni del rischio ambientale, raccolti a norma del regolamento (UE) 2019/6 del Parlamento europeo e del Consiglio</w:t>
      </w:r>
      <w:r w:rsidR="00521270" w:rsidRPr="008D3351">
        <w:rPr>
          <w:rStyle w:val="FootnoteReference"/>
          <w:rFonts w:eastAsiaTheme="minorEastAsia"/>
          <w:noProof/>
          <w:szCs w:val="24"/>
          <w:lang w:eastAsia="en-IE"/>
        </w:rPr>
        <w:footnoteReference w:id="4"/>
      </w:r>
      <w:r w:rsidRPr="008D3351">
        <w:rPr>
          <w:noProof/>
        </w:rPr>
        <w:t>; e</w:t>
      </w:r>
    </w:p>
    <w:p w14:paraId="723E8B11" w14:textId="28BFEF88" w:rsidR="09C9DDE0" w:rsidRPr="008D3351" w:rsidRDefault="09C9DDE0" w:rsidP="005E5908">
      <w:pPr>
        <w:pStyle w:val="ListNumber2"/>
        <w:rPr>
          <w:rFonts w:eastAsiaTheme="minorEastAsia"/>
          <w:noProof/>
          <w:szCs w:val="24"/>
        </w:rPr>
      </w:pPr>
      <w:r w:rsidRPr="008D3351">
        <w:rPr>
          <w:noProof/>
        </w:rPr>
        <w:t xml:space="preserve">dati relativi alle valutazioni del rischio ambientale, raccolti a norma del regolamento (CE) </w:t>
      </w:r>
      <w:r w:rsidR="008D3351">
        <w:rPr>
          <w:noProof/>
        </w:rPr>
        <w:t xml:space="preserve">n. </w:t>
      </w:r>
      <w:r w:rsidRPr="008D3351">
        <w:rPr>
          <w:noProof/>
        </w:rPr>
        <w:t>470/2009 del Parlamento europeo e del Consiglio</w:t>
      </w:r>
      <w:r w:rsidR="00521270" w:rsidRPr="008D3351">
        <w:rPr>
          <w:rStyle w:val="FootnoteReference"/>
          <w:rFonts w:eastAsiaTheme="minorEastAsia"/>
          <w:noProof/>
          <w:szCs w:val="24"/>
          <w:lang w:eastAsia="en-IE"/>
        </w:rPr>
        <w:footnoteReference w:id="5"/>
      </w:r>
      <w:r w:rsidRPr="008D3351">
        <w:rPr>
          <w:noProof/>
        </w:rPr>
        <w:t>.</w:t>
      </w:r>
    </w:p>
    <w:p w14:paraId="6469FF9D" w14:textId="77777777" w:rsidR="09C9DDE0" w:rsidRPr="008D3351" w:rsidRDefault="09C9DDE0" w:rsidP="01C23B02">
      <w:pPr>
        <w:rPr>
          <w:noProof/>
        </w:rPr>
      </w:pPr>
      <w:r w:rsidRPr="008D3351">
        <w:rPr>
          <w:noProof/>
        </w:rPr>
        <w:t>I dati si limitano a quelli presentati all'EMA nel contesto delle pertinenti procedure che sono completate dopo l'entrata in vigore del presente regolamento. Se del caso, i dati detenuti dall'EMA risultanti da procedure concluse prima dell'entrata in vigore del presente regolamento possono essere presi in considerazione anche ai fini dell'inclusione nella piattaforma comune di dati.</w:t>
      </w:r>
    </w:p>
    <w:p w14:paraId="51800E5D" w14:textId="77777777" w:rsidR="09C9DDE0" w:rsidRPr="008D3351" w:rsidRDefault="09C9DDE0" w:rsidP="01C23B02">
      <w:pPr>
        <w:rPr>
          <w:noProof/>
        </w:rPr>
      </w:pPr>
      <w:r w:rsidRPr="008D3351">
        <w:rPr>
          <w:noProof/>
        </w:rPr>
        <w:br/>
      </w:r>
      <w:bookmarkStart w:id="2" w:name="_Hlk149640106"/>
      <w:r w:rsidRPr="008D3351">
        <w:rPr>
          <w:b/>
          <w:noProof/>
        </w:rPr>
        <w:t>Parte 2</w:t>
      </w:r>
      <w:r w:rsidRPr="008D3351">
        <w:rPr>
          <w:noProof/>
        </w:rPr>
        <w:t xml:space="preserve"> – Valori di riferimento da includere nel registro dei valori di riferimento a norma dell'articolo 8, paragrafo 3</w:t>
      </w:r>
    </w:p>
    <w:p w14:paraId="38B3E7F1" w14:textId="648242BE" w:rsidR="09C9DDE0" w:rsidRPr="008D3351" w:rsidRDefault="09C9DDE0" w:rsidP="00DB1C4C">
      <w:pPr>
        <w:pStyle w:val="ListNumber2"/>
        <w:numPr>
          <w:ilvl w:val="0"/>
          <w:numId w:val="9"/>
        </w:numPr>
        <w:rPr>
          <w:rFonts w:eastAsia="Calibri"/>
          <w:noProof/>
        </w:rPr>
      </w:pPr>
      <w:r w:rsidRPr="008D3351">
        <w:rPr>
          <w:noProof/>
        </w:rPr>
        <w:t xml:space="preserve">Concentrazioni prevedibili prive di effetti derivate nell'ambito della valutazione del rischio ambientale a norma della direttiva 2001/83/CE, del regolamento (CE) </w:t>
      </w:r>
      <w:r w:rsidR="008D3351">
        <w:rPr>
          <w:noProof/>
        </w:rPr>
        <w:t>n.</w:t>
      </w:r>
      <w:r w:rsidR="002B1487">
        <w:rPr>
          <w:noProof/>
        </w:rPr>
        <w:t> </w:t>
      </w:r>
      <w:r w:rsidRPr="008D3351">
        <w:rPr>
          <w:noProof/>
        </w:rPr>
        <w:t>726/2004 e del regolamento (UE) 2019/6 del Parlamento europeo e del Consiglio.</w:t>
      </w:r>
    </w:p>
    <w:p w14:paraId="68D5E071" w14:textId="26000D7F" w:rsidR="09C9DDE0" w:rsidRPr="008D3351" w:rsidRDefault="09C9DDE0" w:rsidP="45C3C64D">
      <w:pPr>
        <w:rPr>
          <w:rFonts w:eastAsia="Times New Roman"/>
          <w:noProof/>
          <w:color w:val="000000" w:themeColor="text1"/>
        </w:rPr>
      </w:pPr>
      <w:r w:rsidRPr="008D3351">
        <w:rPr>
          <w:noProof/>
        </w:rPr>
        <w:t>I dati si limitano a quelli presentati all'EMA nel contesto delle pertinenti procedure che sono completate dopo l'entrata in vigore del presente regolamento. Se del caso, i dati detenuti dall'EMA risultanti da procedure concluse prima dell'entrata in vigore del presente regolamento possono essere presi in considerazione anche ai fini dell'inclusione nella piattaforma comune di dati.</w:t>
      </w:r>
    </w:p>
    <w:bookmarkEnd w:id="2"/>
    <w:p w14:paraId="70102B5C" w14:textId="77777777" w:rsidR="01C23B02" w:rsidRPr="008D3351" w:rsidRDefault="01C23B02" w:rsidP="01C23B02">
      <w:pPr>
        <w:rPr>
          <w:noProof/>
        </w:rPr>
        <w:sectPr w:rsidR="01C23B02" w:rsidRPr="008D3351" w:rsidSect="00EB469E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375C603C" w14:textId="77777777" w:rsidR="00D429B9" w:rsidRPr="008D3351" w:rsidRDefault="10223B2A" w:rsidP="00D429B9">
      <w:pPr>
        <w:pStyle w:val="Annexetitre"/>
        <w:rPr>
          <w:rStyle w:val="Marker"/>
          <w:noProof/>
        </w:rPr>
      </w:pPr>
      <w:r w:rsidRPr="008D3351">
        <w:rPr>
          <w:noProof/>
        </w:rPr>
        <w:t>ALLEGATO III</w:t>
      </w:r>
    </w:p>
    <w:p w14:paraId="6DE4A25B" w14:textId="77777777" w:rsidR="00D429B9" w:rsidRPr="008D3351" w:rsidRDefault="19A3894E" w:rsidP="01C23B02">
      <w:pPr>
        <w:pStyle w:val="ManualHeading1"/>
        <w:jc w:val="center"/>
        <w:rPr>
          <w:noProof/>
        </w:rPr>
      </w:pPr>
      <w:r w:rsidRPr="008D3351">
        <w:rPr>
          <w:noProof/>
        </w:rPr>
        <w:t>Atti dell'Unione di cui agli articoli 2, 10 e 23</w:t>
      </w:r>
    </w:p>
    <w:p w14:paraId="77355E9D" w14:textId="77777777" w:rsidR="00EF4BF1" w:rsidRPr="008D3351" w:rsidRDefault="00EF4BF1" w:rsidP="00EF4BF1">
      <w:pPr>
        <w:pStyle w:val="Text1"/>
        <w:rPr>
          <w:noProof/>
        </w:rPr>
      </w:pPr>
    </w:p>
    <w:p w14:paraId="557B9A0E" w14:textId="77777777" w:rsidR="00EF4BF1" w:rsidRPr="008D3351" w:rsidRDefault="00122056" w:rsidP="00EF4BF1">
      <w:pPr>
        <w:pStyle w:val="Text1"/>
        <w:rPr>
          <w:noProof/>
          <w:sz w:val="22"/>
        </w:rPr>
      </w:pPr>
      <w:r w:rsidRPr="008D3351">
        <w:rPr>
          <w:noProof/>
        </w:rPr>
        <w:t xml:space="preserve">I riferimenti a ciascun atto dell'Unione ivi elencato dovrebbero essere intesi anche come riferimenti a tutti gli atti delegati e di esecuzione eventualmente adottati a norma di tale atto dell'Unione. </w:t>
      </w:r>
    </w:p>
    <w:p w14:paraId="01D1F005" w14:textId="77777777" w:rsidR="00EF4BF1" w:rsidRPr="008D3351" w:rsidRDefault="00EF4BF1" w:rsidP="00EF4BF1">
      <w:pPr>
        <w:pStyle w:val="Text1"/>
        <w:rPr>
          <w:noProof/>
        </w:rPr>
      </w:pPr>
    </w:p>
    <w:p w14:paraId="6DF196A0" w14:textId="6800BACB" w:rsidR="00594DF6" w:rsidRPr="008D3351" w:rsidRDefault="00BE17F2" w:rsidP="00DB1C4C">
      <w:pPr>
        <w:pStyle w:val="ListNumber"/>
        <w:numPr>
          <w:ilvl w:val="0"/>
          <w:numId w:val="7"/>
        </w:numPr>
        <w:rPr>
          <w:rFonts w:eastAsia="Times New Roman"/>
          <w:noProof/>
          <w:szCs w:val="24"/>
        </w:rPr>
      </w:pPr>
      <w:hyperlink r:id="rId91">
        <w:r w:rsidR="00F3388F" w:rsidRPr="008D3351">
          <w:rPr>
            <w:rStyle w:val="Hyperlink"/>
            <w:noProof/>
          </w:rPr>
          <w:t xml:space="preserve">Regolamento (CEE)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315/93</w:t>
        </w:r>
      </w:hyperlink>
      <w:r w:rsidR="00F3388F" w:rsidRPr="008D3351">
        <w:rPr>
          <w:noProof/>
        </w:rPr>
        <w:t xml:space="preserve"> del Consiglio, dell'8 febbraio 1993, che stabilisce procedure comunitarie relative ai contaminanti nei prodotti alimentari (GU L 37 del 13.2.1993, pag. 1)</w:t>
      </w:r>
    </w:p>
    <w:p w14:paraId="682C7BC6" w14:textId="77777777" w:rsidR="005C5C82" w:rsidRPr="008D3351" w:rsidRDefault="00BE17F2" w:rsidP="00DB1C4C">
      <w:pPr>
        <w:pStyle w:val="ListNumber"/>
        <w:numPr>
          <w:ilvl w:val="0"/>
          <w:numId w:val="7"/>
        </w:numPr>
        <w:rPr>
          <w:rFonts w:eastAsia="Times New Roman"/>
          <w:noProof/>
        </w:rPr>
      </w:pPr>
      <w:hyperlink r:id="rId92" w:history="1">
        <w:r w:rsidR="00F3388F" w:rsidRPr="008D3351">
          <w:rPr>
            <w:rStyle w:val="Hyperlink"/>
            <w:noProof/>
          </w:rPr>
          <w:t>Direttiva 94/62/CE</w:t>
        </w:r>
      </w:hyperlink>
      <w:r w:rsidR="00F3388F" w:rsidRPr="008D3351">
        <w:rPr>
          <w:noProof/>
        </w:rPr>
        <w:t xml:space="preserve"> del Parlamento europeo e del Consiglio, del 20 dicembre 1994, sugli imballaggi e i rifiuti di imballaggio (GU L 365 del 31.12.1994, pag. 10)</w:t>
      </w:r>
    </w:p>
    <w:p w14:paraId="0D95513F" w14:textId="77777777" w:rsidR="00594DF6" w:rsidRPr="008D3351" w:rsidRDefault="00BE17F2" w:rsidP="00594DF6">
      <w:pPr>
        <w:pStyle w:val="ListNumber"/>
        <w:rPr>
          <w:noProof/>
        </w:rPr>
      </w:pPr>
      <w:hyperlink r:id="rId93">
        <w:r w:rsidR="00F3388F" w:rsidRPr="008D3351">
          <w:rPr>
            <w:rStyle w:val="Hyperlink"/>
            <w:noProof/>
          </w:rPr>
          <w:t>Direttiva 2004/37/CE</w:t>
        </w:r>
      </w:hyperlink>
      <w:r w:rsidR="00F3388F" w:rsidRPr="008D3351">
        <w:rPr>
          <w:noProof/>
        </w:rPr>
        <w:t xml:space="preserve"> del Parlamento europeo e del Consiglio, del 29 aprile 2004, sulla protezione dei lavoratori contro i rischi derivanti da un'esposizione ad agenti cancerogeni o mutageni durante il lavoro (sesta direttiva particolare ai sensi dell'articolo 16, paragrafo 1, della direttiva 89/391/CEE del Consiglio) (GU L 158 del 30.4.2004, pag. 50)</w:t>
      </w:r>
    </w:p>
    <w:p w14:paraId="345A8A18" w14:textId="77777777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94">
        <w:r w:rsidR="00F3388F" w:rsidRPr="008D3351">
          <w:rPr>
            <w:rStyle w:val="Hyperlink"/>
            <w:noProof/>
          </w:rPr>
          <w:t>Direttiva 98/24/CE</w:t>
        </w:r>
      </w:hyperlink>
      <w:r w:rsidR="00F3388F" w:rsidRPr="008D3351">
        <w:rPr>
          <w:noProof/>
        </w:rPr>
        <w:t xml:space="preserve"> del Consiglio, del 7 aprile 1998, sulla protezione della salute e della sicurezza dei lavoratori contro i rischi derivanti da agenti chimici durante il lavoro (quattordicesima direttiva particolare ai sensi dell'articolo 16, paragrafo 1, della direttiva 89/391/CEE) (GU L 131 del 5.5.1998, pag. 11)</w:t>
      </w:r>
    </w:p>
    <w:p w14:paraId="10709B01" w14:textId="77777777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95">
        <w:r w:rsidR="00F3388F" w:rsidRPr="008D3351">
          <w:rPr>
            <w:rStyle w:val="Hyperlink"/>
            <w:noProof/>
          </w:rPr>
          <w:t>Direttiva 2000/53/CE</w:t>
        </w:r>
      </w:hyperlink>
      <w:r w:rsidR="00F3388F" w:rsidRPr="008D3351">
        <w:rPr>
          <w:noProof/>
        </w:rPr>
        <w:t xml:space="preserve"> del Parlamento europeo e del Consiglio, del 18 settembre 2000, relativa ai veicoli fuori uso (GU L 269 del 21.10.2000, pag. 34)</w:t>
      </w:r>
    </w:p>
    <w:p w14:paraId="4AF73880" w14:textId="7008D8AF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96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178/2002</w:t>
        </w:r>
      </w:hyperlink>
      <w:r w:rsidR="00F3388F" w:rsidRPr="008D3351">
        <w:rPr>
          <w:noProof/>
        </w:rPr>
        <w:t xml:space="preserve"> del Parlamento europeo e del Consiglio, del 28</w:t>
      </w:r>
      <w:r w:rsidR="002B1487">
        <w:rPr>
          <w:noProof/>
        </w:rPr>
        <w:t> </w:t>
      </w:r>
      <w:r w:rsidR="00F3388F" w:rsidRPr="008D3351">
        <w:rPr>
          <w:noProof/>
        </w:rPr>
        <w:t>gennaio 2002, che stabilisce i principi e i requisiti generali della legislazione alimentare, istituisce l'Autorità europea per la sicurezza alimentare e fissa procedure nel campo della sicurezza alimentare (GU L 031 dell'1.2.2002, pag. 1)</w:t>
      </w:r>
    </w:p>
    <w:p w14:paraId="093F56C0" w14:textId="77777777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97">
        <w:r w:rsidR="00F3388F" w:rsidRPr="008D3351">
          <w:rPr>
            <w:rStyle w:val="Hyperlink"/>
            <w:noProof/>
          </w:rPr>
          <w:t>Direttiva 2002/32/CE</w:t>
        </w:r>
      </w:hyperlink>
      <w:r w:rsidR="00F3388F" w:rsidRPr="008D3351">
        <w:rPr>
          <w:noProof/>
        </w:rPr>
        <w:t xml:space="preserve"> del Parlamento europeo e del Consiglio, del 7 maggio 2002, relativa alle sostanze indesiderabili nell'alimentazione degli animali (GU L 140 del 30.5.2002, pag. 10)</w:t>
      </w:r>
    </w:p>
    <w:p w14:paraId="5DEFCBD4" w14:textId="7132F212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98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1831/2003</w:t>
        </w:r>
      </w:hyperlink>
      <w:r w:rsidR="00F3388F" w:rsidRPr="008D3351">
        <w:rPr>
          <w:noProof/>
        </w:rPr>
        <w:t xml:space="preserve"> del Parlamento europeo e del Consiglio, del 22</w:t>
      </w:r>
      <w:r w:rsidR="002B1487">
        <w:rPr>
          <w:noProof/>
        </w:rPr>
        <w:t> </w:t>
      </w:r>
      <w:r w:rsidR="00F3388F" w:rsidRPr="008D3351">
        <w:rPr>
          <w:noProof/>
        </w:rPr>
        <w:t>settembre 2003, sugli additivi destinati all’alimentazione animale (GU L 268 del 18.10.2003, pag. 29)</w:t>
      </w:r>
    </w:p>
    <w:p w14:paraId="536B7A2D" w14:textId="1C7BBEC5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99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1935/2004</w:t>
        </w:r>
      </w:hyperlink>
      <w:r w:rsidR="00F3388F" w:rsidRPr="008D3351">
        <w:rPr>
          <w:noProof/>
        </w:rPr>
        <w:t xml:space="preserve"> del Parlamento europeo e del Consiglio, del 27 ottobre 2004, riguardante i materiali e gli oggetti destinati a venire a contatto con i prodotti alimentari e che abroga le direttive 80/590/CEE e 89/109/CEE (GU L 338 del 13.11.2004, pag. 4)</w:t>
      </w:r>
    </w:p>
    <w:p w14:paraId="5D3AFB58" w14:textId="77777777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00">
        <w:r w:rsidR="00F3388F" w:rsidRPr="008D3351">
          <w:rPr>
            <w:rStyle w:val="Hyperlink"/>
            <w:noProof/>
          </w:rPr>
          <w:t>Direttiva 2004/107/CE</w:t>
        </w:r>
      </w:hyperlink>
      <w:r w:rsidR="00F3388F" w:rsidRPr="008D3351">
        <w:rPr>
          <w:noProof/>
        </w:rPr>
        <w:t xml:space="preserve"> del Parlamento europeo e del Consiglio, del 15 dicembre 2004, concernente l'arsenico, il cadmio, il mercurio, il nickel e gli idrocarburi policiclici aromatici nell'aria ambiente (GU L 023 del 26.1.2005, pag. 3)</w:t>
      </w:r>
    </w:p>
    <w:p w14:paraId="3AC9477F" w14:textId="3D066418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01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396/2005</w:t>
        </w:r>
      </w:hyperlink>
      <w:r w:rsidR="00F3388F" w:rsidRPr="008D3351">
        <w:rPr>
          <w:noProof/>
        </w:rPr>
        <w:t xml:space="preserve"> del Parlamento europeo e del Consiglio, del 23 febbraio 2005, concernente i livelli massimi di residui di antiparassitari nei o sui prodotti alimentari e mangimi di origine vegetale e animale e che modifica la direttiva 91/414/CEE del Consiglio (GU L 070 del 16.3.2005, pag. 1)</w:t>
      </w:r>
    </w:p>
    <w:p w14:paraId="56C89586" w14:textId="501E14E8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02">
        <w:r w:rsidR="00F3388F" w:rsidRPr="008D3351">
          <w:rPr>
            <w:rStyle w:val="Hyperlink"/>
            <w:noProof/>
          </w:rPr>
          <w:t>Direttiva 2006/118/CE</w:t>
        </w:r>
      </w:hyperlink>
      <w:r w:rsidR="00F3388F" w:rsidRPr="008D3351">
        <w:rPr>
          <w:noProof/>
        </w:rPr>
        <w:t xml:space="preserve"> del Parlamento europeo e del Consiglio, del 12</w:t>
      </w:r>
      <w:r w:rsidR="002B1487">
        <w:rPr>
          <w:noProof/>
        </w:rPr>
        <w:t> </w:t>
      </w:r>
      <w:r w:rsidR="00F3388F" w:rsidRPr="008D3351">
        <w:rPr>
          <w:noProof/>
        </w:rPr>
        <w:t>dicembre 2006, sulla protezione delle acque sotterranee dall'inquinamento e dal deterioramento (GU L 372 del 27.12.2006, pag. 19)</w:t>
      </w:r>
    </w:p>
    <w:p w14:paraId="681D0CF8" w14:textId="2525333D" w:rsidR="00594DF6" w:rsidRPr="008D3351" w:rsidRDefault="00BE17F2" w:rsidP="00594DF6">
      <w:pPr>
        <w:pStyle w:val="ListNumber"/>
        <w:tabs>
          <w:tab w:val="num" w:pos="284"/>
        </w:tabs>
        <w:rPr>
          <w:noProof/>
        </w:rPr>
      </w:pPr>
      <w:hyperlink r:id="rId103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 xml:space="preserve">1907/2006 </w:t>
        </w:r>
      </w:hyperlink>
      <w:r w:rsidR="00F3388F" w:rsidRPr="008D3351">
        <w:rPr>
          <w:noProof/>
        </w:rPr>
        <w:t>del Parlamento europeo e del Consiglio, del 18</w:t>
      </w:r>
      <w:r w:rsidR="002B1487">
        <w:rPr>
          <w:noProof/>
        </w:rPr>
        <w:t> </w:t>
      </w:r>
      <w:r w:rsidR="00F3388F" w:rsidRPr="008D3351">
        <w:rPr>
          <w:noProof/>
        </w:rPr>
        <w:t xml:space="preserve">dicembre 2006, concernente la registrazione, la valutazione, l'autorizzazione e la restrizione delle sostanze chimiche (REACH), che istituisce un'agenzia europea per le sostanze chimiche, che modifica la direttiva 1999/45/CE e che abroga il regolamento (CEE) </w:t>
      </w:r>
      <w:r w:rsidR="008D3351">
        <w:rPr>
          <w:noProof/>
        </w:rPr>
        <w:t>n.</w:t>
      </w:r>
      <w:r w:rsidR="002B1487">
        <w:rPr>
          <w:noProof/>
        </w:rPr>
        <w:t> </w:t>
      </w:r>
      <w:r w:rsidR="00F3388F" w:rsidRPr="008D3351">
        <w:rPr>
          <w:noProof/>
        </w:rPr>
        <w:t xml:space="preserve">793/93 del Consiglio e il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>1488/94 della Commissione, nonché la direttiva 76/769/CEE del Consiglio e le direttive della Commissione 91/155/CEE, 93/67/CEE, 93/105/CE e 2000/21/CE (GU L 396 del 30.12.2006, pag. 1)</w:t>
      </w:r>
    </w:p>
    <w:p w14:paraId="3D877763" w14:textId="62B14D25" w:rsidR="00AC24D2" w:rsidRPr="008D3351" w:rsidRDefault="00BE17F2" w:rsidP="00231385">
      <w:pPr>
        <w:pStyle w:val="ListNumber"/>
        <w:rPr>
          <w:rFonts w:eastAsia="Times New Roman"/>
          <w:noProof/>
        </w:rPr>
      </w:pPr>
      <w:hyperlink r:id="rId104" w:history="1">
        <w:r w:rsidR="00F3388F" w:rsidRPr="008D3351">
          <w:rPr>
            <w:rStyle w:val="Hyperlink"/>
            <w:noProof/>
          </w:rPr>
          <w:t>Direttiva 2012/19/UE</w:t>
        </w:r>
      </w:hyperlink>
      <w:r w:rsidR="00F3388F" w:rsidRPr="008D3351">
        <w:rPr>
          <w:noProof/>
        </w:rPr>
        <w:t xml:space="preserve"> del Parlamento europeo e del Consiglio, del 4 luglio 2012, sui</w:t>
      </w:r>
      <w:r w:rsidR="002B1487">
        <w:rPr>
          <w:noProof/>
        </w:rPr>
        <w:t> </w:t>
      </w:r>
      <w:r w:rsidR="00F3388F" w:rsidRPr="008D3351">
        <w:rPr>
          <w:noProof/>
        </w:rPr>
        <w:t>rifiuti di apparecchiature elettriche ed elettroniche (RAEE) (GU L 197 del 24.7.2012, pag. 38)</w:t>
      </w:r>
    </w:p>
    <w:p w14:paraId="10FBDD05" w14:textId="05C9742E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05">
        <w:r w:rsidR="00F3388F" w:rsidRPr="008D3351">
          <w:rPr>
            <w:rStyle w:val="Hyperlink"/>
            <w:noProof/>
          </w:rPr>
          <w:t>Direttiva 2008/105/CE</w:t>
        </w:r>
      </w:hyperlink>
      <w:r w:rsidR="00F3388F" w:rsidRPr="008D3351">
        <w:rPr>
          <w:noProof/>
        </w:rPr>
        <w:t xml:space="preserve"> del Parlamento europeo e del Consiglio, del 16</w:t>
      </w:r>
      <w:r w:rsidR="002B1487">
        <w:rPr>
          <w:noProof/>
        </w:rPr>
        <w:t> </w:t>
      </w:r>
      <w:r w:rsidR="00F3388F" w:rsidRPr="008D3351">
        <w:rPr>
          <w:noProof/>
        </w:rPr>
        <w:t>dicembre 2008, relativa a standard di qualità ambientale nel settore della politica delle acque, recante modifica e successiva abrogazione delle direttive del Consiglio 82/176/CEE, 83/513/CEE, 84/156/CEE, 84/491/CEE e 86/280/CEE, nonché modifica della direttiva 2000/60/CE del Parlamento europeo e del Consiglio (GU L 348 del 24.12.2008, pag. 84)</w:t>
      </w:r>
    </w:p>
    <w:p w14:paraId="295ACA4E" w14:textId="2BF6EA96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06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1272/2008</w:t>
        </w:r>
      </w:hyperlink>
      <w:r w:rsidR="00F3388F" w:rsidRPr="008D3351">
        <w:rPr>
          <w:noProof/>
        </w:rPr>
        <w:t xml:space="preserve"> del Parlamento europeo e del Consiglio, del 16</w:t>
      </w:r>
      <w:r w:rsidR="002B1487">
        <w:rPr>
          <w:noProof/>
        </w:rPr>
        <w:t> </w:t>
      </w:r>
      <w:r w:rsidR="00F3388F" w:rsidRPr="008D3351">
        <w:rPr>
          <w:noProof/>
        </w:rPr>
        <w:t xml:space="preserve">dicembre 2008,relativo alla classificazione, all'etichettatura e all'imballaggio delle sostanze e delle miscele che modifica e abroga le direttive 67/548/CEE e 1999/45/CE e che reca modifica al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>1907/2006 (GU L 353 del 31.12.2008, pag. 1)</w:t>
      </w:r>
    </w:p>
    <w:p w14:paraId="1B0FE2BD" w14:textId="16975FA3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07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1331/2008</w:t>
        </w:r>
      </w:hyperlink>
      <w:r w:rsidR="00F3388F" w:rsidRPr="008D3351">
        <w:rPr>
          <w:noProof/>
        </w:rPr>
        <w:t xml:space="preserve"> del Parlamento europeo e del Consiglio, del 16</w:t>
      </w:r>
      <w:r w:rsidR="002B1487">
        <w:rPr>
          <w:noProof/>
        </w:rPr>
        <w:t> </w:t>
      </w:r>
      <w:r w:rsidR="00F3388F" w:rsidRPr="008D3351">
        <w:rPr>
          <w:noProof/>
        </w:rPr>
        <w:t>dicembre 2008, che istituisce una procedura uniforme di autorizzazione per gli additivi, gli enzimi e gli aromi alimentari (GU L 354 del 31.12.2008, pag. 1)</w:t>
      </w:r>
    </w:p>
    <w:p w14:paraId="4B7A1C50" w14:textId="1B3911A8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08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1332/2008</w:t>
        </w:r>
      </w:hyperlink>
      <w:r w:rsidR="00F3388F" w:rsidRPr="008D3351">
        <w:rPr>
          <w:noProof/>
        </w:rPr>
        <w:t xml:space="preserve"> del Parlamento europeo e del Consiglio, del 16</w:t>
      </w:r>
      <w:r w:rsidR="002B1487">
        <w:rPr>
          <w:noProof/>
        </w:rPr>
        <w:t> </w:t>
      </w:r>
      <w:r w:rsidR="00F3388F" w:rsidRPr="008D3351">
        <w:rPr>
          <w:noProof/>
        </w:rPr>
        <w:t xml:space="preserve">dicembre 2008, relativo agli enzimi alimentari e che modifica la direttiva 83/417/CEE del Consiglio, il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1493/1999 del Consiglio, la direttiva 2000/13/CE, la direttiva 2001/112/CE del Consiglio e il regolamento (CE) </w:t>
      </w:r>
      <w:r w:rsidR="008D3351">
        <w:rPr>
          <w:noProof/>
        </w:rPr>
        <w:t>n.</w:t>
      </w:r>
      <w:r w:rsidR="002B1487">
        <w:rPr>
          <w:noProof/>
        </w:rPr>
        <w:t> </w:t>
      </w:r>
      <w:r w:rsidR="00F3388F" w:rsidRPr="008D3351">
        <w:rPr>
          <w:noProof/>
        </w:rPr>
        <w:t>258/97 (GU L 354 del 31.12.2008, pag. 7)</w:t>
      </w:r>
    </w:p>
    <w:p w14:paraId="269D16FC" w14:textId="535B7ABA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09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1333/2008</w:t>
        </w:r>
      </w:hyperlink>
      <w:r w:rsidR="00F3388F" w:rsidRPr="008D3351">
        <w:rPr>
          <w:noProof/>
        </w:rPr>
        <w:t xml:space="preserve"> del Parlamento europeo e del Consiglio, del 16 dicembre 2008, relativo agli additivi alimentari (GU L 354 del 31.12.2008, pag. 16)</w:t>
      </w:r>
    </w:p>
    <w:p w14:paraId="738786ED" w14:textId="46E5ACC1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10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1334/2008</w:t>
        </w:r>
      </w:hyperlink>
      <w:r w:rsidR="00F3388F" w:rsidRPr="008D3351">
        <w:rPr>
          <w:noProof/>
        </w:rPr>
        <w:t xml:space="preserve"> del Parlamento europeo e del Consiglio, del 16 dicembre 2008, relativo agli aromi e ad alcuni ingredienti alimentari con proprietà aromatizzanti destinati a essere utilizzati negli e sugli alimenti e che modifica il regolamento (CEE)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1601/91 del Consiglio, i regolamenti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 xml:space="preserve">2232/96 e (CE) </w:t>
      </w:r>
      <w:r w:rsidR="008D3351">
        <w:rPr>
          <w:noProof/>
        </w:rPr>
        <w:t>n.</w:t>
      </w:r>
      <w:r w:rsidR="002B1487">
        <w:rPr>
          <w:noProof/>
        </w:rPr>
        <w:t> </w:t>
      </w:r>
      <w:r w:rsidR="00F3388F" w:rsidRPr="008D3351">
        <w:rPr>
          <w:noProof/>
        </w:rPr>
        <w:t>110/2008 e la direttiva 2000/13/CE (GU L 354 del 31.12.2008, pag. 34).</w:t>
      </w:r>
    </w:p>
    <w:p w14:paraId="315039F2" w14:textId="391A5444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11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1331/2008</w:t>
        </w:r>
      </w:hyperlink>
      <w:r w:rsidR="00F3388F" w:rsidRPr="008D3351">
        <w:rPr>
          <w:noProof/>
        </w:rPr>
        <w:t xml:space="preserve"> del Parlamento europeo e del Consiglio, del 16</w:t>
      </w:r>
      <w:r w:rsidR="002B1487">
        <w:rPr>
          <w:noProof/>
        </w:rPr>
        <w:t> </w:t>
      </w:r>
      <w:r w:rsidR="00F3388F" w:rsidRPr="008D3351">
        <w:rPr>
          <w:noProof/>
        </w:rPr>
        <w:t>dicembre 2008, che istituisce una procedura uniforme di autorizzazione per gli additivi, gli enzimi e gli aromi alimentari (GU L 354 del 31.12.2008, pag. 1)</w:t>
      </w:r>
    </w:p>
    <w:p w14:paraId="6DCBB887" w14:textId="77777777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12">
        <w:r w:rsidR="00F3388F" w:rsidRPr="008D3351">
          <w:rPr>
            <w:rStyle w:val="Hyperlink"/>
            <w:noProof/>
          </w:rPr>
          <w:t>Direttiva 2009/32/CE</w:t>
        </w:r>
      </w:hyperlink>
      <w:r w:rsidR="00F3388F" w:rsidRPr="008D3351">
        <w:rPr>
          <w:noProof/>
        </w:rPr>
        <w:t xml:space="preserve"> del Parlamento europeo e del Consiglio, del 23 aprile 2009, per il ravvicinamento delle legislazioni degli Stati membri riguardanti i solventi da estrazione impiegati nella preparazione dei prodotti alimentari e dei loro ingredienti (GU L 141 del 6.6.2009, pag. 3)</w:t>
      </w:r>
    </w:p>
    <w:p w14:paraId="3B72F50D" w14:textId="77777777" w:rsidR="000E5BBF" w:rsidRPr="008D3351" w:rsidRDefault="00BE17F2" w:rsidP="0024583E">
      <w:pPr>
        <w:pStyle w:val="ListNumber"/>
        <w:rPr>
          <w:rFonts w:eastAsia="Times New Roman"/>
          <w:noProof/>
        </w:rPr>
      </w:pPr>
      <w:hyperlink r:id="rId113" w:history="1">
        <w:r w:rsidR="00F3388F" w:rsidRPr="008D3351">
          <w:rPr>
            <w:rStyle w:val="Hyperlink"/>
            <w:noProof/>
          </w:rPr>
          <w:t>Direttiva 2009/125/CE</w:t>
        </w:r>
      </w:hyperlink>
      <w:r w:rsidR="00F3388F" w:rsidRPr="008D3351">
        <w:rPr>
          <w:noProof/>
        </w:rPr>
        <w:t xml:space="preserve"> del Parlamento europeo e del Consiglio, del 21 ottobre 2009, relativa all'istituzione di un quadro per l'elaborazione di specifiche per la progettazione ecocompatibile dei prodotti connessi all'energia (GU L 285 del 31.10.2009, pag. 10)</w:t>
      </w:r>
    </w:p>
    <w:p w14:paraId="442FBDAD" w14:textId="77777777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14">
        <w:r w:rsidR="00F3388F" w:rsidRPr="008D3351">
          <w:rPr>
            <w:rStyle w:val="Hyperlink"/>
            <w:noProof/>
          </w:rPr>
          <w:t>Direttiva 2009/48/CE</w:t>
        </w:r>
      </w:hyperlink>
      <w:r w:rsidR="00F3388F" w:rsidRPr="008D3351">
        <w:rPr>
          <w:noProof/>
        </w:rPr>
        <w:t xml:space="preserve"> del Parlamento europeo e del Consiglio, del 18 giugno 2009, sulla sicurezza dei giocattoli (GU L 170 del 30.6.2009, pag. 1)</w:t>
      </w:r>
    </w:p>
    <w:p w14:paraId="768C7A66" w14:textId="4C2B6484" w:rsidR="1C8B2D55" w:rsidRPr="008D3351" w:rsidRDefault="00BE17F2" w:rsidP="7557380A">
      <w:pPr>
        <w:pStyle w:val="ListNumber"/>
        <w:rPr>
          <w:rFonts w:eastAsia="Times New Roman"/>
          <w:noProof/>
        </w:rPr>
      </w:pPr>
      <w:hyperlink r:id="rId115" w:history="1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1005/2009</w:t>
        </w:r>
      </w:hyperlink>
      <w:r w:rsidR="00F3388F" w:rsidRPr="008D3351">
        <w:rPr>
          <w:noProof/>
        </w:rPr>
        <w:t xml:space="preserve"> del Parlamento europeo e del Consiglio, del 16</w:t>
      </w:r>
      <w:r w:rsidR="002B1487">
        <w:rPr>
          <w:noProof/>
        </w:rPr>
        <w:t> </w:t>
      </w:r>
      <w:r w:rsidR="00F3388F" w:rsidRPr="008D3351">
        <w:rPr>
          <w:noProof/>
        </w:rPr>
        <w:t>settembre 2009, sulle sostanze che riducono lo strato di ozono (GU L 286 del 31.10.2009, pag. 1)</w:t>
      </w:r>
    </w:p>
    <w:p w14:paraId="0640921F" w14:textId="43B6DD0D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16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1107/2009</w:t>
        </w:r>
      </w:hyperlink>
      <w:r w:rsidR="00F3388F" w:rsidRPr="008D3351">
        <w:rPr>
          <w:noProof/>
        </w:rPr>
        <w:t xml:space="preserve"> del Parlamento europeo e del Consiglio, del 21</w:t>
      </w:r>
      <w:r w:rsidR="002B1487">
        <w:rPr>
          <w:noProof/>
        </w:rPr>
        <w:t> </w:t>
      </w:r>
      <w:r w:rsidR="00F3388F" w:rsidRPr="008D3351">
        <w:rPr>
          <w:noProof/>
        </w:rPr>
        <w:t>ottobre 2009, relativo all’immissione sul mercato dei prodotti fitosanitari e che abroga le direttive del Consiglio 79/117/CEE e 91/414/CEE (GU L 309 del 24.11.2009, pag. 1)</w:t>
      </w:r>
    </w:p>
    <w:p w14:paraId="76325480" w14:textId="77777777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17">
        <w:r w:rsidR="00F3388F" w:rsidRPr="008D3351">
          <w:rPr>
            <w:rStyle w:val="Hyperlink"/>
            <w:noProof/>
          </w:rPr>
          <w:t>Direttiva 2009/148/CE</w:t>
        </w:r>
      </w:hyperlink>
      <w:r w:rsidR="00F3388F" w:rsidRPr="008D3351">
        <w:rPr>
          <w:noProof/>
        </w:rPr>
        <w:t xml:space="preserve"> del Parlamento europeo e del Consiglio, del 30 novembre 2009, sulla protezione dei lavoratori contro i rischi connessi con un’esposizione all’amianto durante il lavoro (GU L 330 del 16.12.2009, pag. 28)</w:t>
      </w:r>
    </w:p>
    <w:p w14:paraId="03E096E8" w14:textId="321974E1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18">
        <w:r w:rsidR="00F3388F" w:rsidRPr="008D3351">
          <w:rPr>
            <w:rStyle w:val="Hyperlink"/>
            <w:noProof/>
          </w:rPr>
          <w:t xml:space="preserve">Regolamento (CE)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>1223/2009</w:t>
        </w:r>
      </w:hyperlink>
      <w:r w:rsidR="00F3388F" w:rsidRPr="008D3351">
        <w:rPr>
          <w:noProof/>
        </w:rPr>
        <w:t xml:space="preserve"> del Parlamento europeo e del Consiglio, del 30</w:t>
      </w:r>
      <w:r w:rsidR="002B1487">
        <w:rPr>
          <w:noProof/>
        </w:rPr>
        <w:t> </w:t>
      </w:r>
      <w:r w:rsidR="00F3388F" w:rsidRPr="008D3351">
        <w:rPr>
          <w:noProof/>
        </w:rPr>
        <w:t>novembre 2009, sui prodotti cosmetici (GU L 342 del 22.12.2009, pag. 59)</w:t>
      </w:r>
    </w:p>
    <w:p w14:paraId="5A0A050B" w14:textId="77777777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19">
        <w:r w:rsidR="00F3388F" w:rsidRPr="008D3351">
          <w:rPr>
            <w:rStyle w:val="Hyperlink"/>
            <w:noProof/>
          </w:rPr>
          <w:t>Direttiva 2011/65/UE</w:t>
        </w:r>
      </w:hyperlink>
      <w:r w:rsidR="00F3388F" w:rsidRPr="008D3351">
        <w:rPr>
          <w:noProof/>
        </w:rPr>
        <w:t xml:space="preserve"> del Parlamento europeo e del Consiglio, dell'8 giugno 2011, sulla restrizione dell'uso di determinate sostanze pericolose nelle apparecchiature elettriche ed elettroniche (GU L 174 dell'1.7.2011, pag. 88)</w:t>
      </w:r>
    </w:p>
    <w:p w14:paraId="4D704AC4" w14:textId="10E903CE" w:rsidR="00594DF6" w:rsidRPr="008D3351" w:rsidRDefault="00BE17F2" w:rsidP="00594DF6">
      <w:pPr>
        <w:pStyle w:val="ListNumber"/>
        <w:rPr>
          <w:rFonts w:eastAsia="Times New Roman"/>
          <w:noProof/>
        </w:rPr>
      </w:pPr>
      <w:hyperlink r:id="rId120">
        <w:r w:rsidR="00F3388F" w:rsidRPr="008D3351">
          <w:rPr>
            <w:rStyle w:val="Hyperlink"/>
            <w:noProof/>
          </w:rPr>
          <w:t xml:space="preserve">Regolamento (UE) </w:t>
        </w:r>
        <w:r w:rsidR="008D3351">
          <w:rPr>
            <w:rStyle w:val="Hyperlink"/>
            <w:noProof/>
          </w:rPr>
          <w:t xml:space="preserve">n. </w:t>
        </w:r>
        <w:r w:rsidR="00F3388F" w:rsidRPr="008D3351">
          <w:rPr>
            <w:rStyle w:val="Hyperlink"/>
            <w:noProof/>
          </w:rPr>
          <w:t xml:space="preserve">528/2012 </w:t>
        </w:r>
      </w:hyperlink>
      <w:r w:rsidR="00F3388F" w:rsidRPr="008D3351">
        <w:rPr>
          <w:noProof/>
        </w:rPr>
        <w:t>del Parlamento europeo e del Consiglio, del 22</w:t>
      </w:r>
      <w:r w:rsidR="002B1487">
        <w:rPr>
          <w:noProof/>
        </w:rPr>
        <w:t> </w:t>
      </w:r>
      <w:r w:rsidR="00F3388F" w:rsidRPr="008D3351">
        <w:rPr>
          <w:noProof/>
        </w:rPr>
        <w:t>maggio 2012, relativo alla messa a disposizione sul mercato e all'uso dei biocidi (GU L 167 del 27.6.2012, pag. 1)</w:t>
      </w:r>
    </w:p>
    <w:p w14:paraId="67F11DE3" w14:textId="7B814237" w:rsidR="00594DF6" w:rsidRPr="008D3351" w:rsidRDefault="00BE17F2" w:rsidP="00594DF6">
      <w:pPr>
        <w:pStyle w:val="ListNumber"/>
        <w:rPr>
          <w:noProof/>
        </w:rPr>
      </w:pPr>
      <w:hyperlink r:id="rId121">
        <w:r w:rsidR="00F3388F" w:rsidRPr="008D3351">
          <w:rPr>
            <w:rStyle w:val="Hyperlink"/>
            <w:noProof/>
          </w:rPr>
          <w:t>Regolamento (UE) 2019/4</w:t>
        </w:r>
      </w:hyperlink>
      <w:r w:rsidR="00F3388F" w:rsidRPr="008D3351">
        <w:rPr>
          <w:noProof/>
        </w:rPr>
        <w:t xml:space="preserve"> del Parlamento europeo e del Consiglio, dell'11</w:t>
      </w:r>
      <w:r w:rsidR="002B1487">
        <w:rPr>
          <w:noProof/>
        </w:rPr>
        <w:t> </w:t>
      </w:r>
      <w:r w:rsidR="00F3388F" w:rsidRPr="008D3351">
        <w:rPr>
          <w:noProof/>
        </w:rPr>
        <w:t xml:space="preserve">dicembre 2018, relativo alla fabbricazione, all’immissione sul mercato e all’utilizzo di mangimi medicati, che modifica il regolamento (CE) </w:t>
      </w:r>
      <w:r w:rsidR="008D3351">
        <w:rPr>
          <w:noProof/>
        </w:rPr>
        <w:t xml:space="preserve">n. </w:t>
      </w:r>
      <w:r w:rsidR="00F3388F" w:rsidRPr="008D3351">
        <w:rPr>
          <w:noProof/>
        </w:rPr>
        <w:t>183/2005 del Parlamento europeo e del Consiglio e che abroga la direttiva 90/167/CEE del Consiglio (GU L 4 del 7.1.2019, pag. 1)</w:t>
      </w:r>
    </w:p>
    <w:p w14:paraId="281481C1" w14:textId="77777777" w:rsidR="00F37613" w:rsidRPr="008D3351" w:rsidRDefault="00BE17F2" w:rsidP="00F37613">
      <w:pPr>
        <w:pStyle w:val="ListNumber"/>
        <w:rPr>
          <w:noProof/>
        </w:rPr>
      </w:pPr>
      <w:hyperlink r:id="rId122">
        <w:r w:rsidR="00F3388F" w:rsidRPr="008D3351">
          <w:rPr>
            <w:rStyle w:val="Hyperlink"/>
            <w:noProof/>
          </w:rPr>
          <w:t>Regolamento (UE) 2019/1021</w:t>
        </w:r>
      </w:hyperlink>
      <w:r w:rsidR="00F3388F" w:rsidRPr="008D3351">
        <w:rPr>
          <w:noProof/>
        </w:rPr>
        <w:t xml:space="preserve"> del Parlamento europeo e del Consiglio, del 20 giugno 2019, relativo agli inquinanti organici persistenti (GU L 169 del 25.6.2019, pag. 45)</w:t>
      </w:r>
    </w:p>
    <w:p w14:paraId="35C29F5B" w14:textId="77777777" w:rsidR="00A64EC3" w:rsidRPr="008D3351" w:rsidRDefault="00BE17F2" w:rsidP="0099106D">
      <w:pPr>
        <w:pStyle w:val="ListNumber"/>
        <w:rPr>
          <w:noProof/>
        </w:rPr>
      </w:pPr>
      <w:hyperlink r:id="rId123">
        <w:r w:rsidR="00F3388F" w:rsidRPr="008D3351">
          <w:rPr>
            <w:rStyle w:val="Hyperlink"/>
            <w:noProof/>
          </w:rPr>
          <w:t>Direttiva (UE) 2020/2184</w:t>
        </w:r>
      </w:hyperlink>
      <w:r w:rsidR="00F3388F" w:rsidRPr="008D3351">
        <w:rPr>
          <w:noProof/>
        </w:rPr>
        <w:t xml:space="preserve"> del Parlamento europeo e del Consiglio, del 16 dicembre 2020, concernente la qualità delle acque destinate al consumo umano (GU L 435 del 23.12.2020, pag. 1)</w:t>
      </w:r>
    </w:p>
    <w:p w14:paraId="06684286" w14:textId="77777777" w:rsidR="00D805FB" w:rsidRPr="008D3351" w:rsidRDefault="00D805FB" w:rsidP="00C54EF3">
      <w:pPr>
        <w:pStyle w:val="ListNumber"/>
        <w:tabs>
          <w:tab w:val="num" w:pos="426"/>
        </w:tabs>
        <w:ind w:hanging="374"/>
        <w:rPr>
          <w:rFonts w:eastAsia="Times New Roman"/>
          <w:noProof/>
        </w:rPr>
      </w:pPr>
      <w:r w:rsidRPr="008D3351">
        <w:rPr>
          <w:noProof/>
        </w:rPr>
        <w:t>Regolamento (UE) .../... del Parlamento europeo e del Consiglio, del ..., relativo alle batterie e ai rifiuti di batterie, che abroga la direttiva 2006/66/CE e modifica il regolamento (UE) 2019/1020 (GU .../ELI: … [</w:t>
      </w:r>
      <w:r w:rsidRPr="008D3351">
        <w:rPr>
          <w:i/>
          <w:noProof/>
        </w:rPr>
        <w:t>OP: aggiungere il numero e il riferimento della pubblicazione</w:t>
      </w:r>
      <w:r w:rsidRPr="008D3351">
        <w:rPr>
          <w:noProof/>
        </w:rPr>
        <w:t>])</w:t>
      </w:r>
    </w:p>
    <w:sectPr w:rsidR="00D805FB" w:rsidRPr="008D3351" w:rsidSect="00EB469E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EBF1C" w14:textId="77777777" w:rsidR="00511320" w:rsidRDefault="00511320" w:rsidP="00D429B9">
      <w:pPr>
        <w:spacing w:before="0" w:after="0"/>
      </w:pPr>
      <w:r>
        <w:separator/>
      </w:r>
    </w:p>
  </w:endnote>
  <w:endnote w:type="continuationSeparator" w:id="0">
    <w:p w14:paraId="2D70843C" w14:textId="77777777" w:rsidR="00511320" w:rsidRDefault="00511320" w:rsidP="00D429B9">
      <w:pPr>
        <w:spacing w:before="0" w:after="0"/>
      </w:pPr>
      <w:r>
        <w:continuationSeparator/>
      </w:r>
    </w:p>
  </w:endnote>
  <w:endnote w:type="continuationNotice" w:id="1">
    <w:p w14:paraId="6865B96E" w14:textId="77777777" w:rsidR="00511320" w:rsidRDefault="0051132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1FD4C" w14:textId="5FF34691" w:rsidR="00EB469E" w:rsidRPr="00EB469E" w:rsidRDefault="00EB469E" w:rsidP="00EB469E">
    <w:pPr>
      <w:pStyle w:val="Footer"/>
      <w:rPr>
        <w:rFonts w:ascii="Arial" w:hAnsi="Arial" w:cs="Arial"/>
        <w:b/>
        <w:sz w:val="48"/>
      </w:rPr>
    </w:pPr>
    <w:r w:rsidRPr="00EB469E">
      <w:rPr>
        <w:rFonts w:ascii="Arial" w:hAnsi="Arial" w:cs="Arial"/>
        <w:b/>
        <w:sz w:val="48"/>
      </w:rPr>
      <w:t>IT</w:t>
    </w:r>
    <w:r w:rsidRPr="00EB469E">
      <w:rPr>
        <w:rFonts w:ascii="Arial" w:hAnsi="Arial" w:cs="Arial"/>
        <w:b/>
        <w:sz w:val="48"/>
      </w:rPr>
      <w:tab/>
    </w:r>
    <w:r w:rsidRPr="00EB469E">
      <w:rPr>
        <w:rFonts w:ascii="Arial" w:hAnsi="Arial" w:cs="Arial"/>
        <w:b/>
        <w:sz w:val="48"/>
      </w:rPr>
      <w:tab/>
    </w:r>
    <w:r w:rsidRPr="00EB469E">
      <w:tab/>
    </w:r>
    <w:r w:rsidRPr="00EB469E">
      <w:rPr>
        <w:rFonts w:ascii="Arial" w:hAnsi="Arial" w:cs="Arial"/>
        <w:b/>
        <w:sz w:val="48"/>
      </w:rPr>
      <w:t>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05D01" w14:textId="0E6249BA" w:rsidR="00EB469E" w:rsidRPr="00EB469E" w:rsidRDefault="00EB469E" w:rsidP="00EB469E">
    <w:pPr>
      <w:pStyle w:val="Footer"/>
      <w:rPr>
        <w:rFonts w:ascii="Arial" w:hAnsi="Arial" w:cs="Arial"/>
        <w:b/>
        <w:sz w:val="48"/>
      </w:rPr>
    </w:pPr>
    <w:r w:rsidRPr="00EB469E">
      <w:rPr>
        <w:rFonts w:ascii="Arial" w:hAnsi="Arial" w:cs="Arial"/>
        <w:b/>
        <w:sz w:val="48"/>
      </w:rPr>
      <w:t>IT</w:t>
    </w:r>
    <w:r w:rsidRPr="00EB469E">
      <w:rPr>
        <w:rFonts w:ascii="Arial" w:hAnsi="Arial" w:cs="Arial"/>
        <w:b/>
        <w:sz w:val="48"/>
      </w:rPr>
      <w:tab/>
    </w:r>
    <w:r w:rsidRPr="00EB469E">
      <w:rPr>
        <w:rFonts w:ascii="Arial" w:hAnsi="Arial" w:cs="Arial"/>
        <w:b/>
        <w:sz w:val="48"/>
      </w:rPr>
      <w:tab/>
    </w:r>
    <w:r w:rsidRPr="00EB469E">
      <w:tab/>
    </w:r>
    <w:r w:rsidRPr="00EB469E">
      <w:rPr>
        <w:rFonts w:ascii="Arial" w:hAnsi="Arial" w:cs="Arial"/>
        <w:b/>
        <w:sz w:val="48"/>
      </w:rPr>
      <w:t>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67EFF" w14:textId="77777777" w:rsidR="00EB469E" w:rsidRPr="00EB469E" w:rsidRDefault="00EB469E" w:rsidP="00EB46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B0A0A" w14:textId="77777777" w:rsidR="00EB469E" w:rsidRDefault="00EB469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3AA38" w14:textId="3B18D7D6" w:rsidR="00EB469E" w:rsidRPr="00EB469E" w:rsidRDefault="00EB469E" w:rsidP="00EB469E">
    <w:pPr>
      <w:pStyle w:val="Footer"/>
      <w:rPr>
        <w:rFonts w:ascii="Arial" w:hAnsi="Arial" w:cs="Arial"/>
        <w:b/>
        <w:sz w:val="48"/>
      </w:rPr>
    </w:pPr>
    <w:r w:rsidRPr="00EB469E">
      <w:rPr>
        <w:rFonts w:ascii="Arial" w:hAnsi="Arial" w:cs="Arial"/>
        <w:b/>
        <w:sz w:val="48"/>
      </w:rPr>
      <w:t>IT</w:t>
    </w:r>
    <w:r w:rsidRPr="00EB469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EB469E">
      <w:tab/>
    </w:r>
    <w:r w:rsidRPr="00EB469E">
      <w:rPr>
        <w:rFonts w:ascii="Arial" w:hAnsi="Arial" w:cs="Arial"/>
        <w:b/>
        <w:sz w:val="48"/>
      </w:rPr>
      <w:t>IT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89AEA" w14:textId="77777777" w:rsidR="00EB469E" w:rsidRDefault="00EB469E" w:rsidP="00EB4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1FD64" w14:textId="77777777" w:rsidR="00511320" w:rsidRDefault="00511320" w:rsidP="00D429B9">
      <w:pPr>
        <w:spacing w:before="0" w:after="0"/>
      </w:pPr>
      <w:r>
        <w:separator/>
      </w:r>
    </w:p>
  </w:footnote>
  <w:footnote w:type="continuationSeparator" w:id="0">
    <w:p w14:paraId="53355C9C" w14:textId="77777777" w:rsidR="00511320" w:rsidRDefault="00511320" w:rsidP="00D429B9">
      <w:pPr>
        <w:spacing w:before="0" w:after="0"/>
      </w:pPr>
      <w:r>
        <w:continuationSeparator/>
      </w:r>
    </w:p>
  </w:footnote>
  <w:footnote w:type="continuationNotice" w:id="1">
    <w:p w14:paraId="3651FA47" w14:textId="77777777" w:rsidR="00511320" w:rsidRDefault="00511320">
      <w:pPr>
        <w:spacing w:before="0" w:after="0"/>
      </w:pPr>
    </w:p>
  </w:footnote>
  <w:footnote w:id="2">
    <w:p w14:paraId="7029A1A6" w14:textId="77777777" w:rsidR="00521270" w:rsidRPr="0024583E" w:rsidRDefault="00521270">
      <w:pPr>
        <w:pStyle w:val="FootnoteText"/>
      </w:pPr>
      <w:r>
        <w:rPr>
          <w:rStyle w:val="FootnoteReference"/>
        </w:rPr>
        <w:footnoteRef/>
      </w:r>
      <w:r>
        <w:tab/>
        <w:t>Direttiva 2001/83/CE del Parlamento europeo e del Consiglio, del 6 novembre 2001, recante un codice comunitario relativo ai medicinali per uso umano (GU L 311 del 28.11.2001, pag. 67).</w:t>
      </w:r>
    </w:p>
  </w:footnote>
  <w:footnote w:id="3">
    <w:p w14:paraId="082B5CB0" w14:textId="77777777" w:rsidR="00521270" w:rsidRPr="0024583E" w:rsidRDefault="00521270">
      <w:pPr>
        <w:pStyle w:val="FootnoteText"/>
      </w:pPr>
      <w:r>
        <w:rPr>
          <w:rStyle w:val="FootnoteReference"/>
        </w:rPr>
        <w:footnoteRef/>
      </w:r>
      <w:r>
        <w:tab/>
        <w:t>Regolamento (CE) n. 726/2004 del Parlamento europeo e del Consiglio, del 31 marzo 2004, che istituisce procedure dell'Unione per l'autorizzazione e la sorveglianza dei medicinali per uso umano, e che istituisce l'Agenzia europea per i medicinali (GU L 136 del 30.4.2004, pag. 1).</w:t>
      </w:r>
    </w:p>
  </w:footnote>
  <w:footnote w:id="4">
    <w:p w14:paraId="028F7753" w14:textId="77777777" w:rsidR="00521270" w:rsidRPr="0024583E" w:rsidRDefault="00521270">
      <w:pPr>
        <w:pStyle w:val="FootnoteText"/>
      </w:pPr>
      <w:r>
        <w:rPr>
          <w:rStyle w:val="FootnoteReference"/>
        </w:rPr>
        <w:footnoteRef/>
      </w:r>
      <w:r>
        <w:tab/>
        <w:t>Regolamento (UE) 2019/6 del Parlamento europeo e del Consiglio, dell'11 dicembre 2018, relativo ai medicinali veterinari e che abroga la direttiva 2001/82/CE (GU L 4 del 7.1.2019, pag. 43).</w:t>
      </w:r>
    </w:p>
  </w:footnote>
  <w:footnote w:id="5">
    <w:p w14:paraId="54E16525" w14:textId="77777777" w:rsidR="00521270" w:rsidRPr="0024583E" w:rsidRDefault="00521270">
      <w:pPr>
        <w:pStyle w:val="FootnoteText"/>
      </w:pPr>
      <w:r>
        <w:rPr>
          <w:rStyle w:val="FootnoteReference"/>
        </w:rPr>
        <w:footnoteRef/>
      </w:r>
      <w:r>
        <w:tab/>
        <w:t>Regolamento (CE) n. 470/2009 del Parlamento europeo e del Consiglio, del 6 maggio 2009, che stabilisce procedure comunitarie per la determinazione di limiti di residui di sostanze farmacologicamente attive negli alimenti di origine animale, abroga il regolamento (CEE) n. 2377/90 del Consiglio e modifica la direttiva 2001/82/CE del Parlamento europeo e del Consiglio e il regolamento (CE) n. 726/2004 del Parlamento europeo e del Consiglio (GU L 152 del 16.6.2009, pag. 11).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F7338" w14:textId="77777777" w:rsidR="00EB469E" w:rsidRPr="00EB469E" w:rsidRDefault="00EB469E" w:rsidP="00EB4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1B817" w14:textId="77777777" w:rsidR="00EB469E" w:rsidRPr="00EB469E" w:rsidRDefault="00EB469E" w:rsidP="00EB4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D129" w14:textId="77777777" w:rsidR="00EB469E" w:rsidRPr="00EB469E" w:rsidRDefault="00EB469E" w:rsidP="00EB46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2798B" w14:textId="77777777" w:rsidR="00EB469E" w:rsidRDefault="00EB46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1255F" w14:textId="77777777" w:rsidR="00EB469E" w:rsidRDefault="00EB4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1CE06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84866B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0AC70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1E6FC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7EE9070"/>
    <w:lvl w:ilvl="0">
      <w:start w:val="1"/>
      <w:numFmt w:val="decimal"/>
      <w:pStyle w:val="ListNumber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9"/>
    <w:multiLevelType w:val="singleLevel"/>
    <w:tmpl w:val="734A37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9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3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 w15:restartNumberingAfterBreak="0">
    <w:nsid w:val="4DB801FE"/>
    <w:multiLevelType w:val="hybridMultilevel"/>
    <w:tmpl w:val="CDEA3762"/>
    <w:lvl w:ilvl="0" w:tplc="0E68E6CE">
      <w:start w:val="1"/>
      <w:numFmt w:val="decimal"/>
      <w:pStyle w:val="Style1"/>
      <w:lvlText w:val="%1."/>
      <w:lvlJc w:val="left"/>
      <w:pPr>
        <w:ind w:left="360" w:hanging="360"/>
      </w:pPr>
    </w:lvl>
    <w:lvl w:ilvl="1" w:tplc="151C233E">
      <w:start w:val="1"/>
      <w:numFmt w:val="lowerLetter"/>
      <w:lvlText w:val="%2."/>
      <w:lvlJc w:val="left"/>
      <w:pPr>
        <w:ind w:left="1080" w:hanging="360"/>
      </w:pPr>
    </w:lvl>
    <w:lvl w:ilvl="2" w:tplc="86C81FCA">
      <w:start w:val="1"/>
      <w:numFmt w:val="lowerRoman"/>
      <w:lvlText w:val="%3."/>
      <w:lvlJc w:val="right"/>
      <w:pPr>
        <w:ind w:left="1800" w:hanging="180"/>
      </w:pPr>
    </w:lvl>
    <w:lvl w:ilvl="3" w:tplc="CD780982">
      <w:start w:val="1"/>
      <w:numFmt w:val="decimal"/>
      <w:lvlText w:val="%4."/>
      <w:lvlJc w:val="left"/>
      <w:pPr>
        <w:ind w:left="2520" w:hanging="360"/>
      </w:pPr>
    </w:lvl>
    <w:lvl w:ilvl="4" w:tplc="27E26AD8">
      <w:start w:val="1"/>
      <w:numFmt w:val="lowerLetter"/>
      <w:lvlText w:val="%5."/>
      <w:lvlJc w:val="left"/>
      <w:pPr>
        <w:ind w:left="3240" w:hanging="360"/>
      </w:pPr>
    </w:lvl>
    <w:lvl w:ilvl="5" w:tplc="64A6B304">
      <w:start w:val="1"/>
      <w:numFmt w:val="lowerRoman"/>
      <w:lvlText w:val="%6."/>
      <w:lvlJc w:val="right"/>
      <w:pPr>
        <w:ind w:left="3960" w:hanging="180"/>
      </w:pPr>
    </w:lvl>
    <w:lvl w:ilvl="6" w:tplc="4A2E3EE4">
      <w:start w:val="1"/>
      <w:numFmt w:val="decimal"/>
      <w:lvlText w:val="%7."/>
      <w:lvlJc w:val="left"/>
      <w:pPr>
        <w:ind w:left="4680" w:hanging="360"/>
      </w:pPr>
    </w:lvl>
    <w:lvl w:ilvl="7" w:tplc="FBB045BA">
      <w:start w:val="1"/>
      <w:numFmt w:val="lowerLetter"/>
      <w:lvlText w:val="%8."/>
      <w:lvlJc w:val="left"/>
      <w:pPr>
        <w:ind w:left="5400" w:hanging="360"/>
      </w:pPr>
    </w:lvl>
    <w:lvl w:ilvl="8" w:tplc="4350E062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8"/>
  </w:num>
  <w:num w:numId="11">
    <w:abstractNumId w:val="10"/>
  </w:num>
  <w:num w:numId="12">
    <w:abstractNumId w:val="20"/>
  </w:num>
  <w:num w:numId="13">
    <w:abstractNumId w:val="9"/>
  </w:num>
  <w:num w:numId="14">
    <w:abstractNumId w:val="11"/>
  </w:num>
  <w:num w:numId="15">
    <w:abstractNumId w:val="12"/>
  </w:num>
  <w:num w:numId="16">
    <w:abstractNumId w:val="7"/>
  </w:num>
  <w:num w:numId="17">
    <w:abstractNumId w:val="19"/>
  </w:num>
  <w:num w:numId="18">
    <w:abstractNumId w:val="6"/>
  </w:num>
  <w:num w:numId="19">
    <w:abstractNumId w:val="13"/>
  </w:num>
  <w:num w:numId="20">
    <w:abstractNumId w:val="16"/>
  </w:num>
  <w:num w:numId="21">
    <w:abstractNumId w:val="17"/>
  </w:num>
  <w:num w:numId="22">
    <w:abstractNumId w:val="8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02-08 10:34:09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della"/>
    <w:docVar w:name="LW_ACCOMPAGNANT.CP" w:val="della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A93050C2-D7D3-4144-A606-C4B0E3871961"/>
    <w:docVar w:name="LW_COVERPAGE_TYPE" w:val="1"/>
    <w:docVar w:name="LW_CROSSREFERENCE" w:val="{SWD(2023) 855 final}"/>
    <w:docVar w:name="LW_DocType" w:val="ANNEX"/>
    <w:docVar w:name="LW_EMISSION" w:val="7.12.2023"/>
    <w:docVar w:name="LW_EMISSION_ISODATE" w:val="2023-12-07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17"/>
    <w:docVar w:name="LW_LANGUE" w:val="IT"/>
    <w:docVar w:name="LW_LEVEL_OF_SENSITIVITY" w:val="Standard treatment"/>
    <w:docVar w:name="LW_NOM.INST" w:val="COMMISSIONE EUROPEA"/>
    <w:docVar w:name="LW_NOM.INST_JOINTDOC" w:val="&lt;EMPTY&gt;"/>
    <w:docVar w:name="LW_OBJETACTEPRINCIPAL" w:val="che istituisce una piattaforma comune di dati sulle sostanze chimiche, stabilisce norme per garantire che i dati ivi contenuti siano reperibili, accessibili, interoperabili e riutilizzabili e istituisce un quadro di monitoraggio e prospettive per le sostanze chimiche"/>
    <w:docVar w:name="LW_OBJETACTEPRINCIPAL.CP" w:val="che istituisce una piattaforma comune di dati sulle sostanze chimiche, stabilisce norme per garantire che i dati ivi contenuti siano reperibili, accessibili, interoperabili e riutilizzabili e istituisce un quadro di monitoraggio e prospettive per le sostanze chimiche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3) 779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LLEGATI"/>
    <w:docVar w:name="LW_TYPE.DOC.CP" w:val="ALLEGATI"/>
    <w:docVar w:name="LW_TYPEACTEPRINCIPAL" w:val="proposta di regolamento del Parlamento eurpeo e del Consiglio_x000b_"/>
    <w:docVar w:name="LW_TYPEACTEPRINCIPAL.CP" w:val="proposta di regolamento del Parlamento eurpeo e del Consiglio_x000b_"/>
    <w:docVar w:name="LwApiVersions" w:val="LW4CoDe 1.24.4.0; LW 9.0, Build 20240125"/>
  </w:docVars>
  <w:rsids>
    <w:rsidRoot w:val="00D429B9"/>
    <w:rsid w:val="0000714E"/>
    <w:rsid w:val="000151AA"/>
    <w:rsid w:val="000250E5"/>
    <w:rsid w:val="00031C88"/>
    <w:rsid w:val="00033B6F"/>
    <w:rsid w:val="00034939"/>
    <w:rsid w:val="0004286E"/>
    <w:rsid w:val="00055822"/>
    <w:rsid w:val="0006616A"/>
    <w:rsid w:val="00070064"/>
    <w:rsid w:val="00070F2B"/>
    <w:rsid w:val="00072208"/>
    <w:rsid w:val="00077264"/>
    <w:rsid w:val="00077B44"/>
    <w:rsid w:val="00086F65"/>
    <w:rsid w:val="000A6C9A"/>
    <w:rsid w:val="000A7D0D"/>
    <w:rsid w:val="000B28E4"/>
    <w:rsid w:val="000B362C"/>
    <w:rsid w:val="000C2094"/>
    <w:rsid w:val="000C6647"/>
    <w:rsid w:val="000D6234"/>
    <w:rsid w:val="000E5BBF"/>
    <w:rsid w:val="000F3672"/>
    <w:rsid w:val="000F3C30"/>
    <w:rsid w:val="00100298"/>
    <w:rsid w:val="001002A6"/>
    <w:rsid w:val="00122056"/>
    <w:rsid w:val="001227AE"/>
    <w:rsid w:val="00123AFC"/>
    <w:rsid w:val="00124D25"/>
    <w:rsid w:val="00125A5A"/>
    <w:rsid w:val="00137419"/>
    <w:rsid w:val="00165C4F"/>
    <w:rsid w:val="001745F0"/>
    <w:rsid w:val="001769BF"/>
    <w:rsid w:val="00180F9E"/>
    <w:rsid w:val="001862CB"/>
    <w:rsid w:val="001929AB"/>
    <w:rsid w:val="001B21C0"/>
    <w:rsid w:val="001B67C1"/>
    <w:rsid w:val="001C241F"/>
    <w:rsid w:val="001C6EFA"/>
    <w:rsid w:val="001D454B"/>
    <w:rsid w:val="001D6B99"/>
    <w:rsid w:val="001E24E7"/>
    <w:rsid w:val="001F0E48"/>
    <w:rsid w:val="001F343E"/>
    <w:rsid w:val="001F621D"/>
    <w:rsid w:val="001F75F9"/>
    <w:rsid w:val="002032FE"/>
    <w:rsid w:val="002105DB"/>
    <w:rsid w:val="00225F6B"/>
    <w:rsid w:val="00231385"/>
    <w:rsid w:val="00232002"/>
    <w:rsid w:val="00236236"/>
    <w:rsid w:val="00240C44"/>
    <w:rsid w:val="0024583E"/>
    <w:rsid w:val="002549D0"/>
    <w:rsid w:val="002562DE"/>
    <w:rsid w:val="00264FB0"/>
    <w:rsid w:val="0027013D"/>
    <w:rsid w:val="00274915"/>
    <w:rsid w:val="00282385"/>
    <w:rsid w:val="00283D63"/>
    <w:rsid w:val="00293ADE"/>
    <w:rsid w:val="002B1487"/>
    <w:rsid w:val="002B683F"/>
    <w:rsid w:val="002C1947"/>
    <w:rsid w:val="002D493C"/>
    <w:rsid w:val="002D5B07"/>
    <w:rsid w:val="002D5D7E"/>
    <w:rsid w:val="002F01B0"/>
    <w:rsid w:val="002F3D54"/>
    <w:rsid w:val="003019E9"/>
    <w:rsid w:val="00305777"/>
    <w:rsid w:val="003073B5"/>
    <w:rsid w:val="00307648"/>
    <w:rsid w:val="003154D4"/>
    <w:rsid w:val="0034261B"/>
    <w:rsid w:val="0034372F"/>
    <w:rsid w:val="00353F9F"/>
    <w:rsid w:val="003615CB"/>
    <w:rsid w:val="00361EEC"/>
    <w:rsid w:val="00373CB5"/>
    <w:rsid w:val="00376F98"/>
    <w:rsid w:val="00390C62"/>
    <w:rsid w:val="00393D73"/>
    <w:rsid w:val="00396BAE"/>
    <w:rsid w:val="00397C65"/>
    <w:rsid w:val="003A3658"/>
    <w:rsid w:val="003A4410"/>
    <w:rsid w:val="003B0EEB"/>
    <w:rsid w:val="003C2C62"/>
    <w:rsid w:val="003C5EC8"/>
    <w:rsid w:val="003D1FD3"/>
    <w:rsid w:val="003D4E83"/>
    <w:rsid w:val="003D5E16"/>
    <w:rsid w:val="003E29AB"/>
    <w:rsid w:val="003E5447"/>
    <w:rsid w:val="003F42AB"/>
    <w:rsid w:val="003F7B20"/>
    <w:rsid w:val="004024CF"/>
    <w:rsid w:val="0040406B"/>
    <w:rsid w:val="00420419"/>
    <w:rsid w:val="00431E60"/>
    <w:rsid w:val="00433DD4"/>
    <w:rsid w:val="00435637"/>
    <w:rsid w:val="00440F59"/>
    <w:rsid w:val="00441E46"/>
    <w:rsid w:val="00445C32"/>
    <w:rsid w:val="0044627B"/>
    <w:rsid w:val="00446579"/>
    <w:rsid w:val="00446CBB"/>
    <w:rsid w:val="004518EA"/>
    <w:rsid w:val="00452730"/>
    <w:rsid w:val="004610DE"/>
    <w:rsid w:val="00461B70"/>
    <w:rsid w:val="00470B1F"/>
    <w:rsid w:val="0047405A"/>
    <w:rsid w:val="00477200"/>
    <w:rsid w:val="0048403C"/>
    <w:rsid w:val="004875E2"/>
    <w:rsid w:val="004910AF"/>
    <w:rsid w:val="00492895"/>
    <w:rsid w:val="004929BD"/>
    <w:rsid w:val="00492EB7"/>
    <w:rsid w:val="0049488E"/>
    <w:rsid w:val="00494AD7"/>
    <w:rsid w:val="00495D27"/>
    <w:rsid w:val="004A0764"/>
    <w:rsid w:val="004A59C1"/>
    <w:rsid w:val="004A71C8"/>
    <w:rsid w:val="004B71A6"/>
    <w:rsid w:val="004C5C9C"/>
    <w:rsid w:val="004D7E90"/>
    <w:rsid w:val="004E1129"/>
    <w:rsid w:val="004E57C7"/>
    <w:rsid w:val="004E6224"/>
    <w:rsid w:val="004F25E9"/>
    <w:rsid w:val="00506C9C"/>
    <w:rsid w:val="00511320"/>
    <w:rsid w:val="00515396"/>
    <w:rsid w:val="0051783A"/>
    <w:rsid w:val="00521270"/>
    <w:rsid w:val="0052144D"/>
    <w:rsid w:val="00522358"/>
    <w:rsid w:val="00542872"/>
    <w:rsid w:val="00542977"/>
    <w:rsid w:val="00546154"/>
    <w:rsid w:val="005560CF"/>
    <w:rsid w:val="00573153"/>
    <w:rsid w:val="005851DC"/>
    <w:rsid w:val="005940DD"/>
    <w:rsid w:val="00594DF6"/>
    <w:rsid w:val="00595FF2"/>
    <w:rsid w:val="005A1158"/>
    <w:rsid w:val="005B00D3"/>
    <w:rsid w:val="005B23C1"/>
    <w:rsid w:val="005B4E7A"/>
    <w:rsid w:val="005B5FD2"/>
    <w:rsid w:val="005C52B0"/>
    <w:rsid w:val="005C5C82"/>
    <w:rsid w:val="005C7A27"/>
    <w:rsid w:val="005E1231"/>
    <w:rsid w:val="005E51CF"/>
    <w:rsid w:val="005E5908"/>
    <w:rsid w:val="005F372D"/>
    <w:rsid w:val="005F48FF"/>
    <w:rsid w:val="00601D39"/>
    <w:rsid w:val="00604022"/>
    <w:rsid w:val="00612DEB"/>
    <w:rsid w:val="006247DE"/>
    <w:rsid w:val="00626E37"/>
    <w:rsid w:val="00635D6D"/>
    <w:rsid w:val="00640266"/>
    <w:rsid w:val="00641CE9"/>
    <w:rsid w:val="00642C0C"/>
    <w:rsid w:val="00643BAC"/>
    <w:rsid w:val="00646C67"/>
    <w:rsid w:val="006505EA"/>
    <w:rsid w:val="00652E80"/>
    <w:rsid w:val="00653D46"/>
    <w:rsid w:val="0065596F"/>
    <w:rsid w:val="006613AC"/>
    <w:rsid w:val="00662654"/>
    <w:rsid w:val="006663E9"/>
    <w:rsid w:val="0067551F"/>
    <w:rsid w:val="00680490"/>
    <w:rsid w:val="00691085"/>
    <w:rsid w:val="006A6BCB"/>
    <w:rsid w:val="006C1ECA"/>
    <w:rsid w:val="006C5AE8"/>
    <w:rsid w:val="006E0CA6"/>
    <w:rsid w:val="006E1516"/>
    <w:rsid w:val="006F67C5"/>
    <w:rsid w:val="00700B9E"/>
    <w:rsid w:val="0070537F"/>
    <w:rsid w:val="00715CBF"/>
    <w:rsid w:val="0071613D"/>
    <w:rsid w:val="00717CCC"/>
    <w:rsid w:val="00726697"/>
    <w:rsid w:val="00736A38"/>
    <w:rsid w:val="00741450"/>
    <w:rsid w:val="00757918"/>
    <w:rsid w:val="00757E08"/>
    <w:rsid w:val="007833EC"/>
    <w:rsid w:val="00787A1B"/>
    <w:rsid w:val="007902FB"/>
    <w:rsid w:val="00795243"/>
    <w:rsid w:val="007B608D"/>
    <w:rsid w:val="007C1E06"/>
    <w:rsid w:val="007C33FF"/>
    <w:rsid w:val="007D3AE8"/>
    <w:rsid w:val="007D504D"/>
    <w:rsid w:val="007D5DEC"/>
    <w:rsid w:val="007E68B6"/>
    <w:rsid w:val="007F1B1B"/>
    <w:rsid w:val="007F3296"/>
    <w:rsid w:val="007F3FB2"/>
    <w:rsid w:val="007F5145"/>
    <w:rsid w:val="007F67FF"/>
    <w:rsid w:val="007F686B"/>
    <w:rsid w:val="00801F2C"/>
    <w:rsid w:val="00812174"/>
    <w:rsid w:val="00812EFA"/>
    <w:rsid w:val="00817462"/>
    <w:rsid w:val="00825DD4"/>
    <w:rsid w:val="00842826"/>
    <w:rsid w:val="00850251"/>
    <w:rsid w:val="00852E95"/>
    <w:rsid w:val="0085509C"/>
    <w:rsid w:val="0086224B"/>
    <w:rsid w:val="008659BA"/>
    <w:rsid w:val="00880246"/>
    <w:rsid w:val="00881222"/>
    <w:rsid w:val="008A197C"/>
    <w:rsid w:val="008C4215"/>
    <w:rsid w:val="008C6991"/>
    <w:rsid w:val="008D31E1"/>
    <w:rsid w:val="008D3351"/>
    <w:rsid w:val="008D6398"/>
    <w:rsid w:val="008E3228"/>
    <w:rsid w:val="0090167B"/>
    <w:rsid w:val="0090382D"/>
    <w:rsid w:val="00905D22"/>
    <w:rsid w:val="00906D6B"/>
    <w:rsid w:val="0093660B"/>
    <w:rsid w:val="009459D2"/>
    <w:rsid w:val="009528F6"/>
    <w:rsid w:val="00954C85"/>
    <w:rsid w:val="0095509A"/>
    <w:rsid w:val="0096454E"/>
    <w:rsid w:val="0097143E"/>
    <w:rsid w:val="00972F7C"/>
    <w:rsid w:val="009731C0"/>
    <w:rsid w:val="00974B53"/>
    <w:rsid w:val="00980DBB"/>
    <w:rsid w:val="00980FFB"/>
    <w:rsid w:val="009902B0"/>
    <w:rsid w:val="0099106D"/>
    <w:rsid w:val="009B49DA"/>
    <w:rsid w:val="009B6BA9"/>
    <w:rsid w:val="009C2579"/>
    <w:rsid w:val="009C72FB"/>
    <w:rsid w:val="009D2284"/>
    <w:rsid w:val="009D4158"/>
    <w:rsid w:val="009E6914"/>
    <w:rsid w:val="009F7541"/>
    <w:rsid w:val="00A01280"/>
    <w:rsid w:val="00A03D00"/>
    <w:rsid w:val="00A065AF"/>
    <w:rsid w:val="00A10D0B"/>
    <w:rsid w:val="00A306EF"/>
    <w:rsid w:val="00A36237"/>
    <w:rsid w:val="00A40F6E"/>
    <w:rsid w:val="00A4122D"/>
    <w:rsid w:val="00A41A9C"/>
    <w:rsid w:val="00A47797"/>
    <w:rsid w:val="00A57F41"/>
    <w:rsid w:val="00A6243B"/>
    <w:rsid w:val="00A64EC3"/>
    <w:rsid w:val="00A71F6D"/>
    <w:rsid w:val="00A86E6D"/>
    <w:rsid w:val="00A90148"/>
    <w:rsid w:val="00A90D66"/>
    <w:rsid w:val="00A92F25"/>
    <w:rsid w:val="00A93C04"/>
    <w:rsid w:val="00A96D86"/>
    <w:rsid w:val="00A96E27"/>
    <w:rsid w:val="00A977F1"/>
    <w:rsid w:val="00AA5E85"/>
    <w:rsid w:val="00AA6500"/>
    <w:rsid w:val="00AB57DE"/>
    <w:rsid w:val="00AC24D2"/>
    <w:rsid w:val="00AD0B77"/>
    <w:rsid w:val="00AD29F6"/>
    <w:rsid w:val="00AE1E09"/>
    <w:rsid w:val="00AF2A98"/>
    <w:rsid w:val="00B03F9F"/>
    <w:rsid w:val="00B04325"/>
    <w:rsid w:val="00B11962"/>
    <w:rsid w:val="00B11BE1"/>
    <w:rsid w:val="00B12E58"/>
    <w:rsid w:val="00B23D5A"/>
    <w:rsid w:val="00B25DA6"/>
    <w:rsid w:val="00B343B8"/>
    <w:rsid w:val="00B50440"/>
    <w:rsid w:val="00B528F5"/>
    <w:rsid w:val="00B76E94"/>
    <w:rsid w:val="00B82538"/>
    <w:rsid w:val="00B92816"/>
    <w:rsid w:val="00B938A7"/>
    <w:rsid w:val="00B95FAE"/>
    <w:rsid w:val="00BA4F3C"/>
    <w:rsid w:val="00BA5A96"/>
    <w:rsid w:val="00BB12FB"/>
    <w:rsid w:val="00BB30BC"/>
    <w:rsid w:val="00BC1239"/>
    <w:rsid w:val="00BC1336"/>
    <w:rsid w:val="00BC3B21"/>
    <w:rsid w:val="00BC426F"/>
    <w:rsid w:val="00BC45FB"/>
    <w:rsid w:val="00BD2B01"/>
    <w:rsid w:val="00BD4571"/>
    <w:rsid w:val="00BD5D38"/>
    <w:rsid w:val="00BD6120"/>
    <w:rsid w:val="00BF012D"/>
    <w:rsid w:val="00BF59BF"/>
    <w:rsid w:val="00C11C66"/>
    <w:rsid w:val="00C12A61"/>
    <w:rsid w:val="00C1630D"/>
    <w:rsid w:val="00C17978"/>
    <w:rsid w:val="00C27294"/>
    <w:rsid w:val="00C30EC6"/>
    <w:rsid w:val="00C3529A"/>
    <w:rsid w:val="00C5299E"/>
    <w:rsid w:val="00C54EF3"/>
    <w:rsid w:val="00C57D8E"/>
    <w:rsid w:val="00C61AEF"/>
    <w:rsid w:val="00C649CC"/>
    <w:rsid w:val="00C6732A"/>
    <w:rsid w:val="00C74A6D"/>
    <w:rsid w:val="00C827E1"/>
    <w:rsid w:val="00C953CA"/>
    <w:rsid w:val="00C96337"/>
    <w:rsid w:val="00C971BB"/>
    <w:rsid w:val="00CA7569"/>
    <w:rsid w:val="00CB1841"/>
    <w:rsid w:val="00CB7DC5"/>
    <w:rsid w:val="00CD4ABA"/>
    <w:rsid w:val="00CD7063"/>
    <w:rsid w:val="00CF2E89"/>
    <w:rsid w:val="00D00064"/>
    <w:rsid w:val="00D14BE3"/>
    <w:rsid w:val="00D22A0D"/>
    <w:rsid w:val="00D328C4"/>
    <w:rsid w:val="00D33986"/>
    <w:rsid w:val="00D379FE"/>
    <w:rsid w:val="00D41A6C"/>
    <w:rsid w:val="00D429B9"/>
    <w:rsid w:val="00D463C0"/>
    <w:rsid w:val="00D60A1F"/>
    <w:rsid w:val="00D7498B"/>
    <w:rsid w:val="00D805FB"/>
    <w:rsid w:val="00D97A62"/>
    <w:rsid w:val="00DA2998"/>
    <w:rsid w:val="00DA3E7F"/>
    <w:rsid w:val="00DA67C0"/>
    <w:rsid w:val="00DB1C4C"/>
    <w:rsid w:val="00DB2CE5"/>
    <w:rsid w:val="00DB7353"/>
    <w:rsid w:val="00DE08DF"/>
    <w:rsid w:val="00DE430E"/>
    <w:rsid w:val="00DF1187"/>
    <w:rsid w:val="00DF3DC8"/>
    <w:rsid w:val="00E00AF1"/>
    <w:rsid w:val="00E21BAF"/>
    <w:rsid w:val="00E42A73"/>
    <w:rsid w:val="00E4621A"/>
    <w:rsid w:val="00E47D04"/>
    <w:rsid w:val="00E53496"/>
    <w:rsid w:val="00E54A0F"/>
    <w:rsid w:val="00E62190"/>
    <w:rsid w:val="00E63D82"/>
    <w:rsid w:val="00E71E17"/>
    <w:rsid w:val="00E84B3A"/>
    <w:rsid w:val="00E917F8"/>
    <w:rsid w:val="00EB2D6A"/>
    <w:rsid w:val="00EB446C"/>
    <w:rsid w:val="00EB469E"/>
    <w:rsid w:val="00EB634E"/>
    <w:rsid w:val="00EB6492"/>
    <w:rsid w:val="00EB7CE7"/>
    <w:rsid w:val="00EC4FBD"/>
    <w:rsid w:val="00ED3E86"/>
    <w:rsid w:val="00EE569E"/>
    <w:rsid w:val="00EE7CFE"/>
    <w:rsid w:val="00EF4BF1"/>
    <w:rsid w:val="00F11AB2"/>
    <w:rsid w:val="00F13056"/>
    <w:rsid w:val="00F3388F"/>
    <w:rsid w:val="00F37613"/>
    <w:rsid w:val="00F47BAF"/>
    <w:rsid w:val="00F554BB"/>
    <w:rsid w:val="00F576F6"/>
    <w:rsid w:val="00F626BB"/>
    <w:rsid w:val="00F64C05"/>
    <w:rsid w:val="00F65F0F"/>
    <w:rsid w:val="00F7024E"/>
    <w:rsid w:val="00F7357C"/>
    <w:rsid w:val="00F82260"/>
    <w:rsid w:val="00F84A53"/>
    <w:rsid w:val="00F85127"/>
    <w:rsid w:val="00F95AC9"/>
    <w:rsid w:val="00F97C54"/>
    <w:rsid w:val="00FA1875"/>
    <w:rsid w:val="00FA3274"/>
    <w:rsid w:val="00FA37D6"/>
    <w:rsid w:val="00FA5336"/>
    <w:rsid w:val="00FA7867"/>
    <w:rsid w:val="00FB02F0"/>
    <w:rsid w:val="00FB2B27"/>
    <w:rsid w:val="00FC0482"/>
    <w:rsid w:val="00FD0953"/>
    <w:rsid w:val="00FD2770"/>
    <w:rsid w:val="00FD4AE7"/>
    <w:rsid w:val="00FD715E"/>
    <w:rsid w:val="00FF528C"/>
    <w:rsid w:val="01570527"/>
    <w:rsid w:val="01C23B02"/>
    <w:rsid w:val="01F90BF8"/>
    <w:rsid w:val="0242DA94"/>
    <w:rsid w:val="034548A8"/>
    <w:rsid w:val="0355C7B8"/>
    <w:rsid w:val="048EA5E9"/>
    <w:rsid w:val="069CB4F3"/>
    <w:rsid w:val="06F321BF"/>
    <w:rsid w:val="07F776D6"/>
    <w:rsid w:val="090DA2BC"/>
    <w:rsid w:val="09C9DDE0"/>
    <w:rsid w:val="0AE4BF10"/>
    <w:rsid w:val="0AEEA730"/>
    <w:rsid w:val="0B97489E"/>
    <w:rsid w:val="0BE904F2"/>
    <w:rsid w:val="0BF95225"/>
    <w:rsid w:val="0CE88CC1"/>
    <w:rsid w:val="0E036A46"/>
    <w:rsid w:val="0E256712"/>
    <w:rsid w:val="10223B2A"/>
    <w:rsid w:val="10865E84"/>
    <w:rsid w:val="10D2C240"/>
    <w:rsid w:val="114C0B17"/>
    <w:rsid w:val="138F843F"/>
    <w:rsid w:val="1407F42F"/>
    <w:rsid w:val="15AB5504"/>
    <w:rsid w:val="16A8AFFF"/>
    <w:rsid w:val="16CF2CB5"/>
    <w:rsid w:val="19A3894E"/>
    <w:rsid w:val="1C799E7F"/>
    <w:rsid w:val="1C85AB35"/>
    <w:rsid w:val="1C8B2D55"/>
    <w:rsid w:val="1C9EA0C1"/>
    <w:rsid w:val="1D72A6A0"/>
    <w:rsid w:val="1EBEA03B"/>
    <w:rsid w:val="1ECCF1B8"/>
    <w:rsid w:val="1F981DCB"/>
    <w:rsid w:val="1FF0100D"/>
    <w:rsid w:val="20477725"/>
    <w:rsid w:val="211E958C"/>
    <w:rsid w:val="23DE04B7"/>
    <w:rsid w:val="247794BD"/>
    <w:rsid w:val="26231176"/>
    <w:rsid w:val="26D60BBC"/>
    <w:rsid w:val="27A4410D"/>
    <w:rsid w:val="2B62A784"/>
    <w:rsid w:val="2BE7B4DB"/>
    <w:rsid w:val="2CE715F0"/>
    <w:rsid w:val="2EF87F39"/>
    <w:rsid w:val="2F13C49B"/>
    <w:rsid w:val="2F40BEDF"/>
    <w:rsid w:val="30FBEEF8"/>
    <w:rsid w:val="340A3050"/>
    <w:rsid w:val="342D8E6E"/>
    <w:rsid w:val="37364167"/>
    <w:rsid w:val="382216D4"/>
    <w:rsid w:val="38B91C3C"/>
    <w:rsid w:val="39DF14CE"/>
    <w:rsid w:val="39E51913"/>
    <w:rsid w:val="3A54EC9D"/>
    <w:rsid w:val="3D8C5A8E"/>
    <w:rsid w:val="3DD6DFFC"/>
    <w:rsid w:val="3FB4B2FB"/>
    <w:rsid w:val="421B9619"/>
    <w:rsid w:val="422B702A"/>
    <w:rsid w:val="44DFEA96"/>
    <w:rsid w:val="45B13AFD"/>
    <w:rsid w:val="45C3C64D"/>
    <w:rsid w:val="4621DFD4"/>
    <w:rsid w:val="4623B831"/>
    <w:rsid w:val="467F5581"/>
    <w:rsid w:val="495B58F3"/>
    <w:rsid w:val="49D85F85"/>
    <w:rsid w:val="4A8CFD3E"/>
    <w:rsid w:val="4BAF2CC2"/>
    <w:rsid w:val="4E3007BB"/>
    <w:rsid w:val="4E8372DD"/>
    <w:rsid w:val="4EAF69A8"/>
    <w:rsid w:val="50E20CA0"/>
    <w:rsid w:val="50EA55DB"/>
    <w:rsid w:val="515AD363"/>
    <w:rsid w:val="516A5E60"/>
    <w:rsid w:val="523917E8"/>
    <w:rsid w:val="529E047F"/>
    <w:rsid w:val="5400B7D6"/>
    <w:rsid w:val="550582CF"/>
    <w:rsid w:val="56885DA4"/>
    <w:rsid w:val="57D66C98"/>
    <w:rsid w:val="58242E05"/>
    <w:rsid w:val="5AC1F14E"/>
    <w:rsid w:val="5DEE4E81"/>
    <w:rsid w:val="5F719D82"/>
    <w:rsid w:val="60273416"/>
    <w:rsid w:val="60BB58D7"/>
    <w:rsid w:val="60E26DE2"/>
    <w:rsid w:val="60E6B9D0"/>
    <w:rsid w:val="636037BA"/>
    <w:rsid w:val="64BFC0FD"/>
    <w:rsid w:val="650A9E93"/>
    <w:rsid w:val="658EC9FA"/>
    <w:rsid w:val="66E65223"/>
    <w:rsid w:val="672AD254"/>
    <w:rsid w:val="676974C4"/>
    <w:rsid w:val="69030787"/>
    <w:rsid w:val="6C487F1D"/>
    <w:rsid w:val="6D157DA7"/>
    <w:rsid w:val="6EF134F6"/>
    <w:rsid w:val="703D6E37"/>
    <w:rsid w:val="73EB0807"/>
    <w:rsid w:val="7557380A"/>
    <w:rsid w:val="76BB5ADC"/>
    <w:rsid w:val="7783E6B5"/>
    <w:rsid w:val="784535E8"/>
    <w:rsid w:val="78C02E51"/>
    <w:rsid w:val="792B766A"/>
    <w:rsid w:val="7961829E"/>
    <w:rsid w:val="7B859C47"/>
    <w:rsid w:val="7B8E7467"/>
    <w:rsid w:val="7CEEC9DE"/>
    <w:rsid w:val="7F7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9696AF"/>
  <w15:docId w15:val="{2C4ACBA2-9AB4-4CFB-A5D0-808B3135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it-I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7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7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7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429B9"/>
  </w:style>
  <w:style w:type="paragraph" w:styleId="ListParagraph">
    <w:name w:val="List Paragraph"/>
    <w:basedOn w:val="Normal"/>
    <w:uiPriority w:val="34"/>
    <w:qFormat/>
    <w:rsid w:val="00D429B9"/>
    <w:pPr>
      <w:spacing w:before="0" w:after="160" w:line="259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D42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Number">
    <w:name w:val="List Number"/>
    <w:basedOn w:val="Normal"/>
    <w:uiPriority w:val="99"/>
    <w:unhideWhenUsed/>
    <w:rsid w:val="00D429B9"/>
    <w:pPr>
      <w:numPr>
        <w:numId w:val="2"/>
      </w:numPr>
      <w:contextualSpacing/>
    </w:pPr>
  </w:style>
  <w:style w:type="paragraph" w:customStyle="1" w:styleId="Style1">
    <w:name w:val="Style1"/>
    <w:basedOn w:val="Index1"/>
    <w:qFormat/>
    <w:rsid w:val="003C5EC8"/>
    <w:pPr>
      <w:numPr>
        <w:numId w:val="1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C5EC8"/>
    <w:pPr>
      <w:spacing w:before="0" w:after="0"/>
      <w:ind w:left="240" w:hanging="240"/>
    </w:pPr>
  </w:style>
  <w:style w:type="paragraph" w:styleId="ListBullet">
    <w:name w:val="List Bullet"/>
    <w:basedOn w:val="Normal"/>
    <w:uiPriority w:val="99"/>
    <w:unhideWhenUsed/>
    <w:rsid w:val="00CD4ABA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CD4ABA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4ABA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4ABA"/>
    <w:pPr>
      <w:numPr>
        <w:numId w:val="6"/>
      </w:numPr>
      <w:contextualSpacing/>
    </w:pPr>
  </w:style>
  <w:style w:type="character" w:styleId="Hyperlink">
    <w:name w:val="Hyperlink"/>
    <w:aliases w:val=" Znak Znak Znak,Znak Znak Znak"/>
    <w:basedOn w:val="DefaultParagraphFont"/>
    <w:uiPriority w:val="99"/>
    <w:unhideWhenUsed/>
    <w:qFormat/>
    <w:rsid w:val="00BA5A9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EC3"/>
    <w:rPr>
      <w:rFonts w:ascii="Times New Roman" w:hAnsi="Times New Roman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3"/>
    <w:rPr>
      <w:rFonts w:ascii="Times New Roman" w:hAnsi="Times New Roman" w:cs="Times New Roman"/>
      <w:b/>
      <w:bCs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E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C3"/>
    <w:rPr>
      <w:rFonts w:ascii="Segoe UI" w:hAnsi="Segoe UI" w:cs="Segoe UI"/>
      <w:sz w:val="18"/>
      <w:szCs w:val="18"/>
      <w:lang w:val="it-I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8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F9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21C0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726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7E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4215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361EEC"/>
    <w:rPr>
      <w:color w:val="2B579A"/>
      <w:shd w:val="clear" w:color="auto" w:fill="E1DFDD"/>
    </w:rPr>
  </w:style>
  <w:style w:type="paragraph" w:styleId="ListNumber2">
    <w:name w:val="List Number 2"/>
    <w:basedOn w:val="Normal"/>
    <w:uiPriority w:val="99"/>
    <w:unhideWhenUsed/>
    <w:rsid w:val="005E5908"/>
    <w:pPr>
      <w:numPr>
        <w:numId w:val="8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B469E"/>
    <w:rPr>
      <w:rFonts w:ascii="Times New Roman" w:hAnsi="Times New Roman" w:cs="Times New Roman"/>
      <w:sz w:val="24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EB469E"/>
    <w:rPr>
      <w:rFonts w:ascii="Times New Roman" w:hAnsi="Times New Roman" w:cs="Times New Roman"/>
      <w:sz w:val="24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it-IT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EB46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EB469E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EB46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ret5">
    <w:name w:val="Tiret 5"/>
    <w:basedOn w:val="Point5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6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6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B469E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EB469E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EB469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EB469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ur-lex.europa.eu/legal-content/it/ALL/?uri=CELEX:32001L0018" TargetMode="External"/><Relationship Id="rId117" Type="http://schemas.openxmlformats.org/officeDocument/2006/relationships/hyperlink" Target="https://eur-lex.europa.eu/legal-content/IT/TXT/?uri=CELEX%3A02009L0148-20190726" TargetMode="External"/><Relationship Id="rId21" Type="http://schemas.openxmlformats.org/officeDocument/2006/relationships/hyperlink" Target="https://eur-lex.europa.eu/legal-content/IT/TXT/?uri=CELEX%3A01994L0062-20180704" TargetMode="External"/><Relationship Id="rId42" Type="http://schemas.openxmlformats.org/officeDocument/2006/relationships/hyperlink" Target="http://eur-lex.europa.eu/legal-content/IT/ALL/?uri=CELEX:02006R1924-20121129" TargetMode="External"/><Relationship Id="rId47" Type="http://schemas.openxmlformats.org/officeDocument/2006/relationships/hyperlink" Target="https://eur-lex.europa.eu/legal-content/IT/TXT/?uri=CELEX%3A02008L0050-20150918" TargetMode="External"/><Relationship Id="rId63" Type="http://schemas.openxmlformats.org/officeDocument/2006/relationships/hyperlink" Target="https://eur-lex.europa.eu/legal-content/IT/TXT/?uri=CELEX%3A02009R1221-20190109" TargetMode="External"/><Relationship Id="rId68" Type="http://schemas.openxmlformats.org/officeDocument/2006/relationships/hyperlink" Target="https://eur-lex.europa.eu/legal-content/IT/TXT/?uri=CELEX%3A02011R1169-20180101" TargetMode="External"/><Relationship Id="rId84" Type="http://schemas.openxmlformats.org/officeDocument/2006/relationships/hyperlink" Target="https://eur-lex.europa.eu/legal-content/IT/TXT/?uri=CELEX%3A02019R1021-20221213" TargetMode="External"/><Relationship Id="rId89" Type="http://schemas.openxmlformats.org/officeDocument/2006/relationships/header" Target="header5.xml"/><Relationship Id="rId112" Type="http://schemas.openxmlformats.org/officeDocument/2006/relationships/hyperlink" Target="https://eur-lex.europa.eu/legal-content/IT/TXT/?uri=CELEX%3A02009L0032-20230216" TargetMode="External"/><Relationship Id="rId16" Type="http://schemas.openxmlformats.org/officeDocument/2006/relationships/header" Target="header3.xml"/><Relationship Id="rId107" Type="http://schemas.openxmlformats.org/officeDocument/2006/relationships/hyperlink" Target="https://eur-lex.europa.eu/legal-content/IT/TXT/?uri=CELEX%3A02008R1331-20210327" TargetMode="External"/><Relationship Id="rId11" Type="http://schemas.openxmlformats.org/officeDocument/2006/relationships/image" Target="media/image1.emf"/><Relationship Id="rId32" Type="http://schemas.openxmlformats.org/officeDocument/2006/relationships/hyperlink" Target="https://eur-lex.europa.eu/legal-content/IT/TXT/?uri=CELEX%3A02003R2065-20210327" TargetMode="External"/><Relationship Id="rId37" Type="http://schemas.openxmlformats.org/officeDocument/2006/relationships/hyperlink" Target="https://eur-lex.europa.eu/legal-content/IT/TXT/?uri=CELEX%3A02004L0107-20150918" TargetMode="External"/><Relationship Id="rId53" Type="http://schemas.openxmlformats.org/officeDocument/2006/relationships/hyperlink" Target="https://eur-lex.europa.eu/legal-content/IT/TXT/?uri=CELEX%3A02008R1333-20230322" TargetMode="External"/><Relationship Id="rId58" Type="http://schemas.openxmlformats.org/officeDocument/2006/relationships/hyperlink" Target="https://eur-lex.europa.eu/legal-content/IT/TXT/?uri=CELEX%3A02009L0048-20221205" TargetMode="External"/><Relationship Id="rId74" Type="http://schemas.openxmlformats.org/officeDocument/2006/relationships/hyperlink" Target="https://eur-lex.europa.eu/legal-content/IT/TXT/?uri=celex%3A32014L0028" TargetMode="External"/><Relationship Id="rId79" Type="http://schemas.openxmlformats.org/officeDocument/2006/relationships/hyperlink" Target="https://eur-lex.europa.eu/legal-content/IT/TXT/?uri=CELEX%3A02017R0625-20220128" TargetMode="External"/><Relationship Id="rId102" Type="http://schemas.openxmlformats.org/officeDocument/2006/relationships/hyperlink" Target="https://eur-lex.europa.eu/legal-content/IT/TXT/?uri=CELEX%3A02006L0118-20140711" TargetMode="External"/><Relationship Id="rId123" Type="http://schemas.openxmlformats.org/officeDocument/2006/relationships/hyperlink" Target="https://eur-lex.europa.eu/legal-content/IT/TXT/?uri=CELEX%3A32020L2184&amp;qid=1706891464883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eur-lex.europa.eu/legal-content/IT/TXT/?uri=CELEX%3A02009L0128-20190726" TargetMode="External"/><Relationship Id="rId82" Type="http://schemas.openxmlformats.org/officeDocument/2006/relationships/hyperlink" Target="https://eur-lex.europa.eu/legal-content/IT/TXT/?uri=uriserv:OJ.L_.2019.004.01.0001.01.ITA" TargetMode="External"/><Relationship Id="rId90" Type="http://schemas.openxmlformats.org/officeDocument/2006/relationships/footer" Target="footer6.xml"/><Relationship Id="rId95" Type="http://schemas.openxmlformats.org/officeDocument/2006/relationships/hyperlink" Target="https://eur-lex.europa.eu/legal-content/IT/TXT/?uri=CELEX%3A02000L0053-20230330" TargetMode="External"/><Relationship Id="rId19" Type="http://schemas.openxmlformats.org/officeDocument/2006/relationships/hyperlink" Target="https://eur-lex.europa.eu/legal-content/IT/TXT/?uri=CELEX%3A01991L0676-20081211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eur-lex.europa.eu/legal-content/IT/TXT/?uri=CELEX%3A01998L0024-20190726" TargetMode="External"/><Relationship Id="rId27" Type="http://schemas.openxmlformats.org/officeDocument/2006/relationships/hyperlink" Target="https://eur-lex.europa.eu/legal-content/IT/TXT/?uri=CELEX%3A02002R0178-20220701" TargetMode="External"/><Relationship Id="rId30" Type="http://schemas.openxmlformats.org/officeDocument/2006/relationships/hyperlink" Target="https://eur-lex.europa.eu/legal-content/IT/TXT/?uri=CELEX%3A02003R1829-20210327" TargetMode="External"/><Relationship Id="rId35" Type="http://schemas.openxmlformats.org/officeDocument/2006/relationships/hyperlink" Target="https://eur-lex.europa.eu/legal-content/IT/TXT/?uri=CELEX%3A02004R0852-20090420" TargetMode="External"/><Relationship Id="rId43" Type="http://schemas.openxmlformats.org/officeDocument/2006/relationships/hyperlink" Target="https://eur-lex.europa.eu/legal-content/IT/TXT/?uri=CELEX%3A02006R1925-20221221" TargetMode="External"/><Relationship Id="rId48" Type="http://schemas.openxmlformats.org/officeDocument/2006/relationships/hyperlink" Target="https://eur-lex.europa.eu/legal-content/IT/TXT/?uri=CELEX%3A02008L0098-20180705" TargetMode="External"/><Relationship Id="rId56" Type="http://schemas.openxmlformats.org/officeDocument/2006/relationships/hyperlink" Target="https://eur-lex.europa.eu/legal-content/IT/TXT/?uri=CELEX%3A02009R0401-20210729" TargetMode="External"/><Relationship Id="rId64" Type="http://schemas.openxmlformats.org/officeDocument/2006/relationships/hyperlink" Target="https://eur-lex.europa.eu/legal-content/IT/TXT/?uri=CELEX%3A02009R1223-20221217" TargetMode="External"/><Relationship Id="rId69" Type="http://schemas.openxmlformats.org/officeDocument/2006/relationships/hyperlink" Target="https://eur-lex.europa.eu/legal-content/IT/TXT/?uri=CELEX%3A02012R0528-20220415" TargetMode="External"/><Relationship Id="rId77" Type="http://schemas.openxmlformats.org/officeDocument/2006/relationships/hyperlink" Target="https://eur-lex.europa.eu/legal-content/IT/TXT/?uri=CELEX%3A02015R2283-20210327" TargetMode="External"/><Relationship Id="rId100" Type="http://schemas.openxmlformats.org/officeDocument/2006/relationships/hyperlink" Target="https://eur-lex.europa.eu/legal-content/IT/TXT/?uri=CELEX%3A02004L0107-20150918" TargetMode="External"/><Relationship Id="rId105" Type="http://schemas.openxmlformats.org/officeDocument/2006/relationships/hyperlink" Target="https://eur-lex.europa.eu/legal-content/IT/TXT/?uri=CELEX%3A02008L0105-20130913" TargetMode="External"/><Relationship Id="rId113" Type="http://schemas.openxmlformats.org/officeDocument/2006/relationships/hyperlink" Target="https://eur-lex.europa.eu/legal-content/IT/TXT/?uri=CELEX%3A02009L0125-20121204" TargetMode="External"/><Relationship Id="rId118" Type="http://schemas.openxmlformats.org/officeDocument/2006/relationships/hyperlink" Target="https://eur-lex.europa.eu/legal-content/IT/TXT/?uri=CELEX%3A02009R1223-20221217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eur-lex.europa.eu/legal-content/IT/TXT/?uri=CELEX%3A02008R1331-20210327" TargetMode="External"/><Relationship Id="rId72" Type="http://schemas.openxmlformats.org/officeDocument/2006/relationships/hyperlink" Target="https://eur-lex.europa.eu/legal-content/IT/TXT/?uri=CELEX%3A02012R0649-20220701" TargetMode="External"/><Relationship Id="rId80" Type="http://schemas.openxmlformats.org/officeDocument/2006/relationships/hyperlink" Target="https://eur-lex.europa.eu/legal-content/IT/TXT/?uri=CELEX%3A02017R0745-20230320" TargetMode="External"/><Relationship Id="rId85" Type="http://schemas.openxmlformats.org/officeDocument/2006/relationships/hyperlink" Target="https://eur-lex.europa.eu/legal-content/IT/TXT/?uri=CELEX%3A32020L2184&amp;qid=1706891464883" TargetMode="External"/><Relationship Id="rId93" Type="http://schemas.openxmlformats.org/officeDocument/2006/relationships/hyperlink" Target="https://eur-lex.europa.eu/legal-content/IT/TXT/?uri=CELEX%3A02004L0037-20140325" TargetMode="External"/><Relationship Id="rId98" Type="http://schemas.openxmlformats.org/officeDocument/2006/relationships/hyperlink" Target="https://eur-lex.europa.eu/legal-content/IT/TXT/?uri=CELEX%3A02003R1831-20210327" TargetMode="External"/><Relationship Id="rId121" Type="http://schemas.openxmlformats.org/officeDocument/2006/relationships/hyperlink" Target="https://eur-lex.europa.eu/legal-content/IT/TXT/?uri=uriserv:OJ.L_.2019.004.01.0001.01.ITA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eur-lex.europa.eu/legal-content/IT/TXT/?uri=CELEX%3A02000L0060-20141120" TargetMode="External"/><Relationship Id="rId33" Type="http://schemas.openxmlformats.org/officeDocument/2006/relationships/hyperlink" Target="https://eur-lex.europa.eu/legal-content/IT/TXT/?uri=CELEX%3A02004R0853-20210101" TargetMode="External"/><Relationship Id="rId38" Type="http://schemas.openxmlformats.org/officeDocument/2006/relationships/hyperlink" Target="https://eur-lex.europa.eu/legal-content/IT/TXT/?uri=CELEX%3A02005R0396-20230228" TargetMode="External"/><Relationship Id="rId46" Type="http://schemas.openxmlformats.org/officeDocument/2006/relationships/hyperlink" Target="https://eur-lex.europa.eu/legal-content/IT/TXT/?uri=CELEX%3A02008L0056-20170607" TargetMode="External"/><Relationship Id="rId59" Type="http://schemas.openxmlformats.org/officeDocument/2006/relationships/hyperlink" Target="https://eur-lex.europa.eu/legal-content/IT/TXT/?uri=CELEX%3A02009R1069-20191214" TargetMode="External"/><Relationship Id="rId67" Type="http://schemas.openxmlformats.org/officeDocument/2006/relationships/hyperlink" Target="https://eur-lex.europa.eu/legal-content/IT/TXT/?uri=CELEX%3A02011L0065-20230301" TargetMode="External"/><Relationship Id="rId103" Type="http://schemas.openxmlformats.org/officeDocument/2006/relationships/hyperlink" Target="https://eur-lex.europa.eu/legal-content/IT/TXT/?uri=CELEX%3A02006R1907-20221217" TargetMode="External"/><Relationship Id="rId108" Type="http://schemas.openxmlformats.org/officeDocument/2006/relationships/hyperlink" Target="https://eur-lex.europa.eu/legal-content/IT/TXT/?uri=CELEX%3A02008R1332-20121203" TargetMode="External"/><Relationship Id="rId116" Type="http://schemas.openxmlformats.org/officeDocument/2006/relationships/hyperlink" Target="https://eur-lex.europa.eu/legal-content/IT/TXT/?uri=CELEX%3A02009R1107-20221121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eur-lex.europa.eu/legal-content/IT/TXT/?uri=CELEX%3A01993R0315-20090807" TargetMode="External"/><Relationship Id="rId41" Type="http://schemas.openxmlformats.org/officeDocument/2006/relationships/hyperlink" Target="https://eur-lex.europa.eu/legal-content/IT/TXT/?uri=CELEX%3A02006R1907-20221217" TargetMode="External"/><Relationship Id="rId54" Type="http://schemas.openxmlformats.org/officeDocument/2006/relationships/hyperlink" Target="https://eur-lex.europa.eu/legal-content/IT/TXT/?uri=CELEX%3A02008R1334-20230321" TargetMode="External"/><Relationship Id="rId62" Type="http://schemas.openxmlformats.org/officeDocument/2006/relationships/hyperlink" Target="https://eur-lex.europa.eu/legal-content/IT/TXT/?uri=CELEX%3A02009L0148-20190726" TargetMode="External"/><Relationship Id="rId70" Type="http://schemas.openxmlformats.org/officeDocument/2006/relationships/hyperlink" Target="https://eur-lex.europa.eu/legal-content/IT/TXT/?uri=CELEX%3A32012L0018" TargetMode="External"/><Relationship Id="rId75" Type="http://schemas.openxmlformats.org/officeDocument/2006/relationships/hyperlink" Target="https://eur-lex.europa.eu/legal-content/IT/TXT/?uri=CELEX%3A02014L0040-20150106" TargetMode="External"/><Relationship Id="rId83" Type="http://schemas.openxmlformats.org/officeDocument/2006/relationships/hyperlink" Target="https://eur-lex.europa.eu/legal-content/IT/TXT/?uri=CELEX%3A02019R1009-20230316" TargetMode="External"/><Relationship Id="rId88" Type="http://schemas.openxmlformats.org/officeDocument/2006/relationships/footer" Target="footer5.xml"/><Relationship Id="rId91" Type="http://schemas.openxmlformats.org/officeDocument/2006/relationships/hyperlink" Target="https://eur-lex.europa.eu/legal-content/IT/TXT/?uri=CELEX%3A01993R0315-20090807" TargetMode="External"/><Relationship Id="rId96" Type="http://schemas.openxmlformats.org/officeDocument/2006/relationships/hyperlink" Target="https://eur-lex.europa.eu/legal-content/IT/TXT/?uri=CELEX%3A02002R0178-20220701" TargetMode="External"/><Relationship Id="rId111" Type="http://schemas.openxmlformats.org/officeDocument/2006/relationships/hyperlink" Target="https://eur-lex.europa.eu/legal-content/IT/TXT/?uri=CELEX%3A02008R1331-2021032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eur-lex.europa.eu/legal-content/IT/TXT/?uri=CELEX%3A02004L0037-20140325" TargetMode="External"/><Relationship Id="rId28" Type="http://schemas.openxmlformats.org/officeDocument/2006/relationships/hyperlink" Target="https://eur-lex.europa.eu/legal-content/IT/TXT/?uri=CELEX%3A02002L0032-20191128" TargetMode="External"/><Relationship Id="rId36" Type="http://schemas.openxmlformats.org/officeDocument/2006/relationships/hyperlink" Target="https://eur-lex.europa.eu/legal-content/IT/TXT/?uri=CELEX%3A02004R1935-20210327" TargetMode="External"/><Relationship Id="rId49" Type="http://schemas.openxmlformats.org/officeDocument/2006/relationships/hyperlink" Target="https://eur-lex.europa.eu/legal-content/IT/TXT/?uri=CELEX%3A02008L0105-20130913" TargetMode="External"/><Relationship Id="rId57" Type="http://schemas.openxmlformats.org/officeDocument/2006/relationships/hyperlink" Target="https://eur-lex.europa.eu/legal-content/IT/TXT/?uri=CELEX%3A02009L0032-20230216" TargetMode="External"/><Relationship Id="rId106" Type="http://schemas.openxmlformats.org/officeDocument/2006/relationships/hyperlink" Target="https://eur-lex.europa.eu/legal-content/IT/TXT/?uri=CELEX%3A02008R1272-20221217" TargetMode="External"/><Relationship Id="rId114" Type="http://schemas.openxmlformats.org/officeDocument/2006/relationships/hyperlink" Target="https://eur-lex.europa.eu/legal-content/IT/TXT/?uri=CELEX%3A02009L0048-20221205" TargetMode="External"/><Relationship Id="rId119" Type="http://schemas.openxmlformats.org/officeDocument/2006/relationships/hyperlink" Target="https://eur-lex.europa.eu/legal-content/IT/TXT/?uri=CELEX%3A02011L0065-2023030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eur-lex.europa.eu/legal-content/IT/TXT/?uri=CELEX%3A02003R1831-20210327" TargetMode="External"/><Relationship Id="rId44" Type="http://schemas.openxmlformats.org/officeDocument/2006/relationships/hyperlink" Target="https://eur-lex.europa.eu/legal-content/IT/TXT/?uri=CELEX%3A02007L0002-20190626" TargetMode="External"/><Relationship Id="rId52" Type="http://schemas.openxmlformats.org/officeDocument/2006/relationships/hyperlink" Target="https://eur-lex.europa.eu/legal-content/IT/TXT/?uri=CELEX%3A02008R1332-20121203" TargetMode="External"/><Relationship Id="rId60" Type="http://schemas.openxmlformats.org/officeDocument/2006/relationships/hyperlink" Target="https://eur-lex.europa.eu/legal-content/IT/TXT/?uri=CELEX%3A02009R1107-20221121" TargetMode="External"/><Relationship Id="rId65" Type="http://schemas.openxmlformats.org/officeDocument/2006/relationships/hyperlink" Target="https://eur-lex.europa.eu/legal-content/IT/TXT/?uri=CELEX%3A02010L0075-20110106" TargetMode="External"/><Relationship Id="rId73" Type="http://schemas.openxmlformats.org/officeDocument/2006/relationships/hyperlink" Target="https://eur-lex.europa.eu/legal-content/IT/TXT/?uri=CELEX%3A02013R0609-20230321" TargetMode="External"/><Relationship Id="rId78" Type="http://schemas.openxmlformats.org/officeDocument/2006/relationships/hyperlink" Target="https://eur-lex.europa.eu/legal-content/IT/TXT/?uri=uriserv:OJ.L_.2016.344.01.0001.01.ITA" TargetMode="External"/><Relationship Id="rId81" Type="http://schemas.openxmlformats.org/officeDocument/2006/relationships/hyperlink" Target="https://eur-lex.europa.eu/legal-content/IT/TXT/?uri=CELEX%3A02017R0852-20221225" TargetMode="External"/><Relationship Id="rId86" Type="http://schemas.openxmlformats.org/officeDocument/2006/relationships/header" Target="header4.xml"/><Relationship Id="rId94" Type="http://schemas.openxmlformats.org/officeDocument/2006/relationships/hyperlink" Target="https://eur-lex.europa.eu/legal-content/IT/TXT/?uri=CELEX%3A01998L0024-20190726" TargetMode="External"/><Relationship Id="rId99" Type="http://schemas.openxmlformats.org/officeDocument/2006/relationships/hyperlink" Target="https://eur-lex.europa.eu/legal-content/IT/TXT/?uri=CELEX%3A02004R1935-20210327" TargetMode="External"/><Relationship Id="rId101" Type="http://schemas.openxmlformats.org/officeDocument/2006/relationships/hyperlink" Target="https://eur-lex.europa.eu/legal-content/IT/TXT/?uri=CELEX%3A02005R0396-20230228" TargetMode="External"/><Relationship Id="rId122" Type="http://schemas.openxmlformats.org/officeDocument/2006/relationships/hyperlink" Target="https://eur-lex.europa.eu/legal-content/IT/TXT/?uri=CELEX%3A02019R1021-2022121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eur-lex.europa.eu/legal-content/IT/TXT/?uri=CELEX%3A01991L0271-20140101" TargetMode="External"/><Relationship Id="rId39" Type="http://schemas.openxmlformats.org/officeDocument/2006/relationships/hyperlink" Target="https://eur-lex.europa.eu/legal-content/IT/TXT/?uri=CELEX%3A02006R0166-20200101" TargetMode="External"/><Relationship Id="rId109" Type="http://schemas.openxmlformats.org/officeDocument/2006/relationships/hyperlink" Target="https://eur-lex.europa.eu/legal-content/IT/TXT/?uri=CELEX%3A02008R1333-20230322" TargetMode="External"/><Relationship Id="rId34" Type="http://schemas.openxmlformats.org/officeDocument/2006/relationships/hyperlink" Target="https://eur-lex.europa.eu/legal-content/IT/TXT/?uri=CELEX%3A02004R0648-20150601" TargetMode="External"/><Relationship Id="rId50" Type="http://schemas.openxmlformats.org/officeDocument/2006/relationships/hyperlink" Target="https://eur-lex.europa.eu/legal-content/IT/TXT/?uri=CELEX%3A02008R1272-20221217" TargetMode="External"/><Relationship Id="rId55" Type="http://schemas.openxmlformats.org/officeDocument/2006/relationships/hyperlink" Target="https://eur-lex.europa.eu/legal-content/IT/TXT/?uri=CELEX%3A02009L0125-20121204" TargetMode="External"/><Relationship Id="rId76" Type="http://schemas.openxmlformats.org/officeDocument/2006/relationships/hyperlink" Target="https://eur-lex.europa.eu/legal-content/IT/TXT/?uri=CELEX%3A32014R0517" TargetMode="External"/><Relationship Id="rId97" Type="http://schemas.openxmlformats.org/officeDocument/2006/relationships/hyperlink" Target="https://eur-lex.europa.eu/legal-content/IT/TXT/?uri=CELEX%3A02002L0032-20191128" TargetMode="External"/><Relationship Id="rId104" Type="http://schemas.openxmlformats.org/officeDocument/2006/relationships/hyperlink" Target="https://eur-lex.europa.eu/legal-content/IT/TXT/?uri=CELEX%3A02012L0019-20180704" TargetMode="External"/><Relationship Id="rId120" Type="http://schemas.openxmlformats.org/officeDocument/2006/relationships/hyperlink" Target="https://eur-lex.europa.eu/legal-content/IT/TXT/?uri=CELEX%3A02012R0528-20220415" TargetMode="External"/><Relationship Id="rId125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eur-lex.europa.eu/legal-content/IT/TXT/?uri=CELEX%3A02012L0019-20180704" TargetMode="External"/><Relationship Id="rId92" Type="http://schemas.openxmlformats.org/officeDocument/2006/relationships/hyperlink" Target="https://eur-lex.europa.eu/legal-content/IT/TXT/?uri=CELEX%3A01994L0062-2018070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ur-lex.europa.eu/legal-content/IT/TXT/?uri=CELEX%3A02002L0046-20220930" TargetMode="External"/><Relationship Id="rId24" Type="http://schemas.openxmlformats.org/officeDocument/2006/relationships/hyperlink" Target="https://eur-lex.europa.eu/legal-content/IT/TXT/?uri=CELEX%3A02000L0053-20230330" TargetMode="External"/><Relationship Id="rId40" Type="http://schemas.openxmlformats.org/officeDocument/2006/relationships/hyperlink" Target="https://eur-lex.europa.eu/legal-content/IT/TXT/?uri=CELEX%3A02006L0118-20140711" TargetMode="External"/><Relationship Id="rId45" Type="http://schemas.openxmlformats.org/officeDocument/2006/relationships/hyperlink" Target="https://eur-lex.europa.eu/legal-content/IT/ALL/?uri=CELEX:32008R0108" TargetMode="External"/><Relationship Id="rId66" Type="http://schemas.openxmlformats.org/officeDocument/2006/relationships/hyperlink" Target="https://eur-lex.europa.eu/legal-content/IT/TXT/?uri=CELEX%3A02010R0066-20171114" TargetMode="External"/><Relationship Id="rId87" Type="http://schemas.openxmlformats.org/officeDocument/2006/relationships/footer" Target="footer4.xml"/><Relationship Id="rId110" Type="http://schemas.openxmlformats.org/officeDocument/2006/relationships/hyperlink" Target="https://eur-lex.europa.eu/legal-content/IT/TXT/?uri=CELEX%3A02008R1334-20230321" TargetMode="External"/><Relationship Id="rId115" Type="http://schemas.openxmlformats.org/officeDocument/2006/relationships/hyperlink" Target="https://eur-lex.europa.eu/legal-content/IT/TXT/?uri=CELEX%3A02009R1005-201704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AE72D67C1FC4DBF89100B390AF2EC" ma:contentTypeVersion="7" ma:contentTypeDescription="Create a new document." ma:contentTypeScope="" ma:versionID="10deb79d14eaeeed0c953ddf0bbd8776">
  <xsd:schema xmlns:xsd="http://www.w3.org/2001/XMLSchema" xmlns:xs="http://www.w3.org/2001/XMLSchema" xmlns:p="http://schemas.microsoft.com/office/2006/metadata/properties" xmlns:ns2="65364dff-70db-4bc7-8648-010248a19ac0" targetNamespace="http://schemas.microsoft.com/office/2006/metadata/properties" ma:root="true" ma:fieldsID="f81f0e2a177fa802e81c45fe2530fa57" ns2:_="">
    <xsd:import namespace="65364dff-70db-4bc7-8648-010248a19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64dff-70db-4bc7-8648-010248a19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900E-12AF-4A70-B6FC-C792BF6C5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03F72-C1D6-42BB-A280-2673E599DDD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65364dff-70db-4bc7-8648-010248a19a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619993-CDFA-493B-9B26-CFCB02973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64dff-70db-4bc7-8648-010248a19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53220-B736-4B57-B55F-1D6B5114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28</TotalTime>
  <Pages>11</Pages>
  <Words>5946</Words>
  <Characters>33898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TERCJAK Ewa (ENV)</dc:creator>
  <cp:keywords/>
  <dc:description/>
  <cp:lastModifiedBy>EC CoDe</cp:lastModifiedBy>
  <cp:revision>21</cp:revision>
  <dcterms:created xsi:type="dcterms:W3CDTF">2023-11-29T13:52:00Z</dcterms:created>
  <dcterms:modified xsi:type="dcterms:W3CDTF">2024-02-08T09:34:00Z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9.0, Build 20230317</vt:lpwstr>
  </property>
  <property fmtid="{D5CDD505-2E9C-101B-9397-08002B2CF9AE}" pid="6" name="First annex">
    <vt:lpwstr>1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2023-05-05T11:45:29Z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d56e4d87-a332-4cbb-a393-1d851d00ebc7</vt:lpwstr>
  </property>
  <property fmtid="{D5CDD505-2E9C-101B-9397-08002B2CF9AE}" pid="19" name="MSIP_Label_6bd9ddd1-4d20-43f6-abfa-fc3c07406f94_ContentBits">
    <vt:lpwstr>0</vt:lpwstr>
  </property>
  <property fmtid="{D5CDD505-2E9C-101B-9397-08002B2CF9AE}" pid="20" name="ContentTypeId">
    <vt:lpwstr>0x010100FC9AE72D67C1FC4DBF89100B390AF2EC</vt:lpwstr>
  </property>
  <property fmtid="{D5CDD505-2E9C-101B-9397-08002B2CF9AE}" pid="21" name="DQCStatus">
    <vt:lpwstr>Green (DQC version 03)</vt:lpwstr>
  </property>
</Properties>
</file>