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14F99" w14:textId="4AC3B177" w:rsidR="00D429B9" w:rsidRPr="001F5DE8" w:rsidRDefault="00022660" w:rsidP="00022660">
      <w:pPr>
        <w:pStyle w:val="Pagedecouverture"/>
        <w:rPr>
          <w:noProof/>
        </w:rPr>
      </w:pPr>
      <w:r>
        <w:rPr>
          <w:noProof/>
        </w:rPr>
        <w:pict w14:anchorId="74521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3595903-CDE3-4D17-A598-DFA4E47AFA8D" style="width:455.25pt;height:442.5pt">
            <v:imagedata r:id="rId11" o:title=""/>
          </v:shape>
        </w:pict>
      </w:r>
    </w:p>
    <w:p w14:paraId="1D279CBE" w14:textId="77777777" w:rsidR="00D429B9" w:rsidRPr="001F5DE8" w:rsidRDefault="00D429B9" w:rsidP="00D429B9">
      <w:pPr>
        <w:rPr>
          <w:noProof/>
        </w:rPr>
        <w:sectPr w:rsidR="00D429B9" w:rsidRPr="001F5DE8" w:rsidSect="00022660">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13B4D7C1" w14:textId="77777777" w:rsidR="00D429B9" w:rsidRPr="001F5DE8" w:rsidRDefault="00D429B9" w:rsidP="00D429B9">
      <w:pPr>
        <w:pStyle w:val="Annexetitre"/>
        <w:rPr>
          <w:rStyle w:val="Marker"/>
          <w:noProof/>
        </w:rPr>
      </w:pPr>
      <w:bookmarkStart w:id="0" w:name="_Hlk144999041"/>
      <w:bookmarkStart w:id="1" w:name="_GoBack"/>
      <w:bookmarkEnd w:id="0"/>
      <w:bookmarkEnd w:id="1"/>
      <w:r w:rsidRPr="001F5DE8">
        <w:rPr>
          <w:noProof/>
        </w:rPr>
        <w:lastRenderedPageBreak/>
        <w:t>ΠΑΡΑΡΤΗΜΑ I</w:t>
      </w:r>
    </w:p>
    <w:p w14:paraId="1BC5B978" w14:textId="77777777" w:rsidR="00D429B9" w:rsidRPr="001F5DE8" w:rsidRDefault="00D429B9" w:rsidP="01C23B02">
      <w:pPr>
        <w:pStyle w:val="ManualHeading1"/>
        <w:jc w:val="center"/>
        <w:rPr>
          <w:noProof/>
        </w:rPr>
      </w:pPr>
      <w:r w:rsidRPr="001F5DE8">
        <w:rPr>
          <w:noProof/>
        </w:rPr>
        <w:t>Ενωσιακές νομοθετικές πράξεις που αναφέρονται στα άρθρα 2, 3, 8, 11, 12, 15, 17, 21, 22 και 23</w:t>
      </w:r>
    </w:p>
    <w:p w14:paraId="0B68E679" w14:textId="1A477C37" w:rsidR="00122056" w:rsidRPr="001F5DE8" w:rsidRDefault="00122056" w:rsidP="00122056">
      <w:pPr>
        <w:pStyle w:val="Text1"/>
        <w:rPr>
          <w:noProof/>
          <w:sz w:val="22"/>
        </w:rPr>
      </w:pPr>
      <w:r w:rsidRPr="001F5DE8">
        <w:rPr>
          <w:noProof/>
        </w:rPr>
        <w:t xml:space="preserve">Η αναφορά σε κάθε ενωσιακή νομοθετική πράξη που παρατίθεται εδώ θα πρέπει να νοείται και ως αναφορά σε όλες τις εκτελεστικές και κατ’ εξουσιοδότηση πράξεις που εκδίδονται δυνάμει της εν λόγω ενωσιακής πράξης, κατά περίπτωση. </w:t>
      </w:r>
    </w:p>
    <w:p w14:paraId="525E5412" w14:textId="77777777" w:rsidR="0048403C" w:rsidRPr="001F5DE8" w:rsidRDefault="00D429B9" w:rsidP="00D429B9">
      <w:pPr>
        <w:spacing w:after="0" w:line="276" w:lineRule="auto"/>
        <w:textAlignment w:val="baseline"/>
        <w:rPr>
          <w:rFonts w:ascii="Calibri" w:eastAsia="Times New Roman" w:hAnsi="Calibri" w:cs="Calibri"/>
          <w:noProof/>
        </w:rPr>
      </w:pPr>
      <w:r w:rsidRPr="001F5DE8">
        <w:rPr>
          <w:rFonts w:ascii="Calibri" w:hAnsi="Calibri"/>
          <w:noProof/>
        </w:rPr>
        <w:t> </w:t>
      </w:r>
    </w:p>
    <w:p w14:paraId="07CC2583" w14:textId="77777777" w:rsidR="0006616A" w:rsidRPr="001F5DE8" w:rsidRDefault="003A45AA" w:rsidP="0006616A">
      <w:pPr>
        <w:pStyle w:val="ListNumber"/>
        <w:rPr>
          <w:rFonts w:eastAsia="Times New Roman"/>
          <w:noProof/>
        </w:rPr>
      </w:pPr>
      <w:hyperlink r:id="rId18" w:history="1">
        <w:r w:rsidR="001F5DE8" w:rsidRPr="001F5DE8">
          <w:rPr>
            <w:rStyle w:val="Hyperlink"/>
            <w:noProof/>
          </w:rPr>
          <w:t>Οδηγία 91/271/ΕΟΚ του Συμβουλίου</w:t>
        </w:r>
      </w:hyperlink>
      <w:r w:rsidR="001F5DE8" w:rsidRPr="001F5DE8">
        <w:rPr>
          <w:noProof/>
        </w:rPr>
        <w:t>, της 21ης Μαΐου 1991, για την επεξεργασία των αστικών λυμάτων (ΕΕ L 135 της 30.5.1991, σ. 40).</w:t>
      </w:r>
    </w:p>
    <w:p w14:paraId="3DC7C671" w14:textId="77777777" w:rsidR="0006616A" w:rsidRPr="001F5DE8" w:rsidRDefault="003A45AA" w:rsidP="0006616A">
      <w:pPr>
        <w:pStyle w:val="ListNumber"/>
        <w:rPr>
          <w:rFonts w:eastAsia="Times New Roman"/>
          <w:noProof/>
        </w:rPr>
      </w:pPr>
      <w:hyperlink r:id="rId19">
        <w:r w:rsidR="001F5DE8" w:rsidRPr="001F5DE8">
          <w:rPr>
            <w:rStyle w:val="Hyperlink"/>
            <w:noProof/>
          </w:rPr>
          <w:t>Οδηγία 91/676/ΕΟΚ του Συμβουλίου</w:t>
        </w:r>
      </w:hyperlink>
      <w:r w:rsidR="001F5DE8" w:rsidRPr="001F5DE8">
        <w:rPr>
          <w:noProof/>
        </w:rPr>
        <w:t>, της 12ης Δεκεμβρίου 1991, για την προστασία των υδάτων από τη νιτρορρύπανση γεωργικής προέλευσης (ΕΕ L 375 της 31.12.1991, σ. 1).</w:t>
      </w:r>
    </w:p>
    <w:p w14:paraId="3414AB34" w14:textId="77777777" w:rsidR="0006616A" w:rsidRPr="001F5DE8" w:rsidRDefault="003A45AA" w:rsidP="0006616A">
      <w:pPr>
        <w:pStyle w:val="ListNumber"/>
        <w:rPr>
          <w:rFonts w:eastAsia="Times New Roman"/>
          <w:noProof/>
        </w:rPr>
      </w:pPr>
      <w:hyperlink r:id="rId20">
        <w:r w:rsidR="001F5DE8" w:rsidRPr="001F5DE8">
          <w:rPr>
            <w:rStyle w:val="Hyperlink"/>
            <w:noProof/>
          </w:rPr>
          <w:t>Κανονισμός (ΕΟΚ) αριθ. 315/93 του Συμβουλίου</w:t>
        </w:r>
      </w:hyperlink>
      <w:r w:rsidR="001F5DE8" w:rsidRPr="001F5DE8">
        <w:rPr>
          <w:noProof/>
        </w:rPr>
        <w:t>, της 8ης Φεβρουαρίου 1993, για τη θέσπιση κοινοτικών διαδικασιών για τις προσμείξεις των τροφίμων (ΕΕ L 037 της 13.2.1993, σ. 1).</w:t>
      </w:r>
    </w:p>
    <w:p w14:paraId="17F8AEAD" w14:textId="77777777" w:rsidR="00A90D66" w:rsidRPr="001F5DE8" w:rsidRDefault="003A45AA" w:rsidP="0006616A">
      <w:pPr>
        <w:pStyle w:val="ListNumber"/>
        <w:rPr>
          <w:rFonts w:eastAsia="Times New Roman"/>
          <w:noProof/>
        </w:rPr>
      </w:pPr>
      <w:hyperlink r:id="rId21" w:history="1">
        <w:r w:rsidR="001F5DE8" w:rsidRPr="001F5DE8">
          <w:rPr>
            <w:rStyle w:val="Hyperlink"/>
            <w:noProof/>
          </w:rPr>
          <w:t>Οδηγία 94/62/ΕΚ του Ευρωπαϊκού Κοινοβουλίου και του Συμβουλίου</w:t>
        </w:r>
      </w:hyperlink>
      <w:r w:rsidR="001F5DE8" w:rsidRPr="001F5DE8">
        <w:rPr>
          <w:noProof/>
        </w:rPr>
        <w:t>, της 20ής Δεκεμβρίου 1994, για τις συσκευασίες και τα απορρίμματα συσκευασίας.</w:t>
      </w:r>
    </w:p>
    <w:p w14:paraId="3A51F2F2" w14:textId="77777777" w:rsidR="0006616A" w:rsidRPr="001F5DE8" w:rsidRDefault="003A45AA" w:rsidP="0006616A">
      <w:pPr>
        <w:pStyle w:val="ListNumber"/>
        <w:rPr>
          <w:rFonts w:eastAsia="Times New Roman"/>
          <w:noProof/>
        </w:rPr>
      </w:pPr>
      <w:hyperlink r:id="rId22">
        <w:r w:rsidR="001F5DE8" w:rsidRPr="001F5DE8">
          <w:rPr>
            <w:rStyle w:val="Hyperlink"/>
            <w:noProof/>
          </w:rPr>
          <w:t>Οδηγία 98/24/ΕΚ του Συμβουλίου</w:t>
        </w:r>
      </w:hyperlink>
      <w:r w:rsidR="001F5DE8" w:rsidRPr="001F5DE8">
        <w:rPr>
          <w:noProof/>
        </w:rPr>
        <w:t>, της 7ης Απριλίου 1998, για την προστασία της υγείας και ασφαλείας των εργαζομένων κατά την εργασία από κινδύνους οφειλομένους σε χημικούς παράγοντες (14η ειδική οδηγία κατά την έννοια του άρθρου 16 παράγραφος 1 της οδηγίας 89/391/ΕΟΚ) (ΕΕ L 131 της 5.5.1998, σ. 11).</w:t>
      </w:r>
    </w:p>
    <w:p w14:paraId="74E20E6B" w14:textId="77777777" w:rsidR="0006616A" w:rsidRPr="001F5DE8" w:rsidRDefault="003A45AA" w:rsidP="0006616A">
      <w:pPr>
        <w:pStyle w:val="ListNumber"/>
        <w:rPr>
          <w:noProof/>
        </w:rPr>
      </w:pPr>
      <w:hyperlink r:id="rId23">
        <w:r w:rsidR="001F5DE8" w:rsidRPr="001F5DE8">
          <w:rPr>
            <w:rStyle w:val="Hyperlink"/>
            <w:noProof/>
          </w:rPr>
          <w:t>Οδηγία 2004/37/ΕΚ</w:t>
        </w:r>
      </w:hyperlink>
      <w:r w:rsidR="001F5DE8" w:rsidRPr="001F5DE8">
        <w:rPr>
          <w:noProof/>
        </w:rPr>
        <w:t xml:space="preserve"> του Ευρωπαϊκού Κοινοβουλίου και του Συμβουλίου, της 29ης Απριλίου 2004, σχετικά με την προστασία των εργαζομένων από τους κινδύνους που συνδέονται με την έκθεση σε καρκινογόνους ή μεταλλαξιογόνους παράγοντες κατά την εργασία (έκτη ειδική οδηγία κατά την έννοια του άρθρου 16 παράγραφος 1 της οδηγίας 89/391/ΕΟΚ του Συμβουλίου) (ΕΕ L 158 της 30.4.2004, σ. 50).</w:t>
      </w:r>
    </w:p>
    <w:p w14:paraId="1F501D47" w14:textId="77777777" w:rsidR="0006616A" w:rsidRPr="001F5DE8" w:rsidRDefault="003A45AA" w:rsidP="0006616A">
      <w:pPr>
        <w:pStyle w:val="ListNumber"/>
        <w:rPr>
          <w:rFonts w:eastAsia="Times New Roman"/>
          <w:noProof/>
        </w:rPr>
      </w:pPr>
      <w:hyperlink r:id="rId24">
        <w:r w:rsidR="001F5DE8" w:rsidRPr="001F5DE8">
          <w:rPr>
            <w:rStyle w:val="Hyperlink"/>
            <w:noProof/>
          </w:rPr>
          <w:t>Οδηγία 2000/53/ΕΚ</w:t>
        </w:r>
      </w:hyperlink>
      <w:r w:rsidR="001F5DE8" w:rsidRPr="001F5DE8">
        <w:rPr>
          <w:noProof/>
        </w:rPr>
        <w:t xml:space="preserve"> του Ευρωπαϊκού Κοινοβουλίου και του Συμβουλίου, της 18ης Σεπτεμβρίου 2000, για τα οχήματα στο τέλος του κύκλου ζωής τους (ΕΕ L 269 της 21.10.2000, σ. 34).</w:t>
      </w:r>
    </w:p>
    <w:p w14:paraId="5F7FF0C0" w14:textId="77777777" w:rsidR="0006616A" w:rsidRPr="001F5DE8" w:rsidRDefault="003A45AA" w:rsidP="0006616A">
      <w:pPr>
        <w:pStyle w:val="ListNumber"/>
        <w:rPr>
          <w:rFonts w:eastAsia="Times New Roman"/>
          <w:noProof/>
        </w:rPr>
      </w:pPr>
      <w:hyperlink r:id="rId25">
        <w:r w:rsidR="001F5DE8" w:rsidRPr="001F5DE8">
          <w:rPr>
            <w:rStyle w:val="Hyperlink"/>
            <w:noProof/>
          </w:rPr>
          <w:t>Οδηγία 2000/60/ΕΚ</w:t>
        </w:r>
      </w:hyperlink>
      <w:r w:rsidR="001F5DE8" w:rsidRPr="001F5DE8">
        <w:rPr>
          <w:noProof/>
        </w:rPr>
        <w:t xml:space="preserve"> του Ευρωπαϊκού Κοινοβουλίου και του Συμβουλίου, της 23ης Οκτωβρίου 2000, για τη θέσπιση πλαισίου κοινοτικής δράσης στον τομέα της πολιτικής των υδάτων (ΕΕ L 327 της 22.12.2000, σ. 1).</w:t>
      </w:r>
    </w:p>
    <w:p w14:paraId="4A43EC49" w14:textId="77777777" w:rsidR="0006616A" w:rsidRPr="001F5DE8" w:rsidRDefault="003A45AA" w:rsidP="0006616A">
      <w:pPr>
        <w:pStyle w:val="ListNumber"/>
        <w:rPr>
          <w:rFonts w:eastAsia="Times New Roman"/>
          <w:noProof/>
        </w:rPr>
      </w:pPr>
      <w:hyperlink r:id="rId26">
        <w:r w:rsidR="001F5DE8" w:rsidRPr="001F5DE8">
          <w:rPr>
            <w:rStyle w:val="Hyperlink"/>
            <w:noProof/>
          </w:rPr>
          <w:t>Οδηγία 2001/18/ΕΚ</w:t>
        </w:r>
      </w:hyperlink>
      <w:r w:rsidR="001F5DE8" w:rsidRPr="001F5DE8">
        <w:rPr>
          <w:noProof/>
        </w:rPr>
        <w:t xml:space="preserve"> του Ευρωπαϊκού Κοινοβουλίου και του Συμβουλίου, της 12ης Μαρτίου 2001, για τη σκόπιμη ελευθέρωση γενετικώς τροποποιημένων οργανισμών στο περιβάλλον και την κατάργηση της οδηγίας 90/220/ΕΟΚ του Συμβουλίου (ΕΕ L 106 της 17.4.2001, σ. 1).</w:t>
      </w:r>
    </w:p>
    <w:p w14:paraId="2ACC93FF" w14:textId="77777777" w:rsidR="0006616A" w:rsidRPr="001F5DE8" w:rsidRDefault="003A45AA" w:rsidP="0006616A">
      <w:pPr>
        <w:pStyle w:val="ListNumber"/>
        <w:rPr>
          <w:rFonts w:eastAsia="Times New Roman"/>
          <w:noProof/>
        </w:rPr>
      </w:pPr>
      <w:hyperlink r:id="rId27">
        <w:r w:rsidR="001F5DE8" w:rsidRPr="001F5DE8">
          <w:rPr>
            <w:rStyle w:val="Hyperlink"/>
            <w:noProof/>
          </w:rPr>
          <w:t>Κανονισμός (ΕΚ) αριθ. 178/2002</w:t>
        </w:r>
      </w:hyperlink>
      <w:r w:rsidR="001F5DE8" w:rsidRPr="001F5DE8">
        <w:rPr>
          <w:noProof/>
        </w:rPr>
        <w:t xml:space="preserve"> του Ευρωπαϊκού Κοινοβουλίου και του Συμβουλίου, της 28ης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 (ΕΕ L 031 της 1.2.2002, σ. 1).</w:t>
      </w:r>
    </w:p>
    <w:p w14:paraId="0556718F" w14:textId="77777777" w:rsidR="0006616A" w:rsidRPr="001F5DE8" w:rsidRDefault="003A45AA" w:rsidP="0006616A">
      <w:pPr>
        <w:pStyle w:val="ListNumber"/>
        <w:rPr>
          <w:rFonts w:eastAsia="Times New Roman"/>
          <w:noProof/>
        </w:rPr>
      </w:pPr>
      <w:hyperlink r:id="rId28">
        <w:r w:rsidR="001F5DE8" w:rsidRPr="001F5DE8">
          <w:rPr>
            <w:rStyle w:val="Hyperlink"/>
            <w:noProof/>
          </w:rPr>
          <w:t>Οδηγία 2002/32/ΕΚ</w:t>
        </w:r>
      </w:hyperlink>
      <w:r w:rsidR="001F5DE8" w:rsidRPr="001F5DE8">
        <w:rPr>
          <w:noProof/>
        </w:rPr>
        <w:t xml:space="preserve"> του Ευρωπαϊκού Κοινοβουλίου και του Συμβουλίου, της 7ης Μαΐου 2002, σχετικά με τις ανεπιθύμητες ουσίες στις ζωοτροφές (ΕΕ L 140 της 30.5.2002, σ. 10).</w:t>
      </w:r>
    </w:p>
    <w:p w14:paraId="604F3F35" w14:textId="77777777" w:rsidR="006E1516" w:rsidRPr="001F5DE8" w:rsidRDefault="003A45AA" w:rsidP="00B343B8">
      <w:pPr>
        <w:pStyle w:val="ListNumber"/>
        <w:rPr>
          <w:rFonts w:eastAsia="Times New Roman"/>
          <w:noProof/>
        </w:rPr>
      </w:pPr>
      <w:hyperlink r:id="rId29">
        <w:r w:rsidR="001F5DE8" w:rsidRPr="001F5DE8">
          <w:rPr>
            <w:rStyle w:val="Hyperlink"/>
            <w:noProof/>
          </w:rPr>
          <w:t>Οδηγία 2002/46/ΕΚ</w:t>
        </w:r>
      </w:hyperlink>
      <w:r w:rsidR="001F5DE8" w:rsidRPr="001F5DE8">
        <w:rPr>
          <w:noProof/>
        </w:rPr>
        <w:t xml:space="preserve"> για την προσέγγιση των νομοθεσιών των κρατών μελών περί των συμπληρωμάτων διατροφής (ΕΕ L 183 της 12.7.2002, σ. 51).</w:t>
      </w:r>
    </w:p>
    <w:p w14:paraId="5B38C04D" w14:textId="77777777" w:rsidR="006E1516" w:rsidRPr="001F5DE8" w:rsidRDefault="003A45AA" w:rsidP="006E1516">
      <w:pPr>
        <w:pStyle w:val="ListNumber"/>
        <w:rPr>
          <w:noProof/>
        </w:rPr>
      </w:pPr>
      <w:hyperlink r:id="rId30">
        <w:r w:rsidR="001F5DE8" w:rsidRPr="001F5DE8">
          <w:rPr>
            <w:rStyle w:val="Hyperlink"/>
            <w:noProof/>
          </w:rPr>
          <w:t>Κανονισμός (ΕΚ) αριθ. 1829/2003</w:t>
        </w:r>
      </w:hyperlink>
      <w:r w:rsidR="001F5DE8" w:rsidRPr="001F5DE8">
        <w:rPr>
          <w:noProof/>
        </w:rPr>
        <w:t xml:space="preserve"> του Ευρωπαϊκού Κοινοβουλίου και του Συμβουλίου, της 22ας Σεπτεμβρίου 2003, για τα γενετικώς τροποποιημένα τρόφιμα και ζωοτροφές (ΕΕ L 268 της 18.10.2003, σ. 1).</w:t>
      </w:r>
    </w:p>
    <w:p w14:paraId="2B3620F7" w14:textId="77777777" w:rsidR="006E1516" w:rsidRPr="001F5DE8" w:rsidRDefault="003A45AA" w:rsidP="006E1516">
      <w:pPr>
        <w:pStyle w:val="ListNumber"/>
        <w:rPr>
          <w:noProof/>
        </w:rPr>
      </w:pPr>
      <w:hyperlink r:id="rId31">
        <w:r w:rsidR="001F5DE8" w:rsidRPr="001F5DE8">
          <w:rPr>
            <w:rStyle w:val="Hyperlink"/>
            <w:noProof/>
          </w:rPr>
          <w:t>Κανονισμός (ΕΚ) αριθ. 1831/2003</w:t>
        </w:r>
      </w:hyperlink>
      <w:r w:rsidR="001F5DE8" w:rsidRPr="001F5DE8">
        <w:rPr>
          <w:noProof/>
        </w:rPr>
        <w:t xml:space="preserve"> του Ευρωπαϊκού Κοινοβουλίου και του Συμβουλίου, της 22ας Σεπτεμβρίου 2003, για τις πρόσθετες ύλες που χρησιμοποιούνται στη διατροφή των ζώων (ΕΕ L 268 της 18.10.2003, σ. 29).</w:t>
      </w:r>
    </w:p>
    <w:p w14:paraId="569B7926" w14:textId="77777777" w:rsidR="0006616A" w:rsidRPr="001F5DE8" w:rsidRDefault="003A45AA" w:rsidP="006E1516">
      <w:pPr>
        <w:pStyle w:val="ListNumber"/>
        <w:rPr>
          <w:noProof/>
        </w:rPr>
      </w:pPr>
      <w:hyperlink r:id="rId32">
        <w:r w:rsidR="001F5DE8" w:rsidRPr="001F5DE8">
          <w:rPr>
            <w:rStyle w:val="Hyperlink"/>
            <w:noProof/>
          </w:rPr>
          <w:t>Κανονισμός (ΕΚ) αριθ. 2065/2003</w:t>
        </w:r>
      </w:hyperlink>
      <w:r w:rsidR="001F5DE8" w:rsidRPr="001F5DE8">
        <w:rPr>
          <w:noProof/>
        </w:rPr>
        <w:t xml:space="preserve"> του Ευρωπαϊκού Κοινοβουλίου και του Συμβουλίου, της 10ης Νοεμβρίου 2003, για τα αρτύματα καπνιστών τροφίμων που χρησιμοποιούνται ή προορίζονται να χρησιμοποιηθούν μέσα ή πάνω στα τρόφιμα (ΕΕ L 309 της 26.11.2003, σ. 1).</w:t>
      </w:r>
    </w:p>
    <w:p w14:paraId="25838358" w14:textId="77777777" w:rsidR="0006616A" w:rsidRPr="001F5DE8" w:rsidRDefault="003A45AA" w:rsidP="0006616A">
      <w:pPr>
        <w:pStyle w:val="ListNumber"/>
        <w:rPr>
          <w:rFonts w:eastAsia="Times New Roman"/>
          <w:noProof/>
        </w:rPr>
      </w:pPr>
      <w:hyperlink r:id="rId33">
        <w:r w:rsidR="001F5DE8" w:rsidRPr="001F5DE8">
          <w:rPr>
            <w:rStyle w:val="Hyperlink"/>
            <w:noProof/>
          </w:rPr>
          <w:t>Κανονισμός (ΕΚ) αριθ. 853/2004</w:t>
        </w:r>
      </w:hyperlink>
      <w:r w:rsidR="001F5DE8" w:rsidRPr="001F5DE8">
        <w:rPr>
          <w:noProof/>
        </w:rPr>
        <w:t xml:space="preserve"> του Ευρωπαϊκού Κοινοβουλίου και του Συμβουλίου, της 29ης Απριλίου 2004, για τον καθορισμό ειδικών κανόνων υγιεινής για τα τρόφιμα ζωικής προέλευσης (ΕΕ L 139 της 30.4.2004, σ. 55).</w:t>
      </w:r>
    </w:p>
    <w:p w14:paraId="415286F5" w14:textId="77777777" w:rsidR="0006616A" w:rsidRPr="001F5DE8" w:rsidRDefault="003A45AA" w:rsidP="0006616A">
      <w:pPr>
        <w:pStyle w:val="ListNumber"/>
        <w:rPr>
          <w:rFonts w:eastAsia="Times New Roman"/>
          <w:noProof/>
        </w:rPr>
      </w:pPr>
      <w:hyperlink r:id="rId34">
        <w:r w:rsidR="001F5DE8" w:rsidRPr="001F5DE8">
          <w:rPr>
            <w:rStyle w:val="Hyperlink"/>
            <w:noProof/>
          </w:rPr>
          <w:t>Κανονισμός (ΕΚ) αριθ. 648/2004</w:t>
        </w:r>
      </w:hyperlink>
      <w:r w:rsidR="001F5DE8" w:rsidRPr="001F5DE8">
        <w:rPr>
          <w:noProof/>
        </w:rPr>
        <w:t xml:space="preserve"> του Ευρωπαϊκού Κοινοβουλίου και του Συμβουλίου, της 31ης Μαρτίου 2004, σχετικά με τα απορρυπαντικά (ΕΕ L 104 της 8.4.2004, σ. 1).</w:t>
      </w:r>
    </w:p>
    <w:p w14:paraId="1610437E" w14:textId="77777777" w:rsidR="0006616A" w:rsidRPr="001F5DE8" w:rsidRDefault="003A45AA" w:rsidP="0006616A">
      <w:pPr>
        <w:pStyle w:val="ListNumber"/>
        <w:rPr>
          <w:rFonts w:eastAsia="Times New Roman"/>
          <w:noProof/>
        </w:rPr>
      </w:pPr>
      <w:hyperlink r:id="rId35">
        <w:r w:rsidR="001F5DE8" w:rsidRPr="001F5DE8">
          <w:rPr>
            <w:rStyle w:val="Hyperlink"/>
            <w:noProof/>
          </w:rPr>
          <w:t>Κανονισμός (ΕΚ) αριθ. 852/2004</w:t>
        </w:r>
      </w:hyperlink>
      <w:r w:rsidR="001F5DE8" w:rsidRPr="001F5DE8">
        <w:rPr>
          <w:noProof/>
        </w:rPr>
        <w:t xml:space="preserve"> του Ευρωπαϊκού Κοινοβουλίου και του Συμβουλίου, της 29ης Απριλίου 2004, για την υγιεινή των τροφίμων (ΕΕ L 139 της 30.4.2004, σ. 1).</w:t>
      </w:r>
    </w:p>
    <w:p w14:paraId="08F9EE20" w14:textId="77777777" w:rsidR="0006616A" w:rsidRPr="001F5DE8" w:rsidRDefault="003A45AA" w:rsidP="0006616A">
      <w:pPr>
        <w:pStyle w:val="ListNumber"/>
        <w:rPr>
          <w:rFonts w:eastAsia="Times New Roman"/>
          <w:noProof/>
        </w:rPr>
      </w:pPr>
      <w:hyperlink r:id="rId36">
        <w:r w:rsidR="001F5DE8" w:rsidRPr="001F5DE8">
          <w:rPr>
            <w:rStyle w:val="Hyperlink"/>
            <w:noProof/>
          </w:rPr>
          <w:t>Κανονισμός (ΕΚ) αριθ. 1935/2004</w:t>
        </w:r>
      </w:hyperlink>
      <w:r w:rsidR="001F5DE8" w:rsidRPr="001F5DE8">
        <w:rPr>
          <w:noProof/>
        </w:rPr>
        <w:t xml:space="preserve"> του Ευρωπαϊκού Κοινοβουλίου και του Συμβουλίου, της 27ης Οκτωβρίου 2004, σχετικά με τα υλικά και αντικείμενα που προορίζονται να έρθουν σε επαφή με τρόφιμα και με την κατάργηση των οδηγιών 80/590/ΕΟΚ και 89/109/ΕΟΚ (ΕΕ L 338 της 13.11.2004, σ. 4).</w:t>
      </w:r>
    </w:p>
    <w:p w14:paraId="773101B0" w14:textId="77777777" w:rsidR="0006616A" w:rsidRPr="001F5DE8" w:rsidRDefault="003A45AA" w:rsidP="0006616A">
      <w:pPr>
        <w:pStyle w:val="ListNumber"/>
        <w:rPr>
          <w:rFonts w:eastAsia="Times New Roman"/>
          <w:noProof/>
        </w:rPr>
      </w:pPr>
      <w:hyperlink r:id="rId37">
        <w:r w:rsidR="001F5DE8" w:rsidRPr="001F5DE8">
          <w:rPr>
            <w:rStyle w:val="Hyperlink"/>
            <w:noProof/>
          </w:rPr>
          <w:t>Οδηγία 2004/107/ΕΚ</w:t>
        </w:r>
      </w:hyperlink>
      <w:r w:rsidR="001F5DE8" w:rsidRPr="001F5DE8">
        <w:rPr>
          <w:noProof/>
        </w:rPr>
        <w:t xml:space="preserve"> του Ευρωπαϊκού Κοινοβουλίου και του Συμβουλίου, της 15ης Δεκεμβρίου 2004, σχετικά με το αρσενικό, το κάδμιο, τον υδράργυρο, το νικέλιο και τους πολυκυκλικούς αρωματικούς υδρογονάνθρακες στον ατμοσφαιρικό αέρα (ΕΕ L 023 της 26.1.2005, σ. 3).</w:t>
      </w:r>
    </w:p>
    <w:p w14:paraId="2E1AA264" w14:textId="77777777" w:rsidR="0006616A" w:rsidRPr="001F5DE8" w:rsidRDefault="003A45AA" w:rsidP="0006616A">
      <w:pPr>
        <w:pStyle w:val="ListNumber"/>
        <w:rPr>
          <w:rFonts w:eastAsia="Times New Roman"/>
          <w:noProof/>
        </w:rPr>
      </w:pPr>
      <w:hyperlink r:id="rId38">
        <w:r w:rsidR="001F5DE8" w:rsidRPr="001F5DE8">
          <w:rPr>
            <w:rStyle w:val="Hyperlink"/>
            <w:noProof/>
          </w:rPr>
          <w:t>Κανονισμός (ΕΚ) αριθ. 396/2005</w:t>
        </w:r>
      </w:hyperlink>
      <w:r w:rsidR="001F5DE8" w:rsidRPr="001F5DE8">
        <w:rPr>
          <w:noProof/>
        </w:rPr>
        <w:t xml:space="preserve"> του Ευρωπαϊκού Κοινοβουλίου και του Συμβουλίου, της 23ης Φεβρουαρίου 2005, για τα ανώτατα όρια καταλοίπων φυτοφαρμάκων μέσα ή πάνω στα τρόφιμα και τις ζωοτροφές φυτικής και ζωικής προέλευσης και για την τροποποίηση της οδηγίας 91/414/ΕΟΚ του Συμβουλίου (ΕΕ L 070 της 16.3.2005, σ. 1).</w:t>
      </w:r>
    </w:p>
    <w:p w14:paraId="4ED4AE12" w14:textId="77777777" w:rsidR="0006616A" w:rsidRPr="001F5DE8" w:rsidRDefault="003A45AA" w:rsidP="0006616A">
      <w:pPr>
        <w:pStyle w:val="ListNumber"/>
        <w:rPr>
          <w:rFonts w:eastAsia="Times New Roman"/>
          <w:noProof/>
        </w:rPr>
      </w:pPr>
      <w:hyperlink r:id="rId39">
        <w:r w:rsidR="001F5DE8" w:rsidRPr="001F5DE8">
          <w:rPr>
            <w:rStyle w:val="Hyperlink"/>
            <w:noProof/>
          </w:rPr>
          <w:t>Κανονισμός (ΕΚ) αριθ. 166/2006</w:t>
        </w:r>
      </w:hyperlink>
      <w:r w:rsidR="001F5DE8" w:rsidRPr="001F5DE8">
        <w:rPr>
          <w:noProof/>
        </w:rPr>
        <w:t xml:space="preserve"> του Ευρωπαϊκού Κοινοβουλίου και του Συμβουλίου, της 18ης Ιανουαρίου 2006, για τη σύσταση ευρωπαϊκού μητρώου έκλυσης και μεταφοράς ρύπων και για την τροποποίηση των οδηγιών 91/689/ΕΟΚ και 96/61/ΕΚ του Συμβουλίου (ΕΕ L 033 της 4.2.2006, σ. 1).</w:t>
      </w:r>
    </w:p>
    <w:p w14:paraId="5026B6EA" w14:textId="77777777" w:rsidR="0006616A" w:rsidRPr="001F5DE8" w:rsidRDefault="003A45AA" w:rsidP="0006616A">
      <w:pPr>
        <w:pStyle w:val="ListNumber"/>
        <w:rPr>
          <w:rFonts w:eastAsia="Times New Roman"/>
          <w:noProof/>
        </w:rPr>
      </w:pPr>
      <w:hyperlink r:id="rId40">
        <w:r w:rsidR="001F5DE8" w:rsidRPr="001F5DE8">
          <w:rPr>
            <w:rStyle w:val="Hyperlink"/>
            <w:noProof/>
          </w:rPr>
          <w:t>Οδηγία 2006/118/ΕΚ</w:t>
        </w:r>
      </w:hyperlink>
      <w:r w:rsidR="001F5DE8" w:rsidRPr="001F5DE8">
        <w:rPr>
          <w:noProof/>
        </w:rPr>
        <w:t xml:space="preserve"> του Ευρωπαϊκού Κοινοβουλίου και του Συμβουλίου, της 12ης Δεκεμβρίου 2006, σχετικά με την προστασία των υπόγειων υδάτων από τη ρύπανση και την υποβάθμιση (ΕΕ L 372 της 27.12.2006, σ. 19).</w:t>
      </w:r>
    </w:p>
    <w:p w14:paraId="784408B2" w14:textId="77777777" w:rsidR="0006616A" w:rsidRPr="001F5DE8" w:rsidRDefault="003A45AA" w:rsidP="0006616A">
      <w:pPr>
        <w:pStyle w:val="ListNumber"/>
        <w:rPr>
          <w:rFonts w:eastAsia="Times New Roman"/>
          <w:noProof/>
        </w:rPr>
      </w:pPr>
      <w:hyperlink r:id="rId41">
        <w:r w:rsidR="001F5DE8" w:rsidRPr="001F5DE8">
          <w:rPr>
            <w:rStyle w:val="Hyperlink"/>
            <w:noProof/>
          </w:rPr>
          <w:t>Κανονισμός (ΕΚ) αριθ. 1907/2006</w:t>
        </w:r>
      </w:hyperlink>
      <w:r w:rsidR="001F5DE8" w:rsidRPr="001F5DE8">
        <w:rPr>
          <w:noProof/>
        </w:rPr>
        <w:t xml:space="preserve">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(ΕΕ L 396 της 30.12.2006, σ. 1).</w:t>
      </w:r>
    </w:p>
    <w:p w14:paraId="650E7EC3" w14:textId="77777777" w:rsidR="0006616A" w:rsidRPr="001F5DE8" w:rsidRDefault="003A45AA" w:rsidP="0006616A">
      <w:pPr>
        <w:pStyle w:val="ListNumber"/>
        <w:rPr>
          <w:rFonts w:eastAsia="Times New Roman"/>
          <w:noProof/>
        </w:rPr>
      </w:pPr>
      <w:hyperlink r:id="rId42">
        <w:r w:rsidR="001F5DE8" w:rsidRPr="001F5DE8">
          <w:rPr>
            <w:rStyle w:val="Hyperlink"/>
            <w:noProof/>
          </w:rPr>
          <w:t>Κανονισμός (ΕΚ) αριθ. 1924/2006</w:t>
        </w:r>
      </w:hyperlink>
      <w:r w:rsidR="001F5DE8" w:rsidRPr="001F5DE8">
        <w:rPr>
          <w:noProof/>
        </w:rPr>
        <w:t xml:space="preserve"> του Ευρωπαϊκού Κοινοβουλίου και του Συμβουλίου, της 20ής Δεκεμβρίου 2006, σχετικά με τους ισχυρισμούς επί θεμάτων διατροφής και υγείας που διατυπώνονται για τα τρόφιμα (ΕΕ L 404 της 30.12.2006, σ. 9).</w:t>
      </w:r>
    </w:p>
    <w:p w14:paraId="7821E078" w14:textId="77777777" w:rsidR="0006616A" w:rsidRPr="001F5DE8" w:rsidRDefault="003A45AA" w:rsidP="0006616A">
      <w:pPr>
        <w:pStyle w:val="ListNumber"/>
        <w:rPr>
          <w:rFonts w:eastAsia="Times New Roman"/>
          <w:noProof/>
        </w:rPr>
      </w:pPr>
      <w:hyperlink r:id="rId43">
        <w:r w:rsidR="001F5DE8" w:rsidRPr="001F5DE8">
          <w:rPr>
            <w:rStyle w:val="Hyperlink"/>
            <w:noProof/>
          </w:rPr>
          <w:t>Κανονισμός (ΕΚ) αριθ. 1925/2006</w:t>
        </w:r>
      </w:hyperlink>
      <w:r w:rsidR="001F5DE8" w:rsidRPr="001F5DE8">
        <w:rPr>
          <w:noProof/>
        </w:rPr>
        <w:t xml:space="preserve"> του Ευρωπαϊκού Κοινοβουλίου και του Συμβουλίου, της 20ής Δεκεμβρίου 2006, σχετικά με την προσθήκη βιταμινών και ανόργανων συστατικών και ορισμένων άλλων ουσιών στα τρόφιμα (ΕΕ L 404 της 30.12.2006, σ. 26).</w:t>
      </w:r>
    </w:p>
    <w:p w14:paraId="46AD4F6F" w14:textId="77777777" w:rsidR="0006616A" w:rsidRPr="001F5DE8" w:rsidRDefault="003A45AA" w:rsidP="0006616A">
      <w:pPr>
        <w:pStyle w:val="ListNumber"/>
        <w:rPr>
          <w:rFonts w:eastAsia="Times New Roman"/>
          <w:noProof/>
        </w:rPr>
      </w:pPr>
      <w:hyperlink r:id="rId44">
        <w:r w:rsidR="001F5DE8" w:rsidRPr="001F5DE8">
          <w:rPr>
            <w:rStyle w:val="Hyperlink"/>
            <w:noProof/>
          </w:rPr>
          <w:t>Οδηγία 2007/2/ΕΚ</w:t>
        </w:r>
      </w:hyperlink>
      <w:r w:rsidR="001F5DE8" w:rsidRPr="001F5DE8">
        <w:rPr>
          <w:noProof/>
        </w:rPr>
        <w:t xml:space="preserve"> του Ευρωπαϊκού Κοινοβουλίου και του Συμβουλίου, της 14ης Μαρτίου 2007, για τη δημιουργία υποδομής χωρικών πληροφοριών στην Ευρωπαϊκή Κοινότητα (Inspire) (ΕΕ L 108 της 25.4.2007, σ. 1).</w:t>
      </w:r>
    </w:p>
    <w:p w14:paraId="01CD2846" w14:textId="77777777" w:rsidR="0006616A" w:rsidRPr="001F5DE8" w:rsidRDefault="003A45AA" w:rsidP="0006616A">
      <w:pPr>
        <w:pStyle w:val="ListNumber"/>
        <w:rPr>
          <w:rFonts w:eastAsia="Times New Roman"/>
          <w:noProof/>
        </w:rPr>
      </w:pPr>
      <w:hyperlink r:id="rId45">
        <w:r w:rsidR="001F5DE8" w:rsidRPr="001F5DE8">
          <w:rPr>
            <w:rStyle w:val="Hyperlink"/>
            <w:noProof/>
          </w:rPr>
          <w:t>Κανονισμός (ΕΚ) αριθ. 108/2008</w:t>
        </w:r>
      </w:hyperlink>
      <w:r w:rsidR="001F5DE8" w:rsidRPr="001F5DE8">
        <w:rPr>
          <w:noProof/>
        </w:rPr>
        <w:t xml:space="preserve"> του Ευρωπαϊκού Κοινοβουλίου και του Συμβουλίου, της 15ης Ιανουαρίου 2008, για την τροποποίηση του κανονισμού (ΕΚ) αριθ. 1925/2006 σχετικά με την προσθήκη βιταμινών και ανόργανων συστατικών και ορισμένων άλλων ουσιών στα τρόφιμα (ΕΕ L 39 της 13.2.2008, σ. 11).</w:t>
      </w:r>
    </w:p>
    <w:p w14:paraId="368EBBD4" w14:textId="77777777" w:rsidR="0006616A" w:rsidRPr="001F5DE8" w:rsidRDefault="003A45AA" w:rsidP="0006616A">
      <w:pPr>
        <w:pStyle w:val="ListNumber"/>
        <w:rPr>
          <w:rFonts w:eastAsia="Times New Roman"/>
          <w:noProof/>
        </w:rPr>
      </w:pPr>
      <w:hyperlink r:id="rId46">
        <w:r w:rsidR="001F5DE8" w:rsidRPr="001F5DE8">
          <w:rPr>
            <w:rStyle w:val="Hyperlink"/>
            <w:noProof/>
          </w:rPr>
          <w:t>Οδηγία 2008/56/ΕΚ</w:t>
        </w:r>
      </w:hyperlink>
      <w:r w:rsidR="001F5DE8" w:rsidRPr="001F5DE8">
        <w:rPr>
          <w:noProof/>
        </w:rPr>
        <w:t xml:space="preserve"> του Ευρωπαϊκού Κοινοβουλίου και του Συμβουλίου, της 17ης Ιουνίου 2008, περί πλαισίου κοινοτικής δράσης στο πεδίο της πολιτικής για το θαλάσσιο περιβάλλον (οδηγία-πλαίσιο για τη θαλάσσια στρατηγική) (ΕΕ L 164 της 25.6.2008, σ. 19).</w:t>
      </w:r>
    </w:p>
    <w:p w14:paraId="1CC888EA" w14:textId="77777777" w:rsidR="00C61AEF" w:rsidRPr="001F5DE8" w:rsidRDefault="003A45AA" w:rsidP="00C61AEF">
      <w:pPr>
        <w:pStyle w:val="ListNumber"/>
        <w:rPr>
          <w:rFonts w:eastAsia="Times New Roman"/>
          <w:noProof/>
        </w:rPr>
      </w:pPr>
      <w:hyperlink r:id="rId47">
        <w:r w:rsidR="001F5DE8" w:rsidRPr="001F5DE8">
          <w:rPr>
            <w:rStyle w:val="Hyperlink"/>
            <w:noProof/>
          </w:rPr>
          <w:t>Οδηγία 2008/50/ΕΚ</w:t>
        </w:r>
      </w:hyperlink>
      <w:r w:rsidR="001F5DE8" w:rsidRPr="001F5DE8">
        <w:rPr>
          <w:noProof/>
        </w:rPr>
        <w:t xml:space="preserve"> του Ευρωπαϊκού Κοινοβουλίου και του Συμβουλίου, της 21ης Μαΐου 2008, για την ποιότητα του ατμοσφαιρικού αέρα και καθαρότερο αέρα για την Ευρώπη (ΕΕ L 152 της 11.06.2008, σ. 1).</w:t>
      </w:r>
    </w:p>
    <w:p w14:paraId="54393BC5" w14:textId="77777777" w:rsidR="0006616A" w:rsidRPr="001F5DE8" w:rsidRDefault="003A45AA" w:rsidP="00C61AEF">
      <w:pPr>
        <w:pStyle w:val="ListNumber"/>
        <w:rPr>
          <w:rStyle w:val="Hyperlink"/>
          <w:rFonts w:eastAsia="Times New Roman"/>
          <w:noProof/>
          <w:color w:val="auto"/>
          <w:u w:val="none"/>
        </w:rPr>
      </w:pPr>
      <w:hyperlink r:id="rId48">
        <w:r w:rsidR="001F5DE8" w:rsidRPr="001F5DE8">
          <w:rPr>
            <w:rStyle w:val="Hyperlink"/>
            <w:noProof/>
          </w:rPr>
          <w:t>Οδηγία 2008/98/ΕΚ</w:t>
        </w:r>
      </w:hyperlink>
      <w:r w:rsidR="001F5DE8" w:rsidRPr="001F5DE8">
        <w:rPr>
          <w:noProof/>
        </w:rPr>
        <w:t xml:space="preserve"> του Ευρωπαϊκού Κοινοβουλίου και του Συμβουλίου, της 19ης Νοεμβρίου 2008, για τα απόβλητα και την κατάργηση ορισμένων οδηγιών (</w:t>
      </w:r>
      <w:r w:rsidR="001F5DE8" w:rsidRPr="001F5DE8">
        <w:rPr>
          <w:rStyle w:val="Hyperlink"/>
          <w:noProof/>
          <w:color w:val="auto"/>
          <w:u w:val="none"/>
        </w:rPr>
        <w:t>ΕΕ L 312 της 22.11.2008, σ. 3</w:t>
      </w:r>
      <w:r w:rsidR="001F5DE8" w:rsidRPr="001F5DE8">
        <w:rPr>
          <w:noProof/>
        </w:rPr>
        <w:t>).</w:t>
      </w:r>
    </w:p>
    <w:p w14:paraId="32B6C856" w14:textId="77777777" w:rsidR="0006616A" w:rsidRPr="001F5DE8" w:rsidRDefault="003A45AA" w:rsidP="0006616A">
      <w:pPr>
        <w:pStyle w:val="ListNumber"/>
        <w:rPr>
          <w:rFonts w:eastAsia="Times New Roman"/>
          <w:noProof/>
        </w:rPr>
      </w:pPr>
      <w:hyperlink r:id="rId49">
        <w:r w:rsidR="001F5DE8" w:rsidRPr="001F5DE8">
          <w:rPr>
            <w:rStyle w:val="Hyperlink"/>
            <w:noProof/>
          </w:rPr>
          <w:t>Οδηγία 2008/105/ΕΚ</w:t>
        </w:r>
      </w:hyperlink>
      <w:r w:rsidR="001F5DE8" w:rsidRPr="001F5DE8">
        <w:rPr>
          <w:noProof/>
        </w:rPr>
        <w:t xml:space="preserve"> του Ευρωπαϊκού Κοινοβουλίου και του Συμβουλίου, της 16ης Δεκεμβρίου 2008, σχετικά με πρότυπα ποιότητας περιβάλλοντος στον τομέα της πολιτικής των υδάτων καθώς και σχετικά με την τροποποίηση και τη συνακόλουθη κατάργηση των οδηγιών του Συμβουλίου 82/176/ΕΟΚ, 83/513/ΕΟΚ, 84/156/ΕΟΚ, 84/491/ΕΟΚ και 86/280/ΕΟΚ και την τροποποίηση της οδηγίας 2000/60/ΕΚ του Ευρωπαϊκού Κοινοβουλίου και του Συμβουλίου (ΕΕ L 348 της 24.12.2008, σ. 84).</w:t>
      </w:r>
    </w:p>
    <w:p w14:paraId="293067EE" w14:textId="77777777" w:rsidR="0006616A" w:rsidRPr="001F5DE8" w:rsidRDefault="003A45AA" w:rsidP="0006616A">
      <w:pPr>
        <w:pStyle w:val="ListNumber"/>
        <w:rPr>
          <w:rFonts w:eastAsia="Times New Roman"/>
          <w:noProof/>
        </w:rPr>
      </w:pPr>
      <w:hyperlink r:id="rId50">
        <w:r w:rsidR="001F5DE8" w:rsidRPr="001F5DE8">
          <w:rPr>
            <w:rStyle w:val="Hyperlink"/>
            <w:noProof/>
          </w:rPr>
          <w:t>Κανονισμός (ΕΚ) αριθ. 1272/2008</w:t>
        </w:r>
      </w:hyperlink>
      <w:r w:rsidR="001F5DE8" w:rsidRPr="001F5DE8">
        <w:rPr>
          <w:noProof/>
        </w:rPr>
        <w:t xml:space="preserve">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 1907/2006 (ΕΕ L 353 της 31.12.2008, σ. 1).</w:t>
      </w:r>
    </w:p>
    <w:p w14:paraId="410FE363" w14:textId="77777777" w:rsidR="0006616A" w:rsidRPr="001F5DE8" w:rsidRDefault="003A45AA" w:rsidP="0006616A">
      <w:pPr>
        <w:pStyle w:val="ListNumber"/>
        <w:rPr>
          <w:rFonts w:eastAsia="Times New Roman"/>
          <w:noProof/>
        </w:rPr>
      </w:pPr>
      <w:hyperlink r:id="rId51">
        <w:r w:rsidR="001F5DE8" w:rsidRPr="001F5DE8">
          <w:rPr>
            <w:rStyle w:val="Hyperlink"/>
            <w:noProof/>
          </w:rPr>
          <w:t>Κανονισμός (ΕΚ) αριθ. 1331/2008</w:t>
        </w:r>
      </w:hyperlink>
      <w:r w:rsidR="001F5DE8" w:rsidRPr="001F5DE8">
        <w:rPr>
          <w:noProof/>
        </w:rPr>
        <w:t xml:space="preserve"> του Ευρωπαϊκού Κοινοβουλίου και του Συμβουλίου, της 16ης Δεκεμβρίου 2008, για τη θέσπιση ενιαίας διαδικασίας έγκρισης για τα πρόσθετα τροφίμων, τα ένζυμα τροφίμων και τις αρωματικές ύλες τροφίμων (ΕΕ L 354 της 31.12.2008, σ. 1).</w:t>
      </w:r>
    </w:p>
    <w:p w14:paraId="19932336" w14:textId="77777777" w:rsidR="0006616A" w:rsidRPr="001F5DE8" w:rsidRDefault="003A45AA" w:rsidP="0006616A">
      <w:pPr>
        <w:pStyle w:val="ListNumber"/>
        <w:rPr>
          <w:rFonts w:eastAsia="Times New Roman"/>
          <w:noProof/>
        </w:rPr>
      </w:pPr>
      <w:hyperlink r:id="rId52">
        <w:r w:rsidR="001F5DE8" w:rsidRPr="001F5DE8">
          <w:rPr>
            <w:rStyle w:val="Hyperlink"/>
            <w:noProof/>
          </w:rPr>
          <w:t>Κανονισμός (ΕΚ) αριθ. 1332/2008</w:t>
        </w:r>
      </w:hyperlink>
      <w:r w:rsidR="001F5DE8" w:rsidRPr="001F5DE8">
        <w:rPr>
          <w:noProof/>
        </w:rPr>
        <w:t xml:space="preserve"> του Ευρωπαϊκού Κοινοβουλίου και του Συμβουλίου, της 16ης Δεκεμβρίου 2008, για τα ένζυμα τροφίμων και την τροποποίηση της οδηγίας 83/417/ΕΟΚ του Συμβουλίου, του κανονισμού (ΕΚ) αριθ. 1493/1999 του Συμβουλίου, της οδηγίας 2000/13/ΕΚ, της οδηγίας 2001/112/ΕΚ του Συμβουλίου και του κανονισμού (ΕΚ) αριθ. 258/97 (ΕΕ L 354 της 31.12.2008, σ. 7).</w:t>
      </w:r>
    </w:p>
    <w:p w14:paraId="3CBA84B7" w14:textId="77777777" w:rsidR="0006616A" w:rsidRPr="001F5DE8" w:rsidRDefault="003A45AA" w:rsidP="0006616A">
      <w:pPr>
        <w:pStyle w:val="ListNumber"/>
        <w:rPr>
          <w:rFonts w:eastAsia="Times New Roman"/>
          <w:noProof/>
        </w:rPr>
      </w:pPr>
      <w:hyperlink r:id="rId53">
        <w:r w:rsidR="001F5DE8" w:rsidRPr="001F5DE8">
          <w:rPr>
            <w:rStyle w:val="Hyperlink"/>
            <w:noProof/>
          </w:rPr>
          <w:t>Κανονισμός (ΕΚ) αριθ. 1333/2008</w:t>
        </w:r>
      </w:hyperlink>
      <w:r w:rsidR="001F5DE8" w:rsidRPr="001F5DE8">
        <w:rPr>
          <w:noProof/>
        </w:rPr>
        <w:t xml:space="preserve"> του Ευρωπαϊκού Κοινοβουλίου και του Συμβουλίου, της 16ης Δεκεμβρίου 2008, που αφορά τα πρόσθετα τροφίμων (ΕΕ L 354 της 31.12.2008, σ. 16).</w:t>
      </w:r>
    </w:p>
    <w:p w14:paraId="5A823FDD" w14:textId="77777777" w:rsidR="0006616A" w:rsidRPr="001F5DE8" w:rsidRDefault="003A45AA" w:rsidP="0006616A">
      <w:pPr>
        <w:pStyle w:val="ListNumber"/>
        <w:rPr>
          <w:rFonts w:eastAsia="Times New Roman"/>
          <w:noProof/>
        </w:rPr>
      </w:pPr>
      <w:hyperlink r:id="rId54">
        <w:r w:rsidR="001F5DE8" w:rsidRPr="001F5DE8">
          <w:rPr>
            <w:rStyle w:val="Hyperlink"/>
            <w:noProof/>
          </w:rPr>
          <w:t>Κανονισμός (ΕΚ) αριθ. 1334/2008</w:t>
        </w:r>
      </w:hyperlink>
      <w:r w:rsidR="001F5DE8" w:rsidRPr="001F5DE8">
        <w:rPr>
          <w:noProof/>
        </w:rPr>
        <w:t xml:space="preserve"> του Ευρωπαϊκού Κοινοβουλίου και του Συμβουλίου, της 16ης Δεκεμβρίου 2008, για αρωματικές ύλες και ορισμένα συστατικά τροφίμων με αρωματικές ιδιότητες που χρησιμοποιούνται εντός και επί των τροφίμων και για την τροποποίηση του κανονισμού (ΕΟΚ) αριθ. 1601/91 του Συμβουλίου, του κανονισμού (ΕΚ) αριθ. 2232/96, του κανονισμού (ΕΚ) αριθ. 110/2008 και της οδηγίας 2000/13/ΕΚ (ΕΕ L 354 της 31.12.2008, σ. 34).</w:t>
      </w:r>
    </w:p>
    <w:p w14:paraId="51D8E3E4" w14:textId="77777777" w:rsidR="007902FB" w:rsidRPr="001F5DE8" w:rsidRDefault="003A45AA" w:rsidP="0006616A">
      <w:pPr>
        <w:pStyle w:val="ListNumber"/>
        <w:rPr>
          <w:rFonts w:eastAsia="Times New Roman"/>
          <w:noProof/>
        </w:rPr>
      </w:pPr>
      <w:hyperlink r:id="rId55" w:history="1">
        <w:r w:rsidR="001F5DE8" w:rsidRPr="001F5DE8">
          <w:rPr>
            <w:rStyle w:val="Hyperlink"/>
            <w:noProof/>
          </w:rPr>
          <w:t>Οδηγία 2009/125/ΕΚ</w:t>
        </w:r>
      </w:hyperlink>
      <w:r w:rsidR="001F5DE8" w:rsidRPr="001F5DE8">
        <w:rPr>
          <w:noProof/>
        </w:rPr>
        <w:t xml:space="preserve"> του Ευρωπαϊκού Κοινοβουλίου και του Συμβουλίου, της 21ης Οκτωβρίου 2009, για τη θέσπιση πλαισίου για τον καθορισμό απαιτήσεων οικολογικού σχεδιασμού όσον αφορά τα συνδεόμενα με την ενέργεια προϊόντα (ΕΕ L 285 της 31.10.2009, σ. 10).</w:t>
      </w:r>
    </w:p>
    <w:p w14:paraId="08AB7D2B" w14:textId="77777777" w:rsidR="0006616A" w:rsidRPr="001F5DE8" w:rsidRDefault="003A45AA" w:rsidP="0006616A">
      <w:pPr>
        <w:pStyle w:val="ListNumber"/>
        <w:rPr>
          <w:rFonts w:eastAsia="Times New Roman"/>
          <w:noProof/>
        </w:rPr>
      </w:pPr>
      <w:hyperlink r:id="rId56">
        <w:r w:rsidR="001F5DE8" w:rsidRPr="001F5DE8">
          <w:rPr>
            <w:rStyle w:val="Hyperlink"/>
            <w:noProof/>
          </w:rPr>
          <w:t>Κανονισμός (ΕΚ) αριθ. 401/2009</w:t>
        </w:r>
      </w:hyperlink>
      <w:r w:rsidR="001F5DE8" w:rsidRPr="001F5DE8">
        <w:rPr>
          <w:noProof/>
        </w:rPr>
        <w:t xml:space="preserve"> του Ευρωπαϊκού Κοινοβουλίου και του Συμβουλίου, της 23ης Απριλίου 2009, για τον ευρωπαϊκό οργανισμό περιβάλλοντος και το ευρωπαϊκό δίκτυο πληροφοριών και παρατηρήσεων σχετικά με το περιβάλλον (ΕΕ L 126 της 21.5.2009, σ. 13).</w:t>
      </w:r>
    </w:p>
    <w:p w14:paraId="35ED9E35" w14:textId="77777777" w:rsidR="0006616A" w:rsidRPr="001F5DE8" w:rsidRDefault="003A45AA" w:rsidP="0006616A">
      <w:pPr>
        <w:pStyle w:val="ListNumber"/>
        <w:rPr>
          <w:rFonts w:eastAsia="Times New Roman"/>
          <w:noProof/>
        </w:rPr>
      </w:pPr>
      <w:hyperlink r:id="rId57">
        <w:r w:rsidR="001F5DE8" w:rsidRPr="001F5DE8">
          <w:rPr>
            <w:rStyle w:val="Hyperlink"/>
            <w:noProof/>
          </w:rPr>
          <w:t>Οδηγία 2009/32/ΕΚ</w:t>
        </w:r>
      </w:hyperlink>
      <w:r w:rsidR="001F5DE8" w:rsidRPr="001F5DE8">
        <w:rPr>
          <w:noProof/>
        </w:rPr>
        <w:t xml:space="preserve"> του Ευρωπαϊκού Κοινοβουλίου και του Συμβουλίου, της 23ης Απριλίου 2009, για την προσέγγιση των νομοθεσιών των κρατών μελών που αφορούν τους διαλύτες εκχύλισης οι οποίοι χρησιμοποιούνται στην παρασκευή των τροφίμων και των συστατικών τους (ΕΕ L 141 της 6.6.2009, σ. 3).</w:t>
      </w:r>
    </w:p>
    <w:p w14:paraId="77DB2AF2" w14:textId="7F34185E" w:rsidR="0006616A" w:rsidRPr="001F5DE8" w:rsidRDefault="003A45AA" w:rsidP="0006616A">
      <w:pPr>
        <w:pStyle w:val="ListNumber"/>
        <w:rPr>
          <w:rFonts w:eastAsia="Times New Roman"/>
          <w:noProof/>
        </w:rPr>
      </w:pPr>
      <w:hyperlink r:id="rId58">
        <w:r w:rsidR="001F5DE8" w:rsidRPr="001F5DE8">
          <w:rPr>
            <w:rStyle w:val="Hyperlink"/>
            <w:noProof/>
          </w:rPr>
          <w:t>Οδηγία 2009/48/ΕΚ</w:t>
        </w:r>
      </w:hyperlink>
      <w:r w:rsidR="001F5DE8" w:rsidRPr="001F5DE8">
        <w:rPr>
          <w:noProof/>
        </w:rPr>
        <w:t xml:space="preserve"> του Ευρωπαϊκού Κοινοβουλίου και του Συμβουλίου, της 18ης Ιουνίου 2009, σχετικά με την ασφάλεια των παιχνιδιών (ΕΕ L 170 της 30.6.2009, σ.</w:t>
      </w:r>
      <w:r w:rsidR="00FB16A4">
        <w:rPr>
          <w:noProof/>
        </w:rPr>
        <w:t> </w:t>
      </w:r>
      <w:r w:rsidR="001F5DE8" w:rsidRPr="001F5DE8">
        <w:rPr>
          <w:noProof/>
        </w:rPr>
        <w:t>1).</w:t>
      </w:r>
    </w:p>
    <w:p w14:paraId="2E0B81FF" w14:textId="77777777" w:rsidR="0006616A" w:rsidRPr="001F5DE8" w:rsidRDefault="003A45AA" w:rsidP="0006616A">
      <w:pPr>
        <w:pStyle w:val="ListNumber"/>
        <w:rPr>
          <w:rFonts w:eastAsia="Times New Roman"/>
          <w:noProof/>
        </w:rPr>
      </w:pPr>
      <w:hyperlink r:id="rId59">
        <w:r w:rsidR="001F5DE8" w:rsidRPr="001F5DE8">
          <w:rPr>
            <w:rStyle w:val="Hyperlink"/>
            <w:noProof/>
          </w:rPr>
          <w:t>Κανονισμός (ΕΚ) αριθ. 1069/2009</w:t>
        </w:r>
      </w:hyperlink>
      <w:r w:rsidR="001F5DE8" w:rsidRPr="001F5DE8">
        <w:rPr>
          <w:rStyle w:val="Hyperlink"/>
          <w:noProof/>
          <w:color w:val="auto"/>
          <w:u w:val="none"/>
        </w:rPr>
        <w:t xml:space="preserve"> του Ευρωπαϊκού Κοινοβουλίου και του Συμβουλίου, της 21ης Οκτωβρίου 2009</w:t>
      </w:r>
      <w:r w:rsidR="001F5DE8" w:rsidRPr="001F5DE8">
        <w:rPr>
          <w:noProof/>
        </w:rPr>
        <w:t>, περί υγειονομικών κανόνων για ζωικά υποπροϊόντα και παράγωγα προϊόντα που δεν προορίζονται για κατανάλωση από τον άνθρωπο και για την κατάργηση του κανονισμού (ΕΚ) αριθ. 1774/2002 (ΕΕ L 300 της 14.11.2009, σ. 1).</w:t>
      </w:r>
    </w:p>
    <w:p w14:paraId="0A86E5B0" w14:textId="77777777" w:rsidR="0006616A" w:rsidRPr="001F5DE8" w:rsidRDefault="003A45AA" w:rsidP="0006616A">
      <w:pPr>
        <w:pStyle w:val="ListNumber"/>
        <w:rPr>
          <w:rFonts w:eastAsia="Times New Roman"/>
          <w:noProof/>
        </w:rPr>
      </w:pPr>
      <w:hyperlink r:id="rId60">
        <w:r w:rsidR="001F5DE8" w:rsidRPr="001F5DE8">
          <w:rPr>
            <w:rStyle w:val="Hyperlink"/>
            <w:noProof/>
          </w:rPr>
          <w:t>Κανονισμός (ΕΚ) αριθ. 1107/2009</w:t>
        </w:r>
      </w:hyperlink>
      <w:r w:rsidR="001F5DE8" w:rsidRPr="001F5DE8">
        <w:rPr>
          <w:noProof/>
        </w:rPr>
        <w:t xml:space="preserve">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οδηγιών 79/117/ΕΟΚ και 91/414/ΕΟΚ του Συμβουλίου (ΕΕ L 309 της 24.11.2009, σ. 1).</w:t>
      </w:r>
    </w:p>
    <w:p w14:paraId="74264070" w14:textId="77777777" w:rsidR="0006616A" w:rsidRPr="001F5DE8" w:rsidRDefault="003A45AA" w:rsidP="0006616A">
      <w:pPr>
        <w:pStyle w:val="ListNumber"/>
        <w:rPr>
          <w:rFonts w:eastAsia="Times New Roman"/>
          <w:noProof/>
        </w:rPr>
      </w:pPr>
      <w:hyperlink r:id="rId61">
        <w:r w:rsidR="001F5DE8" w:rsidRPr="001F5DE8">
          <w:rPr>
            <w:rStyle w:val="Hyperlink"/>
            <w:noProof/>
          </w:rPr>
          <w:t>Οδηγία 2009/128/ΕΚ</w:t>
        </w:r>
      </w:hyperlink>
      <w:r w:rsidR="001F5DE8" w:rsidRPr="001F5DE8">
        <w:rPr>
          <w:noProof/>
        </w:rPr>
        <w:t xml:space="preserve"> του Ευρωπαϊκού Κοινοβουλίου και του Συμβουλίου, της 21ης Οκτωβρίου 2009, σχετικά με τον καθορισμό πλαισίου κοινοτικής δράσης με σκοπό την επίτευξη ορθολογικής χρήσης των γεωργικών φαρμάκων (ΕΕ L 309 της 24.11.2009, σ. 71).</w:t>
      </w:r>
    </w:p>
    <w:p w14:paraId="7A830F08" w14:textId="77777777" w:rsidR="0006616A" w:rsidRPr="001F5DE8" w:rsidRDefault="003A45AA" w:rsidP="0006616A">
      <w:pPr>
        <w:pStyle w:val="ListNumber"/>
        <w:rPr>
          <w:rFonts w:eastAsia="Times New Roman"/>
          <w:noProof/>
        </w:rPr>
      </w:pPr>
      <w:hyperlink r:id="rId62">
        <w:r w:rsidR="001F5DE8" w:rsidRPr="001F5DE8">
          <w:rPr>
            <w:rStyle w:val="Hyperlink"/>
            <w:noProof/>
          </w:rPr>
          <w:t>Οδηγία 2009/148/ΕΚ</w:t>
        </w:r>
      </w:hyperlink>
      <w:r w:rsidR="001F5DE8" w:rsidRPr="001F5DE8">
        <w:rPr>
          <w:noProof/>
        </w:rPr>
        <w:t xml:space="preserve"> του Ευρωπαϊκού Κοινοβουλίου και του Συμβουλίου, της 30ής Νοεμβρίου 2009, για την προστασία των εργαζομένων από τους κινδύνους που οφείλονται στην έκθεσή τους στον αμίαντο κατά τη διάρκεια της εργασίας (ΕΕ L 330 της 16.12.2009, σ. 28).</w:t>
      </w:r>
    </w:p>
    <w:p w14:paraId="10E499F9" w14:textId="77777777" w:rsidR="0006616A" w:rsidRPr="001F5DE8" w:rsidRDefault="003A45AA" w:rsidP="0006616A">
      <w:pPr>
        <w:pStyle w:val="ListNumber"/>
        <w:rPr>
          <w:rFonts w:eastAsia="Times New Roman"/>
          <w:noProof/>
        </w:rPr>
      </w:pPr>
      <w:hyperlink r:id="rId63">
        <w:r w:rsidR="001F5DE8" w:rsidRPr="001F5DE8">
          <w:rPr>
            <w:rStyle w:val="Hyperlink"/>
            <w:noProof/>
          </w:rPr>
          <w:t>Κανονισμός (ΕΚ) αριθ. 1221/2009</w:t>
        </w:r>
      </w:hyperlink>
      <w:r w:rsidR="001F5DE8" w:rsidRPr="001F5DE8">
        <w:rPr>
          <w:noProof/>
        </w:rPr>
        <w:t xml:space="preserve"> του Ευρωπαϊκού Κοινοβουλίου και του Συμβουλίου, της 25ης Νοεμβρίου 2009, περί της εκούσιας συμμετοχής οργανισμών σε κοινοτικό σύστημα οικολογικής διαχείρισης και οικολογικού ελέγχου (EMAS) και για την κατάργηση του κανονισμού (ΕΚ) αριθ. 761/2001 και των αποφάσεων της Επιτροπής 2001/681/ΕΚ και 2006/193/ΕΚ (ΕΕ L 342 της 22.12.2009, σ. 1).</w:t>
      </w:r>
    </w:p>
    <w:p w14:paraId="2CF3A6DF" w14:textId="77777777" w:rsidR="0006616A" w:rsidRPr="001F5DE8" w:rsidRDefault="003A45AA" w:rsidP="0006616A">
      <w:pPr>
        <w:pStyle w:val="ListNumber"/>
        <w:rPr>
          <w:rFonts w:eastAsia="Times New Roman"/>
          <w:noProof/>
        </w:rPr>
      </w:pPr>
      <w:hyperlink r:id="rId64">
        <w:r w:rsidR="001F5DE8" w:rsidRPr="001F5DE8">
          <w:rPr>
            <w:rStyle w:val="Hyperlink"/>
            <w:noProof/>
          </w:rPr>
          <w:t>Κανονισμός (ΕΚ) αριθ. 1223/2009</w:t>
        </w:r>
      </w:hyperlink>
      <w:r w:rsidR="001F5DE8" w:rsidRPr="001F5DE8">
        <w:rPr>
          <w:noProof/>
        </w:rPr>
        <w:t xml:space="preserve"> του Ευρωπαϊκού Κοινοβουλίου και του Συμβουλίου, της 30ής Νοεμβρίου 2009, για τα καλλυντικά προϊόντα (ΕΕ L 342 της 22.12.2009, σ. 59).</w:t>
      </w:r>
    </w:p>
    <w:p w14:paraId="1A558272" w14:textId="77777777" w:rsidR="0006616A" w:rsidRPr="001F5DE8" w:rsidRDefault="003A45AA" w:rsidP="0006616A">
      <w:pPr>
        <w:pStyle w:val="ListNumber"/>
        <w:rPr>
          <w:rFonts w:eastAsia="Times New Roman"/>
          <w:noProof/>
        </w:rPr>
      </w:pPr>
      <w:hyperlink r:id="rId65">
        <w:r w:rsidR="001F5DE8" w:rsidRPr="001F5DE8">
          <w:rPr>
            <w:rStyle w:val="Hyperlink"/>
            <w:noProof/>
          </w:rPr>
          <w:t>Οδηγία 2010/75/ΕΕ</w:t>
        </w:r>
      </w:hyperlink>
      <w:r w:rsidR="001F5DE8" w:rsidRPr="001F5DE8">
        <w:rPr>
          <w:noProof/>
        </w:rPr>
        <w:t xml:space="preserve"> του Ευρωπαϊκού Κοινοβουλίου και του Συμβουλίου, της 24ης Νοεμβρίου 2010, περί βιομηχανικών εκπομπών (ολοκληρωμένη πρόληψη και έλεγχος της ρύπανσης) (ΕΕ L 334 της 17.12.2010, σ. 17).</w:t>
      </w:r>
    </w:p>
    <w:p w14:paraId="5D7A0330" w14:textId="77777777" w:rsidR="0006616A" w:rsidRPr="001F5DE8" w:rsidRDefault="003A45AA" w:rsidP="0006616A">
      <w:pPr>
        <w:pStyle w:val="ListNumber"/>
        <w:rPr>
          <w:rFonts w:eastAsia="Times New Roman"/>
          <w:noProof/>
        </w:rPr>
      </w:pPr>
      <w:hyperlink r:id="rId66">
        <w:r w:rsidR="001F5DE8" w:rsidRPr="001F5DE8">
          <w:rPr>
            <w:rStyle w:val="Hyperlink"/>
            <w:noProof/>
          </w:rPr>
          <w:t>Κανονισμός (ΕΚ) αριθ. 66/210</w:t>
        </w:r>
      </w:hyperlink>
      <w:r w:rsidR="001F5DE8" w:rsidRPr="001F5DE8">
        <w:rPr>
          <w:noProof/>
        </w:rPr>
        <w:t xml:space="preserve"> του Ευρωπαϊκού Κοινοβουλίου και του Συμβουλίου, της 25ης Νοεμβρίου 2009, σχετικά με το οικολογικό σήμα της ΕΕ (EU Ecolabel) (ΕΕ L 027 της 30.1.2010, σ. 1). </w:t>
      </w:r>
    </w:p>
    <w:p w14:paraId="2CD935FC" w14:textId="77777777" w:rsidR="0006616A" w:rsidRPr="001F5DE8" w:rsidRDefault="003A45AA" w:rsidP="0006616A">
      <w:pPr>
        <w:pStyle w:val="ListNumber"/>
        <w:rPr>
          <w:rFonts w:eastAsia="Times New Roman"/>
          <w:noProof/>
        </w:rPr>
      </w:pPr>
      <w:hyperlink r:id="rId67">
        <w:r w:rsidR="001F5DE8" w:rsidRPr="001F5DE8">
          <w:rPr>
            <w:rStyle w:val="Hyperlink"/>
            <w:noProof/>
          </w:rPr>
          <w:t>Οδηγία 2011/65/ΕΕ</w:t>
        </w:r>
      </w:hyperlink>
      <w:r w:rsidR="001F5DE8" w:rsidRPr="001F5DE8">
        <w:rPr>
          <w:noProof/>
        </w:rPr>
        <w:t xml:space="preserve"> του Ευρωπαϊκού Κοινοβουλίου και του Συμβουλίου, της 8ης Ιουνίου 2011, για τον περιορισμό της χρήσης ορισμένων επικίνδυνων ουσιών σε ηλεκτρικό και ηλεκτρονικό εξοπλισμό (ΕΕ L 174 της 1.7.2011, σ. 88).</w:t>
      </w:r>
    </w:p>
    <w:p w14:paraId="23F8CD74" w14:textId="77777777" w:rsidR="0006616A" w:rsidRPr="001F5DE8" w:rsidRDefault="003A45AA" w:rsidP="0006616A">
      <w:pPr>
        <w:pStyle w:val="ListNumber"/>
        <w:rPr>
          <w:rFonts w:eastAsia="Times New Roman"/>
          <w:noProof/>
        </w:rPr>
      </w:pPr>
      <w:hyperlink r:id="rId68">
        <w:r w:rsidR="001F5DE8" w:rsidRPr="001F5DE8">
          <w:rPr>
            <w:rStyle w:val="Hyperlink"/>
            <w:noProof/>
          </w:rPr>
          <w:t>Κανονισμός (ΕΕ) αριθ. 1169/2011</w:t>
        </w:r>
      </w:hyperlink>
      <w:r w:rsidR="001F5DE8" w:rsidRPr="001F5DE8">
        <w:rPr>
          <w:noProof/>
        </w:rPr>
        <w:t xml:space="preserve"> του Ευρωπαϊκού Κοινοβουλίου και του Συμβουλίου,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608/2004 της Επιτροπής (ΕΕ L 304 της 22.11.2011, σ. 18).</w:t>
      </w:r>
    </w:p>
    <w:p w14:paraId="1AEEAADE" w14:textId="77777777" w:rsidR="0006616A" w:rsidRPr="001F5DE8" w:rsidRDefault="003A45AA" w:rsidP="0006616A">
      <w:pPr>
        <w:pStyle w:val="ListNumber"/>
        <w:rPr>
          <w:rFonts w:eastAsia="Times New Roman"/>
          <w:noProof/>
        </w:rPr>
      </w:pPr>
      <w:hyperlink r:id="rId69">
        <w:r w:rsidR="001F5DE8" w:rsidRPr="001F5DE8">
          <w:rPr>
            <w:rStyle w:val="Hyperlink"/>
            <w:noProof/>
          </w:rPr>
          <w:t>Κανονισμός (ΕΕ) αριθ. 528/2012</w:t>
        </w:r>
      </w:hyperlink>
      <w:r w:rsidR="001F5DE8" w:rsidRPr="001F5DE8">
        <w:rPr>
          <w:noProof/>
        </w:rPr>
        <w:t xml:space="preserve"> του Ευρωπαϊκού Κοινοβουλίου και του Συμβουλίου, της 22ας Μαΐου 2012, σχετικά με τη διάθεση στην αγορά και τη χρήση βιοκτόνων (ΕΕ L 167 της 27.6.2012, σ. 1).</w:t>
      </w:r>
    </w:p>
    <w:p w14:paraId="511DC450" w14:textId="77777777" w:rsidR="0006616A" w:rsidRPr="001F5DE8" w:rsidRDefault="003A45AA" w:rsidP="0006616A">
      <w:pPr>
        <w:pStyle w:val="ListNumber"/>
        <w:rPr>
          <w:rFonts w:eastAsia="Times New Roman"/>
          <w:noProof/>
        </w:rPr>
      </w:pPr>
      <w:hyperlink r:id="rId70">
        <w:r w:rsidR="001F5DE8" w:rsidRPr="001F5DE8">
          <w:rPr>
            <w:rStyle w:val="Hyperlink"/>
            <w:noProof/>
          </w:rPr>
          <w:t>Οδηγία 2012/18/ΕΕ</w:t>
        </w:r>
      </w:hyperlink>
      <w:r w:rsidR="001F5DE8" w:rsidRPr="001F5DE8">
        <w:rPr>
          <w:noProof/>
        </w:rPr>
        <w:t xml:space="preserve"> του Ευρωπαϊκού Κοινοβουλίου και του Συμβουλίου, της 4ης Ιουλίου 2012, για την αντιμετώπιση των κινδύνων μεγάλων ατυχημάτων σχετιζόμενων με επικίνδυνες ουσίες και για την τροποποίηση και στη συνέχεια την κατάργηση της οδηγίας 96/82/ΕΚ του Συμβουλίου (ΕΕ L 197 της 24.7.2012, σ. 1).</w:t>
      </w:r>
    </w:p>
    <w:p w14:paraId="7E011DB4" w14:textId="77777777" w:rsidR="00FF528C" w:rsidRPr="001F5DE8" w:rsidRDefault="003A45AA" w:rsidP="0006616A">
      <w:pPr>
        <w:pStyle w:val="ListNumber"/>
        <w:rPr>
          <w:rFonts w:eastAsia="Times New Roman"/>
          <w:noProof/>
        </w:rPr>
      </w:pPr>
      <w:hyperlink r:id="rId71" w:history="1">
        <w:r w:rsidR="001F5DE8" w:rsidRPr="001F5DE8">
          <w:rPr>
            <w:rStyle w:val="Hyperlink"/>
            <w:noProof/>
          </w:rPr>
          <w:t>Οδηγία 2012/19/ΕΕ</w:t>
        </w:r>
      </w:hyperlink>
      <w:r w:rsidR="001F5DE8" w:rsidRPr="001F5DE8">
        <w:rPr>
          <w:noProof/>
        </w:rPr>
        <w:t xml:space="preserve"> του Ευρωπαϊκού Κοινοβουλίου και του Συμβουλίου, της 4ης Ιουλίου 2012, σχετικά με τα απόβλητα ηλεκτρικού και ηλεκτρονικού εξοπλισμού (ΑΗΗΕ) (EE L 197 της 24.7.2012, σ. 38).</w:t>
      </w:r>
    </w:p>
    <w:p w14:paraId="0BDD9122" w14:textId="77777777" w:rsidR="0006616A" w:rsidRPr="001F5DE8" w:rsidRDefault="003A45AA" w:rsidP="0006616A">
      <w:pPr>
        <w:pStyle w:val="ListNumber"/>
        <w:rPr>
          <w:rFonts w:eastAsia="Times New Roman"/>
          <w:noProof/>
        </w:rPr>
      </w:pPr>
      <w:hyperlink r:id="rId72">
        <w:r w:rsidR="001F5DE8" w:rsidRPr="001F5DE8">
          <w:rPr>
            <w:rStyle w:val="Hyperlink"/>
            <w:noProof/>
          </w:rPr>
          <w:t>Κανονισμός (ΕΕ) αριθ. 649/2012</w:t>
        </w:r>
      </w:hyperlink>
      <w:r w:rsidR="001F5DE8" w:rsidRPr="001F5DE8">
        <w:rPr>
          <w:noProof/>
        </w:rPr>
        <w:t xml:space="preserve"> του Ευρωπαϊκού Κοινοβουλίου και του Συμβουλίου, της 4ης Ιουλίου 2012, σχετικά με τις εξαγωγές και εισαγωγές επικίνδυνων χημικών προϊόντων (ΕΕ L 201 της 27.7.2012, σ. 60).</w:t>
      </w:r>
    </w:p>
    <w:p w14:paraId="4E1579E0" w14:textId="77777777" w:rsidR="0006616A" w:rsidRPr="001F5DE8" w:rsidRDefault="003A45AA" w:rsidP="0006616A">
      <w:pPr>
        <w:pStyle w:val="ListNumber"/>
        <w:rPr>
          <w:rFonts w:eastAsia="Times New Roman"/>
          <w:noProof/>
        </w:rPr>
      </w:pPr>
      <w:hyperlink r:id="rId73">
        <w:r w:rsidR="001F5DE8" w:rsidRPr="001F5DE8">
          <w:rPr>
            <w:rStyle w:val="Hyperlink"/>
            <w:noProof/>
          </w:rPr>
          <w:t>Κανονισμός (ΕΕ) αριθ. 609/2013</w:t>
        </w:r>
      </w:hyperlink>
      <w:r w:rsidR="001F5DE8" w:rsidRPr="001F5DE8">
        <w:rPr>
          <w:noProof/>
        </w:rPr>
        <w:t xml:space="preserve"> του Ευρωπαϊκού Κοινοβουλίου και του Συμβουλίου, της 12ης Ιουνίου 2013, για τα τρόφιμα τα οποία προορίζονται για βρέφη και μικρά παιδιά και για τα τρόφιμα που προορίζονται για ειδικούς ιατρικούς σκοπούς, και ως υποκατάστατα του συνόλου του διαιτολογίου για τον έλεγχο του σωματικού βάρους και για την κατάργηση της οδηγίας 92/52/ΕΟΚ του Συμβουλίου, των οδηγιών της Επιτροπής 96/8/ΕΚ, 1999/21/ΕΚ, 2006/125/ΕΚ και 2006/141/ΕΚ, της οδηγίας 2009/39/ΕΚ του Ευρωπαϊκού Κοινοβουλίου και του Συμβουλίου και των κανονισμών της Επιτροπής (ΕΚ) αριθ. 41/2009 και (ΕΚ) αριθ. 953/2009 (ΕΕ L 181 της 12.6.2013, σ. 35).</w:t>
      </w:r>
    </w:p>
    <w:p w14:paraId="28F16CE1" w14:textId="77777777" w:rsidR="0006616A" w:rsidRPr="001F5DE8" w:rsidRDefault="003A45AA" w:rsidP="0006616A">
      <w:pPr>
        <w:pStyle w:val="ListNumber"/>
        <w:rPr>
          <w:rFonts w:eastAsia="Times New Roman"/>
          <w:noProof/>
        </w:rPr>
      </w:pPr>
      <w:hyperlink r:id="rId74">
        <w:r w:rsidR="001F5DE8" w:rsidRPr="001F5DE8">
          <w:rPr>
            <w:rStyle w:val="Hyperlink"/>
            <w:noProof/>
          </w:rPr>
          <w:t>Οδηγία 2014/28/ΕΕ</w:t>
        </w:r>
      </w:hyperlink>
      <w:r w:rsidR="001F5DE8" w:rsidRPr="001F5DE8">
        <w:rPr>
          <w:noProof/>
        </w:rPr>
        <w:t xml:space="preserve"> του Ευρωπαϊκού Κοινοβουλίου και του Συμβουλίου, της 26ης Φεβρουαρίου 2014, για την εναρμόνιση των νομοθεσιών των κρατών μελών περί της διαθεσιμότητας στην αγορά και του ελέγχου των εκρηκτικών υλών εμπορικής χρήσης (ΕΕ L 96 της 29.3.2014, σ. 1).</w:t>
      </w:r>
    </w:p>
    <w:p w14:paraId="50EAB9CC" w14:textId="77777777" w:rsidR="0006616A" w:rsidRPr="001F5DE8" w:rsidRDefault="003A45AA" w:rsidP="0006616A">
      <w:pPr>
        <w:pStyle w:val="ListNumber"/>
        <w:rPr>
          <w:rFonts w:eastAsia="Times New Roman"/>
          <w:noProof/>
        </w:rPr>
      </w:pPr>
      <w:hyperlink r:id="rId75">
        <w:r w:rsidR="001F5DE8" w:rsidRPr="001F5DE8">
          <w:rPr>
            <w:rStyle w:val="Hyperlink"/>
            <w:noProof/>
          </w:rPr>
          <w:t>Οδηγία 2014/40/ΕΕ</w:t>
        </w:r>
      </w:hyperlink>
      <w:r w:rsidR="001F5DE8" w:rsidRPr="001F5DE8">
        <w:rPr>
          <w:noProof/>
        </w:rPr>
        <w:t xml:space="preserve">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 μελών σχετικά με την κατασκευή, την παρουσίαση και την πώληση προϊόντων καπνού και συναφών προϊόντων και την κατάργηση της οδηγίας 2001/37/ΕΚ (ΕΕ L 127 της 29.4.2014, σ. 1).</w:t>
      </w:r>
    </w:p>
    <w:p w14:paraId="57E69A94" w14:textId="77777777" w:rsidR="0006616A" w:rsidRPr="001F5DE8" w:rsidRDefault="003A45AA" w:rsidP="0006616A">
      <w:pPr>
        <w:pStyle w:val="ListNumber"/>
        <w:rPr>
          <w:rFonts w:eastAsia="Times New Roman"/>
          <w:noProof/>
        </w:rPr>
      </w:pPr>
      <w:hyperlink r:id="rId76">
        <w:r w:rsidR="001F5DE8" w:rsidRPr="001F5DE8">
          <w:rPr>
            <w:rStyle w:val="Hyperlink"/>
            <w:noProof/>
          </w:rPr>
          <w:t>Κανονισμός (ΕΕ) αριθ. 517/2014</w:t>
        </w:r>
      </w:hyperlink>
      <w:r w:rsidR="001F5DE8" w:rsidRPr="001F5DE8">
        <w:rPr>
          <w:noProof/>
        </w:rPr>
        <w:t xml:space="preserve"> του Ευρωπαϊκού Κοινοβουλίου και του Συμβουλίου, της 16ης Απριλίου 2014, για τα φθοριούχα αέρια του θερμοκηπίου και για την κατάργηση του κανονισμού (ΕΚ) αριθ. 842/2006 (ΕΕ L 150 της 20.5.2014, σ. 195).</w:t>
      </w:r>
    </w:p>
    <w:p w14:paraId="44C506F1" w14:textId="77777777" w:rsidR="0006616A" w:rsidRPr="001F5DE8" w:rsidRDefault="003A45AA" w:rsidP="0006616A">
      <w:pPr>
        <w:pStyle w:val="ListNumber"/>
        <w:rPr>
          <w:rFonts w:eastAsia="Times New Roman"/>
          <w:noProof/>
        </w:rPr>
      </w:pPr>
      <w:hyperlink r:id="rId77">
        <w:r w:rsidR="001F5DE8" w:rsidRPr="001F5DE8">
          <w:rPr>
            <w:rStyle w:val="Hyperlink"/>
            <w:noProof/>
          </w:rPr>
          <w:t>Κανονισμός (ΕΕ) 2015/2283</w:t>
        </w:r>
      </w:hyperlink>
      <w:r w:rsidR="001F5DE8" w:rsidRPr="001F5DE8">
        <w:rPr>
          <w:noProof/>
        </w:rPr>
        <w:t xml:space="preserve"> του Ευρωπαϊκού Κοινοβουλίου και του Συμβουλίου, της 25ης Νοεμβρίου 2015, σχετικά με τα νέα τρόφιμα, την τροποποίηση του κανονισμού (ΕΕ) αριθ. 1169/2011 του Ευρωπαϊκού Κοινοβουλίου και του Συμβουλίου και την κατάργηση του κανονισμού (ΕΚ) αριθ. 258/97 του Ευρωπαϊκού Κοινοβουλίου και του Συμβουλίου και του κανονισμού (ΕΚ) αριθ. 1852/2001 της Επιτροπής (ΕΕ L 327 της 11.12.2015, σ. 1).</w:t>
      </w:r>
    </w:p>
    <w:p w14:paraId="55A829F6" w14:textId="77777777" w:rsidR="0006616A" w:rsidRPr="001F5DE8" w:rsidRDefault="003A45AA" w:rsidP="0006616A">
      <w:pPr>
        <w:pStyle w:val="ListNumber"/>
        <w:rPr>
          <w:rFonts w:eastAsia="Times New Roman"/>
          <w:noProof/>
        </w:rPr>
      </w:pPr>
      <w:hyperlink r:id="rId78">
        <w:r w:rsidR="001F5DE8" w:rsidRPr="001F5DE8">
          <w:rPr>
            <w:rStyle w:val="Hyperlink"/>
            <w:noProof/>
          </w:rPr>
          <w:t>Οδηγία (ΕΕ) 2016/2284</w:t>
        </w:r>
      </w:hyperlink>
      <w:r w:rsidR="001F5DE8" w:rsidRPr="001F5DE8">
        <w:rPr>
          <w:noProof/>
        </w:rPr>
        <w:t xml:space="preserve"> του Ευρωπαϊκού Κοινοβουλίου και του Συμβουλίου, της 14ης Δεκεμβρίου 2016, σχετικά με τη μείωση των εθνικών εκπομπών ορισμένων ατμοσφαιρικών ρύπων, την τροποποίηση της οδηγίας 2003/35/ΕΚ και την κατάργηση της οδηγίας 2001/81/ΕΚ (ΕΕ L 344 της 17.12.2016, σ. 1).</w:t>
      </w:r>
    </w:p>
    <w:p w14:paraId="2F5E971D" w14:textId="77777777" w:rsidR="0006616A" w:rsidRPr="001F5DE8" w:rsidRDefault="003A45AA" w:rsidP="0006616A">
      <w:pPr>
        <w:pStyle w:val="ListNumber"/>
        <w:rPr>
          <w:rFonts w:eastAsia="Times New Roman"/>
          <w:noProof/>
        </w:rPr>
      </w:pPr>
      <w:hyperlink r:id="rId79">
        <w:r w:rsidR="001F5DE8" w:rsidRPr="001F5DE8">
          <w:rPr>
            <w:rStyle w:val="Hyperlink"/>
            <w:noProof/>
          </w:rPr>
          <w:t>Κανονισμός (ΕΕ) 2017/625</w:t>
        </w:r>
      </w:hyperlink>
      <w:r w:rsidR="001F5DE8" w:rsidRPr="001F5DE8">
        <w:rPr>
          <w:noProof/>
        </w:rPr>
        <w:t xml:space="preserve"> του Ευρωπαϊκού Κοινοβουλίου και του Συμβουλίου, της 15ης Μαρτίου 2017, για τους επίσημους ελέγχους και τις άλλες επίσημες δραστηριότητες που διενεργούνται με σκοπό την εξασφάλιση της εφαρμογής της νομοθεσίας για τα τρόφιμα και τις ζωοτροφές και των κανόνων για την υγεία και την καλή μεταχείριση των ζώων, την υγεία των φυτών και τα φυτοπροστατευτικά προϊόντα, για την τροποποίηση των κανονισμών του Ευρωπαϊκού Κοινοβουλίου και του Συμβουλίου (ΕΚ) αριθ. 999/2001, (ΕΚ) αριθ. 396/2005, (ΕΚ) αριθ. 1069/2009, (ΕΚ) αριθ. 1107/2009, (ΕΕ) αριθ. 1151/2012, (ΕΕ) αριθ. 652/2014, (ΕΕ) 2016/429 και (ΕΕ) 2016/2031, των κανονισμών του Συμβουλίου (ΕΚ) αριθ. 1/2005 και (ΕΚ) αριθ. 1099/2009 και των οδηγιών του Συμβουλίου 98/58/ΕΚ, 1999/74/ΕΚ, 2007/43/ΕΚ, 2008/119/ΕΚ και 2008/120/ΕΚ και για την κατάργηση των κανονισμών του Ευρωπαϊκού Κοινοβουλίου και του Συμβουλίου (ΕΚ) αριθ. 854/2004 και (ΕΚ) αριθ. 882/2004, των οδηγιών του Συμβουλίου 89/608/ΕΟΚ, 89/662/ΕΟΚ, 90/425/ΕΟΚ, 91/496/ΕΟΚ, 96/23/ΕΚ, 96/93/ΕΚ και 97/78/ΕΚ και της απόφασης 92/438/ΕΟΚ του Συμβουλίου (κανονισμός για τους επίσημους ελέγχους) (ΕΕ L 095 της 7.4.2017, σ. 1).</w:t>
      </w:r>
    </w:p>
    <w:p w14:paraId="5AD7F7B8" w14:textId="5839AB17" w:rsidR="0006616A" w:rsidRPr="001F5DE8" w:rsidRDefault="003A45AA" w:rsidP="0006616A">
      <w:pPr>
        <w:pStyle w:val="ListNumber"/>
        <w:rPr>
          <w:rFonts w:eastAsia="Times New Roman"/>
          <w:noProof/>
        </w:rPr>
      </w:pPr>
      <w:hyperlink r:id="rId80">
        <w:r w:rsidR="001F5DE8" w:rsidRPr="001F5DE8">
          <w:rPr>
            <w:rStyle w:val="Hyperlink"/>
            <w:noProof/>
          </w:rPr>
          <w:t>Κανονισμός (ΕΕ) 2017/745</w:t>
        </w:r>
      </w:hyperlink>
      <w:r w:rsidR="001F5DE8" w:rsidRPr="001F5DE8">
        <w:rPr>
          <w:noProof/>
        </w:rPr>
        <w:t xml:space="preserve"> του Ευρωπαϊκού Κοινοβουλίου και του Συμβουλίου, της 5ης Απριλίου 2017, για τα ιατροτεχνολογικά προϊόντα, για την τροποποίηση της οδηγίας 2001/83/ΕΚ, του κανονισμού (ΕΚ) αριθ. 178/2002 και του κανονισμού (ΕΚ) αριθ. 1223/2009 και για την κατάργηση των οδηγιών του Συμβουλίου 90/385/ΕΟΚ και 93/42/ΕΟΚ (ΕΕ L 117 της 5.5.2017, σ. 1).</w:t>
      </w:r>
    </w:p>
    <w:p w14:paraId="2A4732EC" w14:textId="77777777" w:rsidR="0006616A" w:rsidRPr="001F5DE8" w:rsidRDefault="003A45AA" w:rsidP="0006616A">
      <w:pPr>
        <w:pStyle w:val="ListNumber"/>
        <w:rPr>
          <w:rFonts w:eastAsia="Times New Roman"/>
          <w:noProof/>
        </w:rPr>
      </w:pPr>
      <w:hyperlink r:id="rId81">
        <w:r w:rsidR="001F5DE8" w:rsidRPr="001F5DE8">
          <w:rPr>
            <w:rStyle w:val="Hyperlink"/>
            <w:noProof/>
          </w:rPr>
          <w:t>Κανονισμός (ΕΕ) 2017/852</w:t>
        </w:r>
      </w:hyperlink>
      <w:r w:rsidR="001F5DE8" w:rsidRPr="001F5DE8">
        <w:rPr>
          <w:noProof/>
        </w:rPr>
        <w:t xml:space="preserve"> του Ευρωπαϊκού Κοινοβουλίου και του Συμβουλίου, της 17ης Μαΐου 2017, για τον υδράργυρο και για την κατάργηση του κανονισμού (ΕΚ) αριθ. 1102/2008 (ΕΕ L 137 της 24.5.2017, σ. 1).</w:t>
      </w:r>
    </w:p>
    <w:p w14:paraId="087962DA" w14:textId="77777777" w:rsidR="0006616A" w:rsidRPr="001F5DE8" w:rsidRDefault="003A45AA" w:rsidP="0006616A">
      <w:pPr>
        <w:pStyle w:val="ListNumber"/>
        <w:rPr>
          <w:rFonts w:eastAsia="Times New Roman"/>
          <w:noProof/>
        </w:rPr>
      </w:pPr>
      <w:hyperlink r:id="rId82">
        <w:r w:rsidR="001F5DE8" w:rsidRPr="001F5DE8">
          <w:rPr>
            <w:rStyle w:val="Hyperlink"/>
            <w:noProof/>
          </w:rPr>
          <w:t>Κανονισμός (ΕΕ) 2019/4</w:t>
        </w:r>
      </w:hyperlink>
      <w:r w:rsidR="001F5DE8" w:rsidRPr="001F5DE8">
        <w:rPr>
          <w:noProof/>
        </w:rPr>
        <w:t xml:space="preserve"> του Ευρωπαϊκού Κοινοβουλίου και του Συμβουλίου, της 11ης Δεκεμβρίου 2018, σχετικά με την παρασκευή, τη διάθεση στην αγορά και τη χρήση φαρμακούχων ζωοτροφών, την τροποποίηση του κανονισμού (ΕΚ) αριθ. 183/2005 του Ευρωπαϊκού Κοινοβουλίου και του Συμβουλίου και την κατάργηση της οδηγίας 90/167/ΕΟΚ του Συμβουλίου (ΕΕ L 4 της 7.1.2019, σ. 1).</w:t>
      </w:r>
    </w:p>
    <w:p w14:paraId="33D1F3E0" w14:textId="77777777" w:rsidR="0006616A" w:rsidRPr="001F5DE8" w:rsidRDefault="003A45AA" w:rsidP="0006616A">
      <w:pPr>
        <w:pStyle w:val="ListNumber"/>
        <w:rPr>
          <w:rFonts w:eastAsia="Times New Roman"/>
          <w:noProof/>
        </w:rPr>
      </w:pPr>
      <w:hyperlink r:id="rId83">
        <w:r w:rsidR="001F5DE8" w:rsidRPr="001F5DE8">
          <w:rPr>
            <w:rStyle w:val="Hyperlink"/>
            <w:noProof/>
          </w:rPr>
          <w:t>Κανονισμός (ΕΕ) 2019/1009</w:t>
        </w:r>
      </w:hyperlink>
      <w:r w:rsidR="001F5DE8" w:rsidRPr="001F5DE8">
        <w:rPr>
          <w:noProof/>
        </w:rPr>
        <w:t xml:space="preserve"> του Ευρωπαϊκού Κοινοβουλίου και του Συμβουλίου, της 5ης Ιουνίου 2019, για τη θέσπιση κανόνων σχετικά με τη διάθεση προϊόντων λίπανσης της ΕΕ στην αγορά και για την τροποποίηση των κανονισμών (ΕΚ) αριθ. 1069/2009 και (ΕΚ) αριθ. 1107/2009 και την κατάργηση του κανονισμού (ΕΚ) αριθ. 2003/2003 (ΕΕ L 170 της 25.6.2019, σ. 1).</w:t>
      </w:r>
    </w:p>
    <w:p w14:paraId="1885B870" w14:textId="77777777" w:rsidR="0006616A" w:rsidRPr="001F5DE8" w:rsidRDefault="003A45AA" w:rsidP="0006616A">
      <w:pPr>
        <w:pStyle w:val="ListNumber"/>
        <w:rPr>
          <w:noProof/>
        </w:rPr>
      </w:pPr>
      <w:hyperlink r:id="rId84">
        <w:r w:rsidR="001F5DE8" w:rsidRPr="001F5DE8">
          <w:rPr>
            <w:rStyle w:val="Hyperlink"/>
            <w:noProof/>
          </w:rPr>
          <w:t>Κανονισμός (ΕΕ) 2019/1021</w:t>
        </w:r>
      </w:hyperlink>
      <w:r w:rsidR="001F5DE8" w:rsidRPr="001F5DE8">
        <w:rPr>
          <w:noProof/>
        </w:rPr>
        <w:t xml:space="preserve"> του Ευρωπαϊκού Κοινοβουλίου και του Συμβουλίου, της 20ής Ιουνίου 2019, για τους έμμονους οργανικούς ρύπους (ΕΕ L 169 της 25.6.2019, σ. 45).</w:t>
      </w:r>
    </w:p>
    <w:p w14:paraId="5D014EEB" w14:textId="77777777" w:rsidR="004E57C7" w:rsidRPr="001F5DE8" w:rsidRDefault="003A45AA" w:rsidP="0024583E">
      <w:pPr>
        <w:pStyle w:val="ListNumber"/>
        <w:rPr>
          <w:rFonts w:eastAsia="Times New Roman"/>
          <w:noProof/>
        </w:rPr>
      </w:pPr>
      <w:hyperlink r:id="rId85">
        <w:r w:rsidR="001F5DE8" w:rsidRPr="001F5DE8">
          <w:rPr>
            <w:rStyle w:val="Hyperlink"/>
            <w:noProof/>
          </w:rPr>
          <w:t>Οδηγία (ΕΕ) 2020/2184</w:t>
        </w:r>
      </w:hyperlink>
      <w:r w:rsidR="001F5DE8" w:rsidRPr="001F5DE8">
        <w:rPr>
          <w:noProof/>
        </w:rPr>
        <w:t xml:space="preserve"> του Ευρωπαϊκού Κοινοβουλίου και του Συμβουλίου, της 16ης Δεκεμβρίου 2020, σχετικά με την ποιότητα του νερού ανθρώπινης κατανάλωσης (ΕΕ L 435 της 23.12.2020, σ. 1).</w:t>
      </w:r>
    </w:p>
    <w:p w14:paraId="163D69FC" w14:textId="77777777" w:rsidR="00DE08DF" w:rsidRPr="001F5DE8" w:rsidRDefault="005F48FF" w:rsidP="26231176">
      <w:pPr>
        <w:pStyle w:val="ListNumber"/>
        <w:tabs>
          <w:tab w:val="num" w:pos="426"/>
        </w:tabs>
        <w:ind w:hanging="374"/>
        <w:rPr>
          <w:rFonts w:eastAsia="Times New Roman"/>
          <w:noProof/>
        </w:rPr>
      </w:pPr>
      <w:r w:rsidRPr="001F5DE8">
        <w:rPr>
          <w:noProof/>
        </w:rPr>
        <w:t>Κανονισμός (ΕΕ) .../... του Ευρωπαϊκού Κοινοβουλίου και του Συμβουλίου για την αποκατάσταση της φύσης (ΕΕ …, ELI: … [</w:t>
      </w:r>
      <w:r w:rsidRPr="001F5DE8">
        <w:rPr>
          <w:i/>
          <w:noProof/>
        </w:rPr>
        <w:t>Υπηρεσία Εκδόσεων: να συμπληρωθεί ο αριθμός και τα στοιχεία δημοσίευσης</w:t>
      </w:r>
      <w:r w:rsidRPr="001F5DE8">
        <w:rPr>
          <w:noProof/>
        </w:rPr>
        <w:t>].</w:t>
      </w:r>
    </w:p>
    <w:p w14:paraId="4D17AF81" w14:textId="77777777" w:rsidR="00A96E27" w:rsidRPr="001F5DE8" w:rsidRDefault="00D805FB" w:rsidP="00C54EF3">
      <w:pPr>
        <w:pStyle w:val="ListNumber"/>
        <w:tabs>
          <w:tab w:val="num" w:pos="426"/>
        </w:tabs>
        <w:ind w:hanging="374"/>
        <w:rPr>
          <w:rFonts w:eastAsia="Times New Roman"/>
          <w:noProof/>
        </w:rPr>
      </w:pPr>
      <w:r w:rsidRPr="001F5DE8">
        <w:rPr>
          <w:noProof/>
        </w:rPr>
        <w:t>Κανονισμός (ΕΕ) .../... του Ευρωπαϊκού Κοινοβουλίου και του Συμβουλίου σχετικά με τις μπαταρίες και τα απόβλητα μπαταριών, για την κατάργηση της οδηγίας 2006/66/ΕΚ και την τροποποίηση του κανονισμού (ΕΕ) 2019/1020 (ΕΕ ..., ELI: … [</w:t>
      </w:r>
      <w:r w:rsidRPr="001F5DE8">
        <w:rPr>
          <w:i/>
          <w:noProof/>
        </w:rPr>
        <w:t>Υπηρεσία Εκδόσεων: να συμπληρωθεί ο αριθμός και τα στοιχεία δημοσίευσης</w:t>
      </w:r>
      <w:r w:rsidRPr="001F5DE8">
        <w:rPr>
          <w:noProof/>
        </w:rPr>
        <w:t>].</w:t>
      </w:r>
    </w:p>
    <w:p w14:paraId="1A7B85EE" w14:textId="77777777" w:rsidR="005E5908" w:rsidRPr="001F5DE8" w:rsidRDefault="005E5908" w:rsidP="26231176">
      <w:pPr>
        <w:rPr>
          <w:noProof/>
        </w:rPr>
        <w:sectPr w:rsidR="005E5908" w:rsidRPr="001F5DE8" w:rsidSect="00022660">
          <w:headerReference w:type="even" r:id="rId86"/>
          <w:footerReference w:type="even" r:id="rId87"/>
          <w:footerReference w:type="default" r:id="rId88"/>
          <w:headerReference w:type="first" r:id="rId89"/>
          <w:footerReference w:type="first" r:id="rId90"/>
          <w:pgSz w:w="11907" w:h="16839"/>
          <w:pgMar w:top="1134" w:right="1417" w:bottom="1134" w:left="1417" w:header="709" w:footer="709" w:gutter="0"/>
          <w:cols w:space="720"/>
          <w:docGrid w:linePitch="360"/>
        </w:sectPr>
      </w:pPr>
    </w:p>
    <w:p w14:paraId="03FB6C71" w14:textId="1CF73DC4" w:rsidR="00FD2770" w:rsidRPr="001F5DE8" w:rsidRDefault="00FD2770">
      <w:pPr>
        <w:spacing w:before="0" w:after="200" w:line="276" w:lineRule="auto"/>
        <w:jc w:val="left"/>
        <w:rPr>
          <w:b/>
          <w:noProof/>
          <w:u w:val="single"/>
        </w:rPr>
      </w:pPr>
    </w:p>
    <w:p w14:paraId="5F7BD589" w14:textId="77777777" w:rsidR="09C9DDE0" w:rsidRPr="001F5DE8" w:rsidRDefault="09C9DDE0" w:rsidP="01C23B02">
      <w:pPr>
        <w:pStyle w:val="Annexetitre"/>
        <w:rPr>
          <w:rStyle w:val="Marker"/>
          <w:noProof/>
        </w:rPr>
      </w:pPr>
      <w:r w:rsidRPr="001F5DE8">
        <w:rPr>
          <w:noProof/>
        </w:rPr>
        <w:t>ΠΑΡΑΡΤΗΜΑ II</w:t>
      </w:r>
    </w:p>
    <w:p w14:paraId="2CBBC23C" w14:textId="77777777" w:rsidR="01C23B02" w:rsidRPr="001F5DE8" w:rsidRDefault="60E26DE2" w:rsidP="000C2094">
      <w:pPr>
        <w:pStyle w:val="ManualHeading1"/>
        <w:jc w:val="center"/>
        <w:rPr>
          <w:noProof/>
        </w:rPr>
      </w:pPr>
      <w:r w:rsidRPr="001F5DE8">
        <w:rPr>
          <w:noProof/>
        </w:rPr>
        <w:t>Ενωσιακές νομοθετικές πράξεις που αναφέρονται στα άρθρα 2, 3, 12, 17 και 23 και τιμές αναφοράς που αναφέρονται στο άρθρο 8</w:t>
      </w:r>
    </w:p>
    <w:p w14:paraId="3A174CFE" w14:textId="77777777" w:rsidR="09C9DDE0" w:rsidRPr="001F5DE8" w:rsidRDefault="7B859C47" w:rsidP="26231176">
      <w:pPr>
        <w:rPr>
          <w:rFonts w:eastAsiaTheme="minorEastAsia"/>
          <w:noProof/>
        </w:rPr>
      </w:pPr>
      <w:r w:rsidRPr="001F5DE8">
        <w:rPr>
          <w:b/>
          <w:noProof/>
        </w:rPr>
        <w:t>Μέρος 1</w:t>
      </w:r>
      <w:r w:rsidRPr="001F5DE8">
        <w:rPr>
          <w:noProof/>
        </w:rPr>
        <w:t xml:space="preserve"> – Ειδικά δεδομένα για τις σχετικές δραστικές ουσίες που πρέπει να προσδιορίζονται σύμφωνα με το άρθρο 4 παράγραφος 5 στοιχείο β) και εμπίπτουν στο πεδίο εφαρμογής του παρόντος κανονισμού για τους σκοπούς του άρθρου 3 για τα φάρμακα που προορίζονται για ανθρώπινη και κτηνιατρική χρήση</w:t>
      </w:r>
    </w:p>
    <w:p w14:paraId="2AF173E8" w14:textId="77777777" w:rsidR="09C9DDE0" w:rsidRPr="001F5DE8" w:rsidRDefault="09C9DDE0" w:rsidP="005E5908">
      <w:pPr>
        <w:pStyle w:val="ListNumber2"/>
        <w:rPr>
          <w:noProof/>
        </w:rPr>
      </w:pPr>
      <w:r w:rsidRPr="001F5DE8">
        <w:rPr>
          <w:noProof/>
        </w:rPr>
        <w:t>Μη κλινικά δεδομένα ασφάλειας, συμπεριλαμβανομένων των δεδομένων που σχετίζονται με τις εκτιμήσεις περιβαλλοντικού κινδύνου που καταρτίζονται σύμφωνα με την οδηγία 2001/83/ΕΚ του Ευρωπαϊκού Κοινοβουλίου και του Συμβουλίου</w:t>
      </w:r>
      <w:r w:rsidR="00521270" w:rsidRPr="001F5DE8">
        <w:rPr>
          <w:rStyle w:val="FootnoteReference"/>
          <w:rFonts w:eastAsiaTheme="minorEastAsia"/>
          <w:noProof/>
          <w:szCs w:val="24"/>
          <w:lang w:eastAsia="en-IE"/>
        </w:rPr>
        <w:footnoteReference w:id="2"/>
      </w:r>
      <w:r w:rsidRPr="001F5DE8">
        <w:rPr>
          <w:noProof/>
        </w:rPr>
        <w:t xml:space="preserve"> και τον κανονισμό (ΕΚ) αριθ. 726/2004 του Ευρωπαϊκού Κοινοβουλίου και του Συμβουλίου</w:t>
      </w:r>
      <w:r w:rsidR="00521270" w:rsidRPr="001F5DE8">
        <w:rPr>
          <w:rStyle w:val="FootnoteReference"/>
          <w:rFonts w:eastAsiaTheme="minorEastAsia"/>
          <w:noProof/>
          <w:szCs w:val="24"/>
          <w:lang w:eastAsia="en-IE"/>
        </w:rPr>
        <w:footnoteReference w:id="3"/>
      </w:r>
      <w:r w:rsidRPr="001F5DE8">
        <w:rPr>
          <w:noProof/>
        </w:rPr>
        <w:t xml:space="preserve">· </w:t>
      </w:r>
    </w:p>
    <w:p w14:paraId="0BF857A3" w14:textId="77777777" w:rsidR="09C9DDE0" w:rsidRPr="001F5DE8" w:rsidRDefault="1407F42F" w:rsidP="005E5908">
      <w:pPr>
        <w:pStyle w:val="ListNumber2"/>
        <w:rPr>
          <w:rFonts w:eastAsiaTheme="minorEastAsia"/>
          <w:noProof/>
          <w:szCs w:val="24"/>
        </w:rPr>
      </w:pPr>
      <w:r w:rsidRPr="001F5DE8">
        <w:rPr>
          <w:noProof/>
        </w:rPr>
        <w:t>Δεδομένα σχετικά με τις εκτιμήσεις περιβαλλοντικού κινδύνου, που καταρτίζονται σύμφωνα με τον κανονισμό (ΕΕ) 2019/6 του Ευρωπαϊκού Κοινοβουλίου και του Συμβουλίου</w:t>
      </w:r>
      <w:r w:rsidR="00521270" w:rsidRPr="001F5DE8">
        <w:rPr>
          <w:rStyle w:val="FootnoteReference"/>
          <w:rFonts w:eastAsiaTheme="minorEastAsia"/>
          <w:noProof/>
          <w:szCs w:val="24"/>
          <w:lang w:eastAsia="en-IE"/>
        </w:rPr>
        <w:footnoteReference w:id="4"/>
      </w:r>
      <w:r w:rsidRPr="001F5DE8">
        <w:rPr>
          <w:noProof/>
        </w:rPr>
        <w:t>· και</w:t>
      </w:r>
    </w:p>
    <w:p w14:paraId="5146BF36" w14:textId="77777777" w:rsidR="09C9DDE0" w:rsidRPr="001F5DE8" w:rsidRDefault="09C9DDE0" w:rsidP="005E5908">
      <w:pPr>
        <w:pStyle w:val="ListNumber2"/>
        <w:rPr>
          <w:rFonts w:eastAsiaTheme="minorEastAsia"/>
          <w:noProof/>
          <w:szCs w:val="24"/>
        </w:rPr>
      </w:pPr>
      <w:r w:rsidRPr="001F5DE8">
        <w:rPr>
          <w:noProof/>
        </w:rPr>
        <w:t>Δεδομένα σχετικά με τα ανώτατα όρια καταλοίπων, που συγκεντρώνονται σύμφωνα με τον κανονισμό (ΕΚ) αριθ. 470/2009 του Ευρωπαϊκού Κοινοβουλίου και του Συμβουλίου</w:t>
      </w:r>
      <w:r w:rsidR="00521270" w:rsidRPr="001F5DE8">
        <w:rPr>
          <w:rStyle w:val="FootnoteReference"/>
          <w:rFonts w:eastAsiaTheme="minorEastAsia"/>
          <w:noProof/>
          <w:szCs w:val="24"/>
          <w:lang w:eastAsia="en-IE"/>
        </w:rPr>
        <w:footnoteReference w:id="5"/>
      </w:r>
      <w:r w:rsidRPr="001F5DE8">
        <w:rPr>
          <w:noProof/>
        </w:rPr>
        <w:t>·</w:t>
      </w:r>
    </w:p>
    <w:p w14:paraId="222260E5" w14:textId="77777777" w:rsidR="09C9DDE0" w:rsidRPr="001F5DE8" w:rsidRDefault="09C9DDE0" w:rsidP="01C23B02">
      <w:pPr>
        <w:rPr>
          <w:noProof/>
        </w:rPr>
      </w:pPr>
      <w:r w:rsidRPr="001F5DE8">
        <w:rPr>
          <w:noProof/>
        </w:rPr>
        <w:t>Τα δεδομένα αυτά περιορίζονται στα δεδομένα που υποβάλλονται στον EMA στο πλαίσιο των σχετικών διαδικασιών που ολοκληρώνονται μετά την έναρξη ισχύος του παρόντος κανονισμού. Κατά περίπτωση, τα δεδομένα που τηρεί ο EMA και προκύπτουν από διαδικασίες που ολοκληρώθηκαν πριν από την έναρξη ισχύος του παρόντος κανονισμού μπορούν ενδεχομένως να συμπεριληφθούν και αυτά στην κοινή πλατφόρμα δεδομένων.</w:t>
      </w:r>
    </w:p>
    <w:p w14:paraId="1BEC08B6" w14:textId="77777777" w:rsidR="09C9DDE0" w:rsidRPr="001F5DE8" w:rsidRDefault="09C9DDE0" w:rsidP="01C23B02">
      <w:pPr>
        <w:rPr>
          <w:noProof/>
        </w:rPr>
      </w:pPr>
      <w:r w:rsidRPr="001F5DE8">
        <w:rPr>
          <w:noProof/>
        </w:rPr>
        <w:br/>
      </w:r>
      <w:bookmarkStart w:id="2" w:name="_Hlk149640106"/>
      <w:r w:rsidRPr="001F5DE8">
        <w:rPr>
          <w:b/>
          <w:noProof/>
        </w:rPr>
        <w:t>Μέρος 2</w:t>
      </w:r>
      <w:r w:rsidRPr="001F5DE8">
        <w:rPr>
          <w:noProof/>
        </w:rPr>
        <w:t xml:space="preserve"> – Τιμές αναφοράς που πρέπει να περιλαμβάνονται στο αποθετήριο τιμών αναφοράς σύμφωνα με το άρθρο 8 παράγραφος 3</w:t>
      </w:r>
    </w:p>
    <w:p w14:paraId="4916E796" w14:textId="77777777" w:rsidR="09C9DDE0" w:rsidRPr="001F5DE8" w:rsidRDefault="09C9DDE0" w:rsidP="00DB1C4C">
      <w:pPr>
        <w:pStyle w:val="ListNumber2"/>
        <w:numPr>
          <w:ilvl w:val="0"/>
          <w:numId w:val="9"/>
        </w:numPr>
        <w:rPr>
          <w:rFonts w:eastAsia="Calibri"/>
          <w:noProof/>
        </w:rPr>
      </w:pPr>
      <w:r w:rsidRPr="001F5DE8">
        <w:rPr>
          <w:noProof/>
        </w:rPr>
        <w:t>Προβλεπόμενες συγκεντρώσεις χωρίς επιπτώσεις που προκύπτουν στο πλαίσιο της εκτίμησης περιβαλλοντικού κινδύνου βάσει της οδηγίας 2001/83/ΕΚ του Ευρωπαϊκού Κοινοβουλίου και του Συμβουλίου, του κανονισμού (ΕΚ) αριθ. 726/2004 του Ευρωπαϊκού Κοινοβουλίου και του Συμβουλίου και του κανονισμού (ΕΕ) 2019/6 του Ευρωπαϊκού Κοινοβουλίου και του Συμβουλίου.</w:t>
      </w:r>
    </w:p>
    <w:p w14:paraId="0EBF4B8C" w14:textId="77777777" w:rsidR="09C9DDE0" w:rsidRPr="001F5DE8" w:rsidRDefault="09C9DDE0" w:rsidP="45C3C64D">
      <w:pPr>
        <w:rPr>
          <w:rFonts w:eastAsia="Times New Roman"/>
          <w:noProof/>
          <w:color w:val="000000" w:themeColor="text1"/>
        </w:rPr>
      </w:pPr>
      <w:r w:rsidRPr="001F5DE8">
        <w:rPr>
          <w:noProof/>
        </w:rPr>
        <w:t>Τα δεδομένα αυτά περιορίζονται στα δεδομένα που υποβάλλονται στον EMA στο πλαίσιο των σχετικών διαδικασιών που ολοκληρώνονται μετά την έναρξη ισχύος του παρόντος κανονισμού. Κατά περίπτωση, τα δεδομένα που τηρεί ο EMA και προκύπτουν από διαδικασίες που ολοκληρώθηκαν πριν από την ημερομηνία έναρξης ισχύος του παρόντος κανονισμού συμπεριλαμβάνονται ενδεχομένως και αυτά στην κοινή πλατφόρμα δεδομένων.</w:t>
      </w:r>
      <w:r w:rsidRPr="001F5DE8">
        <w:rPr>
          <w:noProof/>
        </w:rPr>
        <w:br/>
      </w:r>
    </w:p>
    <w:bookmarkEnd w:id="2"/>
    <w:p w14:paraId="5BC1FC78" w14:textId="77777777" w:rsidR="01C23B02" w:rsidRPr="001F5DE8" w:rsidRDefault="01C23B02" w:rsidP="01C23B02">
      <w:pPr>
        <w:rPr>
          <w:noProof/>
        </w:rPr>
        <w:sectPr w:rsidR="01C23B02" w:rsidRPr="001F5DE8" w:rsidSect="00022660">
          <w:pgSz w:w="11907" w:h="16839"/>
          <w:pgMar w:top="1134" w:right="1417" w:bottom="1134" w:left="1417" w:header="709" w:footer="709" w:gutter="0"/>
          <w:cols w:space="720"/>
          <w:docGrid w:linePitch="360"/>
        </w:sectPr>
      </w:pPr>
    </w:p>
    <w:p w14:paraId="3BFF73CA" w14:textId="77777777" w:rsidR="00D429B9" w:rsidRPr="001F5DE8" w:rsidRDefault="10223B2A" w:rsidP="00D429B9">
      <w:pPr>
        <w:pStyle w:val="Annexetitre"/>
        <w:rPr>
          <w:rStyle w:val="Marker"/>
          <w:noProof/>
        </w:rPr>
      </w:pPr>
      <w:r w:rsidRPr="001F5DE8">
        <w:rPr>
          <w:noProof/>
        </w:rPr>
        <w:t>ΠΑΡΑΡΤΗΜΑ III</w:t>
      </w:r>
    </w:p>
    <w:p w14:paraId="5209F14F" w14:textId="77777777" w:rsidR="00D429B9" w:rsidRPr="001F5DE8" w:rsidRDefault="19A3894E" w:rsidP="01C23B02">
      <w:pPr>
        <w:pStyle w:val="ManualHeading1"/>
        <w:jc w:val="center"/>
        <w:rPr>
          <w:noProof/>
        </w:rPr>
      </w:pPr>
      <w:r w:rsidRPr="001F5DE8">
        <w:rPr>
          <w:noProof/>
        </w:rPr>
        <w:t>Ενωσιακές νομοθετικές πράξεις που αναφέρονται στα άρθρα 2, 10 και 23</w:t>
      </w:r>
    </w:p>
    <w:p w14:paraId="627B573D" w14:textId="77777777" w:rsidR="00EF4BF1" w:rsidRPr="001F5DE8" w:rsidRDefault="00EF4BF1" w:rsidP="00EF4BF1">
      <w:pPr>
        <w:pStyle w:val="Text1"/>
        <w:rPr>
          <w:noProof/>
        </w:rPr>
      </w:pPr>
    </w:p>
    <w:p w14:paraId="30CE9C72" w14:textId="3D0F5CC2" w:rsidR="00EF4BF1" w:rsidRPr="001F5DE8" w:rsidRDefault="00122056" w:rsidP="00EF4BF1">
      <w:pPr>
        <w:pStyle w:val="Text1"/>
        <w:rPr>
          <w:noProof/>
          <w:sz w:val="22"/>
        </w:rPr>
      </w:pPr>
      <w:r w:rsidRPr="001F5DE8">
        <w:rPr>
          <w:noProof/>
        </w:rPr>
        <w:t xml:space="preserve">Η αναφορά σε κάθε ενωσιακή νομοθετική πράξη που παρατίθεται εδώ θα πρέπει να νοείται και ως αναφορά σε όλες τις εκτελεστικές και κατ’ εξουσιοδότηση πράξεις που εκδίδονται δυνάμει της εν λόγω ενωσιακής πράξης, κατά περίπτωση. </w:t>
      </w:r>
    </w:p>
    <w:p w14:paraId="0154A0BA" w14:textId="77777777" w:rsidR="00EF4BF1" w:rsidRPr="001F5DE8" w:rsidRDefault="00EF4BF1" w:rsidP="00EF4BF1">
      <w:pPr>
        <w:pStyle w:val="Text1"/>
        <w:rPr>
          <w:noProof/>
        </w:rPr>
      </w:pPr>
    </w:p>
    <w:p w14:paraId="26A6B4D9" w14:textId="77777777" w:rsidR="00594DF6" w:rsidRPr="001F5DE8" w:rsidRDefault="003A45AA" w:rsidP="00DB1C4C">
      <w:pPr>
        <w:pStyle w:val="ListNumber"/>
        <w:numPr>
          <w:ilvl w:val="0"/>
          <w:numId w:val="7"/>
        </w:numPr>
        <w:rPr>
          <w:rFonts w:eastAsia="Times New Roman"/>
          <w:noProof/>
          <w:szCs w:val="24"/>
        </w:rPr>
      </w:pPr>
      <w:hyperlink r:id="rId91">
        <w:r w:rsidR="001F5DE8" w:rsidRPr="001F5DE8">
          <w:rPr>
            <w:rStyle w:val="Hyperlink"/>
            <w:noProof/>
          </w:rPr>
          <w:t>Κανονισμός (ΕΟΚ) αριθ. 315/93 του Συμβουλίου</w:t>
        </w:r>
      </w:hyperlink>
      <w:r w:rsidR="001F5DE8" w:rsidRPr="001F5DE8">
        <w:rPr>
          <w:noProof/>
        </w:rPr>
        <w:t>, της 8ης Φεβρουαρίου 1993, για τη θέσπιση κοινοτικών διαδικασιών για τις προσμείξεις των τροφίμων (ΕΕ L 037 της 13.2.1993, σ. 1).</w:t>
      </w:r>
    </w:p>
    <w:p w14:paraId="6474A1ED" w14:textId="77777777" w:rsidR="005C5C82" w:rsidRPr="001F5DE8" w:rsidRDefault="003A45AA" w:rsidP="00DB1C4C">
      <w:pPr>
        <w:pStyle w:val="ListNumber"/>
        <w:numPr>
          <w:ilvl w:val="0"/>
          <w:numId w:val="7"/>
        </w:numPr>
        <w:rPr>
          <w:rFonts w:eastAsia="Times New Roman"/>
          <w:noProof/>
        </w:rPr>
      </w:pPr>
      <w:hyperlink r:id="rId92" w:history="1">
        <w:r w:rsidR="001F5DE8" w:rsidRPr="001F5DE8">
          <w:rPr>
            <w:rStyle w:val="Hyperlink"/>
            <w:noProof/>
          </w:rPr>
          <w:t>Οδηγία 94/62/ΕΚ του Ευρωπαϊκού Κοινοβουλίου και του Συμβουλίου</w:t>
        </w:r>
      </w:hyperlink>
      <w:r w:rsidR="001F5DE8" w:rsidRPr="001F5DE8">
        <w:rPr>
          <w:noProof/>
        </w:rPr>
        <w:t>, της 20ής Δεκεμβρίου 1994, για τις συσκευασίες και τα απορρίμματα συσκευασίας.</w:t>
      </w:r>
    </w:p>
    <w:p w14:paraId="6974F62C" w14:textId="77777777" w:rsidR="00594DF6" w:rsidRPr="001F5DE8" w:rsidRDefault="003A45AA" w:rsidP="00594DF6">
      <w:pPr>
        <w:pStyle w:val="ListNumber"/>
        <w:rPr>
          <w:noProof/>
        </w:rPr>
      </w:pPr>
      <w:hyperlink r:id="rId93">
        <w:r w:rsidR="001F5DE8" w:rsidRPr="001F5DE8">
          <w:rPr>
            <w:rStyle w:val="Hyperlink"/>
            <w:noProof/>
          </w:rPr>
          <w:t>Οδηγία 2004/37/ΕΚ</w:t>
        </w:r>
      </w:hyperlink>
      <w:r w:rsidR="001F5DE8" w:rsidRPr="001F5DE8">
        <w:rPr>
          <w:noProof/>
        </w:rPr>
        <w:t xml:space="preserve"> του Ευρωπαϊκού Κοινοβουλίου και του Συμβουλίου, της 29ης Απριλίου 2004, σχετικά με την προστασία των εργαζομένων από τους κινδύνους που συνδέονται με την έκθεση σε καρκινογόνους ή μεταλλαξιογόνους παράγοντες κατά την εργασία (έκτη ειδική οδηγία κατά την έννοια του άρθρου 16 παράγραφος 1 της οδηγίας 89/391/ΕΟΚ του Συμβουλίου) (ΕΕ L 158 της 30.4.2004, σ. 50).</w:t>
      </w:r>
    </w:p>
    <w:p w14:paraId="4714DBE3" w14:textId="77777777" w:rsidR="00594DF6" w:rsidRPr="001F5DE8" w:rsidRDefault="003A45AA" w:rsidP="00594DF6">
      <w:pPr>
        <w:pStyle w:val="ListNumber"/>
        <w:rPr>
          <w:rFonts w:eastAsia="Times New Roman"/>
          <w:noProof/>
        </w:rPr>
      </w:pPr>
      <w:hyperlink r:id="rId94">
        <w:r w:rsidR="001F5DE8" w:rsidRPr="001F5DE8">
          <w:rPr>
            <w:rStyle w:val="Hyperlink"/>
            <w:noProof/>
          </w:rPr>
          <w:t>Οδηγία 98/24/ΕΚ του Συμβουλίου</w:t>
        </w:r>
      </w:hyperlink>
      <w:r w:rsidR="001F5DE8" w:rsidRPr="001F5DE8">
        <w:rPr>
          <w:noProof/>
        </w:rPr>
        <w:t>, της 7ης Απριλίου 1998, για την προστασία της υγείας και ασφαλείας των εργαζομένων κατά την εργασία από κινδύνους οφειλομένους σε χημικούς παράγοντες (14η ειδική οδηγία κατά την έννοια του άρθρου 16 παράγραφος 1 της οδηγίας 89/391/ΕΟΚ) (ΕΕ L 131 της 5.5.1998, σ. 11).</w:t>
      </w:r>
    </w:p>
    <w:p w14:paraId="06446E82" w14:textId="77777777" w:rsidR="00594DF6" w:rsidRPr="001F5DE8" w:rsidRDefault="003A45AA" w:rsidP="00594DF6">
      <w:pPr>
        <w:pStyle w:val="ListNumber"/>
        <w:rPr>
          <w:rFonts w:eastAsia="Times New Roman"/>
          <w:noProof/>
        </w:rPr>
      </w:pPr>
      <w:hyperlink r:id="rId95">
        <w:r w:rsidR="001F5DE8" w:rsidRPr="001F5DE8">
          <w:rPr>
            <w:rStyle w:val="Hyperlink"/>
            <w:noProof/>
          </w:rPr>
          <w:t>Οδηγία 2000/53/ΕΚ</w:t>
        </w:r>
      </w:hyperlink>
      <w:r w:rsidR="001F5DE8" w:rsidRPr="001F5DE8">
        <w:rPr>
          <w:noProof/>
        </w:rPr>
        <w:t xml:space="preserve"> του Ευρωπαϊκού Κοινοβουλίου και του Συμβουλίου, της 18ης Σεπτεμβρίου 2000, για τα οχήματα στο τέλος του κύκλου ζωής τους (ΕΕ L 269 της 21.10.2000, σ. 34).</w:t>
      </w:r>
    </w:p>
    <w:p w14:paraId="0A5018F1" w14:textId="77777777" w:rsidR="00594DF6" w:rsidRPr="001F5DE8" w:rsidRDefault="003A45AA" w:rsidP="00594DF6">
      <w:pPr>
        <w:pStyle w:val="ListNumber"/>
        <w:rPr>
          <w:rFonts w:eastAsia="Times New Roman"/>
          <w:noProof/>
        </w:rPr>
      </w:pPr>
      <w:hyperlink r:id="rId96">
        <w:r w:rsidR="001F5DE8" w:rsidRPr="001F5DE8">
          <w:rPr>
            <w:rStyle w:val="Hyperlink"/>
            <w:noProof/>
          </w:rPr>
          <w:t>Κανονισμός (ΕΚ) αριθ. 178/2002</w:t>
        </w:r>
      </w:hyperlink>
      <w:r w:rsidR="001F5DE8" w:rsidRPr="001F5DE8">
        <w:rPr>
          <w:noProof/>
        </w:rPr>
        <w:t xml:space="preserve"> του Ευρωπαϊκού Κοινοβουλίου και του Συμβουλίου, της 28ης Ιανουαρίου 2002, για τον καθορισμό των γενικών αρχών και απαιτήσεων της νομοθεσίας για τα τρόφιμα, για την ίδρυση της Ευρωπαϊκής Αρχής για την Ασφάλεια των Τροφίμων και τον καθορισμό διαδικασιών σε θέματα ασφαλείας των τροφίμων (ΕΕ L 031 της 1.2.2002, σ. 1).</w:t>
      </w:r>
    </w:p>
    <w:p w14:paraId="3DD9935E" w14:textId="77777777" w:rsidR="00594DF6" w:rsidRPr="001F5DE8" w:rsidRDefault="003A45AA" w:rsidP="00594DF6">
      <w:pPr>
        <w:pStyle w:val="ListNumber"/>
        <w:rPr>
          <w:rFonts w:eastAsia="Times New Roman"/>
          <w:noProof/>
        </w:rPr>
      </w:pPr>
      <w:hyperlink r:id="rId97">
        <w:r w:rsidR="001F5DE8" w:rsidRPr="001F5DE8">
          <w:rPr>
            <w:rStyle w:val="Hyperlink"/>
            <w:noProof/>
          </w:rPr>
          <w:t>Οδηγία 2002/32/ΕΚ</w:t>
        </w:r>
      </w:hyperlink>
      <w:r w:rsidR="001F5DE8" w:rsidRPr="001F5DE8">
        <w:rPr>
          <w:noProof/>
        </w:rPr>
        <w:t xml:space="preserve"> του Ευρωπαϊκού Κοινοβουλίου και του Συμβουλίου, της 7ης Μαΐου 2002, σχετικά με τις ανεπιθύμητες ουσίες στις ζωοτροφές (ΕΕ L 140 της 30.5.2002, σ. 10).</w:t>
      </w:r>
    </w:p>
    <w:p w14:paraId="5EF7515E" w14:textId="77777777" w:rsidR="00594DF6" w:rsidRPr="001F5DE8" w:rsidRDefault="003A45AA" w:rsidP="00594DF6">
      <w:pPr>
        <w:pStyle w:val="ListNumber"/>
        <w:rPr>
          <w:rFonts w:eastAsia="Times New Roman"/>
          <w:noProof/>
        </w:rPr>
      </w:pPr>
      <w:hyperlink r:id="rId98">
        <w:r w:rsidR="001F5DE8" w:rsidRPr="001F5DE8">
          <w:rPr>
            <w:rStyle w:val="Hyperlink"/>
            <w:noProof/>
          </w:rPr>
          <w:t>Κανονισμός (ΕΚ) αριθ. 1831/2003</w:t>
        </w:r>
      </w:hyperlink>
      <w:r w:rsidR="001F5DE8" w:rsidRPr="001F5DE8">
        <w:rPr>
          <w:noProof/>
        </w:rPr>
        <w:t xml:space="preserve"> του Ευρωπαϊκού Κοινοβουλίου και του Συμβουλίου, της 22ας Σεπτεμβρίου 2003, για τις πρόσθετες ύλες που χρησιμοποιούνται στη διατροφή των ζώων (ΕΕ L 268 της 18.10.2003, σ. 29).</w:t>
      </w:r>
    </w:p>
    <w:p w14:paraId="50F96348" w14:textId="77777777" w:rsidR="00594DF6" w:rsidRPr="001F5DE8" w:rsidRDefault="003A45AA" w:rsidP="00594DF6">
      <w:pPr>
        <w:pStyle w:val="ListNumber"/>
        <w:rPr>
          <w:rFonts w:eastAsia="Times New Roman"/>
          <w:noProof/>
        </w:rPr>
      </w:pPr>
      <w:hyperlink r:id="rId99">
        <w:r w:rsidR="001F5DE8" w:rsidRPr="001F5DE8">
          <w:rPr>
            <w:rStyle w:val="Hyperlink"/>
            <w:noProof/>
          </w:rPr>
          <w:t>Κανονισμός (ΕΚ) αριθ. 1935/2004</w:t>
        </w:r>
      </w:hyperlink>
      <w:r w:rsidR="001F5DE8" w:rsidRPr="001F5DE8">
        <w:rPr>
          <w:noProof/>
        </w:rPr>
        <w:t xml:space="preserve"> του Ευρωπαϊκού Κοινοβουλίου και του Συμβουλίου, της 27ης Οκτωβρίου 2004, σχετικά με τα υλικά και αντικείμενα που προορίζονται να έρθουν σε επαφή με τρόφιμα και με την κατάργηση των οδηγιών 80/590/ΕΟΚ και 89/109/ΕΟΚ (ΕΕ L 338 της 13.11.2004, σ. 4).</w:t>
      </w:r>
    </w:p>
    <w:p w14:paraId="0A629CB9" w14:textId="77777777" w:rsidR="00594DF6" w:rsidRPr="001F5DE8" w:rsidRDefault="003A45AA" w:rsidP="00594DF6">
      <w:pPr>
        <w:pStyle w:val="ListNumber"/>
        <w:rPr>
          <w:rFonts w:eastAsia="Times New Roman"/>
          <w:noProof/>
        </w:rPr>
      </w:pPr>
      <w:hyperlink r:id="rId100">
        <w:r w:rsidR="001F5DE8" w:rsidRPr="001F5DE8">
          <w:rPr>
            <w:rStyle w:val="Hyperlink"/>
            <w:noProof/>
          </w:rPr>
          <w:t>Οδηγία 2004/107/ΕΚ</w:t>
        </w:r>
      </w:hyperlink>
      <w:r w:rsidR="001F5DE8" w:rsidRPr="001F5DE8">
        <w:rPr>
          <w:noProof/>
        </w:rPr>
        <w:t xml:space="preserve"> του Ευρωπαϊκού Κοινοβουλίου και του Συμβουλίου, της 15ης Δεκεμβρίου 2004, σχετικά με το αρσενικό, το κάδμιο, τον υδράργυρο, το νικέλιο και τους πολυκυκλικούς αρωματικούς υδρογονάνθρακες στον ατμοσφαιρικό αέρα (ΕΕ L 023 της 26.1.2005, σ. 3).</w:t>
      </w:r>
    </w:p>
    <w:p w14:paraId="04231757" w14:textId="77777777" w:rsidR="00594DF6" w:rsidRPr="001F5DE8" w:rsidRDefault="003A45AA" w:rsidP="00594DF6">
      <w:pPr>
        <w:pStyle w:val="ListNumber"/>
        <w:rPr>
          <w:rFonts w:eastAsia="Times New Roman"/>
          <w:noProof/>
        </w:rPr>
      </w:pPr>
      <w:hyperlink r:id="rId101">
        <w:r w:rsidR="001F5DE8" w:rsidRPr="001F5DE8">
          <w:rPr>
            <w:rStyle w:val="Hyperlink"/>
            <w:noProof/>
          </w:rPr>
          <w:t>Κανονισμός (ΕΚ) αριθ. 396/2005</w:t>
        </w:r>
      </w:hyperlink>
      <w:r w:rsidR="001F5DE8" w:rsidRPr="001F5DE8">
        <w:rPr>
          <w:noProof/>
        </w:rPr>
        <w:t xml:space="preserve"> του Ευρωπαϊκού Κοινοβουλίου και του Συμβουλίου, της 23ης Φεβρουαρίου 2005, για τα ανώτατα όρια καταλοίπων φυτοφαρμάκων μέσα ή πάνω στα τρόφιμα και τις ζωοτροφές φυτικής και ζωικής προέλευσης και για την τροποποίηση της οδηγίας 91/414/ΕΟΚ του Συμβουλίου (ΕΕ L 70 της 16.3.2005, σ. 1).</w:t>
      </w:r>
    </w:p>
    <w:p w14:paraId="51430593" w14:textId="77777777" w:rsidR="00594DF6" w:rsidRPr="001F5DE8" w:rsidRDefault="003A45AA" w:rsidP="00594DF6">
      <w:pPr>
        <w:pStyle w:val="ListNumber"/>
        <w:rPr>
          <w:rFonts w:eastAsia="Times New Roman"/>
          <w:noProof/>
        </w:rPr>
      </w:pPr>
      <w:hyperlink r:id="rId102">
        <w:r w:rsidR="001F5DE8" w:rsidRPr="001F5DE8">
          <w:rPr>
            <w:rStyle w:val="Hyperlink"/>
            <w:noProof/>
          </w:rPr>
          <w:t>Οδηγία 2006/118/ΕΚ</w:t>
        </w:r>
      </w:hyperlink>
      <w:r w:rsidR="001F5DE8" w:rsidRPr="001F5DE8">
        <w:rPr>
          <w:noProof/>
        </w:rPr>
        <w:t xml:space="preserve"> του Ευρωπαϊκού Κοινοβουλίου και του Συμβουλίου, της 12ης Δεκεμβρίου 2006, σχετικά με την προστασία των υπόγειων υδάτων από τη ρύπανση και την υποβάθμιση (ΕΕ L 372 της 27.12.2006, σ. 19).</w:t>
      </w:r>
    </w:p>
    <w:p w14:paraId="1339AF3F" w14:textId="77777777" w:rsidR="00594DF6" w:rsidRPr="001F5DE8" w:rsidRDefault="003A45AA" w:rsidP="00594DF6">
      <w:pPr>
        <w:pStyle w:val="ListNumber"/>
        <w:tabs>
          <w:tab w:val="num" w:pos="284"/>
        </w:tabs>
        <w:rPr>
          <w:noProof/>
        </w:rPr>
      </w:pPr>
      <w:hyperlink r:id="rId103">
        <w:r w:rsidR="001F5DE8" w:rsidRPr="001F5DE8">
          <w:rPr>
            <w:rStyle w:val="Hyperlink"/>
            <w:noProof/>
          </w:rPr>
          <w:t>Κανονισμός (ΕΚ) αριθ. 1907/2006</w:t>
        </w:r>
      </w:hyperlink>
      <w:r w:rsidR="001F5DE8" w:rsidRPr="001F5DE8">
        <w:rPr>
          <w:noProof/>
        </w:rPr>
        <w:t xml:space="preserve">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(ΕΕ L 396 της 30.12.2006, σ. 1).</w:t>
      </w:r>
    </w:p>
    <w:p w14:paraId="2704CB5F" w14:textId="77777777" w:rsidR="00AC24D2" w:rsidRPr="001F5DE8" w:rsidRDefault="003A45AA" w:rsidP="00231385">
      <w:pPr>
        <w:pStyle w:val="ListNumber"/>
        <w:rPr>
          <w:rFonts w:eastAsia="Times New Roman"/>
          <w:noProof/>
        </w:rPr>
      </w:pPr>
      <w:hyperlink r:id="rId104" w:history="1">
        <w:r w:rsidR="001F5DE8" w:rsidRPr="001F5DE8">
          <w:rPr>
            <w:rStyle w:val="Hyperlink"/>
            <w:noProof/>
          </w:rPr>
          <w:t>Οδηγία 2012/19/ΕΕ</w:t>
        </w:r>
      </w:hyperlink>
      <w:r w:rsidR="001F5DE8" w:rsidRPr="001F5DE8">
        <w:rPr>
          <w:noProof/>
        </w:rPr>
        <w:t xml:space="preserve"> του Ευρωπαϊκού Κοινοβουλίου και του Συμβουλίου, της 4ης Ιουλίου 2012, σχετικά με τα απόβλητα ηλεκτρικού και ηλεκτρονικού εξοπλισμού (ΑΗΗΕ) (EE L 197 της 24.7.2012, σ. 38).</w:t>
      </w:r>
    </w:p>
    <w:p w14:paraId="7DFAB9EC" w14:textId="77777777" w:rsidR="00594DF6" w:rsidRPr="001F5DE8" w:rsidRDefault="003A45AA" w:rsidP="00594DF6">
      <w:pPr>
        <w:pStyle w:val="ListNumber"/>
        <w:rPr>
          <w:rFonts w:eastAsia="Times New Roman"/>
          <w:noProof/>
        </w:rPr>
      </w:pPr>
      <w:hyperlink r:id="rId105">
        <w:r w:rsidR="001F5DE8" w:rsidRPr="001F5DE8">
          <w:rPr>
            <w:rStyle w:val="Hyperlink"/>
            <w:noProof/>
          </w:rPr>
          <w:t>Οδηγία 2008/105/ΕΚ</w:t>
        </w:r>
      </w:hyperlink>
      <w:r w:rsidR="001F5DE8" w:rsidRPr="001F5DE8">
        <w:rPr>
          <w:noProof/>
        </w:rPr>
        <w:t xml:space="preserve"> του Ευρωπαϊκού Κοινοβουλίου και του Συμβουλίου, της 16ης Δεκεμβρίου 2008, σχετικά με πρότυπα ποιότητας περιβάλλοντος στον τομέα της πολιτικής των υδάτων καθώς και σχετικά με την τροποποίηση και τη συνακόλουθη κατάργηση των οδηγιών του Συμβουλίου 82/176/ΕΟΚ, 83/513/ΕΟΚ, 84/156/ΕΟΚ, 84/491/ΕΟΚ και 86/280/ΕΟΚ και την τροποποίηση της οδηγίας 2000/60/ΕΚ του Ευρωπαϊκού Κοινοβουλίου και του Συμβουλίου (ΕΕ L 348 της 24.12.2008, σ. 84).</w:t>
      </w:r>
    </w:p>
    <w:p w14:paraId="16BB9EB4" w14:textId="77777777" w:rsidR="00594DF6" w:rsidRPr="001F5DE8" w:rsidRDefault="003A45AA" w:rsidP="00594DF6">
      <w:pPr>
        <w:pStyle w:val="ListNumber"/>
        <w:rPr>
          <w:rFonts w:eastAsia="Times New Roman"/>
          <w:noProof/>
        </w:rPr>
      </w:pPr>
      <w:hyperlink r:id="rId106">
        <w:r w:rsidR="001F5DE8" w:rsidRPr="001F5DE8">
          <w:rPr>
            <w:rStyle w:val="Hyperlink"/>
            <w:noProof/>
          </w:rPr>
          <w:t>Κανονισμός (ΕΚ) αριθ. 1272/2008</w:t>
        </w:r>
      </w:hyperlink>
      <w:r w:rsidR="001F5DE8" w:rsidRPr="001F5DE8">
        <w:rPr>
          <w:noProof/>
        </w:rPr>
        <w:t xml:space="preserve">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 1907/2006 (ΕΕ L 353 της 31.12.2008, σ. 1).</w:t>
      </w:r>
    </w:p>
    <w:p w14:paraId="36C41E8E" w14:textId="77777777" w:rsidR="00594DF6" w:rsidRPr="001F5DE8" w:rsidRDefault="003A45AA" w:rsidP="00594DF6">
      <w:pPr>
        <w:pStyle w:val="ListNumber"/>
        <w:rPr>
          <w:rFonts w:eastAsia="Times New Roman"/>
          <w:noProof/>
        </w:rPr>
      </w:pPr>
      <w:hyperlink r:id="rId107">
        <w:r w:rsidR="001F5DE8" w:rsidRPr="001F5DE8">
          <w:rPr>
            <w:rStyle w:val="Hyperlink"/>
            <w:noProof/>
          </w:rPr>
          <w:t>Κανονισμός (ΕΚ) αριθ. 1331/2008</w:t>
        </w:r>
      </w:hyperlink>
      <w:r w:rsidR="001F5DE8" w:rsidRPr="001F5DE8">
        <w:rPr>
          <w:noProof/>
        </w:rPr>
        <w:t xml:space="preserve"> του Ευρωπαϊκού Κοινοβουλίου και του Συμβουλίου, της 16ης Δεκεμβρίου 2008, για τη θέσπιση ενιαίας διαδικασίας έγκρισης για τα πρόσθετα τροφίμων, τα ένζυμα τροφίμων και τις αρωματικές ύλες τροφίμων (ΕΕ L 354 της 31.12.2008, σ. 1).</w:t>
      </w:r>
    </w:p>
    <w:p w14:paraId="1CD50C26" w14:textId="77777777" w:rsidR="00594DF6" w:rsidRPr="001F5DE8" w:rsidRDefault="003A45AA" w:rsidP="00594DF6">
      <w:pPr>
        <w:pStyle w:val="ListNumber"/>
        <w:rPr>
          <w:rFonts w:eastAsia="Times New Roman"/>
          <w:noProof/>
        </w:rPr>
      </w:pPr>
      <w:hyperlink r:id="rId108">
        <w:r w:rsidR="001F5DE8" w:rsidRPr="001F5DE8">
          <w:rPr>
            <w:rStyle w:val="Hyperlink"/>
            <w:noProof/>
          </w:rPr>
          <w:t>Κανονισμός (ΕΚ) αριθ. 1332/2008</w:t>
        </w:r>
      </w:hyperlink>
      <w:r w:rsidR="001F5DE8" w:rsidRPr="001F5DE8">
        <w:rPr>
          <w:noProof/>
        </w:rPr>
        <w:t xml:space="preserve"> του Ευρωπαϊκού Κοινοβουλίου και του Συμβουλίου, της 16ης Δεκεμβρίου 2008, για τα ένζυμα τροφίμων και την τροποποίηση της οδηγίας 83/417/ΕΟΚ του Συμβουλίου, του κανονισμού (ΕΚ) αριθ. 1493/1999 του Συμβουλίου, της οδηγίας 2000/13/ΕΚ, της οδηγίας 2001/112/ΕΚ του Συμβουλίου και του κανονισμού (ΕΚ) αριθ. 258/97 (ΕΕ L 354 της 31.12.2008, σ. 7).</w:t>
      </w:r>
    </w:p>
    <w:p w14:paraId="343FCA1F" w14:textId="77777777" w:rsidR="00594DF6" w:rsidRPr="001F5DE8" w:rsidRDefault="003A45AA" w:rsidP="00594DF6">
      <w:pPr>
        <w:pStyle w:val="ListNumber"/>
        <w:rPr>
          <w:rFonts w:eastAsia="Times New Roman"/>
          <w:noProof/>
        </w:rPr>
      </w:pPr>
      <w:hyperlink r:id="rId109">
        <w:r w:rsidR="001F5DE8" w:rsidRPr="001F5DE8">
          <w:rPr>
            <w:rStyle w:val="Hyperlink"/>
            <w:noProof/>
          </w:rPr>
          <w:t>Κανονισμός (ΕΚ) αριθ. 1333/2008</w:t>
        </w:r>
      </w:hyperlink>
      <w:r w:rsidR="001F5DE8" w:rsidRPr="001F5DE8">
        <w:rPr>
          <w:noProof/>
        </w:rPr>
        <w:t xml:space="preserve"> του Ευρωπαϊκού Κοινοβουλίου και του Συμβουλίου, της 16ης Δεκεμβρίου 2008, που αφορά τα πρόσθετα τροφίμων (ΕΕ L 354 της 31.12.2008, σ. 16).</w:t>
      </w:r>
    </w:p>
    <w:p w14:paraId="0E39E992" w14:textId="77777777" w:rsidR="00594DF6" w:rsidRPr="001F5DE8" w:rsidRDefault="003A45AA" w:rsidP="00594DF6">
      <w:pPr>
        <w:pStyle w:val="ListNumber"/>
        <w:rPr>
          <w:rFonts w:eastAsia="Times New Roman"/>
          <w:noProof/>
        </w:rPr>
      </w:pPr>
      <w:hyperlink r:id="rId110">
        <w:r w:rsidR="001F5DE8" w:rsidRPr="001F5DE8">
          <w:rPr>
            <w:rStyle w:val="Hyperlink"/>
            <w:noProof/>
          </w:rPr>
          <w:t>Κανονισμός (ΕΚ) αριθ. 1334/2008</w:t>
        </w:r>
      </w:hyperlink>
      <w:r w:rsidR="001F5DE8" w:rsidRPr="001F5DE8">
        <w:rPr>
          <w:noProof/>
        </w:rPr>
        <w:t xml:space="preserve"> του Ευρωπαϊκού Κοινοβουλίου και του Συμβουλίου, της 16ης Δεκεμβρίου 2008, για αρωματικές ύλες και ορισμένα συστατικά τροφίμων με αρωματικές ιδιότητες που χρησιμοποιούνται εντός και επί των τροφίμων και για την τροποποίηση του κανονισμού (ΕΟΚ) αριθ. 1601/91 του Συμβουλίου, του κανονισμού (ΕΚ) αριθ. 2232/96, του κανονισμού (ΕΚ) αριθ. 110/2008 και της οδηγίας 2000/13/ΕΚ (ΕΕ L 354 της 31.12.2008, σ. 34).</w:t>
      </w:r>
    </w:p>
    <w:p w14:paraId="5EC24580" w14:textId="77777777" w:rsidR="00594DF6" w:rsidRPr="001F5DE8" w:rsidRDefault="003A45AA" w:rsidP="00594DF6">
      <w:pPr>
        <w:pStyle w:val="ListNumber"/>
        <w:rPr>
          <w:rFonts w:eastAsia="Times New Roman"/>
          <w:noProof/>
        </w:rPr>
      </w:pPr>
      <w:hyperlink r:id="rId111">
        <w:r w:rsidR="001F5DE8" w:rsidRPr="001F5DE8">
          <w:rPr>
            <w:rStyle w:val="Hyperlink"/>
            <w:noProof/>
          </w:rPr>
          <w:t>Κανονισμός (ΕΚ) αριθ. 1331/2008</w:t>
        </w:r>
      </w:hyperlink>
      <w:r w:rsidR="001F5DE8" w:rsidRPr="001F5DE8">
        <w:rPr>
          <w:noProof/>
        </w:rPr>
        <w:t xml:space="preserve"> του Ευρωπαϊκού Κοινοβουλίου και του Συμβουλίου, της 16ης Δεκεμβρίου 2008, για τη θέσπιση ενιαίας διαδικασίας έγκρισης για τα πρόσθετα τροφίμων, τα ένζυμα τροφίμων και τις αρωματικές ύλες τροφίμων (ΕΕ L 354 της 31.12.2008, σ. 1).</w:t>
      </w:r>
    </w:p>
    <w:p w14:paraId="5DF139EE" w14:textId="77777777" w:rsidR="00594DF6" w:rsidRPr="001F5DE8" w:rsidRDefault="003A45AA" w:rsidP="00594DF6">
      <w:pPr>
        <w:pStyle w:val="ListNumber"/>
        <w:rPr>
          <w:rFonts w:eastAsia="Times New Roman"/>
          <w:noProof/>
        </w:rPr>
      </w:pPr>
      <w:hyperlink r:id="rId112">
        <w:r w:rsidR="001F5DE8" w:rsidRPr="001F5DE8">
          <w:rPr>
            <w:rStyle w:val="Hyperlink"/>
            <w:noProof/>
          </w:rPr>
          <w:t>Οδηγία 2009/32/ΕΚ</w:t>
        </w:r>
      </w:hyperlink>
      <w:r w:rsidR="001F5DE8" w:rsidRPr="001F5DE8">
        <w:rPr>
          <w:noProof/>
        </w:rPr>
        <w:t xml:space="preserve"> του Ευρωπαϊκού Κοινοβουλίου και του Συμβουλίου, της 23ης Απριλίου 2009, για την προσέγγιση των νομοθεσιών των κρατών μελών που αφορούν τους διαλύτες εκχύλισης οι οποίοι χρησιμοποιούνται στην παρασκευή των τροφίμων και των συστατικών τους (ΕΕ L 141 της 6.6.2009, σ. 3).</w:t>
      </w:r>
    </w:p>
    <w:p w14:paraId="0A485806" w14:textId="77777777" w:rsidR="000E5BBF" w:rsidRPr="001F5DE8" w:rsidRDefault="003A45AA" w:rsidP="0024583E">
      <w:pPr>
        <w:pStyle w:val="ListNumber"/>
        <w:rPr>
          <w:rFonts w:eastAsia="Times New Roman"/>
          <w:noProof/>
        </w:rPr>
      </w:pPr>
      <w:hyperlink r:id="rId113" w:history="1">
        <w:r w:rsidR="001F5DE8" w:rsidRPr="001F5DE8">
          <w:rPr>
            <w:rStyle w:val="Hyperlink"/>
            <w:noProof/>
          </w:rPr>
          <w:t>Οδηγία 2009/125/ΕΚ</w:t>
        </w:r>
      </w:hyperlink>
      <w:r w:rsidR="001F5DE8" w:rsidRPr="001F5DE8">
        <w:rPr>
          <w:noProof/>
        </w:rPr>
        <w:t xml:space="preserve"> του Ευρωπαϊκού Κοινοβουλίου και του Συμβουλίου, της 21ης Οκτωβρίου 2009, για τη θέσπιση πλαισίου για τον καθορισμό απαιτήσεων οικολογικού σχεδιασμού όσον αφορά τα συνδεόμενα με την ενέργεια προϊόντα (ΕΕ L 285 της 31.10.2009, σ. 10).</w:t>
      </w:r>
    </w:p>
    <w:p w14:paraId="14659BA0" w14:textId="36F3C318" w:rsidR="00594DF6" w:rsidRPr="001F5DE8" w:rsidRDefault="003A45AA" w:rsidP="00594DF6">
      <w:pPr>
        <w:pStyle w:val="ListNumber"/>
        <w:rPr>
          <w:rFonts w:eastAsia="Times New Roman"/>
          <w:noProof/>
        </w:rPr>
      </w:pPr>
      <w:hyperlink r:id="rId114">
        <w:r w:rsidR="001F5DE8" w:rsidRPr="001F5DE8">
          <w:rPr>
            <w:rStyle w:val="Hyperlink"/>
            <w:noProof/>
          </w:rPr>
          <w:t>Οδηγία 2009/48/ΕΚ</w:t>
        </w:r>
      </w:hyperlink>
      <w:r w:rsidR="001F5DE8" w:rsidRPr="001F5DE8">
        <w:rPr>
          <w:noProof/>
        </w:rPr>
        <w:t xml:space="preserve"> του Ευρωπαϊκού Κοινοβουλίου και του Συμβουλίου, της 18ης Ιουνίου 2009, σχετικά με την ασφάλεια των παιχνιδιών (ΕΕ L 170 της 30.6.2009, σ.</w:t>
      </w:r>
      <w:r w:rsidR="00FB16A4">
        <w:rPr>
          <w:noProof/>
        </w:rPr>
        <w:t> </w:t>
      </w:r>
      <w:r w:rsidR="001F5DE8" w:rsidRPr="001F5DE8">
        <w:rPr>
          <w:noProof/>
        </w:rPr>
        <w:t>1).</w:t>
      </w:r>
    </w:p>
    <w:p w14:paraId="190FFA81" w14:textId="77777777" w:rsidR="1C8B2D55" w:rsidRPr="001F5DE8" w:rsidRDefault="003A45AA" w:rsidP="7557380A">
      <w:pPr>
        <w:pStyle w:val="ListNumber"/>
        <w:rPr>
          <w:rFonts w:eastAsia="Times New Roman"/>
          <w:noProof/>
        </w:rPr>
      </w:pPr>
      <w:hyperlink r:id="rId115" w:history="1">
        <w:r w:rsidR="001F5DE8" w:rsidRPr="001F5DE8">
          <w:rPr>
            <w:rStyle w:val="Hyperlink"/>
            <w:noProof/>
          </w:rPr>
          <w:t>Κανονισμός (ΕΚ) αριθ. 1005/2009</w:t>
        </w:r>
      </w:hyperlink>
      <w:r w:rsidR="001F5DE8" w:rsidRPr="001F5DE8">
        <w:rPr>
          <w:noProof/>
        </w:rPr>
        <w:t xml:space="preserve"> του Ευρωπαϊκού Κοινοβουλίου και του Συμβουλίου, της 16ης Σεπτεμβρίου 2009, για τις ουσίες που καταστρέφουν τη στιβάδα του όζοντος (ΕΕ L 286 της 31.10.2009, σ. 1).</w:t>
      </w:r>
    </w:p>
    <w:p w14:paraId="1509F53E" w14:textId="77777777" w:rsidR="00594DF6" w:rsidRPr="001F5DE8" w:rsidRDefault="003A45AA" w:rsidP="00594DF6">
      <w:pPr>
        <w:pStyle w:val="ListNumber"/>
        <w:rPr>
          <w:rFonts w:eastAsia="Times New Roman"/>
          <w:noProof/>
        </w:rPr>
      </w:pPr>
      <w:hyperlink r:id="rId116">
        <w:r w:rsidR="001F5DE8" w:rsidRPr="001F5DE8">
          <w:rPr>
            <w:rStyle w:val="Hyperlink"/>
            <w:noProof/>
          </w:rPr>
          <w:t>Κανονισμός (ΕΚ) αριθ. 1107/2009</w:t>
        </w:r>
      </w:hyperlink>
      <w:r w:rsidR="001F5DE8" w:rsidRPr="001F5DE8">
        <w:rPr>
          <w:noProof/>
        </w:rPr>
        <w:t xml:space="preserve"> του Ευρωπαϊκού Κοινοβουλίου και του Συμβουλίου, της 21ης Οκτωβρίου 2009, σχετικά με τη διάθεση φυτοπροστατευτικών προϊόντων στην αγορά και την κατάργηση των οδηγιών 79/117/ΕΟΚ και 91/414/ΕΟΚ του Συμβουλίου (ΕΕ L 309 της 24.11.2009, σ. 1).</w:t>
      </w:r>
    </w:p>
    <w:p w14:paraId="3A11FEDA" w14:textId="77777777" w:rsidR="00594DF6" w:rsidRPr="001F5DE8" w:rsidRDefault="003A45AA" w:rsidP="00594DF6">
      <w:pPr>
        <w:pStyle w:val="ListNumber"/>
        <w:rPr>
          <w:rFonts w:eastAsia="Times New Roman"/>
          <w:noProof/>
        </w:rPr>
      </w:pPr>
      <w:hyperlink r:id="rId117">
        <w:r w:rsidR="001F5DE8" w:rsidRPr="001F5DE8">
          <w:rPr>
            <w:rStyle w:val="Hyperlink"/>
            <w:noProof/>
          </w:rPr>
          <w:t>Οδηγία 2009/148/ΕΚ</w:t>
        </w:r>
      </w:hyperlink>
      <w:r w:rsidR="001F5DE8" w:rsidRPr="001F5DE8">
        <w:rPr>
          <w:noProof/>
        </w:rPr>
        <w:t xml:space="preserve"> του Ευρωπαϊκού Κοινοβουλίου και του Συμβουλίου, της 30ής Νοεμβρίου 2009, για την προστασία των εργαζομένων από τους κινδύνους που οφείλονται στην έκθεσή τους στον αμίαντο κατά τη διάρκεια της εργασίας (ΕΕ L 330 της 16.12.2009, σ. 28).</w:t>
      </w:r>
    </w:p>
    <w:p w14:paraId="5F6AB4EE" w14:textId="77777777" w:rsidR="00594DF6" w:rsidRPr="001F5DE8" w:rsidRDefault="003A45AA" w:rsidP="00594DF6">
      <w:pPr>
        <w:pStyle w:val="ListNumber"/>
        <w:rPr>
          <w:rFonts w:eastAsia="Times New Roman"/>
          <w:noProof/>
        </w:rPr>
      </w:pPr>
      <w:hyperlink r:id="rId118">
        <w:r w:rsidR="001F5DE8" w:rsidRPr="001F5DE8">
          <w:rPr>
            <w:rStyle w:val="Hyperlink"/>
            <w:noProof/>
          </w:rPr>
          <w:t>Κανονισμός (ΕΚ) αριθ. 1223/2009</w:t>
        </w:r>
      </w:hyperlink>
      <w:r w:rsidR="001F5DE8" w:rsidRPr="001F5DE8">
        <w:rPr>
          <w:noProof/>
        </w:rPr>
        <w:t xml:space="preserve"> του Ευρωπαϊκού Κοινοβουλίου και του Συμβουλίου, της 30ής Νοεμβρίου 2009, για τα καλλυντικά προϊόντα (ΕΕ L 342 της 22.12.2009, σ. 59).</w:t>
      </w:r>
    </w:p>
    <w:p w14:paraId="1BABF018" w14:textId="77777777" w:rsidR="00594DF6" w:rsidRPr="001F5DE8" w:rsidRDefault="003A45AA" w:rsidP="00594DF6">
      <w:pPr>
        <w:pStyle w:val="ListNumber"/>
        <w:rPr>
          <w:rFonts w:eastAsia="Times New Roman"/>
          <w:noProof/>
        </w:rPr>
      </w:pPr>
      <w:hyperlink r:id="rId119">
        <w:r w:rsidR="001F5DE8" w:rsidRPr="001F5DE8">
          <w:rPr>
            <w:rStyle w:val="Hyperlink"/>
            <w:noProof/>
          </w:rPr>
          <w:t>Οδηγία 2011/65/ΕΕ</w:t>
        </w:r>
      </w:hyperlink>
      <w:r w:rsidR="001F5DE8" w:rsidRPr="001F5DE8">
        <w:rPr>
          <w:noProof/>
        </w:rPr>
        <w:t xml:space="preserve"> του Ευρωπαϊκού Κοινοβουλίου και του Συμβουλίου, της 8ης Ιουνίου 2011, για τον περιορισμό της χρήσης ορισμένων επικίνδυνων ουσιών σε ηλεκτρικό και ηλεκτρονικό εξοπλισμό (ΕΕ L 174 της 1.7.2011, σ. 88).</w:t>
      </w:r>
    </w:p>
    <w:p w14:paraId="2E269632" w14:textId="77777777" w:rsidR="00594DF6" w:rsidRPr="001F5DE8" w:rsidRDefault="003A45AA" w:rsidP="00594DF6">
      <w:pPr>
        <w:pStyle w:val="ListNumber"/>
        <w:rPr>
          <w:rFonts w:eastAsia="Times New Roman"/>
          <w:noProof/>
        </w:rPr>
      </w:pPr>
      <w:hyperlink r:id="rId120">
        <w:r w:rsidR="001F5DE8" w:rsidRPr="001F5DE8">
          <w:rPr>
            <w:rStyle w:val="Hyperlink"/>
            <w:noProof/>
          </w:rPr>
          <w:t>Κανονισμός (ΕΕ) αριθ. 528/2012</w:t>
        </w:r>
      </w:hyperlink>
      <w:r w:rsidR="001F5DE8" w:rsidRPr="001F5DE8">
        <w:rPr>
          <w:noProof/>
        </w:rPr>
        <w:t xml:space="preserve"> του Ευρωπαϊκού Κοινοβουλίου και του Συμβουλίου, της 22ας Μαΐου 2012, σχετικά με τη διάθεση στην αγορά και τη χρήση βιοκτόνων (ΕΕ L 167 της 27.6.2012, σ. 1).</w:t>
      </w:r>
    </w:p>
    <w:p w14:paraId="195CCEF6" w14:textId="77777777" w:rsidR="00594DF6" w:rsidRPr="001F5DE8" w:rsidRDefault="003A45AA" w:rsidP="00594DF6">
      <w:pPr>
        <w:pStyle w:val="ListNumber"/>
        <w:rPr>
          <w:noProof/>
        </w:rPr>
      </w:pPr>
      <w:hyperlink r:id="rId121">
        <w:r w:rsidR="001F5DE8" w:rsidRPr="001F5DE8">
          <w:rPr>
            <w:rStyle w:val="Hyperlink"/>
            <w:noProof/>
          </w:rPr>
          <w:t>Κανονισμός (ΕΕ) 2019/4</w:t>
        </w:r>
      </w:hyperlink>
      <w:r w:rsidR="001F5DE8" w:rsidRPr="001F5DE8">
        <w:rPr>
          <w:noProof/>
        </w:rPr>
        <w:t xml:space="preserve"> του Ευρωπαϊκού Κοινοβουλίου και του Συμβουλίου, της 11ης Δεκεμβρίου 2018, σχετικά με την παρασκευή, τη διάθεση στην αγορά και τη χρήση φαρμακούχων ζωοτροφών, την τροποποίηση του κανονισμού (ΕΚ) αριθ. 183/2005 του Ευρωπαϊκού Κοινοβουλίου και του Συμβουλίου και την κατάργηση της οδηγίας 90/167/ΕΟΚ του Συμβουλίου (ΕΕ L 4 της 7.1.2019, σ. 1).</w:t>
      </w:r>
    </w:p>
    <w:p w14:paraId="187C8232" w14:textId="77777777" w:rsidR="00F37613" w:rsidRPr="001F5DE8" w:rsidRDefault="003A45AA" w:rsidP="00F37613">
      <w:pPr>
        <w:pStyle w:val="ListNumber"/>
        <w:rPr>
          <w:noProof/>
        </w:rPr>
      </w:pPr>
      <w:hyperlink r:id="rId122">
        <w:r w:rsidR="001F5DE8" w:rsidRPr="001F5DE8">
          <w:rPr>
            <w:rStyle w:val="Hyperlink"/>
            <w:noProof/>
          </w:rPr>
          <w:t>Κανονισμός (ΕΕ) 2019/1021</w:t>
        </w:r>
      </w:hyperlink>
      <w:r w:rsidR="001F5DE8" w:rsidRPr="001F5DE8">
        <w:rPr>
          <w:noProof/>
        </w:rPr>
        <w:t xml:space="preserve"> του Ευρωπαϊκού Κοινοβουλίου και του Συμβουλίου, της 20ής Ιουνίου 2019, για τους έμμονους οργανικούς ρύπους (ΕΕ L 169 της 25.6.2019, σ. 45).</w:t>
      </w:r>
    </w:p>
    <w:p w14:paraId="7B9B6EEF" w14:textId="77777777" w:rsidR="00A64EC3" w:rsidRPr="001F5DE8" w:rsidRDefault="003A45AA" w:rsidP="0099106D">
      <w:pPr>
        <w:pStyle w:val="ListNumber"/>
        <w:rPr>
          <w:noProof/>
        </w:rPr>
      </w:pPr>
      <w:hyperlink r:id="rId123">
        <w:r w:rsidR="001F5DE8" w:rsidRPr="001F5DE8">
          <w:rPr>
            <w:rStyle w:val="Hyperlink"/>
            <w:noProof/>
          </w:rPr>
          <w:t>Οδηγία (ΕΕ) 2020/2184</w:t>
        </w:r>
      </w:hyperlink>
      <w:r w:rsidR="001F5DE8" w:rsidRPr="001F5DE8">
        <w:rPr>
          <w:noProof/>
        </w:rPr>
        <w:t xml:space="preserve"> του Ευρωπαϊκού Κοινοβουλίου και του Συμβουλίου, της 16ης Δεκεμβρίου 2020, σχετικά με την ποιότητα του νερού ανθρώπινης κατανάλωσης (ΕΕ L 435 της 23.12.2020, σ. 1).</w:t>
      </w:r>
    </w:p>
    <w:p w14:paraId="14FBBE90" w14:textId="77777777" w:rsidR="00D805FB" w:rsidRPr="001F5DE8" w:rsidRDefault="00D805FB" w:rsidP="00C54EF3">
      <w:pPr>
        <w:pStyle w:val="ListNumber"/>
        <w:tabs>
          <w:tab w:val="num" w:pos="426"/>
        </w:tabs>
        <w:ind w:hanging="374"/>
        <w:rPr>
          <w:rFonts w:eastAsia="Times New Roman"/>
          <w:noProof/>
        </w:rPr>
      </w:pPr>
      <w:r w:rsidRPr="001F5DE8">
        <w:rPr>
          <w:noProof/>
        </w:rPr>
        <w:t>Κανονισμός (ΕΕ) .../... του Ευρωπαϊκού Κοινοβουλίου και του Συμβουλίου σχετικά με τις μπαταρίες και τα απόβλητα μπαταριών, για την κατάργηση της οδηγίας 2006/66/ΕΚ και την τροποποίηση του κανονισμού (ΕΕ) 2019/1020 (ΕΕ ..., ELI: … [</w:t>
      </w:r>
      <w:r w:rsidRPr="001F5DE8">
        <w:rPr>
          <w:i/>
          <w:noProof/>
        </w:rPr>
        <w:t>Υπηρεσία Εκδόσεων: να συμπληρωθεί ο αριθμός και τα στοιχεία δημοσίευσης</w:t>
      </w:r>
      <w:r w:rsidRPr="001F5DE8">
        <w:rPr>
          <w:noProof/>
        </w:rPr>
        <w:t>].</w:t>
      </w:r>
    </w:p>
    <w:sectPr w:rsidR="00D805FB" w:rsidRPr="001F5DE8" w:rsidSect="0002266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64953" w14:textId="77777777" w:rsidR="00511320" w:rsidRDefault="00511320" w:rsidP="00D429B9">
      <w:pPr>
        <w:spacing w:before="0" w:after="0"/>
      </w:pPr>
      <w:r>
        <w:separator/>
      </w:r>
    </w:p>
  </w:endnote>
  <w:endnote w:type="continuationSeparator" w:id="0">
    <w:p w14:paraId="5F575379" w14:textId="77777777" w:rsidR="00511320" w:rsidRDefault="00511320" w:rsidP="00D429B9">
      <w:pPr>
        <w:spacing w:before="0" w:after="0"/>
      </w:pPr>
      <w:r>
        <w:continuationSeparator/>
      </w:r>
    </w:p>
  </w:endnote>
  <w:endnote w:type="continuationNotice" w:id="1">
    <w:p w14:paraId="53850FBE" w14:textId="77777777" w:rsidR="00511320" w:rsidRDefault="005113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20D6" w14:textId="455BF0A5" w:rsidR="00022660" w:rsidRPr="00022660" w:rsidRDefault="00022660" w:rsidP="00022660">
    <w:pPr>
      <w:pStyle w:val="Footer"/>
      <w:rPr>
        <w:rFonts w:ascii="Arial" w:hAnsi="Arial" w:cs="Arial"/>
        <w:b/>
        <w:sz w:val="48"/>
      </w:rPr>
    </w:pPr>
    <w:r w:rsidRPr="00022660">
      <w:rPr>
        <w:rFonts w:ascii="Arial" w:hAnsi="Arial" w:cs="Arial"/>
        <w:b/>
        <w:sz w:val="48"/>
      </w:rPr>
      <w:t>EL</w:t>
    </w:r>
    <w:r w:rsidRPr="00022660">
      <w:rPr>
        <w:rFonts w:ascii="Arial" w:hAnsi="Arial" w:cs="Arial"/>
        <w:b/>
        <w:sz w:val="48"/>
      </w:rPr>
      <w:tab/>
    </w:r>
    <w:r w:rsidRPr="00022660">
      <w:rPr>
        <w:rFonts w:ascii="Arial" w:hAnsi="Arial" w:cs="Arial"/>
        <w:b/>
        <w:sz w:val="48"/>
      </w:rPr>
      <w:tab/>
    </w:r>
    <w:r w:rsidRPr="00022660">
      <w:tab/>
    </w:r>
    <w:r w:rsidRPr="00022660">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9B91" w14:textId="52F8AB69" w:rsidR="00022660" w:rsidRPr="00022660" w:rsidRDefault="00022660" w:rsidP="00022660">
    <w:pPr>
      <w:pStyle w:val="Footer"/>
      <w:rPr>
        <w:rFonts w:ascii="Arial" w:hAnsi="Arial" w:cs="Arial"/>
        <w:b/>
        <w:sz w:val="48"/>
      </w:rPr>
    </w:pPr>
    <w:r w:rsidRPr="00022660">
      <w:rPr>
        <w:rFonts w:ascii="Arial" w:hAnsi="Arial" w:cs="Arial"/>
        <w:b/>
        <w:sz w:val="48"/>
      </w:rPr>
      <w:t>EL</w:t>
    </w:r>
    <w:r w:rsidRPr="00022660">
      <w:rPr>
        <w:rFonts w:ascii="Arial" w:hAnsi="Arial" w:cs="Arial"/>
        <w:b/>
        <w:sz w:val="48"/>
      </w:rPr>
      <w:tab/>
    </w:r>
    <w:r w:rsidRPr="00022660">
      <w:rPr>
        <w:rFonts w:ascii="Arial" w:hAnsi="Arial" w:cs="Arial"/>
        <w:b/>
        <w:sz w:val="48"/>
      </w:rPr>
      <w:tab/>
    </w:r>
    <w:r w:rsidRPr="00022660">
      <w:tab/>
    </w:r>
    <w:r w:rsidRPr="00022660">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84295" w14:textId="77777777" w:rsidR="00022660" w:rsidRPr="00022660" w:rsidRDefault="00022660" w:rsidP="000226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0A671" w14:textId="77777777" w:rsidR="00022660" w:rsidRDefault="000226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072DD" w14:textId="36C80616" w:rsidR="00022660" w:rsidRPr="00022660" w:rsidRDefault="00022660" w:rsidP="00022660">
    <w:pPr>
      <w:pStyle w:val="Footer"/>
      <w:rPr>
        <w:rFonts w:ascii="Arial" w:hAnsi="Arial" w:cs="Arial"/>
        <w:b/>
        <w:sz w:val="48"/>
      </w:rPr>
    </w:pPr>
    <w:r w:rsidRPr="00022660">
      <w:rPr>
        <w:rFonts w:ascii="Arial" w:hAnsi="Arial" w:cs="Arial"/>
        <w:b/>
        <w:sz w:val="48"/>
      </w:rPr>
      <w:t>EL</w:t>
    </w:r>
    <w:r w:rsidRPr="00022660">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22660">
      <w:tab/>
    </w:r>
    <w:r w:rsidRPr="00022660">
      <w:rPr>
        <w:rFonts w:ascii="Arial" w:hAnsi="Arial" w:cs="Arial"/>
        <w:b/>
        <w:sz w:val="48"/>
      </w:rPr>
      <w:t>EL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F38A" w14:textId="77777777" w:rsidR="00022660" w:rsidRDefault="00022660" w:rsidP="0002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0AD2E" w14:textId="77777777" w:rsidR="00511320" w:rsidRDefault="00511320" w:rsidP="00D429B9">
      <w:pPr>
        <w:spacing w:before="0" w:after="0"/>
      </w:pPr>
      <w:r>
        <w:separator/>
      </w:r>
    </w:p>
  </w:footnote>
  <w:footnote w:type="continuationSeparator" w:id="0">
    <w:p w14:paraId="546691B8" w14:textId="77777777" w:rsidR="00511320" w:rsidRDefault="00511320" w:rsidP="00D429B9">
      <w:pPr>
        <w:spacing w:before="0" w:after="0"/>
      </w:pPr>
      <w:r>
        <w:continuationSeparator/>
      </w:r>
    </w:p>
  </w:footnote>
  <w:footnote w:type="continuationNotice" w:id="1">
    <w:p w14:paraId="23FA9131" w14:textId="77777777" w:rsidR="00511320" w:rsidRDefault="00511320">
      <w:pPr>
        <w:spacing w:before="0" w:after="0"/>
      </w:pPr>
    </w:p>
  </w:footnote>
  <w:footnote w:id="2">
    <w:p w14:paraId="6C57DA76" w14:textId="77777777" w:rsidR="00521270" w:rsidRPr="0024583E" w:rsidRDefault="00521270">
      <w:pPr>
        <w:pStyle w:val="FootnoteText"/>
      </w:pPr>
      <w:r>
        <w:rPr>
          <w:rStyle w:val="FootnoteReference"/>
        </w:rPr>
        <w:footnoteRef/>
      </w:r>
      <w:r>
        <w:tab/>
        <w:t>Οδηγία 2001/83/ΕΚ του Ευρωπαϊκού Κοινοβουλίου και του Συμβουλίου, της 6ης Νοεμβρίου 2001, περί κοινοτικού κώδικος για τα φάρμακα που προορίζονται για ανθρώπινη χρήση (ΕΕ L 311 της 28.11.2001, σ. 67).</w:t>
      </w:r>
    </w:p>
  </w:footnote>
  <w:footnote w:id="3">
    <w:p w14:paraId="0164D875" w14:textId="77777777" w:rsidR="00521270" w:rsidRPr="0024583E" w:rsidRDefault="00521270">
      <w:pPr>
        <w:pStyle w:val="FootnoteText"/>
      </w:pPr>
      <w:r>
        <w:rPr>
          <w:rStyle w:val="FootnoteReference"/>
        </w:rPr>
        <w:footnoteRef/>
      </w:r>
      <w:r>
        <w:tab/>
        <w:t>Κανονισμός (ΕΚ) αριθ. 726/2004 του Ευρωπαϊκού Κοινοβουλίου και του Συμβουλίου, της 31ης Μαρτίου 2004, για τη θέσπιση κοινοτικών διαδικασιών χορήγησης άδειας και εποπτείας όσον αφορά τα φάρμακα που προορίζονται για ανθρώπινη και για κτηνιατρική χρήση και για τη σύσταση Ευρωπαϊκού Οργανισμού Φαρμάκων (ΕΕ L 136 της 30.4.2004, σ. 1).</w:t>
      </w:r>
    </w:p>
  </w:footnote>
  <w:footnote w:id="4">
    <w:p w14:paraId="14D0B016" w14:textId="77777777" w:rsidR="00521270" w:rsidRPr="0024583E" w:rsidRDefault="00521270">
      <w:pPr>
        <w:pStyle w:val="FootnoteText"/>
      </w:pPr>
      <w:r>
        <w:rPr>
          <w:rStyle w:val="FootnoteReference"/>
        </w:rPr>
        <w:footnoteRef/>
      </w:r>
      <w:r>
        <w:tab/>
        <w:t>Κανονισμός (EE) 2019/6 του Ευρωπαϊκού Κοινοβουλίου και του Συμβουλίου, της 11ης Δεκεμβρίου 2018, για τα κτηνιατρικά φάρμακα και για την κατάργηση της οδηγίας 2001/82/ΕΚ (ΕΕ L 4 της 7.1.2019, σ. 43).</w:t>
      </w:r>
    </w:p>
  </w:footnote>
  <w:footnote w:id="5">
    <w:p w14:paraId="24FFFC95" w14:textId="77777777" w:rsidR="00521270" w:rsidRPr="0024583E" w:rsidRDefault="00521270">
      <w:pPr>
        <w:pStyle w:val="FootnoteText"/>
      </w:pPr>
      <w:r>
        <w:rPr>
          <w:rStyle w:val="FootnoteReference"/>
        </w:rPr>
        <w:footnoteRef/>
      </w:r>
      <w:r>
        <w:tab/>
        <w:t>Κανονισμός (ΕΚ) αριθ. 470/2009 του Ευρωπαϊκού Κοινοβουλίου και του Συμβουλίου, της 6ης Μαΐου 2009, για θέσπιση κοινοτικών διαδικασιών για τον καθορισμό ορίων καταλοίπων των φαρμακολογικά δραστικών ουσιών στα τρόφιμα ζωικής προέλευσης, για την κατάργηση του κανονισμού (ΕΟΚ) αριθ. 2377/90 του Συμβουλίου και τροποποίηση της οδηγίας 2001/82/ΕΚ του Ευρωπαϊκού Κοινοβουλίου και του Συμβουλίου και του κανονισμού (ΕΚ) αριθ. 726/2004 του Ευρωπαϊκού Κοινοβουλίου και του Συμβουλίου (ΕΕ L 152 της 16.6.2009, σ.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57B6" w14:textId="77777777" w:rsidR="00022660" w:rsidRPr="00022660" w:rsidRDefault="00022660" w:rsidP="00022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0C32" w14:textId="77777777" w:rsidR="00022660" w:rsidRPr="00022660" w:rsidRDefault="00022660" w:rsidP="00022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5600" w14:textId="77777777" w:rsidR="00022660" w:rsidRPr="00022660" w:rsidRDefault="00022660" w:rsidP="000226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77A4" w14:textId="77777777" w:rsidR="00022660" w:rsidRDefault="000226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EB596" w14:textId="77777777" w:rsidR="00022660" w:rsidRDefault="00022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1CE06C2"/>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84866B5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0AC707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1E6FCF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7EE9070"/>
    <w:lvl w:ilvl="0">
      <w:start w:val="1"/>
      <w:numFmt w:val="decimal"/>
      <w:pStyle w:val="ListNumber"/>
      <w:lvlText w:val="%1."/>
      <w:lvlJc w:val="left"/>
      <w:pPr>
        <w:tabs>
          <w:tab w:val="num" w:pos="785"/>
        </w:tabs>
        <w:ind w:left="785" w:hanging="360"/>
      </w:pPr>
    </w:lvl>
  </w:abstractNum>
  <w:abstractNum w:abstractNumId="5" w15:restartNumberingAfterBreak="0">
    <w:nsid w:val="FFFFFF89"/>
    <w:multiLevelType w:val="singleLevel"/>
    <w:tmpl w:val="734A37C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DB801FE"/>
    <w:multiLevelType w:val="hybridMultilevel"/>
    <w:tmpl w:val="CDEA3762"/>
    <w:lvl w:ilvl="0" w:tplc="0E68E6CE">
      <w:start w:val="1"/>
      <w:numFmt w:val="decimal"/>
      <w:pStyle w:val="Style1"/>
      <w:lvlText w:val="%1."/>
      <w:lvlJc w:val="left"/>
      <w:pPr>
        <w:ind w:left="360" w:hanging="360"/>
      </w:pPr>
    </w:lvl>
    <w:lvl w:ilvl="1" w:tplc="151C233E">
      <w:start w:val="1"/>
      <w:numFmt w:val="lowerLetter"/>
      <w:lvlText w:val="%2."/>
      <w:lvlJc w:val="left"/>
      <w:pPr>
        <w:ind w:left="1080" w:hanging="360"/>
      </w:pPr>
    </w:lvl>
    <w:lvl w:ilvl="2" w:tplc="86C81FCA">
      <w:start w:val="1"/>
      <w:numFmt w:val="lowerRoman"/>
      <w:lvlText w:val="%3."/>
      <w:lvlJc w:val="right"/>
      <w:pPr>
        <w:ind w:left="1800" w:hanging="180"/>
      </w:pPr>
    </w:lvl>
    <w:lvl w:ilvl="3" w:tplc="CD780982">
      <w:start w:val="1"/>
      <w:numFmt w:val="decimal"/>
      <w:lvlText w:val="%4."/>
      <w:lvlJc w:val="left"/>
      <w:pPr>
        <w:ind w:left="2520" w:hanging="360"/>
      </w:pPr>
    </w:lvl>
    <w:lvl w:ilvl="4" w:tplc="27E26AD8">
      <w:start w:val="1"/>
      <w:numFmt w:val="lowerLetter"/>
      <w:lvlText w:val="%5."/>
      <w:lvlJc w:val="left"/>
      <w:pPr>
        <w:ind w:left="3240" w:hanging="360"/>
      </w:pPr>
    </w:lvl>
    <w:lvl w:ilvl="5" w:tplc="64A6B304">
      <w:start w:val="1"/>
      <w:numFmt w:val="lowerRoman"/>
      <w:lvlText w:val="%6."/>
      <w:lvlJc w:val="right"/>
      <w:pPr>
        <w:ind w:left="3960" w:hanging="180"/>
      </w:pPr>
    </w:lvl>
    <w:lvl w:ilvl="6" w:tplc="4A2E3EE4">
      <w:start w:val="1"/>
      <w:numFmt w:val="decimal"/>
      <w:lvlText w:val="%7."/>
      <w:lvlJc w:val="left"/>
      <w:pPr>
        <w:ind w:left="4680" w:hanging="360"/>
      </w:pPr>
    </w:lvl>
    <w:lvl w:ilvl="7" w:tplc="FBB045BA">
      <w:start w:val="1"/>
      <w:numFmt w:val="lowerLetter"/>
      <w:lvlText w:val="%8."/>
      <w:lvlJc w:val="left"/>
      <w:pPr>
        <w:ind w:left="5400" w:hanging="360"/>
      </w:pPr>
    </w:lvl>
    <w:lvl w:ilvl="8" w:tplc="4350E062">
      <w:start w:val="1"/>
      <w:numFmt w:val="lowerRoman"/>
      <w:lvlText w:val="%9."/>
      <w:lvlJc w:val="right"/>
      <w:pPr>
        <w:ind w:left="6120" w:hanging="180"/>
      </w:p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num>
  <w:num w:numId="2">
    <w:abstractNumId w:val="4"/>
  </w:num>
  <w:num w:numId="3">
    <w:abstractNumId w:val="5"/>
  </w:num>
  <w:num w:numId="4">
    <w:abstractNumId w:val="3"/>
  </w:num>
  <w:num w:numId="5">
    <w:abstractNumId w:val="2"/>
  </w:num>
  <w:num w:numId="6">
    <w:abstractNumId w:val="1"/>
  </w:num>
  <w:num w:numId="7">
    <w:abstractNumId w:val="4"/>
    <w:lvlOverride w:ilvl="0">
      <w:startOverride w:val="1"/>
    </w:lvlOverride>
  </w:num>
  <w:num w:numId="8">
    <w:abstractNumId w:val="0"/>
  </w:num>
  <w:num w:numId="9">
    <w:abstractNumId w:val="0"/>
    <w:lvlOverride w:ilvl="0">
      <w:startOverride w:val="1"/>
    </w:lvlOverride>
  </w:num>
  <w:num w:numId="10">
    <w:abstractNumId w:val="18"/>
  </w:num>
  <w:num w:numId="11">
    <w:abstractNumId w:val="10"/>
  </w:num>
  <w:num w:numId="12">
    <w:abstractNumId w:val="20"/>
  </w:num>
  <w:num w:numId="13">
    <w:abstractNumId w:val="9"/>
  </w:num>
  <w:num w:numId="14">
    <w:abstractNumId w:val="11"/>
  </w:num>
  <w:num w:numId="15">
    <w:abstractNumId w:val="12"/>
  </w:num>
  <w:num w:numId="16">
    <w:abstractNumId w:val="7"/>
  </w:num>
  <w:num w:numId="17">
    <w:abstractNumId w:val="19"/>
  </w:num>
  <w:num w:numId="18">
    <w:abstractNumId w:val="6"/>
  </w:num>
  <w:num w:numId="19">
    <w:abstractNumId w:val="13"/>
  </w:num>
  <w:num w:numId="20">
    <w:abstractNumId w:val="16"/>
  </w:num>
  <w:num w:numId="21">
    <w:abstractNumId w:val="17"/>
  </w:num>
  <w:num w:numId="22">
    <w:abstractNumId w:val="8"/>
  </w:num>
  <w:num w:numId="23">
    <w:abstractNumId w:val="15"/>
  </w:num>
  <w:num w:numId="24">
    <w:abstractNumId w:val="21"/>
  </w:num>
  <w:num w:numId="25">
    <w:abstractNumId w:val="18"/>
  </w:num>
  <w:num w:numId="26">
    <w:abstractNumId w:val="10"/>
  </w:num>
  <w:num w:numId="27">
    <w:abstractNumId w:val="20"/>
  </w:num>
  <w:num w:numId="28">
    <w:abstractNumId w:val="9"/>
  </w:num>
  <w:num w:numId="29">
    <w:abstractNumId w:val="11"/>
  </w:num>
  <w:num w:numId="30">
    <w:abstractNumId w:val="12"/>
  </w:num>
  <w:num w:numId="31">
    <w:abstractNumId w:val="7"/>
  </w:num>
  <w:num w:numId="32">
    <w:abstractNumId w:val="19"/>
  </w:num>
  <w:num w:numId="33">
    <w:abstractNumId w:val="6"/>
  </w:num>
  <w:num w:numId="34">
    <w:abstractNumId w:val="13"/>
  </w:num>
  <w:num w:numId="35">
    <w:abstractNumId w:val="16"/>
  </w:num>
  <w:num w:numId="36">
    <w:abstractNumId w:val="17"/>
  </w:num>
  <w:num w:numId="37">
    <w:abstractNumId w:val="8"/>
  </w:num>
  <w:num w:numId="38">
    <w:abstractNumId w:val="15"/>
  </w:num>
  <w:num w:numId="3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08 10:33:0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u964?\u951?\u962?"/>
    <w:docVar w:name="LW_ACCOMPAGNANT.CP" w:val="\u964?\u951?\u962?"/>
    <w:docVar w:name="LW_ANNEX_NBR_FIRST" w:val="1"/>
    <w:docVar w:name="LW_ANNEX_NBR_LAST" w:val="3"/>
    <w:docVar w:name="LW_ANNEX_UNIQUE" w:val="0"/>
    <w:docVar w:name="LW_CORRIGENDUM" w:val="&lt;UNUSED&gt;"/>
    <w:docVar w:name="LW_COVERPAGE_EXISTS" w:val="True"/>
    <w:docVar w:name="LW_COVERPAGE_GUID" w:val="63595903-CDE3-4D17-A598-DFA4E47AFA8D"/>
    <w:docVar w:name="LW_COVERPAGE_TYPE" w:val="1"/>
    <w:docVar w:name="LW_CROSSREFERENCE" w:val="{SWD(2023) 855 final}"/>
    <w:docVar w:name="LW_DocType" w:val="ANNEX"/>
    <w:docVar w:name="LW_EMISSION" w:val="7.12.2023"/>
    <w:docVar w:name="LW_EMISSION_ISODATE" w:val="2023-12-07"/>
    <w:docVar w:name="LW_EMISSION_LOCATION" w:val="BRX"/>
    <w:docVar w:name="LW_EMISSION_PREFIX" w:val="\u914?\u961?\u965?\u958?\u941?\u955?\u955?\u949?\u962?, "/>
    <w:docVar w:name="LW_EMISSION_SUFFIX" w:val=" "/>
    <w:docVar w:name="LW_ID_DOCSTRUCTURE" w:val="COM/ANNEX"/>
    <w:docVar w:name="LW_ID_DOCTYPE" w:val="SG-017"/>
    <w:docVar w:name="LW_LANGUE" w:val="EL"/>
    <w:docVar w:name="LW_LEVEL_OF_SENSITIVITY" w:val="Standard treatment"/>
    <w:docVar w:name="LW_NOM.INST" w:val="\u917?\u933?\u929?\u937?\u928?\u913?\u938?\u922?\u919? \u917?\u928?\u921?\u932?\u929?\u927?\u928?\u919?"/>
    <w:docVar w:name="LW_NOM.INST_JOINTDOC" w:val="&lt;EMPTY&gt;"/>
    <w:docVar w:name="LW_OBJETACTEPRINCIPAL" w:val="\u947?\u953?\u945? \u964?\u951?\u957? \u943?\u948?\u961?\u965?\u963?\u951? \u954?\u959?\u953?\u957?\u942?\u962? \u960?\u955?\u945?\u964?\u966?\u972?\u961?\u956?\u945?\u962? \u948?\u949?\u948?\u959?\u956?\u941?\u957?\u969?\u957? \u947?\u953?\u945? \u964?\u945? \u967?\u951?\u956?\u953?\u954?\u940? \u960?\u961?\u959?\u970?\u972?\u957?\u964?\u945?, \u947?\u953?\u945? \u964?\u951? \u952?\u941?\u963?\u960?\u953?\u963?\u951? \u954?\u945?\u957?\u972?\u957?\u969?\u957? \u960?\u959?\u965? \u948?\u953?\u945?\u963?\u966?\u945?\u955?\u943?\u950?\u959?\u965?\u957? \u972?\u964?\u953? \u964?\u945? \u948?\u949?\u948?\u959?\u956?\u941?\u957?\u945? \u960?\u959?\u965? \u960?\u949?\u961?\u953?\u941?\u967?\u959?\u957?\u964?\u945?\u953? \u963?\u949? \u945?\u965?\u964?\u942?\u957? \u949?\u943?\u957?\u945?\u953? \u949?\u965?\u961?\u941?\u963?\u953?\u956?\u945?, \u960?\u961?\u959?\u963?\u946?\u940?\u963?\u953?\u956?\u945?, \u948?\u953?\u945?\u955?\u949?\u953?\u964?\u959?\u965?\u961?\u947?\u953?\u954?\u940? \u954?\u945?\u953? \u949?\u960?\u945?\u957?\u945?\u967?\u961?\u951?\u963?\u953?\u956?\u959?\u960?\u959?\u953?\u942?\u963?\u953?\u956?\u945? \u954?\u945?\u953? \u947?\u953?\u945? \u964?\u951? \u952?\u941?\u963?\u960?\u953?\u963?\u951? \u960?\u955?\u945?\u953?\u963?\u943?\u959?\u965? \u960?\u945?\u961?\u945?\u954?\u959?\u955?\u959?\u973?\u952?\u951?\u963?\u951?\u962? \u954?\u945?\u953? \u960?\u961?\u959?\u959?\u960?\u964?\u953?\u954?\u974?\u957? \u947?\u953?\u945? \u964?\u945? \u967?\u951?\u956?\u953?\u954?\u940? \u960?\u961?\u959?\u970?\u972?\u957?\u964?\u945?"/>
    <w:docVar w:name="LW_OBJETACTEPRINCIPAL.CP" w:val="\u947?\u953?\u945? \u964?\u951?\u957? \u943?\u948?\u961?\u965?\u963?\u951? \u954?\u959?\u953?\u957?\u942?\u962? \u960?\u955?\u945?\u964?\u966?\u972?\u961?\u956?\u945?\u962? \u948?\u949?\u948?\u959?\u956?\u941?\u957?\u969?\u957? \u947?\u953?\u945? \u964?\u945? \u967?\u951?\u956?\u953?\u954?\u940? \u960?\u961?\u959?\u970?\u972?\u957?\u964?\u945?, \u947?\u953?\u945? \u964?\u951? \u952?\u941?\u963?\u960?\u953?\u963?\u951? \u954?\u945?\u957?\u972?\u957?\u969?\u957? \u960?\u959?\u965? \u948?\u953?\u945?\u963?\u966?\u945?\u955?\u943?\u950?\u959?\u965?\u957? \u972?\u964?\u953? \u964?\u945? \u948?\u949?\u948?\u959?\u956?\u941?\u957?\u945? \u960?\u959?\u965? \u960?\u949?\u961?\u953?\u941?\u967?\u959?\u957?\u964?\u945?\u953? \u963?\u949? \u945?\u965?\u964?\u942?\u957? \u949?\u943?\u957?\u945?\u953? \u949?\u965?\u961?\u941?\u963?\u953?\u956?\u945?, \u960?\u961?\u959?\u963?\u946?\u940?\u963?\u953?\u956?\u945?, \u948?\u953?\u945?\u955?\u949?\u953?\u964?\u959?\u965?\u961?\u947?\u953?\u954?\u940? \u954?\u945?\u953? \u949?\u960?\u945?\u957?\u945?\u967?\u961?\u951?\u963?\u953?\u956?\u959?\u960?\u959?\u953?\u942?\u963?\u953?\u956?\u945? \u954?\u945?\u953? \u947?\u953?\u945? \u964?\u951? \u952?\u941?\u963?\u960?\u953?\u963?\u951? \u960?\u955?\u945?\u953?\u963?\u943?\u959?\u965? \u960?\u945?\u961?\u945?\u954?\u959?\u955?\u959?\u973?\u952?\u951?\u963?\u951?\u962? \u954?\u945?\u953? \u960?\u961?\u959?\u959?\u960?\u964?\u953?\u954?\u974?\u957? \u947?\u953?\u945? \u964?\u945? \u967?\u951?\u956?\u953?\u954?\u940? \u960?\u961?\u959?\u970?\u972?\u957?\u964?\u945?"/>
    <w:docVar w:name="LW_PART_NBR" w:val="&lt;UNUSED&gt;"/>
    <w:docVar w:name="LW_PART_NBR_TOTAL" w:val="&lt;UNUSED&gt;"/>
    <w:docVar w:name="LW_REF.INST.NEW" w:val="COM"/>
    <w:docVar w:name="LW_REF.INST.NEW_ADOPTED" w:val="final"/>
    <w:docVar w:name="LW_REF.INST.NEW_TEXT" w:val="(2023) 77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928?\u913?\u929?\u913?\u929?\u932?\u919?\u924?\u913?\u932?\u913?"/>
    <w:docVar w:name="LW_TYPE.DOC.CP" w:val="\u928?\u913?\u929?\u913?\u929?\u932?\u919?\u924?\u913?\u932?\u913?"/>
    <w:docVar w:name="LW_TYPEACTEPRINCIPAL" w:val="\u960?\u961?\u972?\u964?\u945?\u963?\u951?\u962? \u954?\u945?\u957?\u959?\u957?\u953?\u963?\u956?\u959?\u973? \u964?\u959?\u965? \u917?\u965?\u961?\u969?\u960?\u945?\u970?\u954?\u959?\u973? \u922?\u959?\u953?\u957?\u959?\u946?\u959?\u965?\u955?\u943?\u959?\u965? \u954?\u945?\u953? \u964?\u959?\u965? \u931?\u965?\u956?\u946?\u959?\u965?\u955?\u943?\u959?\u965?_x000b_"/>
    <w:docVar w:name="LW_TYPEACTEPRINCIPAL.CP" w:val="\u960?\u961?\u972?\u964?\u945?\u963?\u951?\u962? \u954?\u945?\u957?\u959?\u957?\u953?\u963?\u956?\u959?\u973? \u964?\u959?\u965? \u917?\u965?\u961?\u969?\u960?\u945?\u970?\u954?\u959?\u973? \u922?\u959?\u953?\u957?\u959?\u946?\u959?\u965?\u955?\u943?\u959?\u965? \u954?\u945?\u953? \u964?\u959?\u965? \u931?\u965?\u956?\u946?\u959?\u965?\u955?\u943?\u959?\u965?_x000b_"/>
    <w:docVar w:name="LwApiVersions" w:val="LW4CoDe 1.24.4.0; LW 9.0, Build 20240125"/>
  </w:docVars>
  <w:rsids>
    <w:rsidRoot w:val="00D429B9"/>
    <w:rsid w:val="0000714E"/>
    <w:rsid w:val="00022660"/>
    <w:rsid w:val="000250E5"/>
    <w:rsid w:val="00031C88"/>
    <w:rsid w:val="00033B6F"/>
    <w:rsid w:val="00034939"/>
    <w:rsid w:val="0004286E"/>
    <w:rsid w:val="00055822"/>
    <w:rsid w:val="0006616A"/>
    <w:rsid w:val="00070064"/>
    <w:rsid w:val="00070F2B"/>
    <w:rsid w:val="00072208"/>
    <w:rsid w:val="00077264"/>
    <w:rsid w:val="00077B44"/>
    <w:rsid w:val="00082811"/>
    <w:rsid w:val="00086F65"/>
    <w:rsid w:val="000A6C9A"/>
    <w:rsid w:val="000B28E4"/>
    <w:rsid w:val="000B362C"/>
    <w:rsid w:val="000B4642"/>
    <w:rsid w:val="000C2094"/>
    <w:rsid w:val="000C6647"/>
    <w:rsid w:val="000D6234"/>
    <w:rsid w:val="000E5BBF"/>
    <w:rsid w:val="000F3672"/>
    <w:rsid w:val="000F3C30"/>
    <w:rsid w:val="00100298"/>
    <w:rsid w:val="001002A6"/>
    <w:rsid w:val="00122056"/>
    <w:rsid w:val="001227AE"/>
    <w:rsid w:val="00123AFC"/>
    <w:rsid w:val="00124D25"/>
    <w:rsid w:val="00125A5A"/>
    <w:rsid w:val="00137419"/>
    <w:rsid w:val="00165C4F"/>
    <w:rsid w:val="001745F0"/>
    <w:rsid w:val="001769BF"/>
    <w:rsid w:val="00180F9E"/>
    <w:rsid w:val="001862CB"/>
    <w:rsid w:val="00186B67"/>
    <w:rsid w:val="001929AB"/>
    <w:rsid w:val="001B21C0"/>
    <w:rsid w:val="001B67C1"/>
    <w:rsid w:val="001C241F"/>
    <w:rsid w:val="001C6EFA"/>
    <w:rsid w:val="001D454B"/>
    <w:rsid w:val="001D6B99"/>
    <w:rsid w:val="001E24E7"/>
    <w:rsid w:val="001F0E48"/>
    <w:rsid w:val="001F343E"/>
    <w:rsid w:val="001F5DE8"/>
    <w:rsid w:val="001F621D"/>
    <w:rsid w:val="001F75F9"/>
    <w:rsid w:val="002032FE"/>
    <w:rsid w:val="00225F6B"/>
    <w:rsid w:val="00231385"/>
    <w:rsid w:val="00232002"/>
    <w:rsid w:val="00236236"/>
    <w:rsid w:val="00240C44"/>
    <w:rsid w:val="0024583E"/>
    <w:rsid w:val="002549D0"/>
    <w:rsid w:val="002562DE"/>
    <w:rsid w:val="00264FB0"/>
    <w:rsid w:val="0027013D"/>
    <w:rsid w:val="00274915"/>
    <w:rsid w:val="00282385"/>
    <w:rsid w:val="00283D63"/>
    <w:rsid w:val="002B683F"/>
    <w:rsid w:val="002C1947"/>
    <w:rsid w:val="002D493C"/>
    <w:rsid w:val="002D5B07"/>
    <w:rsid w:val="002D5D7E"/>
    <w:rsid w:val="002F01B0"/>
    <w:rsid w:val="002F3D54"/>
    <w:rsid w:val="003019E9"/>
    <w:rsid w:val="00305777"/>
    <w:rsid w:val="003073B5"/>
    <w:rsid w:val="00307648"/>
    <w:rsid w:val="003154D4"/>
    <w:rsid w:val="0034261B"/>
    <w:rsid w:val="0034372F"/>
    <w:rsid w:val="00353F9F"/>
    <w:rsid w:val="003615CB"/>
    <w:rsid w:val="00361EEC"/>
    <w:rsid w:val="00373CB5"/>
    <w:rsid w:val="00376F98"/>
    <w:rsid w:val="00390C62"/>
    <w:rsid w:val="00393D73"/>
    <w:rsid w:val="00396BAE"/>
    <w:rsid w:val="00397C65"/>
    <w:rsid w:val="003A3658"/>
    <w:rsid w:val="003A4410"/>
    <w:rsid w:val="003B0EEB"/>
    <w:rsid w:val="003C2C62"/>
    <w:rsid w:val="003C5EC8"/>
    <w:rsid w:val="003D1FD3"/>
    <w:rsid w:val="003D4E83"/>
    <w:rsid w:val="003D5E16"/>
    <w:rsid w:val="003E29AB"/>
    <w:rsid w:val="003E5447"/>
    <w:rsid w:val="003F42AB"/>
    <w:rsid w:val="003F7B20"/>
    <w:rsid w:val="0040406B"/>
    <w:rsid w:val="00420419"/>
    <w:rsid w:val="00431E60"/>
    <w:rsid w:val="00433DD4"/>
    <w:rsid w:val="00435637"/>
    <w:rsid w:val="00440F59"/>
    <w:rsid w:val="00441E46"/>
    <w:rsid w:val="00446579"/>
    <w:rsid w:val="00446CBB"/>
    <w:rsid w:val="004518EA"/>
    <w:rsid w:val="00452730"/>
    <w:rsid w:val="004610DE"/>
    <w:rsid w:val="00461B70"/>
    <w:rsid w:val="00470B1F"/>
    <w:rsid w:val="0047405A"/>
    <w:rsid w:val="00477200"/>
    <w:rsid w:val="0048403C"/>
    <w:rsid w:val="004875E2"/>
    <w:rsid w:val="004910AF"/>
    <w:rsid w:val="00492895"/>
    <w:rsid w:val="004929BD"/>
    <w:rsid w:val="00492EB7"/>
    <w:rsid w:val="0049488E"/>
    <w:rsid w:val="00494AD7"/>
    <w:rsid w:val="00495D27"/>
    <w:rsid w:val="004A0764"/>
    <w:rsid w:val="004A59C1"/>
    <w:rsid w:val="004A71C8"/>
    <w:rsid w:val="004B71A6"/>
    <w:rsid w:val="004C5C9C"/>
    <w:rsid w:val="004D7E90"/>
    <w:rsid w:val="004E1129"/>
    <w:rsid w:val="004E57C7"/>
    <w:rsid w:val="004E6224"/>
    <w:rsid w:val="004F25E9"/>
    <w:rsid w:val="00506C9C"/>
    <w:rsid w:val="00511320"/>
    <w:rsid w:val="00515396"/>
    <w:rsid w:val="0051783A"/>
    <w:rsid w:val="00521270"/>
    <w:rsid w:val="0052144D"/>
    <w:rsid w:val="00522358"/>
    <w:rsid w:val="00542872"/>
    <w:rsid w:val="00542977"/>
    <w:rsid w:val="00546154"/>
    <w:rsid w:val="005560CF"/>
    <w:rsid w:val="00573153"/>
    <w:rsid w:val="005851DC"/>
    <w:rsid w:val="005940DD"/>
    <w:rsid w:val="00594DF6"/>
    <w:rsid w:val="00595FF2"/>
    <w:rsid w:val="005A1158"/>
    <w:rsid w:val="005B00D3"/>
    <w:rsid w:val="005B23C1"/>
    <w:rsid w:val="005B4E7A"/>
    <w:rsid w:val="005B5FD2"/>
    <w:rsid w:val="005C52B0"/>
    <w:rsid w:val="005C5C82"/>
    <w:rsid w:val="005E1231"/>
    <w:rsid w:val="005E51CF"/>
    <w:rsid w:val="005E5908"/>
    <w:rsid w:val="005F372D"/>
    <w:rsid w:val="005F48FF"/>
    <w:rsid w:val="00601D39"/>
    <w:rsid w:val="00604022"/>
    <w:rsid w:val="00612DEB"/>
    <w:rsid w:val="006247DE"/>
    <w:rsid w:val="00626E37"/>
    <w:rsid w:val="00635D6D"/>
    <w:rsid w:val="00640266"/>
    <w:rsid w:val="00641CE9"/>
    <w:rsid w:val="00642C0C"/>
    <w:rsid w:val="00643BAC"/>
    <w:rsid w:val="00646C67"/>
    <w:rsid w:val="006505EA"/>
    <w:rsid w:val="00652E80"/>
    <w:rsid w:val="00653D46"/>
    <w:rsid w:val="0065596F"/>
    <w:rsid w:val="006613AC"/>
    <w:rsid w:val="00662654"/>
    <w:rsid w:val="006663E9"/>
    <w:rsid w:val="0067551F"/>
    <w:rsid w:val="00680490"/>
    <w:rsid w:val="00691085"/>
    <w:rsid w:val="006A6BCB"/>
    <w:rsid w:val="006C1ECA"/>
    <w:rsid w:val="006C5AE8"/>
    <w:rsid w:val="006E0CA6"/>
    <w:rsid w:val="006E1516"/>
    <w:rsid w:val="006F67C5"/>
    <w:rsid w:val="00700B9E"/>
    <w:rsid w:val="0070537F"/>
    <w:rsid w:val="00715CBF"/>
    <w:rsid w:val="0071613D"/>
    <w:rsid w:val="00717CCC"/>
    <w:rsid w:val="00726697"/>
    <w:rsid w:val="00736A38"/>
    <w:rsid w:val="00741450"/>
    <w:rsid w:val="00757918"/>
    <w:rsid w:val="007833EC"/>
    <w:rsid w:val="00787A1B"/>
    <w:rsid w:val="007902FB"/>
    <w:rsid w:val="00795243"/>
    <w:rsid w:val="007B608D"/>
    <w:rsid w:val="007C1E06"/>
    <w:rsid w:val="007C33FF"/>
    <w:rsid w:val="007D3AE8"/>
    <w:rsid w:val="007D504D"/>
    <w:rsid w:val="007D5DEC"/>
    <w:rsid w:val="007E089D"/>
    <w:rsid w:val="007E68B6"/>
    <w:rsid w:val="007F1B1B"/>
    <w:rsid w:val="007F3296"/>
    <w:rsid w:val="007F3FB2"/>
    <w:rsid w:val="007F5145"/>
    <w:rsid w:val="007F67FF"/>
    <w:rsid w:val="007F686B"/>
    <w:rsid w:val="00801F2C"/>
    <w:rsid w:val="00812174"/>
    <w:rsid w:val="00812EFA"/>
    <w:rsid w:val="00817462"/>
    <w:rsid w:val="00825DD4"/>
    <w:rsid w:val="00842826"/>
    <w:rsid w:val="00850251"/>
    <w:rsid w:val="00852E95"/>
    <w:rsid w:val="0085509C"/>
    <w:rsid w:val="0086224B"/>
    <w:rsid w:val="008659BA"/>
    <w:rsid w:val="00880246"/>
    <w:rsid w:val="00881222"/>
    <w:rsid w:val="008A197C"/>
    <w:rsid w:val="008C4215"/>
    <w:rsid w:val="008D31E1"/>
    <w:rsid w:val="008D6398"/>
    <w:rsid w:val="008E3228"/>
    <w:rsid w:val="0090167B"/>
    <w:rsid w:val="0090382D"/>
    <w:rsid w:val="00905D22"/>
    <w:rsid w:val="00906D6B"/>
    <w:rsid w:val="0093660B"/>
    <w:rsid w:val="009459D2"/>
    <w:rsid w:val="009528F6"/>
    <w:rsid w:val="00954C85"/>
    <w:rsid w:val="0095509A"/>
    <w:rsid w:val="0096454E"/>
    <w:rsid w:val="0097143E"/>
    <w:rsid w:val="00972F7C"/>
    <w:rsid w:val="009731C0"/>
    <w:rsid w:val="00974B53"/>
    <w:rsid w:val="00980DBB"/>
    <w:rsid w:val="00980FFB"/>
    <w:rsid w:val="009902B0"/>
    <w:rsid w:val="0099106D"/>
    <w:rsid w:val="009B49DA"/>
    <w:rsid w:val="009B6BA9"/>
    <w:rsid w:val="009C2579"/>
    <w:rsid w:val="009C72FB"/>
    <w:rsid w:val="009D2284"/>
    <w:rsid w:val="009D4158"/>
    <w:rsid w:val="009E6914"/>
    <w:rsid w:val="009F7541"/>
    <w:rsid w:val="00A01280"/>
    <w:rsid w:val="00A03D00"/>
    <w:rsid w:val="00A065AF"/>
    <w:rsid w:val="00A10D0B"/>
    <w:rsid w:val="00A306EF"/>
    <w:rsid w:val="00A36237"/>
    <w:rsid w:val="00A40F6E"/>
    <w:rsid w:val="00A4122D"/>
    <w:rsid w:val="00A41A9C"/>
    <w:rsid w:val="00A47797"/>
    <w:rsid w:val="00A57F41"/>
    <w:rsid w:val="00A6243B"/>
    <w:rsid w:val="00A64EC3"/>
    <w:rsid w:val="00A71F6D"/>
    <w:rsid w:val="00A86E6D"/>
    <w:rsid w:val="00A90148"/>
    <w:rsid w:val="00A90D66"/>
    <w:rsid w:val="00A92F25"/>
    <w:rsid w:val="00A93C04"/>
    <w:rsid w:val="00A96D86"/>
    <w:rsid w:val="00A96E27"/>
    <w:rsid w:val="00A977F1"/>
    <w:rsid w:val="00AA5E85"/>
    <w:rsid w:val="00AA6500"/>
    <w:rsid w:val="00AB57DE"/>
    <w:rsid w:val="00AC24D2"/>
    <w:rsid w:val="00AD0973"/>
    <w:rsid w:val="00AD0B77"/>
    <w:rsid w:val="00AD29F6"/>
    <w:rsid w:val="00AE1E09"/>
    <w:rsid w:val="00AF2A98"/>
    <w:rsid w:val="00B03F9F"/>
    <w:rsid w:val="00B04325"/>
    <w:rsid w:val="00B11962"/>
    <w:rsid w:val="00B11BE1"/>
    <w:rsid w:val="00B12E58"/>
    <w:rsid w:val="00B23D5A"/>
    <w:rsid w:val="00B25DA6"/>
    <w:rsid w:val="00B343B8"/>
    <w:rsid w:val="00B50440"/>
    <w:rsid w:val="00B528F5"/>
    <w:rsid w:val="00B76E94"/>
    <w:rsid w:val="00B82538"/>
    <w:rsid w:val="00B92816"/>
    <w:rsid w:val="00B938A7"/>
    <w:rsid w:val="00B95FAE"/>
    <w:rsid w:val="00BA4F3C"/>
    <w:rsid w:val="00BA5A96"/>
    <w:rsid w:val="00BB12FB"/>
    <w:rsid w:val="00BB30BC"/>
    <w:rsid w:val="00BC1239"/>
    <w:rsid w:val="00BC1336"/>
    <w:rsid w:val="00BC3B21"/>
    <w:rsid w:val="00BC426F"/>
    <w:rsid w:val="00BC45FB"/>
    <w:rsid w:val="00BD2B01"/>
    <w:rsid w:val="00BD4571"/>
    <w:rsid w:val="00BD5D38"/>
    <w:rsid w:val="00BD6120"/>
    <w:rsid w:val="00BF012D"/>
    <w:rsid w:val="00BF59BF"/>
    <w:rsid w:val="00C11C66"/>
    <w:rsid w:val="00C12A61"/>
    <w:rsid w:val="00C1630D"/>
    <w:rsid w:val="00C17978"/>
    <w:rsid w:val="00C27294"/>
    <w:rsid w:val="00C30EC6"/>
    <w:rsid w:val="00C3529A"/>
    <w:rsid w:val="00C5299E"/>
    <w:rsid w:val="00C54EF3"/>
    <w:rsid w:val="00C57D8E"/>
    <w:rsid w:val="00C61AEF"/>
    <w:rsid w:val="00C649CC"/>
    <w:rsid w:val="00C6732A"/>
    <w:rsid w:val="00C74A6D"/>
    <w:rsid w:val="00C827E1"/>
    <w:rsid w:val="00C953CA"/>
    <w:rsid w:val="00C96337"/>
    <w:rsid w:val="00C971BB"/>
    <w:rsid w:val="00CA7569"/>
    <w:rsid w:val="00CB1841"/>
    <w:rsid w:val="00CB7DC5"/>
    <w:rsid w:val="00CD4ABA"/>
    <w:rsid w:val="00CD7063"/>
    <w:rsid w:val="00CF2E89"/>
    <w:rsid w:val="00D00064"/>
    <w:rsid w:val="00D14BE3"/>
    <w:rsid w:val="00D22A0D"/>
    <w:rsid w:val="00D328C4"/>
    <w:rsid w:val="00D33986"/>
    <w:rsid w:val="00D379FE"/>
    <w:rsid w:val="00D41A6C"/>
    <w:rsid w:val="00D429B9"/>
    <w:rsid w:val="00D463C0"/>
    <w:rsid w:val="00D60A1F"/>
    <w:rsid w:val="00D7498B"/>
    <w:rsid w:val="00D805FB"/>
    <w:rsid w:val="00D97A62"/>
    <w:rsid w:val="00DA2998"/>
    <w:rsid w:val="00DA3E7F"/>
    <w:rsid w:val="00DA67C0"/>
    <w:rsid w:val="00DB1C4C"/>
    <w:rsid w:val="00DB2CE5"/>
    <w:rsid w:val="00DB7353"/>
    <w:rsid w:val="00DE08DF"/>
    <w:rsid w:val="00DE430E"/>
    <w:rsid w:val="00DF1187"/>
    <w:rsid w:val="00DF3DC8"/>
    <w:rsid w:val="00E21BAF"/>
    <w:rsid w:val="00E42A73"/>
    <w:rsid w:val="00E4621A"/>
    <w:rsid w:val="00E47D04"/>
    <w:rsid w:val="00E53496"/>
    <w:rsid w:val="00E54A0F"/>
    <w:rsid w:val="00E62190"/>
    <w:rsid w:val="00E63D82"/>
    <w:rsid w:val="00E71E17"/>
    <w:rsid w:val="00E84B3A"/>
    <w:rsid w:val="00E917F8"/>
    <w:rsid w:val="00EB2D6A"/>
    <w:rsid w:val="00EB446C"/>
    <w:rsid w:val="00EB634E"/>
    <w:rsid w:val="00EB6492"/>
    <w:rsid w:val="00EB7CE7"/>
    <w:rsid w:val="00EC4FBD"/>
    <w:rsid w:val="00ED3E86"/>
    <w:rsid w:val="00EE569E"/>
    <w:rsid w:val="00EE7CFE"/>
    <w:rsid w:val="00EF4BF1"/>
    <w:rsid w:val="00F11AB2"/>
    <w:rsid w:val="00F13056"/>
    <w:rsid w:val="00F37613"/>
    <w:rsid w:val="00F47BAF"/>
    <w:rsid w:val="00F554BB"/>
    <w:rsid w:val="00F576F6"/>
    <w:rsid w:val="00F626BB"/>
    <w:rsid w:val="00F64C05"/>
    <w:rsid w:val="00F65F0F"/>
    <w:rsid w:val="00F7024E"/>
    <w:rsid w:val="00F7357C"/>
    <w:rsid w:val="00F82260"/>
    <w:rsid w:val="00F84A53"/>
    <w:rsid w:val="00F85127"/>
    <w:rsid w:val="00F95AC9"/>
    <w:rsid w:val="00F97C54"/>
    <w:rsid w:val="00FA1875"/>
    <w:rsid w:val="00FA3274"/>
    <w:rsid w:val="00FA37D6"/>
    <w:rsid w:val="00FA5336"/>
    <w:rsid w:val="00FB02F0"/>
    <w:rsid w:val="00FB16A4"/>
    <w:rsid w:val="00FB2B27"/>
    <w:rsid w:val="00FC0482"/>
    <w:rsid w:val="00FD0953"/>
    <w:rsid w:val="00FD2770"/>
    <w:rsid w:val="00FD4AE7"/>
    <w:rsid w:val="00FD715E"/>
    <w:rsid w:val="00FF528C"/>
    <w:rsid w:val="01570527"/>
    <w:rsid w:val="01C23B02"/>
    <w:rsid w:val="01F90BF8"/>
    <w:rsid w:val="0242DA94"/>
    <w:rsid w:val="034548A8"/>
    <w:rsid w:val="0355C7B8"/>
    <w:rsid w:val="048EA5E9"/>
    <w:rsid w:val="069CB4F3"/>
    <w:rsid w:val="06F321BF"/>
    <w:rsid w:val="07F776D6"/>
    <w:rsid w:val="090DA2BC"/>
    <w:rsid w:val="09C9DDE0"/>
    <w:rsid w:val="0AE4BF10"/>
    <w:rsid w:val="0AEEA730"/>
    <w:rsid w:val="0B97489E"/>
    <w:rsid w:val="0BE904F2"/>
    <w:rsid w:val="0BF95225"/>
    <w:rsid w:val="0CE88CC1"/>
    <w:rsid w:val="0E036A46"/>
    <w:rsid w:val="0E256712"/>
    <w:rsid w:val="10223B2A"/>
    <w:rsid w:val="10865E84"/>
    <w:rsid w:val="10D2C240"/>
    <w:rsid w:val="114C0B17"/>
    <w:rsid w:val="138F843F"/>
    <w:rsid w:val="1407F42F"/>
    <w:rsid w:val="15AB5504"/>
    <w:rsid w:val="16A8AFFF"/>
    <w:rsid w:val="16CF2CB5"/>
    <w:rsid w:val="19A3894E"/>
    <w:rsid w:val="1C799E7F"/>
    <w:rsid w:val="1C85AB35"/>
    <w:rsid w:val="1C8B2D55"/>
    <w:rsid w:val="1C9EA0C1"/>
    <w:rsid w:val="1D72A6A0"/>
    <w:rsid w:val="1EBEA03B"/>
    <w:rsid w:val="1ECCF1B8"/>
    <w:rsid w:val="1F981DCB"/>
    <w:rsid w:val="1FF0100D"/>
    <w:rsid w:val="20477725"/>
    <w:rsid w:val="211E958C"/>
    <w:rsid w:val="23DE04B7"/>
    <w:rsid w:val="247794BD"/>
    <w:rsid w:val="26231176"/>
    <w:rsid w:val="26D60BBC"/>
    <w:rsid w:val="27A4410D"/>
    <w:rsid w:val="2B62A784"/>
    <w:rsid w:val="2BE7B4DB"/>
    <w:rsid w:val="2CE715F0"/>
    <w:rsid w:val="2EF87F39"/>
    <w:rsid w:val="2F13C49B"/>
    <w:rsid w:val="2F40BEDF"/>
    <w:rsid w:val="30FBEEF8"/>
    <w:rsid w:val="340A3050"/>
    <w:rsid w:val="342D8E6E"/>
    <w:rsid w:val="37364167"/>
    <w:rsid w:val="382216D4"/>
    <w:rsid w:val="38B91C3C"/>
    <w:rsid w:val="39DF14CE"/>
    <w:rsid w:val="39E51913"/>
    <w:rsid w:val="3A54EC9D"/>
    <w:rsid w:val="3D8C5A8E"/>
    <w:rsid w:val="3DD6DFFC"/>
    <w:rsid w:val="3FB4B2FB"/>
    <w:rsid w:val="421B9619"/>
    <w:rsid w:val="422B702A"/>
    <w:rsid w:val="44DFEA96"/>
    <w:rsid w:val="45B13AFD"/>
    <w:rsid w:val="45C3C64D"/>
    <w:rsid w:val="4621DFD4"/>
    <w:rsid w:val="4623B831"/>
    <w:rsid w:val="467F5581"/>
    <w:rsid w:val="495B58F3"/>
    <w:rsid w:val="49D85F85"/>
    <w:rsid w:val="4A8CFD3E"/>
    <w:rsid w:val="4BAF2CC2"/>
    <w:rsid w:val="4E3007BB"/>
    <w:rsid w:val="4E8372DD"/>
    <w:rsid w:val="4EAF69A8"/>
    <w:rsid w:val="50E20CA0"/>
    <w:rsid w:val="50EA55DB"/>
    <w:rsid w:val="515AD363"/>
    <w:rsid w:val="516A5E60"/>
    <w:rsid w:val="523917E8"/>
    <w:rsid w:val="529E047F"/>
    <w:rsid w:val="5400B7D6"/>
    <w:rsid w:val="550582CF"/>
    <w:rsid w:val="56885DA4"/>
    <w:rsid w:val="57D66C98"/>
    <w:rsid w:val="58242E05"/>
    <w:rsid w:val="5AC1F14E"/>
    <w:rsid w:val="5DEE4E81"/>
    <w:rsid w:val="5F719D82"/>
    <w:rsid w:val="60273416"/>
    <w:rsid w:val="60BB58D7"/>
    <w:rsid w:val="60E26DE2"/>
    <w:rsid w:val="60E6B9D0"/>
    <w:rsid w:val="636037BA"/>
    <w:rsid w:val="64BFC0FD"/>
    <w:rsid w:val="650A9E93"/>
    <w:rsid w:val="658EC9FA"/>
    <w:rsid w:val="66E65223"/>
    <w:rsid w:val="672AD254"/>
    <w:rsid w:val="676974C4"/>
    <w:rsid w:val="69030787"/>
    <w:rsid w:val="6C487F1D"/>
    <w:rsid w:val="6D157DA7"/>
    <w:rsid w:val="6EF134F6"/>
    <w:rsid w:val="703D6E37"/>
    <w:rsid w:val="73EB0807"/>
    <w:rsid w:val="7557380A"/>
    <w:rsid w:val="76BB5ADC"/>
    <w:rsid w:val="7783E6B5"/>
    <w:rsid w:val="784535E8"/>
    <w:rsid w:val="78C02E51"/>
    <w:rsid w:val="792B766A"/>
    <w:rsid w:val="7961829E"/>
    <w:rsid w:val="7B859C47"/>
    <w:rsid w:val="7B8E7467"/>
    <w:rsid w:val="7CEEC9DE"/>
    <w:rsid w:val="7F7E6B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8DFAA5"/>
  <w15:docId w15:val="{2C4ACBA2-9AB4-4CFB-A5D0-808B3135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429B9"/>
  </w:style>
  <w:style w:type="paragraph" w:styleId="ListParagraph">
    <w:name w:val="List Paragraph"/>
    <w:basedOn w:val="Normal"/>
    <w:uiPriority w:val="34"/>
    <w:qFormat/>
    <w:rsid w:val="00D429B9"/>
    <w:pPr>
      <w:spacing w:before="0" w:after="160" w:line="259" w:lineRule="auto"/>
      <w:ind w:left="720"/>
      <w:contextualSpacing/>
      <w:jc w:val="left"/>
    </w:pPr>
    <w:rPr>
      <w:rFonts w:asciiTheme="minorHAnsi" w:hAnsiTheme="minorHAnsi" w:cstheme="minorBidi"/>
      <w:sz w:val="22"/>
    </w:rPr>
  </w:style>
  <w:style w:type="table" w:styleId="TableGrid">
    <w:name w:val="Table Grid"/>
    <w:basedOn w:val="TableNormal"/>
    <w:uiPriority w:val="59"/>
    <w:rsid w:val="00D429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uiPriority w:val="99"/>
    <w:unhideWhenUsed/>
    <w:rsid w:val="00D429B9"/>
    <w:pPr>
      <w:numPr>
        <w:numId w:val="2"/>
      </w:numPr>
      <w:contextualSpacing/>
    </w:pPr>
  </w:style>
  <w:style w:type="paragraph" w:customStyle="1" w:styleId="Style1">
    <w:name w:val="Style1"/>
    <w:basedOn w:val="Index1"/>
    <w:qFormat/>
    <w:rsid w:val="003C5EC8"/>
    <w:pPr>
      <w:numPr>
        <w:numId w:val="1"/>
      </w:numPr>
    </w:pPr>
  </w:style>
  <w:style w:type="paragraph" w:styleId="Index1">
    <w:name w:val="index 1"/>
    <w:basedOn w:val="Normal"/>
    <w:next w:val="Normal"/>
    <w:autoRedefine/>
    <w:uiPriority w:val="99"/>
    <w:semiHidden/>
    <w:unhideWhenUsed/>
    <w:rsid w:val="003C5EC8"/>
    <w:pPr>
      <w:spacing w:before="0" w:after="0"/>
      <w:ind w:left="240" w:hanging="240"/>
    </w:pPr>
  </w:style>
  <w:style w:type="paragraph" w:styleId="ListBullet">
    <w:name w:val="List Bullet"/>
    <w:basedOn w:val="Normal"/>
    <w:uiPriority w:val="99"/>
    <w:unhideWhenUsed/>
    <w:rsid w:val="00CD4ABA"/>
    <w:pPr>
      <w:numPr>
        <w:numId w:val="3"/>
      </w:numPr>
      <w:contextualSpacing/>
    </w:pPr>
  </w:style>
  <w:style w:type="paragraph" w:styleId="ListBullet2">
    <w:name w:val="List Bullet 2"/>
    <w:basedOn w:val="Normal"/>
    <w:uiPriority w:val="99"/>
    <w:unhideWhenUsed/>
    <w:rsid w:val="00CD4ABA"/>
    <w:pPr>
      <w:numPr>
        <w:numId w:val="4"/>
      </w:numPr>
      <w:contextualSpacing/>
    </w:pPr>
  </w:style>
  <w:style w:type="paragraph" w:styleId="ListBullet3">
    <w:name w:val="List Bullet 3"/>
    <w:basedOn w:val="Normal"/>
    <w:uiPriority w:val="99"/>
    <w:semiHidden/>
    <w:unhideWhenUsed/>
    <w:rsid w:val="00CD4ABA"/>
    <w:pPr>
      <w:numPr>
        <w:numId w:val="5"/>
      </w:numPr>
      <w:contextualSpacing/>
    </w:pPr>
  </w:style>
  <w:style w:type="paragraph" w:styleId="ListBullet4">
    <w:name w:val="List Bullet 4"/>
    <w:basedOn w:val="Normal"/>
    <w:uiPriority w:val="99"/>
    <w:semiHidden/>
    <w:unhideWhenUsed/>
    <w:rsid w:val="00CD4ABA"/>
    <w:pPr>
      <w:numPr>
        <w:numId w:val="6"/>
      </w:numPr>
      <w:contextualSpacing/>
    </w:pPr>
  </w:style>
  <w:style w:type="character" w:styleId="Hyperlink">
    <w:name w:val="Hyperlink"/>
    <w:aliases w:val=" Znak Znak Znak,Znak Znak Znak"/>
    <w:basedOn w:val="DefaultParagraphFont"/>
    <w:uiPriority w:val="99"/>
    <w:unhideWhenUsed/>
    <w:qFormat/>
    <w:rsid w:val="00BA5A96"/>
    <w:rPr>
      <w:color w:val="0000FF" w:themeColor="hyperlink"/>
      <w:u w:val="single"/>
    </w:rPr>
  </w:style>
  <w:style w:type="character" w:styleId="CommentReference">
    <w:name w:val="annotation reference"/>
    <w:basedOn w:val="DefaultParagraphFont"/>
    <w:uiPriority w:val="99"/>
    <w:semiHidden/>
    <w:unhideWhenUsed/>
    <w:rsid w:val="00A64EC3"/>
    <w:rPr>
      <w:sz w:val="16"/>
      <w:szCs w:val="16"/>
    </w:rPr>
  </w:style>
  <w:style w:type="paragraph" w:styleId="CommentText">
    <w:name w:val="annotation text"/>
    <w:basedOn w:val="Normal"/>
    <w:link w:val="CommentTextChar"/>
    <w:uiPriority w:val="99"/>
    <w:unhideWhenUsed/>
    <w:rsid w:val="00A64EC3"/>
    <w:rPr>
      <w:sz w:val="20"/>
      <w:szCs w:val="20"/>
    </w:rPr>
  </w:style>
  <w:style w:type="character" w:customStyle="1" w:styleId="CommentTextChar">
    <w:name w:val="Comment Text Char"/>
    <w:basedOn w:val="DefaultParagraphFont"/>
    <w:link w:val="CommentText"/>
    <w:uiPriority w:val="99"/>
    <w:rsid w:val="00A64EC3"/>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A64EC3"/>
    <w:rPr>
      <w:b/>
      <w:bCs/>
    </w:rPr>
  </w:style>
  <w:style w:type="character" w:customStyle="1" w:styleId="CommentSubjectChar">
    <w:name w:val="Comment Subject Char"/>
    <w:basedOn w:val="CommentTextChar"/>
    <w:link w:val="CommentSubject"/>
    <w:uiPriority w:val="99"/>
    <w:semiHidden/>
    <w:rsid w:val="00A64EC3"/>
    <w:rPr>
      <w:rFonts w:ascii="Times New Roman" w:hAnsi="Times New Roman" w:cs="Times New Roman"/>
      <w:b/>
      <w:bCs/>
      <w:sz w:val="20"/>
      <w:szCs w:val="20"/>
      <w:lang w:val="el-GR"/>
    </w:rPr>
  </w:style>
  <w:style w:type="paragraph" w:styleId="BalloonText">
    <w:name w:val="Balloon Text"/>
    <w:basedOn w:val="Normal"/>
    <w:link w:val="BalloonTextChar"/>
    <w:uiPriority w:val="99"/>
    <w:semiHidden/>
    <w:unhideWhenUsed/>
    <w:rsid w:val="00A64EC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C3"/>
    <w:rPr>
      <w:rFonts w:ascii="Segoe UI" w:hAnsi="Segoe UI" w:cs="Segoe UI"/>
      <w:sz w:val="18"/>
      <w:szCs w:val="18"/>
      <w:lang w:val="el-GR"/>
    </w:rPr>
  </w:style>
  <w:style w:type="character" w:customStyle="1" w:styleId="UnresolvedMention1">
    <w:name w:val="Unresolved Mention1"/>
    <w:basedOn w:val="DefaultParagraphFont"/>
    <w:uiPriority w:val="99"/>
    <w:semiHidden/>
    <w:unhideWhenUsed/>
    <w:rsid w:val="0004286E"/>
    <w:rPr>
      <w:color w:val="605E5C"/>
      <w:shd w:val="clear" w:color="auto" w:fill="E1DFDD"/>
    </w:rPr>
  </w:style>
  <w:style w:type="paragraph" w:styleId="Revision">
    <w:name w:val="Revision"/>
    <w:hidden/>
    <w:uiPriority w:val="99"/>
    <w:semiHidden/>
    <w:rsid w:val="00376F98"/>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1B21C0"/>
    <w:rPr>
      <w:color w:val="800080" w:themeColor="followedHyperlink"/>
      <w:u w:val="single"/>
    </w:rPr>
  </w:style>
  <w:style w:type="character" w:customStyle="1" w:styleId="UnresolvedMention2">
    <w:name w:val="Unresolved Mention2"/>
    <w:basedOn w:val="DefaultParagraphFont"/>
    <w:uiPriority w:val="99"/>
    <w:semiHidden/>
    <w:unhideWhenUsed/>
    <w:rsid w:val="00077264"/>
    <w:rPr>
      <w:color w:val="605E5C"/>
      <w:shd w:val="clear" w:color="auto" w:fill="E1DFDD"/>
    </w:rPr>
  </w:style>
  <w:style w:type="character" w:customStyle="1" w:styleId="UnresolvedMention3">
    <w:name w:val="Unresolved Mention3"/>
    <w:basedOn w:val="DefaultParagraphFont"/>
    <w:uiPriority w:val="99"/>
    <w:semiHidden/>
    <w:unhideWhenUsed/>
    <w:rsid w:val="00C827E1"/>
    <w:rPr>
      <w:color w:val="605E5C"/>
      <w:shd w:val="clear" w:color="auto" w:fill="E1DFDD"/>
    </w:rPr>
  </w:style>
  <w:style w:type="character" w:customStyle="1" w:styleId="UnresolvedMention">
    <w:name w:val="Unresolved Mention"/>
    <w:basedOn w:val="DefaultParagraphFont"/>
    <w:uiPriority w:val="99"/>
    <w:semiHidden/>
    <w:unhideWhenUsed/>
    <w:rsid w:val="008C4215"/>
    <w:rPr>
      <w:color w:val="605E5C"/>
      <w:shd w:val="clear" w:color="auto" w:fill="E1DFDD"/>
    </w:rPr>
  </w:style>
  <w:style w:type="character" w:customStyle="1" w:styleId="Mention">
    <w:name w:val="Mention"/>
    <w:basedOn w:val="DefaultParagraphFont"/>
    <w:uiPriority w:val="99"/>
    <w:unhideWhenUsed/>
    <w:rsid w:val="00361EEC"/>
    <w:rPr>
      <w:color w:val="2B579A"/>
      <w:shd w:val="clear" w:color="auto" w:fill="E1DFDD"/>
    </w:rPr>
  </w:style>
  <w:style w:type="paragraph" w:styleId="ListNumber2">
    <w:name w:val="List Number 2"/>
    <w:basedOn w:val="Normal"/>
    <w:uiPriority w:val="99"/>
    <w:unhideWhenUsed/>
    <w:rsid w:val="005E5908"/>
    <w:pPr>
      <w:numPr>
        <w:numId w:val="8"/>
      </w:numPr>
      <w:contextualSpacing/>
    </w:pPr>
  </w:style>
  <w:style w:type="character" w:customStyle="1" w:styleId="HeaderChar">
    <w:name w:val="Header Char"/>
    <w:basedOn w:val="DefaultParagraphFont"/>
    <w:link w:val="Header"/>
    <w:uiPriority w:val="99"/>
    <w:rsid w:val="00022660"/>
    <w:rPr>
      <w:rFonts w:ascii="Times New Roman" w:hAnsi="Times New Roman" w:cs="Times New Roman"/>
      <w:sz w:val="24"/>
      <w:lang w:val="el-GR"/>
    </w:rPr>
  </w:style>
  <w:style w:type="character" w:customStyle="1" w:styleId="FooterChar">
    <w:name w:val="Footer Char"/>
    <w:basedOn w:val="DefaultParagraphFont"/>
    <w:link w:val="Footer"/>
    <w:uiPriority w:val="99"/>
    <w:rsid w:val="00022660"/>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2266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22660"/>
    <w:pPr>
      <w:spacing w:before="0"/>
      <w:jc w:val="right"/>
    </w:pPr>
    <w:rPr>
      <w:sz w:val="28"/>
    </w:rPr>
  </w:style>
  <w:style w:type="paragraph" w:customStyle="1" w:styleId="FooterSensitivity">
    <w:name w:val="Footer Sensitivity"/>
    <w:basedOn w:val="Normal"/>
    <w:rsid w:val="0002266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Tiret5">
    <w:name w:val="Tiret 5"/>
    <w:basedOn w:val="Point5"/>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NumPar5">
    <w:name w:val="NumPar 5"/>
    <w:basedOn w:val="Normal"/>
    <w:next w:val="Text2"/>
    <w:pPr>
      <w:numPr>
        <w:ilvl w:val="4"/>
        <w:numId w:val="31"/>
      </w:numPr>
    </w:pPr>
  </w:style>
  <w:style w:type="paragraph" w:customStyle="1" w:styleId="NumPar6">
    <w:name w:val="NumPar 6"/>
    <w:basedOn w:val="Normal"/>
    <w:next w:val="Text2"/>
    <w:pPr>
      <w:numPr>
        <w:ilvl w:val="5"/>
        <w:numId w:val="31"/>
      </w:numPr>
    </w:pPr>
  </w:style>
  <w:style w:type="paragraph" w:customStyle="1" w:styleId="NumPar7">
    <w:name w:val="NumPar 7"/>
    <w:basedOn w:val="Normal"/>
    <w:next w:val="Text2"/>
    <w:pPr>
      <w:numPr>
        <w:ilvl w:val="6"/>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022660"/>
    <w:pPr>
      <w:tabs>
        <w:tab w:val="center" w:pos="4535"/>
        <w:tab w:val="right" w:pos="9071"/>
      </w:tabs>
      <w:spacing w:before="0"/>
    </w:pPr>
  </w:style>
  <w:style w:type="paragraph" w:customStyle="1" w:styleId="HeaderLandscape">
    <w:name w:val="HeaderLandscape"/>
    <w:basedOn w:val="Normal"/>
    <w:rsid w:val="00022660"/>
    <w:pPr>
      <w:tabs>
        <w:tab w:val="center" w:pos="7285"/>
        <w:tab w:val="right" w:pos="14003"/>
      </w:tabs>
      <w:spacing w:before="0"/>
    </w:pPr>
  </w:style>
  <w:style w:type="paragraph" w:styleId="Footer">
    <w:name w:val="footer"/>
    <w:basedOn w:val="Normal"/>
    <w:link w:val="FooterChar"/>
    <w:uiPriority w:val="99"/>
    <w:unhideWhenUsed/>
    <w:rsid w:val="00022660"/>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022660"/>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el/ALL/?uri=CELEX:32001L0018" TargetMode="External"/><Relationship Id="rId117" Type="http://schemas.openxmlformats.org/officeDocument/2006/relationships/hyperlink" Target="https://eur-lex.europa.eu/legal-content/EL/TXT/?uri=CELEX%3A02009L0148-20190726" TargetMode="External"/><Relationship Id="rId21" Type="http://schemas.openxmlformats.org/officeDocument/2006/relationships/hyperlink" Target="https://eur-lex.europa.eu/legal-content/EL/TXT/?uri=CELEX%3A01994L0062-20180704" TargetMode="External"/><Relationship Id="rId42" Type="http://schemas.openxmlformats.org/officeDocument/2006/relationships/hyperlink" Target="http://eur-lex.europa.eu/legal-content/EL/ALL/?uri=CELEX:02006R1924-20121129" TargetMode="External"/><Relationship Id="rId47" Type="http://schemas.openxmlformats.org/officeDocument/2006/relationships/hyperlink" Target="https://eur-lex.europa.eu/legal-content/EL/TXT/?uri=CELEX%3A02008L0050-20150918" TargetMode="External"/><Relationship Id="rId63" Type="http://schemas.openxmlformats.org/officeDocument/2006/relationships/hyperlink" Target="https://eur-lex.europa.eu/legal-content/EL/TXT/?uri=CELEX%3A02009R1221-20190109" TargetMode="External"/><Relationship Id="rId68" Type="http://schemas.openxmlformats.org/officeDocument/2006/relationships/hyperlink" Target="https://eur-lex.europa.eu/legal-content/EL/TXT/?uri=celex%3A32011R1169" TargetMode="External"/><Relationship Id="rId84" Type="http://schemas.openxmlformats.org/officeDocument/2006/relationships/hyperlink" Target="https://eur-lex.europa.eu/legal-content/EL/TXT/?uri=CELEX%3A02019R1021-20221213" TargetMode="External"/><Relationship Id="rId89" Type="http://schemas.openxmlformats.org/officeDocument/2006/relationships/header" Target="header5.xml"/><Relationship Id="rId112" Type="http://schemas.openxmlformats.org/officeDocument/2006/relationships/hyperlink" Target="https://eur-lex.europa.eu/legal-content/EL/TXT/?uri=CELEX%3A02009L0032-20230216" TargetMode="External"/><Relationship Id="rId16" Type="http://schemas.openxmlformats.org/officeDocument/2006/relationships/header" Target="header3.xml"/><Relationship Id="rId107" Type="http://schemas.openxmlformats.org/officeDocument/2006/relationships/hyperlink" Target="https://eur-lex.europa.eu/legal-content/EL/TXT/?uri=CELEX%3A02008R1331-20210327" TargetMode="External"/><Relationship Id="rId11" Type="http://schemas.openxmlformats.org/officeDocument/2006/relationships/image" Target="media/image1.emf"/><Relationship Id="rId32" Type="http://schemas.openxmlformats.org/officeDocument/2006/relationships/hyperlink" Target="https://eur-lex.europa.eu/legal-content/EL/ALL/?uri=CELEX:32003R2065" TargetMode="External"/><Relationship Id="rId37" Type="http://schemas.openxmlformats.org/officeDocument/2006/relationships/hyperlink" Target="https://eur-lex.europa.eu/legal-content/EL/TXT/?uri=CELEX%3A02004L0107-20150918" TargetMode="External"/><Relationship Id="rId53" Type="http://schemas.openxmlformats.org/officeDocument/2006/relationships/hyperlink" Target="https://eur-lex.europa.eu/legal-content/EL/TXT/?uri=CELEX%3A02008R1333-20230322" TargetMode="External"/><Relationship Id="rId58" Type="http://schemas.openxmlformats.org/officeDocument/2006/relationships/hyperlink" Target="https://eur-lex.europa.eu/legal-content/EL/TXT/?uri=CELEX%3A02009L0048-20221205" TargetMode="External"/><Relationship Id="rId74" Type="http://schemas.openxmlformats.org/officeDocument/2006/relationships/hyperlink" Target="https://eur-lex.europa.eu/legal-content/EL/TXT/?uri=celex%3A32014L0028" TargetMode="External"/><Relationship Id="rId79" Type="http://schemas.openxmlformats.org/officeDocument/2006/relationships/hyperlink" Target="https://eur-lex.europa.eu/legal-content/EL/TXT/?uri=CELEX%3A02017R0625-20220128" TargetMode="External"/><Relationship Id="rId102" Type="http://schemas.openxmlformats.org/officeDocument/2006/relationships/hyperlink" Target="https://eur-lex.europa.eu/legal-content/EL/TXT/?uri=CELEX%3A02006L0118-20140711" TargetMode="External"/><Relationship Id="rId123" Type="http://schemas.openxmlformats.org/officeDocument/2006/relationships/hyperlink" Target="https://eur-lex.europa.eu/eli/dir/2020/2184/oj" TargetMode="External"/><Relationship Id="rId5" Type="http://schemas.openxmlformats.org/officeDocument/2006/relationships/numbering" Target="numbering.xml"/><Relationship Id="rId61" Type="http://schemas.openxmlformats.org/officeDocument/2006/relationships/hyperlink" Target="https://eur-lex.europa.eu/legal-content/EL/TXT/?uri=CELEX%3A02009L0128-20190726" TargetMode="External"/><Relationship Id="rId82" Type="http://schemas.openxmlformats.org/officeDocument/2006/relationships/hyperlink" Target="https://eur-lex.europa.eu/legal-content/EL/TXT/?uri=uriserv:OJ.L_.2019.004.01.0001.01.ENG" TargetMode="External"/><Relationship Id="rId90" Type="http://schemas.openxmlformats.org/officeDocument/2006/relationships/footer" Target="footer6.xml"/><Relationship Id="rId95" Type="http://schemas.openxmlformats.org/officeDocument/2006/relationships/hyperlink" Target="https://eur-lex.europa.eu/legal-content/EL/TXT/?uri=CELEX%3A02000L0053-20230330" TargetMode="External"/><Relationship Id="rId19" Type="http://schemas.openxmlformats.org/officeDocument/2006/relationships/hyperlink" Target="https://eur-lex.europa.eu/legal-content/EL/TXT/?uri=CELEX%3A01991L0676-20081211" TargetMode="External"/><Relationship Id="rId14" Type="http://schemas.openxmlformats.org/officeDocument/2006/relationships/footer" Target="footer1.xml"/><Relationship Id="rId22" Type="http://schemas.openxmlformats.org/officeDocument/2006/relationships/hyperlink" Target="https://eur-lex.europa.eu/legal-content/EL/TXT/?uri=CELEX%3A01998L0024-20190726" TargetMode="External"/><Relationship Id="rId27" Type="http://schemas.openxmlformats.org/officeDocument/2006/relationships/hyperlink" Target="https://eur-lex.europa.eu/legal-content/EL/TXT/HTML/?uri=CELEX:02002R0178-20220701" TargetMode="External"/><Relationship Id="rId30" Type="http://schemas.openxmlformats.org/officeDocument/2006/relationships/hyperlink" Target="http://eur-lex.europa.eu/legal-content/EL/ALL/?uri=CELEX:32003R1829" TargetMode="External"/><Relationship Id="rId35" Type="http://schemas.openxmlformats.org/officeDocument/2006/relationships/hyperlink" Target="https://eur-lex.europa.eu/legal-content/EL/TXT/?uri=CELEX%3A02004R0852-20090420" TargetMode="External"/><Relationship Id="rId43" Type="http://schemas.openxmlformats.org/officeDocument/2006/relationships/hyperlink" Target="https://eur-lex.europa.eu/legal-content/EL/TXT/?uri=CELEX%3A02006R1925-20221221" TargetMode="External"/><Relationship Id="rId48" Type="http://schemas.openxmlformats.org/officeDocument/2006/relationships/hyperlink" Target="https://eur-lex.europa.eu/legal-content/EL/TXT/?uri=CELEX%3A02008L0098-20180705" TargetMode="External"/><Relationship Id="rId56" Type="http://schemas.openxmlformats.org/officeDocument/2006/relationships/hyperlink" Target="https://eur-lex.europa.eu/legal-content/EL/TXT/HTML/?uri=CELEX:02009R0401-20210729" TargetMode="External"/><Relationship Id="rId64" Type="http://schemas.openxmlformats.org/officeDocument/2006/relationships/hyperlink" Target="https://eur-lex.europa.eu/legal-content/EL/TXT/?uri=CELEX%3A02009R1223-20221217" TargetMode="External"/><Relationship Id="rId69" Type="http://schemas.openxmlformats.org/officeDocument/2006/relationships/hyperlink" Target="https://eur-lex.europa.eu/legal-content/EL/TXT/?uri=CELEX%3A02012R0528-20220415" TargetMode="External"/><Relationship Id="rId77" Type="http://schemas.openxmlformats.org/officeDocument/2006/relationships/hyperlink" Target="https://eur-lex.europa.eu/legal-content/EL/TXT/?uri=CELEX%3A02015R2283-20210327" TargetMode="External"/><Relationship Id="rId100" Type="http://schemas.openxmlformats.org/officeDocument/2006/relationships/hyperlink" Target="https://eur-lex.europa.eu/legal-content/EL/TXT/?uri=CELEX%3A02004L0107-20150918" TargetMode="External"/><Relationship Id="rId105" Type="http://schemas.openxmlformats.org/officeDocument/2006/relationships/hyperlink" Target="https://eur-lex.europa.eu/legal-content/EL/TXT/?uri=CELEX%3A02008L0105-20130913" TargetMode="External"/><Relationship Id="rId113" Type="http://schemas.openxmlformats.org/officeDocument/2006/relationships/hyperlink" Target="https://eur-lex.europa.eu/legal-content/EL/TXT/PDF/?uri=CELEX:02009L0125-20121204&amp;from=EN" TargetMode="External"/><Relationship Id="rId118" Type="http://schemas.openxmlformats.org/officeDocument/2006/relationships/hyperlink" Target="https://eur-lex.europa.eu/legal-content/EL/TXT/?uri=CELEX%3A02009R1223-20221217" TargetMode="External"/><Relationship Id="rId8" Type="http://schemas.openxmlformats.org/officeDocument/2006/relationships/webSettings" Target="webSettings.xml"/><Relationship Id="rId51" Type="http://schemas.openxmlformats.org/officeDocument/2006/relationships/hyperlink" Target="https://eur-lex.europa.eu/legal-content/EL/TXT/?uri=CELEX%3A02008R1331-20210327" TargetMode="External"/><Relationship Id="rId72" Type="http://schemas.openxmlformats.org/officeDocument/2006/relationships/hyperlink" Target="https://eur-lex.europa.eu/legal-content/EL/TXT/?uri=CELEX%3A02012R0649-20220701" TargetMode="External"/><Relationship Id="rId80" Type="http://schemas.openxmlformats.org/officeDocument/2006/relationships/hyperlink" Target="https://eur-lex.europa.eu/legal-content/EL/TXT/HTML/?uri=CELEX:02017R0745-20230320" TargetMode="External"/><Relationship Id="rId85" Type="http://schemas.openxmlformats.org/officeDocument/2006/relationships/hyperlink" Target="https://eur-lex.europa.eu/eli/dir/2020/2184/oj" TargetMode="External"/><Relationship Id="rId93" Type="http://schemas.openxmlformats.org/officeDocument/2006/relationships/hyperlink" Target="https://eur-lex.europa.eu/legal-content/EL/TXT/?uri=CELEX%3A02004L0037-20140325" TargetMode="External"/><Relationship Id="rId98" Type="http://schemas.openxmlformats.org/officeDocument/2006/relationships/hyperlink" Target="https://eur-lex.europa.eu/legal-content/EL/TXT/?uri=CELEX%3A02003R1831-20210327" TargetMode="External"/><Relationship Id="rId121" Type="http://schemas.openxmlformats.org/officeDocument/2006/relationships/hyperlink" Target="https://eur-lex.europa.eu/legal-content/EL/TXT/?uri=uriserv:OJ.L_.2019.004.01.0001.01.ENG"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ur-lex.europa.eu/legal-content/EL/TXT/?uri=CELEX%3A02000L0060-20141120" TargetMode="External"/><Relationship Id="rId33" Type="http://schemas.openxmlformats.org/officeDocument/2006/relationships/hyperlink" Target="https://eur-lex.europa.eu/legal-content/EL/TXT/?uri=CELEX%3A02004R0853-20210101" TargetMode="External"/><Relationship Id="rId38" Type="http://schemas.openxmlformats.org/officeDocument/2006/relationships/hyperlink" Target="https://eur-lex.europa.eu/legal-content/EL/TXT/?uri=CELEX%3A02005R0396-20230228" TargetMode="External"/><Relationship Id="rId46" Type="http://schemas.openxmlformats.org/officeDocument/2006/relationships/hyperlink" Target="https://eur-lex.europa.eu/legal-content/EL/TXT/?uri=CELEX%3A02008L0056-20170607" TargetMode="External"/><Relationship Id="rId59" Type="http://schemas.openxmlformats.org/officeDocument/2006/relationships/hyperlink" Target="https://eur-lex.europa.eu/legal-content/EN/TXT/?uri=CELEX%3A02009R1069-20191214" TargetMode="External"/><Relationship Id="rId67" Type="http://schemas.openxmlformats.org/officeDocument/2006/relationships/hyperlink" Target="https://eur-lex.europa.eu/legal-content/EL/TXT/HTML/?uri=CELEX:02011L0065-20230301" TargetMode="External"/><Relationship Id="rId103" Type="http://schemas.openxmlformats.org/officeDocument/2006/relationships/hyperlink" Target="https://eur-lex.europa.eu/legal-content/EL/TXT/HTML/?uri=CELEX:02006R1907-20221217" TargetMode="External"/><Relationship Id="rId108" Type="http://schemas.openxmlformats.org/officeDocument/2006/relationships/hyperlink" Target="https://eur-lex.europa.eu/legal-content/EL/TXT/?uri=CELEX%3A02008R1332-20121203" TargetMode="External"/><Relationship Id="rId116" Type="http://schemas.openxmlformats.org/officeDocument/2006/relationships/hyperlink" Target="https://eur-lex.europa.eu/legal-content/EL/TXT/?uri=CELEX%3A02009R1107-20221121" TargetMode="External"/><Relationship Id="rId124" Type="http://schemas.openxmlformats.org/officeDocument/2006/relationships/fontTable" Target="fontTable.xml"/><Relationship Id="rId20" Type="http://schemas.openxmlformats.org/officeDocument/2006/relationships/hyperlink" Target="https://eur-lex.europa.eu/legal-content/EL/TXT/?uri=CELEX%3A01993R0315-20090807" TargetMode="External"/><Relationship Id="rId41" Type="http://schemas.openxmlformats.org/officeDocument/2006/relationships/hyperlink" Target="https://eur-lex.europa.eu/legal-content/EL/TXT/HTML/?uri=CELEX:02006R1907-20221217" TargetMode="External"/><Relationship Id="rId54" Type="http://schemas.openxmlformats.org/officeDocument/2006/relationships/hyperlink" Target="https://eur-lex.europa.eu/legal-content/EL/TXT/?uri=CELEX%3A02008R1334-20230321" TargetMode="External"/><Relationship Id="rId62" Type="http://schemas.openxmlformats.org/officeDocument/2006/relationships/hyperlink" Target="https://eur-lex.europa.eu/legal-content/EL/TXT/?uri=CELEX%3A02009L0148-20190726" TargetMode="External"/><Relationship Id="rId70" Type="http://schemas.openxmlformats.org/officeDocument/2006/relationships/hyperlink" Target="https://eur-lex.europa.eu/legal-content/EL/TXT/?uri=CELEX%3A32012L0018" TargetMode="External"/><Relationship Id="rId75" Type="http://schemas.openxmlformats.org/officeDocument/2006/relationships/hyperlink" Target="https://eur-lex.europa.eu/legal-content/EL/TXT/?uri=CELEX%3A02014L0040-20150106" TargetMode="External"/><Relationship Id="rId83" Type="http://schemas.openxmlformats.org/officeDocument/2006/relationships/hyperlink" Target="https://eur-lex.europa.eu/legal-content/EL/TXT/?uri=CELEX%3A02019R1009-20230316" TargetMode="External"/><Relationship Id="rId88" Type="http://schemas.openxmlformats.org/officeDocument/2006/relationships/footer" Target="footer5.xml"/><Relationship Id="rId91" Type="http://schemas.openxmlformats.org/officeDocument/2006/relationships/hyperlink" Target="https://eur-lex.europa.eu/legal-content/EL/TXT/?uri=CELEX%3A01993R0315-20090807" TargetMode="External"/><Relationship Id="rId96" Type="http://schemas.openxmlformats.org/officeDocument/2006/relationships/hyperlink" Target="https://eur-lex.europa.eu/legal-content/EL/TXT/HTML/?uri=CELEX:02002R0178-20220701" TargetMode="External"/><Relationship Id="rId111" Type="http://schemas.openxmlformats.org/officeDocument/2006/relationships/hyperlink" Target="https://eur-lex.europa.eu/legal-content/EL/TXT/?uri=CELEX%3A02008R1331-2021032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ur-lex.europa.eu/legal-content/EL/TXT/?uri=CELEX%3A02004L0037-20140325" TargetMode="External"/><Relationship Id="rId28" Type="http://schemas.openxmlformats.org/officeDocument/2006/relationships/hyperlink" Target="https://eur-lex.europa.eu/legal-content/EL/TXT/?uri=CELEX%3A02002L0032-20191128" TargetMode="External"/><Relationship Id="rId36" Type="http://schemas.openxmlformats.org/officeDocument/2006/relationships/hyperlink" Target="https://eur-lex.europa.eu/legal-content/EL/TXT/?uri=CELEX%3A02004R1935-20210327" TargetMode="External"/><Relationship Id="rId49" Type="http://schemas.openxmlformats.org/officeDocument/2006/relationships/hyperlink" Target="https://eur-lex.europa.eu/legal-content/EL/TXT/?uri=CELEX%3A02008L0105-20130913" TargetMode="External"/><Relationship Id="rId57" Type="http://schemas.openxmlformats.org/officeDocument/2006/relationships/hyperlink" Target="https://eur-lex.europa.eu/legal-content/EL/TXT/?uri=CELEX%3A02009L0032-20230216" TargetMode="External"/><Relationship Id="rId106" Type="http://schemas.openxmlformats.org/officeDocument/2006/relationships/hyperlink" Target="https://eur-lex.europa.eu/legal-content/EL/TXT/?uri=CELEX%3A02008R1272-20221217" TargetMode="External"/><Relationship Id="rId114" Type="http://schemas.openxmlformats.org/officeDocument/2006/relationships/hyperlink" Target="https://eur-lex.europa.eu/legal-content/EL/TXT/?uri=CELEX%3A02009L0048-20221205" TargetMode="External"/><Relationship Id="rId119" Type="http://schemas.openxmlformats.org/officeDocument/2006/relationships/hyperlink" Target="https://eur-lex.europa.eu/legal-content/EL/TXT/HTML/?uri=CELEX:02011L0065-20230301" TargetMode="External"/><Relationship Id="rId10" Type="http://schemas.openxmlformats.org/officeDocument/2006/relationships/endnotes" Target="endnotes.xml"/><Relationship Id="rId31" Type="http://schemas.openxmlformats.org/officeDocument/2006/relationships/hyperlink" Target="https://eur-lex.europa.eu/legal-content/EL/TXT/?uri=CELEX%3A02003R1831-20210327" TargetMode="External"/><Relationship Id="rId44" Type="http://schemas.openxmlformats.org/officeDocument/2006/relationships/hyperlink" Target="https://eur-lex.europa.eu/legal-content/EL/TXT/?uri=CELEX%3A02007L0002-20190626" TargetMode="External"/><Relationship Id="rId52" Type="http://schemas.openxmlformats.org/officeDocument/2006/relationships/hyperlink" Target="https://eur-lex.europa.eu/legal-content/EL/TXT/?uri=CELEX%3A02008R1332-20121203" TargetMode="External"/><Relationship Id="rId60" Type="http://schemas.openxmlformats.org/officeDocument/2006/relationships/hyperlink" Target="https://eur-lex.europa.eu/legal-content/EL/TXT/?uri=CELEX%3A02009R1107-20221121" TargetMode="External"/><Relationship Id="rId65" Type="http://schemas.openxmlformats.org/officeDocument/2006/relationships/hyperlink" Target="https://eur-lex.europa.eu/legal-content/EL/TXT/?uri=CELEX%3A02010L0075-20110106" TargetMode="External"/><Relationship Id="rId73" Type="http://schemas.openxmlformats.org/officeDocument/2006/relationships/hyperlink" Target="http://eur-lex.europa.eu/legal-content/EL/ALL/?uri=uriserv:OJ.L_.2013.181.01.0035.01.ENG" TargetMode="External"/><Relationship Id="rId78" Type="http://schemas.openxmlformats.org/officeDocument/2006/relationships/hyperlink" Target="https://eur-lex.europa.eu/legal-content/EL/TXT/?uri=uriserv:OJ.L_.2016.344.01.0001.01.ENG" TargetMode="External"/><Relationship Id="rId81" Type="http://schemas.openxmlformats.org/officeDocument/2006/relationships/hyperlink" Target="https://eur-lex.europa.eu/legal-content/EL/TXT/?uri=CELEX%3A02017R0852-20221225" TargetMode="External"/><Relationship Id="rId86" Type="http://schemas.openxmlformats.org/officeDocument/2006/relationships/header" Target="header4.xml"/><Relationship Id="rId94" Type="http://schemas.openxmlformats.org/officeDocument/2006/relationships/hyperlink" Target="https://eur-lex.europa.eu/legal-content/EL/TXT/?uri=CELEX%3A01998L0024-20190726" TargetMode="External"/><Relationship Id="rId99" Type="http://schemas.openxmlformats.org/officeDocument/2006/relationships/hyperlink" Target="https://eur-lex.europa.eu/legal-content/EL/TXT/?uri=CELEX%3A02004R1935-20210327" TargetMode="External"/><Relationship Id="rId101" Type="http://schemas.openxmlformats.org/officeDocument/2006/relationships/hyperlink" Target="https://eur-lex.europa.eu/legal-content/EL/TXT/?uri=CELEX%3A02005R0396-20230228" TargetMode="External"/><Relationship Id="rId122" Type="http://schemas.openxmlformats.org/officeDocument/2006/relationships/hyperlink" Target="https://eur-lex.europa.eu/legal-content/EL/TXT/?uri=CELEX%3A02019R1021-2022121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eur-lex.europa.eu/legal-content/EL/TXT/?uri=CELEX%3A01991L0271-20140101" TargetMode="External"/><Relationship Id="rId39" Type="http://schemas.openxmlformats.org/officeDocument/2006/relationships/hyperlink" Target="https://eur-lex.europa.eu/legal-content/EL/TXT/?uri=CELEX%3A02006R0166-20200101" TargetMode="External"/><Relationship Id="rId109" Type="http://schemas.openxmlformats.org/officeDocument/2006/relationships/hyperlink" Target="https://eur-lex.europa.eu/legal-content/EL/TXT/?uri=CELEX%3A02008R1333-20230322" TargetMode="External"/><Relationship Id="rId34" Type="http://schemas.openxmlformats.org/officeDocument/2006/relationships/hyperlink" Target="https://eur-lex.europa.eu/legal-content/EL/TXT/?uri=CELEX%3A02004R0648-20150601" TargetMode="External"/><Relationship Id="rId50" Type="http://schemas.openxmlformats.org/officeDocument/2006/relationships/hyperlink" Target="https://eur-lex.europa.eu/legal-content/EL/TXT/?uri=CELEX%3A02008R1272-20221217" TargetMode="External"/><Relationship Id="rId55" Type="http://schemas.openxmlformats.org/officeDocument/2006/relationships/hyperlink" Target="https://eur-lex.europa.eu/legal-content/EL/TXT/PDF/?uri=CELEX:02009L0125-20121204&amp;from=EN" TargetMode="External"/><Relationship Id="rId76" Type="http://schemas.openxmlformats.org/officeDocument/2006/relationships/hyperlink" Target="https://eur-lex.europa.eu/legal-content/EL/TXT/?uri=CELEX%3A32014R0517" TargetMode="External"/><Relationship Id="rId97" Type="http://schemas.openxmlformats.org/officeDocument/2006/relationships/hyperlink" Target="https://eur-lex.europa.eu/legal-content/EL/TXT/?uri=CELEX%3A02002L0032-20191128" TargetMode="External"/><Relationship Id="rId104" Type="http://schemas.openxmlformats.org/officeDocument/2006/relationships/hyperlink" Target="https://eur-lex.europa.eu/legal-content/EL/TXT/?uri=CELEX%3A32012L0019&amp;qid=1694095112682" TargetMode="External"/><Relationship Id="rId120" Type="http://schemas.openxmlformats.org/officeDocument/2006/relationships/hyperlink" Target="https://eur-lex.europa.eu/legal-content/EL/TXT/?uri=CELEX%3A02012R0528-20220415"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ur-lex.europa.eu/legal-content/EL/TXT/?uri=CELEX%3A32012L0019&amp;qid=1694095112682" TargetMode="External"/><Relationship Id="rId92" Type="http://schemas.openxmlformats.org/officeDocument/2006/relationships/hyperlink" Target="https://eur-lex.europa.eu/legal-content/EL/TXT/?uri=CELEX%3A01994L0062-20180704" TargetMode="External"/><Relationship Id="rId2" Type="http://schemas.openxmlformats.org/officeDocument/2006/relationships/customXml" Target="../customXml/item2.xml"/><Relationship Id="rId29" Type="http://schemas.openxmlformats.org/officeDocument/2006/relationships/hyperlink" Target="https://eur-lex.europa.eu/legal-content/EL/TXT/?uri=CELEX%3A02002L0046-20220930" TargetMode="External"/><Relationship Id="rId24" Type="http://schemas.openxmlformats.org/officeDocument/2006/relationships/hyperlink" Target="https://eur-lex.europa.eu/legal-content/EL/TXT/?uri=CELEX%3A02000L0053-20230330" TargetMode="External"/><Relationship Id="rId40" Type="http://schemas.openxmlformats.org/officeDocument/2006/relationships/hyperlink" Target="https://eur-lex.europa.eu/legal-content/EL/TXT/?uri=CELEX%3A02006L0118-20140711" TargetMode="External"/><Relationship Id="rId45" Type="http://schemas.openxmlformats.org/officeDocument/2006/relationships/hyperlink" Target="https://eur-lex.europa.eu/legal-content/EL/ALL/?uri=CELEX:32008R0108" TargetMode="External"/><Relationship Id="rId66" Type="http://schemas.openxmlformats.org/officeDocument/2006/relationships/hyperlink" Target="https://eur-lex.europa.eu/legal-content/EL/TXT/?uri=CELEX%3A02010R0066-20171114" TargetMode="External"/><Relationship Id="rId87" Type="http://schemas.openxmlformats.org/officeDocument/2006/relationships/footer" Target="footer4.xml"/><Relationship Id="rId110" Type="http://schemas.openxmlformats.org/officeDocument/2006/relationships/hyperlink" Target="https://eur-lex.europa.eu/legal-content/EL/TXT/?uri=CELEX%3A02008R1334-20230321" TargetMode="External"/><Relationship Id="rId115" Type="http://schemas.openxmlformats.org/officeDocument/2006/relationships/hyperlink" Target="https://eur-lex.europa.eu/legal-content/EL/TXT/?uri=celex%3A32009R1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7" ma:contentTypeDescription="Create a new document." ma:contentTypeScope="" ma:versionID="10deb79d14eaeeed0c953ddf0bbd8776">
  <xsd:schema xmlns:xsd="http://www.w3.org/2001/XMLSchema" xmlns:xs="http://www.w3.org/2001/XMLSchema" xmlns:p="http://schemas.microsoft.com/office/2006/metadata/properties" xmlns:ns2="65364dff-70db-4bc7-8648-010248a19ac0" targetNamespace="http://schemas.microsoft.com/office/2006/metadata/properties" ma:root="true" ma:fieldsID="f81f0e2a177fa802e81c45fe2530fa57" ns2:_="">
    <xsd:import namespace="65364dff-70db-4bc7-8648-010248a19a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9993-CDFA-493B-9B26-CFCB02973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03F72-C1D6-42BB-A280-2673E599DDD8}">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65364dff-70db-4bc7-8648-010248a19ac0"/>
    <ds:schemaRef ds:uri="http://www.w3.org/XML/1998/namespace"/>
    <ds:schemaRef ds:uri="http://purl.org/dc/dcmitype/"/>
  </ds:schemaRefs>
</ds:datastoreItem>
</file>

<file path=customXml/itemProps3.xml><?xml version="1.0" encoding="utf-8"?>
<ds:datastoreItem xmlns:ds="http://schemas.openxmlformats.org/officeDocument/2006/customXml" ds:itemID="{8355900E-12AF-4A70-B6FC-C792BF6C53C2}">
  <ds:schemaRefs>
    <ds:schemaRef ds:uri="http://schemas.microsoft.com/sharepoint/v3/contenttype/forms"/>
  </ds:schemaRefs>
</ds:datastoreItem>
</file>

<file path=customXml/itemProps4.xml><?xml version="1.0" encoding="utf-8"?>
<ds:datastoreItem xmlns:ds="http://schemas.openxmlformats.org/officeDocument/2006/customXml" ds:itemID="{097D5C90-39DB-4892-95E4-3DA4C382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10</Pages>
  <Words>6183</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TERCJAK Ewa (ENV)</dc:creator>
  <cp:keywords/>
  <dc:description/>
  <cp:lastModifiedBy>EC CoDe</cp:lastModifiedBy>
  <cp:revision>11</cp:revision>
  <dcterms:created xsi:type="dcterms:W3CDTF">2024-02-06T16:09:00Z</dcterms:created>
  <dcterms:modified xsi:type="dcterms:W3CDTF">2024-02-08T09:33:00Z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MSIP_Label_6bd9ddd1-4d20-43f6-abfa-fc3c07406f94_Enabled">
    <vt:lpwstr>true</vt:lpwstr>
  </property>
  <property fmtid="{D5CDD505-2E9C-101B-9397-08002B2CF9AE}" pid="14" name="MSIP_Label_6bd9ddd1-4d20-43f6-abfa-fc3c07406f94_SetDate">
    <vt:lpwstr>2023-05-05T11:45:29Z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d56e4d87-a332-4cbb-a393-1d851d00ebc7</vt:lpwstr>
  </property>
  <property fmtid="{D5CDD505-2E9C-101B-9397-08002B2CF9AE}" pid="19" name="MSIP_Label_6bd9ddd1-4d20-43f6-abfa-fc3c07406f94_ContentBits">
    <vt:lpwstr>0</vt:lpwstr>
  </property>
  <property fmtid="{D5CDD505-2E9C-101B-9397-08002B2CF9AE}" pid="20" name="ContentTypeId">
    <vt:lpwstr>0x010100FC9AE72D67C1FC4DBF89100B390AF2EC</vt:lpwstr>
  </property>
  <property fmtid="{D5CDD505-2E9C-101B-9397-08002B2CF9AE}" pid="21" name="DQCStatus">
    <vt:lpwstr>Green (DQC version 03)</vt:lpwstr>
  </property>
</Properties>
</file>