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11F7" w14:textId="175D887F" w:rsidR="0026613F" w:rsidRDefault="001A7577" w:rsidP="001A7577">
      <w:pPr>
        <w:pStyle w:val="Pagedecouverture"/>
        <w:rPr>
          <w:noProof/>
        </w:rPr>
      </w:pPr>
      <w:bookmarkStart w:id="0" w:name="LW_BM_COVERPAGE"/>
      <w:r>
        <w:rPr>
          <w:noProof/>
        </w:rPr>
        <w:pict w14:anchorId="7D813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64FE2BB-699B-4A47-B05D-A75603937F4E" style="width:455.25pt;height:399pt">
            <v:imagedata r:id="rId8" o:title=""/>
          </v:shape>
        </w:pict>
      </w:r>
    </w:p>
    <w:bookmarkEnd w:id="0"/>
    <w:p w14:paraId="62B1E926" w14:textId="77777777" w:rsidR="0026613F" w:rsidRDefault="0026613F" w:rsidP="0026613F">
      <w:pPr>
        <w:rPr>
          <w:noProof/>
        </w:rPr>
        <w:sectPr w:rsidR="0026613F" w:rsidSect="001A757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Style w:val="TableGrid"/>
        <w:tblW w:w="9331" w:type="dxa"/>
        <w:tblInd w:w="137" w:type="dxa"/>
        <w:tblLook w:val="01E0" w:firstRow="1" w:lastRow="1" w:firstColumn="1" w:lastColumn="1" w:noHBand="0" w:noVBand="0"/>
      </w:tblPr>
      <w:tblGrid>
        <w:gridCol w:w="9331"/>
      </w:tblGrid>
      <w:tr w:rsidR="005053E3" w:rsidRPr="0099383D" w14:paraId="63AE2845" w14:textId="77777777" w:rsidTr="004978A5">
        <w:tc>
          <w:tcPr>
            <w:tcW w:w="9331" w:type="dxa"/>
            <w:tcBorders>
              <w:bottom w:val="single" w:sz="4" w:space="0" w:color="auto"/>
            </w:tcBorders>
            <w:shd w:val="clear" w:color="auto" w:fill="CCCCCC"/>
          </w:tcPr>
          <w:p w14:paraId="5E4A4E64" w14:textId="77777777" w:rsidR="005053E3" w:rsidRPr="00381AAB" w:rsidRDefault="005053E3" w:rsidP="00EA5540">
            <w:pPr>
              <w:spacing w:before="60" w:after="60"/>
              <w:jc w:val="center"/>
              <w:rPr>
                <w:b/>
                <w:noProof/>
                <w:sz w:val="24"/>
                <w:szCs w:val="24"/>
              </w:rPr>
            </w:pPr>
            <w:bookmarkStart w:id="1" w:name="_GoBack"/>
            <w:bookmarkEnd w:id="1"/>
            <w:r>
              <w:rPr>
                <w:b/>
                <w:noProof/>
                <w:sz w:val="24"/>
              </w:rPr>
              <w:lastRenderedPageBreak/>
              <w:t>Kokkuvõte</w:t>
            </w:r>
          </w:p>
        </w:tc>
      </w:tr>
      <w:tr w:rsidR="005053E3" w:rsidRPr="0099383D" w14:paraId="14F87753" w14:textId="77777777" w:rsidTr="004978A5">
        <w:tc>
          <w:tcPr>
            <w:tcW w:w="9331" w:type="dxa"/>
            <w:tcBorders>
              <w:top w:val="single" w:sz="4" w:space="0" w:color="auto"/>
              <w:left w:val="single" w:sz="4" w:space="0" w:color="auto"/>
              <w:bottom w:val="single" w:sz="4" w:space="0" w:color="auto"/>
              <w:right w:val="single" w:sz="4" w:space="0" w:color="auto"/>
            </w:tcBorders>
            <w:shd w:val="clear" w:color="auto" w:fill="4F81BD" w:themeFill="accent1"/>
          </w:tcPr>
          <w:p w14:paraId="2B4BC605" w14:textId="77777777" w:rsidR="005053E3" w:rsidRPr="00D1450C" w:rsidRDefault="005053E3" w:rsidP="005053E3">
            <w:pPr>
              <w:spacing w:before="120" w:after="120"/>
              <w:jc w:val="both"/>
              <w:rPr>
                <w:b/>
                <w:bCs/>
                <w:noProof/>
                <w:sz w:val="24"/>
                <w:szCs w:val="24"/>
              </w:rPr>
            </w:pPr>
            <w:r>
              <w:rPr>
                <w:b/>
                <w:noProof/>
                <w:color w:val="FFFFFF" w:themeColor="background1"/>
                <w:sz w:val="24"/>
              </w:rPr>
              <w:t>ELi talendireservi loomise mõju hinnang</w:t>
            </w:r>
          </w:p>
        </w:tc>
      </w:tr>
      <w:tr w:rsidR="005053E3" w:rsidRPr="0099383D" w14:paraId="5F7FEB9D" w14:textId="77777777" w:rsidTr="004978A5">
        <w:tc>
          <w:tcPr>
            <w:tcW w:w="9331" w:type="dxa"/>
            <w:tcBorders>
              <w:bottom w:val="single" w:sz="4" w:space="0" w:color="auto"/>
            </w:tcBorders>
            <w:shd w:val="clear" w:color="auto" w:fill="CCCCCC"/>
          </w:tcPr>
          <w:p w14:paraId="1B0665E6" w14:textId="77777777" w:rsidR="005053E3" w:rsidRPr="00381AAB" w:rsidRDefault="005053E3" w:rsidP="00EA5540">
            <w:pPr>
              <w:spacing w:before="60" w:after="60"/>
              <w:jc w:val="center"/>
              <w:rPr>
                <w:b/>
                <w:noProof/>
                <w:sz w:val="24"/>
                <w:szCs w:val="24"/>
              </w:rPr>
            </w:pPr>
            <w:r>
              <w:rPr>
                <w:b/>
                <w:noProof/>
                <w:sz w:val="24"/>
              </w:rPr>
              <w:t>A. Vajadus meetmete järele</w:t>
            </w:r>
          </w:p>
        </w:tc>
      </w:tr>
      <w:tr w:rsidR="005053E3" w:rsidRPr="0099383D" w14:paraId="21D8406A" w14:textId="77777777" w:rsidTr="004978A5">
        <w:tc>
          <w:tcPr>
            <w:tcW w:w="9331" w:type="dxa"/>
            <w:tcBorders>
              <w:bottom w:val="single" w:sz="4" w:space="0" w:color="auto"/>
            </w:tcBorders>
            <w:shd w:val="clear" w:color="auto" w:fill="E0E0E0"/>
          </w:tcPr>
          <w:p w14:paraId="497ED5AE" w14:textId="77777777" w:rsidR="005053E3" w:rsidRPr="00381AAB" w:rsidRDefault="005053E3" w:rsidP="00EA5540">
            <w:pPr>
              <w:spacing w:before="60" w:after="60"/>
              <w:jc w:val="both"/>
              <w:rPr>
                <w:noProof/>
                <w:sz w:val="24"/>
                <w:szCs w:val="24"/>
              </w:rPr>
            </w:pPr>
            <w:r>
              <w:rPr>
                <w:b/>
                <w:noProof/>
                <w:sz w:val="24"/>
              </w:rPr>
              <w:t xml:space="preserve">Miks? Mis on lahendamist vajav probleem? </w:t>
            </w:r>
          </w:p>
        </w:tc>
      </w:tr>
      <w:tr w:rsidR="005053E3" w:rsidRPr="003964CC" w14:paraId="150CDA1E" w14:textId="77777777" w:rsidTr="004978A5">
        <w:tc>
          <w:tcPr>
            <w:tcW w:w="9331" w:type="dxa"/>
            <w:tcBorders>
              <w:bottom w:val="single" w:sz="4" w:space="0" w:color="auto"/>
            </w:tcBorders>
            <w:shd w:val="clear" w:color="auto" w:fill="auto"/>
          </w:tcPr>
          <w:p w14:paraId="049D65AB" w14:textId="00D93C0A" w:rsidR="00D7693F" w:rsidRPr="006365B4" w:rsidRDefault="005129F6" w:rsidP="00815ED4">
            <w:pPr>
              <w:spacing w:before="120" w:after="120"/>
              <w:jc w:val="both"/>
              <w:rPr>
                <w:b/>
                <w:noProof/>
                <w:color w:val="000000" w:themeColor="text1"/>
                <w:sz w:val="24"/>
                <w:szCs w:val="24"/>
              </w:rPr>
            </w:pPr>
            <w:r>
              <w:rPr>
                <w:noProof/>
                <w:sz w:val="24"/>
              </w:rPr>
              <w:t xml:space="preserve">ELis valitseb </w:t>
            </w:r>
            <w:r>
              <w:rPr>
                <w:b/>
                <w:noProof/>
                <w:sz w:val="24"/>
              </w:rPr>
              <w:t>suur ja aina kasvav tööjõupuudus ja oskuste nappus</w:t>
            </w:r>
            <w:r>
              <w:rPr>
                <w:noProof/>
                <w:sz w:val="24"/>
              </w:rPr>
              <w:t>. Siinsele tööjõule avaldavad mõju struktuursed tegurid, sealhulgas teatavate elukutsete esindajate kehvad töötingimused või personalijuhtimise tavad, ning olukorda halvendavad veelgi demograafilised probleemid, iseäranis tööealise elanikkonna vähenemine.</w:t>
            </w:r>
          </w:p>
          <w:p w14:paraId="30ED25FB" w14:textId="69A4A263" w:rsidR="0059395F" w:rsidRPr="00381AAB" w:rsidRDefault="006365B4" w:rsidP="00815ED4">
            <w:pPr>
              <w:spacing w:before="120" w:after="120"/>
              <w:jc w:val="both"/>
              <w:rPr>
                <w:noProof/>
                <w:sz w:val="24"/>
                <w:szCs w:val="24"/>
              </w:rPr>
            </w:pPr>
            <w:r>
              <w:rPr>
                <w:noProof/>
                <w:sz w:val="24"/>
              </w:rPr>
              <w:t xml:space="preserve">Seetõttu tuleb lisaks ELi enda tööjõupotentsiaali täielikule kasutuselevõtule </w:t>
            </w:r>
            <w:r>
              <w:rPr>
                <w:b/>
                <w:noProof/>
                <w:sz w:val="24"/>
              </w:rPr>
              <w:t>meelitada siia oskustöölisi ja andekaid inimesi ka väljastpoolt</w:t>
            </w:r>
            <w:r>
              <w:rPr>
                <w:noProof/>
                <w:sz w:val="24"/>
              </w:rPr>
              <w:t xml:space="preserve">. See aitaks </w:t>
            </w:r>
            <w:r>
              <w:rPr>
                <w:b/>
                <w:noProof/>
                <w:sz w:val="24"/>
              </w:rPr>
              <w:t>leevendada praegust ja tulevast oskuste nappust</w:t>
            </w:r>
            <w:r>
              <w:rPr>
                <w:noProof/>
                <w:sz w:val="24"/>
              </w:rPr>
              <w:t xml:space="preserve">, sealhulgas sellist, mis on seotud </w:t>
            </w:r>
            <w:r>
              <w:rPr>
                <w:b/>
                <w:noProof/>
                <w:sz w:val="24"/>
              </w:rPr>
              <w:t>rohe- ja digipöördega</w:t>
            </w:r>
            <w:r>
              <w:rPr>
                <w:noProof/>
                <w:sz w:val="24"/>
              </w:rPr>
              <w:t xml:space="preserve"> ning mida muud algatused ei pruugi piisavalt leevendada. Samuti motiveeriks see võimalikke majandusmigrante tulema liitu seaduslike kanalite kaudu ja aitaks seega </w:t>
            </w:r>
            <w:r>
              <w:rPr>
                <w:b/>
                <w:noProof/>
                <w:sz w:val="24"/>
              </w:rPr>
              <w:t>vähendada ebaseadusliku rände survet</w:t>
            </w:r>
            <w:r>
              <w:rPr>
                <w:noProof/>
                <w:sz w:val="24"/>
              </w:rPr>
              <w:t>.</w:t>
            </w:r>
          </w:p>
          <w:p w14:paraId="14D6E4F4" w14:textId="3159236D" w:rsidR="00E9602E" w:rsidRDefault="005129F6" w:rsidP="00815ED4">
            <w:pPr>
              <w:spacing w:before="120" w:after="120"/>
              <w:jc w:val="both"/>
              <w:rPr>
                <w:noProof/>
                <w:sz w:val="24"/>
                <w:szCs w:val="24"/>
              </w:rPr>
            </w:pPr>
            <w:r>
              <w:rPr>
                <w:b/>
                <w:noProof/>
                <w:sz w:val="24"/>
              </w:rPr>
              <w:t>Praegu ei värvata endiselt piisaval hulgal väljastpoolt ELi pärit tööotsijaid</w:t>
            </w:r>
            <w:r>
              <w:rPr>
                <w:noProof/>
                <w:sz w:val="24"/>
              </w:rPr>
              <w:t>, sest:</w:t>
            </w:r>
          </w:p>
          <w:p w14:paraId="131A338B" w14:textId="43B0E04B" w:rsidR="0059395F" w:rsidRDefault="0059395F" w:rsidP="00815ED4">
            <w:pPr>
              <w:pStyle w:val="ListParagraph"/>
              <w:numPr>
                <w:ilvl w:val="0"/>
                <w:numId w:val="14"/>
              </w:numPr>
              <w:spacing w:before="120" w:after="120" w:line="240" w:lineRule="auto"/>
              <w:jc w:val="both"/>
              <w:rPr>
                <w:noProof/>
                <w:sz w:val="24"/>
                <w:szCs w:val="24"/>
              </w:rPr>
            </w:pPr>
            <w:r>
              <w:rPr>
                <w:b/>
                <w:noProof/>
                <w:sz w:val="24"/>
              </w:rPr>
              <w:t>töövahendus</w:t>
            </w:r>
            <w:r>
              <w:rPr>
                <w:noProof/>
                <w:sz w:val="24"/>
              </w:rPr>
              <w:t xml:space="preserve"> töötajaid otsivate ELi tööandjate ja kolmandatest riikidest pärit huvitatud tööotsijate vahel on </w:t>
            </w:r>
            <w:r>
              <w:rPr>
                <w:b/>
                <w:noProof/>
                <w:sz w:val="24"/>
              </w:rPr>
              <w:t>tülikas ega ole kuigi tulemuslik</w:t>
            </w:r>
            <w:r>
              <w:rPr>
                <w:noProof/>
                <w:sz w:val="24"/>
              </w:rPr>
              <w:t xml:space="preserve"> (ebapiisav teave, ebaselged rahvusvahelise värbamise kanalid, suured kulud);</w:t>
            </w:r>
          </w:p>
          <w:p w14:paraId="6F38193C" w14:textId="739972F6" w:rsidR="0059395F" w:rsidRPr="00E9602E" w:rsidRDefault="0059395F" w:rsidP="00815ED4">
            <w:pPr>
              <w:pStyle w:val="ListParagraph"/>
              <w:numPr>
                <w:ilvl w:val="0"/>
                <w:numId w:val="14"/>
              </w:numPr>
              <w:spacing w:before="120" w:after="120" w:line="240" w:lineRule="auto"/>
              <w:jc w:val="both"/>
              <w:rPr>
                <w:noProof/>
                <w:sz w:val="24"/>
                <w:szCs w:val="24"/>
              </w:rPr>
            </w:pPr>
            <w:r>
              <w:rPr>
                <w:noProof/>
                <w:sz w:val="24"/>
                <w:shd w:val="clear" w:color="auto" w:fill="FFFFFF" w:themeFill="background1"/>
              </w:rPr>
              <w:t xml:space="preserve">tööandjatel ja ELis töötamisest huvitatud kolmandate riikide tööotsijatel on </w:t>
            </w:r>
            <w:r>
              <w:rPr>
                <w:b/>
                <w:noProof/>
                <w:sz w:val="24"/>
                <w:shd w:val="clear" w:color="auto" w:fill="FFFFFF" w:themeFill="background1"/>
              </w:rPr>
              <w:t>raske kindlaks teha, kuidas kolmandates riikides omandatud oskused ja kvalifikatsioon vastavad</w:t>
            </w:r>
            <w:r>
              <w:rPr>
                <w:noProof/>
                <w:sz w:val="24"/>
                <w:shd w:val="clear" w:color="auto" w:fill="FFFFFF" w:themeFill="background1"/>
              </w:rPr>
              <w:t xml:space="preserve"> konkreetses ELi riigis nõutavatele oskustele ja kvalifikatsioonile;</w:t>
            </w:r>
          </w:p>
          <w:p w14:paraId="562D0669" w14:textId="77777777" w:rsidR="0059395F" w:rsidRPr="00E9602E" w:rsidRDefault="0059395F" w:rsidP="00815ED4">
            <w:pPr>
              <w:pStyle w:val="ListParagraph"/>
              <w:numPr>
                <w:ilvl w:val="0"/>
                <w:numId w:val="14"/>
              </w:numPr>
              <w:spacing w:before="120" w:after="120" w:line="240" w:lineRule="auto"/>
              <w:jc w:val="both"/>
              <w:rPr>
                <w:noProof/>
                <w:sz w:val="24"/>
                <w:szCs w:val="24"/>
              </w:rPr>
            </w:pPr>
            <w:r>
              <w:rPr>
                <w:b/>
                <w:noProof/>
                <w:sz w:val="24"/>
                <w:shd w:val="clear" w:color="auto" w:fill="FFFFFF" w:themeFill="background1"/>
              </w:rPr>
              <w:t>rändemenetlused on vaevalised ja läbipaistmatud</w:t>
            </w:r>
            <w:r>
              <w:rPr>
                <w:noProof/>
                <w:sz w:val="24"/>
                <w:shd w:val="clear" w:color="auto" w:fill="FFFFFF" w:themeFill="background1"/>
              </w:rPr>
              <w:t>;</w:t>
            </w:r>
          </w:p>
          <w:p w14:paraId="185BCE7A" w14:textId="77777777" w:rsidR="005053E3" w:rsidRPr="00E9602E" w:rsidRDefault="00C766E2" w:rsidP="00815ED4">
            <w:pPr>
              <w:pStyle w:val="ListParagraph"/>
              <w:numPr>
                <w:ilvl w:val="0"/>
                <w:numId w:val="14"/>
              </w:numPr>
              <w:spacing w:before="120" w:after="120" w:line="240" w:lineRule="auto"/>
              <w:jc w:val="both"/>
              <w:rPr>
                <w:noProof/>
                <w:sz w:val="24"/>
                <w:szCs w:val="24"/>
              </w:rPr>
            </w:pPr>
            <w:r>
              <w:rPr>
                <w:b/>
                <w:noProof/>
                <w:sz w:val="24"/>
              </w:rPr>
              <w:t>koostöö kolmandate riikidega</w:t>
            </w:r>
            <w:r>
              <w:rPr>
                <w:noProof/>
                <w:sz w:val="24"/>
              </w:rPr>
              <w:t xml:space="preserve"> seadusliku rände ja üldise rändehalduse küsimustes </w:t>
            </w:r>
            <w:r>
              <w:rPr>
                <w:b/>
                <w:noProof/>
                <w:sz w:val="24"/>
              </w:rPr>
              <w:t>ei toimu järjekindlalt, vaid killustatult</w:t>
            </w:r>
            <w:r>
              <w:rPr>
                <w:noProof/>
                <w:sz w:val="24"/>
              </w:rPr>
              <w:t>. See takistab ELil meelitada ligi vajalike oskustega inimesi ja kasutada täielikult ära üldise rändehalduse vallas tehtava koostöö potentsiaali</w:t>
            </w:r>
            <w:r>
              <w:rPr>
                <w:noProof/>
                <w:sz w:val="24"/>
                <w:shd w:val="clear" w:color="auto" w:fill="FFFFFF" w:themeFill="background1"/>
              </w:rPr>
              <w:t>.</w:t>
            </w:r>
          </w:p>
        </w:tc>
      </w:tr>
      <w:tr w:rsidR="005053E3" w:rsidRPr="0099383D" w14:paraId="2784CBE9" w14:textId="77777777" w:rsidTr="004978A5">
        <w:tc>
          <w:tcPr>
            <w:tcW w:w="9331" w:type="dxa"/>
            <w:tcBorders>
              <w:bottom w:val="single" w:sz="4" w:space="0" w:color="auto"/>
            </w:tcBorders>
            <w:shd w:val="clear" w:color="auto" w:fill="E6E6E6"/>
          </w:tcPr>
          <w:p w14:paraId="2918626E" w14:textId="77777777" w:rsidR="005053E3" w:rsidRPr="00381AAB" w:rsidRDefault="005053E3" w:rsidP="00815ED4">
            <w:pPr>
              <w:spacing w:before="120" w:after="120"/>
              <w:jc w:val="both"/>
              <w:rPr>
                <w:noProof/>
                <w:sz w:val="24"/>
                <w:szCs w:val="24"/>
              </w:rPr>
            </w:pPr>
            <w:r>
              <w:rPr>
                <w:b/>
                <w:noProof/>
                <w:sz w:val="24"/>
              </w:rPr>
              <w:t xml:space="preserve">Mida selle algatusega loodetakse saavutada? </w:t>
            </w:r>
          </w:p>
        </w:tc>
      </w:tr>
      <w:tr w:rsidR="005053E3" w:rsidRPr="00644CCB" w14:paraId="67038E0E" w14:textId="77777777" w:rsidTr="004978A5">
        <w:tc>
          <w:tcPr>
            <w:tcW w:w="9331" w:type="dxa"/>
            <w:tcBorders>
              <w:bottom w:val="single" w:sz="4" w:space="0" w:color="auto"/>
            </w:tcBorders>
            <w:shd w:val="clear" w:color="auto" w:fill="auto"/>
          </w:tcPr>
          <w:p w14:paraId="2C8F7B18" w14:textId="6E7D5F61" w:rsidR="00153001" w:rsidRPr="005306CF" w:rsidRDefault="00153001" w:rsidP="00815ED4">
            <w:pPr>
              <w:spacing w:before="120" w:after="120"/>
              <w:jc w:val="both"/>
              <w:rPr>
                <w:noProof/>
                <w:sz w:val="24"/>
                <w:szCs w:val="24"/>
              </w:rPr>
            </w:pPr>
            <w:r>
              <w:rPr>
                <w:noProof/>
                <w:sz w:val="24"/>
              </w:rPr>
              <w:t>ELi talendireservi algatuse eesmärk on toetada kolmandatest riikidest pärit tööotsijate rahvusvahelist värbamist seaduslike kanalite kaudu ning astuda sellega vastu ELis valitsevale tööjõupuuduse ja oskuste nappuse probleemile.</w:t>
            </w:r>
          </w:p>
          <w:p w14:paraId="17720C35" w14:textId="6BF6A646" w:rsidR="005053E3" w:rsidRPr="005306CF" w:rsidRDefault="006365B4" w:rsidP="00815ED4">
            <w:pPr>
              <w:spacing w:before="120" w:after="120"/>
              <w:jc w:val="both"/>
              <w:rPr>
                <w:noProof/>
                <w:sz w:val="24"/>
                <w:szCs w:val="24"/>
              </w:rPr>
            </w:pPr>
            <w:r>
              <w:rPr>
                <w:noProof/>
                <w:sz w:val="24"/>
              </w:rPr>
              <w:t>Kõnealuse üldeesmärgi saavutamiseks on algatuse raames kindlaks määratud neli erieesmärki:</w:t>
            </w:r>
          </w:p>
          <w:p w14:paraId="0D4B017B" w14:textId="77777777" w:rsidR="00153001" w:rsidRPr="00815ED4" w:rsidRDefault="00153001" w:rsidP="00815ED4">
            <w:pPr>
              <w:pStyle w:val="ListParagraph"/>
              <w:numPr>
                <w:ilvl w:val="0"/>
                <w:numId w:val="14"/>
              </w:numPr>
              <w:spacing w:before="120" w:after="120" w:line="240" w:lineRule="auto"/>
              <w:jc w:val="both"/>
              <w:rPr>
                <w:noProof/>
                <w:sz w:val="24"/>
                <w:szCs w:val="24"/>
              </w:rPr>
            </w:pPr>
            <w:r>
              <w:rPr>
                <w:noProof/>
                <w:sz w:val="24"/>
              </w:rPr>
              <w:t>tagada tõhusam rahvusvaheline töövahendus;</w:t>
            </w:r>
          </w:p>
          <w:p w14:paraId="11849651" w14:textId="77777777" w:rsidR="00153001" w:rsidRPr="00815ED4" w:rsidRDefault="00153001" w:rsidP="00815ED4">
            <w:pPr>
              <w:pStyle w:val="ListParagraph"/>
              <w:numPr>
                <w:ilvl w:val="0"/>
                <w:numId w:val="14"/>
              </w:numPr>
              <w:spacing w:before="120" w:after="120" w:line="240" w:lineRule="auto"/>
              <w:jc w:val="both"/>
              <w:rPr>
                <w:noProof/>
                <w:sz w:val="24"/>
                <w:szCs w:val="24"/>
              </w:rPr>
            </w:pPr>
            <w:r>
              <w:rPr>
                <w:noProof/>
                <w:sz w:val="24"/>
              </w:rPr>
              <w:t>parandada kolmandates riikides omandatud oskuste ja kvalifikatsiooni võrreldavust ELi riikides nõutavate oskuste ja kvalifikatsiooniga;</w:t>
            </w:r>
          </w:p>
          <w:p w14:paraId="2687519B" w14:textId="77777777" w:rsidR="00153001" w:rsidRPr="00815ED4" w:rsidRDefault="00153001" w:rsidP="00815ED4">
            <w:pPr>
              <w:pStyle w:val="ListParagraph"/>
              <w:numPr>
                <w:ilvl w:val="0"/>
                <w:numId w:val="14"/>
              </w:numPr>
              <w:spacing w:before="120" w:after="120" w:line="240" w:lineRule="auto"/>
              <w:jc w:val="both"/>
              <w:rPr>
                <w:noProof/>
                <w:sz w:val="24"/>
                <w:szCs w:val="24"/>
              </w:rPr>
            </w:pPr>
            <w:r>
              <w:rPr>
                <w:noProof/>
                <w:sz w:val="24"/>
              </w:rPr>
              <w:t>parandada rändemenetlustest arusaamist ja võimalusi neis osaleda;</w:t>
            </w:r>
          </w:p>
          <w:p w14:paraId="30527948" w14:textId="55AF6D0C" w:rsidR="005053E3" w:rsidRPr="00D1450C" w:rsidRDefault="00153001" w:rsidP="00815ED4">
            <w:pPr>
              <w:pStyle w:val="ListParagraph"/>
              <w:numPr>
                <w:ilvl w:val="0"/>
                <w:numId w:val="14"/>
              </w:numPr>
              <w:spacing w:before="120" w:after="120" w:line="240" w:lineRule="auto"/>
              <w:jc w:val="both"/>
              <w:rPr>
                <w:noProof/>
                <w:sz w:val="24"/>
                <w:szCs w:val="24"/>
              </w:rPr>
            </w:pPr>
            <w:r>
              <w:rPr>
                <w:noProof/>
                <w:sz w:val="24"/>
              </w:rPr>
              <w:t>tugevdada stiimuleid teha kolmandate riikidega rändekoostööd, muu hulgas talendipartnerluse vormis.</w:t>
            </w:r>
          </w:p>
        </w:tc>
      </w:tr>
      <w:tr w:rsidR="005053E3" w:rsidRPr="0099383D" w14:paraId="1CB48C0E" w14:textId="77777777" w:rsidTr="004978A5">
        <w:tc>
          <w:tcPr>
            <w:tcW w:w="9331" w:type="dxa"/>
            <w:tcBorders>
              <w:bottom w:val="single" w:sz="4" w:space="0" w:color="auto"/>
            </w:tcBorders>
            <w:shd w:val="clear" w:color="auto" w:fill="E6E6E6"/>
          </w:tcPr>
          <w:p w14:paraId="0E6D9332" w14:textId="77777777" w:rsidR="005053E3" w:rsidRPr="00381AAB" w:rsidRDefault="005053E3" w:rsidP="00815ED4">
            <w:pPr>
              <w:spacing w:before="120" w:after="120"/>
              <w:jc w:val="both"/>
              <w:rPr>
                <w:noProof/>
                <w:sz w:val="24"/>
                <w:szCs w:val="24"/>
              </w:rPr>
            </w:pPr>
            <w:r>
              <w:rPr>
                <w:b/>
                <w:noProof/>
                <w:sz w:val="24"/>
              </w:rPr>
              <w:t>Milline on ELi tasandi meetmete lisaväärtus?</w:t>
            </w:r>
            <w:r>
              <w:rPr>
                <w:noProof/>
                <w:sz w:val="24"/>
              </w:rPr>
              <w:t xml:space="preserve"> </w:t>
            </w:r>
          </w:p>
        </w:tc>
      </w:tr>
      <w:tr w:rsidR="005053E3" w:rsidRPr="0099383D" w14:paraId="6C77FC01" w14:textId="77777777" w:rsidTr="004978A5">
        <w:tc>
          <w:tcPr>
            <w:tcW w:w="9331" w:type="dxa"/>
            <w:tcBorders>
              <w:bottom w:val="single" w:sz="4" w:space="0" w:color="auto"/>
            </w:tcBorders>
            <w:shd w:val="clear" w:color="auto" w:fill="auto"/>
          </w:tcPr>
          <w:p w14:paraId="556DB2FA" w14:textId="7C385178" w:rsidR="005306CF" w:rsidRPr="005306CF" w:rsidRDefault="00C766E2" w:rsidP="00815ED4">
            <w:pPr>
              <w:spacing w:before="120" w:after="120"/>
              <w:jc w:val="both"/>
              <w:rPr>
                <w:noProof/>
                <w:sz w:val="24"/>
                <w:szCs w:val="24"/>
              </w:rPr>
            </w:pPr>
            <w:r>
              <w:rPr>
                <w:noProof/>
                <w:sz w:val="24"/>
              </w:rPr>
              <w:t xml:space="preserve">EL kui tervik on kolmandatest riikidest pärit tööotsijatele, kes on valmis välja rändama, üksikutest liikmesriikidest atraktiivsem. </w:t>
            </w:r>
            <w:r>
              <w:rPr>
                <w:b/>
                <w:noProof/>
                <w:sz w:val="24"/>
              </w:rPr>
              <w:t>Tööjõurände haldamise üldist tõhusust aitaks ELi tasandil parandada</w:t>
            </w:r>
            <w:r>
              <w:rPr>
                <w:noProof/>
                <w:sz w:val="24"/>
              </w:rPr>
              <w:t xml:space="preserve"> ja </w:t>
            </w:r>
            <w:r>
              <w:rPr>
                <w:b/>
                <w:noProof/>
                <w:sz w:val="24"/>
              </w:rPr>
              <w:t>ELi kui ühtset rändesihtkohta tutvustada</w:t>
            </w:r>
            <w:r>
              <w:rPr>
                <w:noProof/>
                <w:sz w:val="24"/>
              </w:rPr>
              <w:t xml:space="preserve"> kogu ELi hõlmav töövahendusplatvorm, mille kaudu pakutaks teavet sisserände- ja värbamisprotsesside kohta ning mitmesuguseid tugiteenuseid. </w:t>
            </w:r>
            <w:r>
              <w:rPr>
                <w:b/>
                <w:noProof/>
                <w:sz w:val="24"/>
              </w:rPr>
              <w:t>Mastaabisääst</w:t>
            </w:r>
            <w:r>
              <w:rPr>
                <w:noProof/>
                <w:sz w:val="24"/>
              </w:rPr>
              <w:t xml:space="preserve"> aitaks ELil välismaiste talentide ligimeelitamisel üleilmselt edukamalt konkureerida. See tagaks </w:t>
            </w:r>
            <w:r>
              <w:rPr>
                <w:b/>
                <w:noProof/>
                <w:sz w:val="24"/>
              </w:rPr>
              <w:t>suurema arvu potentsiaalseid kandidaate, kellel on vajalikud oskused</w:t>
            </w:r>
            <w:r>
              <w:rPr>
                <w:noProof/>
                <w:sz w:val="24"/>
              </w:rPr>
              <w:t xml:space="preserve">, ja aitaks paremini reageerida tööandjate tööjõuvajadustele igas liikmesriigis. See kõik </w:t>
            </w:r>
            <w:r>
              <w:rPr>
                <w:b/>
                <w:noProof/>
                <w:sz w:val="24"/>
              </w:rPr>
              <w:t>aitaks kaasa tööjõupuuduse ja oskuste nappuse vähendamisele kogu ELis</w:t>
            </w:r>
            <w:r>
              <w:rPr>
                <w:noProof/>
                <w:sz w:val="24"/>
              </w:rPr>
              <w:t xml:space="preserve">. </w:t>
            </w:r>
          </w:p>
        </w:tc>
      </w:tr>
      <w:tr w:rsidR="005053E3" w:rsidRPr="0099383D" w14:paraId="26219299" w14:textId="77777777" w:rsidTr="004978A5">
        <w:tc>
          <w:tcPr>
            <w:tcW w:w="9331" w:type="dxa"/>
            <w:tcBorders>
              <w:bottom w:val="single" w:sz="4" w:space="0" w:color="auto"/>
            </w:tcBorders>
            <w:shd w:val="clear" w:color="auto" w:fill="CCCCCC"/>
          </w:tcPr>
          <w:p w14:paraId="520BB4BD" w14:textId="77777777" w:rsidR="005053E3" w:rsidRPr="00381AAB" w:rsidRDefault="005053E3" w:rsidP="00815ED4">
            <w:pPr>
              <w:spacing w:before="120" w:after="120"/>
              <w:jc w:val="center"/>
              <w:rPr>
                <w:b/>
                <w:noProof/>
                <w:sz w:val="24"/>
                <w:szCs w:val="24"/>
              </w:rPr>
            </w:pPr>
            <w:r>
              <w:rPr>
                <w:b/>
                <w:noProof/>
                <w:sz w:val="24"/>
              </w:rPr>
              <w:t>B. Lahendused</w:t>
            </w:r>
          </w:p>
        </w:tc>
      </w:tr>
      <w:tr w:rsidR="005053E3" w:rsidRPr="0099383D" w14:paraId="6D11164F" w14:textId="77777777" w:rsidTr="004978A5">
        <w:tc>
          <w:tcPr>
            <w:tcW w:w="9331" w:type="dxa"/>
            <w:tcBorders>
              <w:bottom w:val="single" w:sz="4" w:space="0" w:color="auto"/>
            </w:tcBorders>
            <w:shd w:val="clear" w:color="auto" w:fill="E6E6E6"/>
          </w:tcPr>
          <w:p w14:paraId="7101CC8C" w14:textId="77777777" w:rsidR="005053E3" w:rsidRPr="00381AAB" w:rsidRDefault="005053E3" w:rsidP="00815ED4">
            <w:pPr>
              <w:spacing w:before="120" w:after="120"/>
              <w:jc w:val="both"/>
              <w:rPr>
                <w:noProof/>
                <w:sz w:val="24"/>
                <w:szCs w:val="24"/>
              </w:rPr>
            </w:pPr>
            <w:r>
              <w:rPr>
                <w:b/>
                <w:noProof/>
                <w:sz w:val="24"/>
              </w:rPr>
              <w:t>Milliseid seadusandlikke ja mitteseadusandlikke poliitikavariante on kaalutud? Kas on olemas eelistatud variant? Miks?</w:t>
            </w:r>
            <w:r>
              <w:rPr>
                <w:noProof/>
                <w:sz w:val="24"/>
              </w:rPr>
              <w:t xml:space="preserve"> </w:t>
            </w:r>
          </w:p>
        </w:tc>
      </w:tr>
      <w:tr w:rsidR="005053E3" w:rsidRPr="00E62C70" w14:paraId="38533896" w14:textId="77777777" w:rsidTr="004978A5">
        <w:tc>
          <w:tcPr>
            <w:tcW w:w="9331" w:type="dxa"/>
            <w:tcBorders>
              <w:bottom w:val="single" w:sz="4" w:space="0" w:color="auto"/>
            </w:tcBorders>
            <w:shd w:val="clear" w:color="auto" w:fill="auto"/>
          </w:tcPr>
          <w:p w14:paraId="22ECDD01" w14:textId="3691E11B" w:rsidR="00815ED4" w:rsidRPr="00381AAB" w:rsidRDefault="00EA7FBC" w:rsidP="00815ED4">
            <w:pPr>
              <w:pStyle w:val="Normal1"/>
              <w:shd w:val="clear" w:color="auto" w:fill="FFFFFF"/>
              <w:spacing w:before="120" w:beforeAutospacing="0" w:after="120" w:afterAutospacing="0"/>
              <w:jc w:val="both"/>
              <w:rPr>
                <w:noProof/>
              </w:rPr>
            </w:pPr>
            <w:r>
              <w:rPr>
                <w:noProof/>
              </w:rPr>
              <w:t xml:space="preserve">Mõjuhinnangus on kaalutud kolme poliitikavarianti, mis kõik on </w:t>
            </w:r>
            <w:r>
              <w:rPr>
                <w:b/>
                <w:noProof/>
              </w:rPr>
              <w:t>liikmesriikide jaoks vabatahtlikud</w:t>
            </w:r>
            <w:r>
              <w:rPr>
                <w:noProof/>
              </w:rPr>
              <w:t>.</w:t>
            </w:r>
          </w:p>
          <w:p w14:paraId="4C79357A" w14:textId="7EBACBEB" w:rsidR="00EA7FBC" w:rsidRPr="009D0D0F" w:rsidRDefault="00EA7FBC" w:rsidP="00815ED4">
            <w:pPr>
              <w:pStyle w:val="li"/>
              <w:numPr>
                <w:ilvl w:val="0"/>
                <w:numId w:val="9"/>
              </w:numPr>
              <w:shd w:val="clear" w:color="auto" w:fill="FFFFFF"/>
              <w:spacing w:before="120" w:beforeAutospacing="0" w:after="120" w:afterAutospacing="0"/>
              <w:jc w:val="both"/>
              <w:rPr>
                <w:noProof/>
              </w:rPr>
            </w:pPr>
            <w:r>
              <w:rPr>
                <w:b/>
                <w:noProof/>
              </w:rPr>
              <w:t>Variant 1</w:t>
            </w:r>
            <w:r>
              <w:rPr>
                <w:noProof/>
              </w:rPr>
              <w:t xml:space="preserve"> kätkeb </w:t>
            </w:r>
            <w:r>
              <w:rPr>
                <w:b/>
                <w:noProof/>
              </w:rPr>
              <w:t>mitteseadusandlikke meetmeid, mille eesmärk on parandada teabe esitamist ning hõlbustada oskuste kindlakstegemist ja vahendamist</w:t>
            </w:r>
            <w:r>
              <w:rPr>
                <w:noProof/>
              </w:rPr>
              <w:t xml:space="preserve"> (täiustada ELi sisserändeportaali, korraldada töövahendusüritusi ning koostada kolmandatest riikidest pärit tööotsijate pseudonüümitud profiilide veebikataloog ja ühendada see riiklike koordinaatorite võrgustikuga eesmärgiga soodustada huvitatud tööandjate ja kandidaatide vahelisi sidemeid).</w:t>
            </w:r>
          </w:p>
          <w:p w14:paraId="610556A5" w14:textId="7055C45D" w:rsidR="009D0D0F" w:rsidRPr="009D4C5F" w:rsidRDefault="00EA7FBC" w:rsidP="00815ED4">
            <w:pPr>
              <w:pStyle w:val="li"/>
              <w:numPr>
                <w:ilvl w:val="0"/>
                <w:numId w:val="9"/>
              </w:numPr>
              <w:shd w:val="clear" w:color="auto" w:fill="FFFFFF"/>
              <w:spacing w:before="120" w:beforeAutospacing="0" w:after="120" w:afterAutospacing="0"/>
              <w:jc w:val="both"/>
              <w:rPr>
                <w:noProof/>
              </w:rPr>
            </w:pPr>
            <w:r>
              <w:rPr>
                <w:b/>
                <w:noProof/>
              </w:rPr>
              <w:t>Variandiga 2</w:t>
            </w:r>
            <w:r>
              <w:rPr>
                <w:noProof/>
              </w:rPr>
              <w:t xml:space="preserve"> on ette nähtud seadusandlik meede, mille abil </w:t>
            </w:r>
            <w:r>
              <w:rPr>
                <w:b/>
                <w:noProof/>
              </w:rPr>
              <w:t>kujundataks ELi talendireserv, mis on avatud igale oskuste tasemele, ent on eelkõige suunatud nendele kutsealadele, mille töötajatest on puudus nii ELi kui ka liikmesriikide tasandil</w:t>
            </w:r>
            <w:r>
              <w:rPr>
                <w:noProof/>
              </w:rPr>
              <w:t xml:space="preserve">. Kavas on luua kogu ELi hõlmav töövahendusplatvorm ja töötada välja kaasnevad tugiteenused. ELi talendireserv </w:t>
            </w:r>
            <w:r>
              <w:rPr>
                <w:b/>
                <w:noProof/>
              </w:rPr>
              <w:t>kasutaks teatavaid EURESe IT-lahenduse komponente</w:t>
            </w:r>
            <w:r>
              <w:rPr>
                <w:noProof/>
              </w:rPr>
              <w:t xml:space="preserve">. Teine kaalumisel olev alternatiiv oleks üksnes kõrge kvalifikatsiooniga töötajatele suunatud ELi talendireserv. Kuna see vahend oleks konkreetse suunitlusega, nähtaks lisaks ette, et see peab pakkuma platvormi, mis aitab </w:t>
            </w:r>
            <w:r>
              <w:rPr>
                <w:b/>
                <w:noProof/>
              </w:rPr>
              <w:t>talendipartnerluses</w:t>
            </w:r>
            <w:r>
              <w:rPr>
                <w:noProof/>
              </w:rPr>
              <w:t xml:space="preserve"> osalevatel kolmandate riikide tööotsijatel leida tööd selles partnerluses osalevas liikmesriigis (sest taoliste partnerluste eesmärk on muu hulgas leida töötajaid, kes vastaksid osalevate liikmesriikide vajadustele tööturu ja oskuste osas).</w:t>
            </w:r>
          </w:p>
          <w:p w14:paraId="55EC9953" w14:textId="0FC93F66" w:rsidR="00EA7FBC" w:rsidRPr="00815ED4" w:rsidRDefault="009D4C5F" w:rsidP="00815ED4">
            <w:pPr>
              <w:pStyle w:val="li"/>
              <w:numPr>
                <w:ilvl w:val="0"/>
                <w:numId w:val="9"/>
              </w:numPr>
              <w:shd w:val="clear" w:color="auto" w:fill="FFFFFF"/>
              <w:spacing w:before="120" w:beforeAutospacing="0" w:after="120" w:afterAutospacing="0"/>
              <w:jc w:val="both"/>
              <w:rPr>
                <w:b/>
                <w:noProof/>
              </w:rPr>
            </w:pPr>
            <w:r>
              <w:rPr>
                <w:b/>
                <w:noProof/>
              </w:rPr>
              <w:t>Variandi 3</w:t>
            </w:r>
            <w:r>
              <w:rPr>
                <w:noProof/>
              </w:rPr>
              <w:t xml:space="preserve"> raames on visandatud </w:t>
            </w:r>
            <w:r>
              <w:rPr>
                <w:b/>
                <w:noProof/>
              </w:rPr>
              <w:t>ELi talendireserv, mis ei ole suunatud ühelegi konkreetsele tööjõupuudusega kutsealale</w:t>
            </w:r>
            <w:r>
              <w:rPr>
                <w:noProof/>
              </w:rPr>
              <w:t>.</w:t>
            </w:r>
            <w:r>
              <w:rPr>
                <w:b/>
                <w:noProof/>
              </w:rPr>
              <w:t xml:space="preserve"> </w:t>
            </w:r>
            <w:r>
              <w:rPr>
                <w:noProof/>
              </w:rPr>
              <w:t xml:space="preserve">Tegemist oleks </w:t>
            </w:r>
            <w:r>
              <w:rPr>
                <w:b/>
                <w:noProof/>
              </w:rPr>
              <w:t>avatud ja täielikult turupõhise vahendiga</w:t>
            </w:r>
            <w:r>
              <w:rPr>
                <w:noProof/>
              </w:rPr>
              <w:t>. See oleks pigem ajendatud tööandjate vajadustest kui eesmärgist lõimida need vajadused tööturu ja muude poliitikaeesmärkidega seotud laiematesse strateegilistesse kaalutlustesse nii ELis kui ka liikmesriikides.</w:t>
            </w:r>
            <w:r>
              <w:rPr>
                <w:b/>
                <w:noProof/>
              </w:rPr>
              <w:t xml:space="preserve"> </w:t>
            </w:r>
            <w:r>
              <w:rPr>
                <w:noProof/>
              </w:rPr>
              <w:t xml:space="preserve">Avatud vahendina võimaldaks see talendipartnerlustes osalevatel kolmandatest riikidest pärit tööotsijatel end ELi talendireservis registreerida. </w:t>
            </w:r>
            <w:r>
              <w:rPr>
                <w:b/>
                <w:noProof/>
              </w:rPr>
              <w:t>Välja töötataks kogu ELi hõlmav töövahendusplatvorm</w:t>
            </w:r>
            <w:r>
              <w:rPr>
                <w:noProof/>
              </w:rPr>
              <w:t xml:space="preserve"> ja kaasnevad tugiteenused (nii tööandjatele kui ka kolmandatest riikidest pärit tööotsijatele). ELi talendireservi jaoks võetaks kasutusele täiesti uus IT-lahendus, ilma EURESe IT-komponentideta. See aitaks kokku viia väljastpoolt liitu pärit tööotsijate registreeritud profiilid ja liikmesriikides asuvate tööandjate pakutavad vabad töökohad. Töövahendussüsteem rajaneks sellisel juhul täielikult tehisintellektipõhistel algoritmidel ja oleks inspireeritud olemasolevatest erasektori platvormidest.</w:t>
            </w:r>
          </w:p>
          <w:p w14:paraId="685A8EF9" w14:textId="77777777" w:rsidR="00815ED4" w:rsidRDefault="00EA7FBC" w:rsidP="00815ED4">
            <w:pPr>
              <w:pStyle w:val="Normal1"/>
              <w:shd w:val="clear" w:color="auto" w:fill="FFFFFF"/>
              <w:spacing w:before="120" w:beforeAutospacing="0" w:after="120" w:afterAutospacing="0"/>
              <w:jc w:val="both"/>
              <w:rPr>
                <w:noProof/>
              </w:rPr>
            </w:pPr>
            <w:r>
              <w:rPr>
                <w:noProof/>
              </w:rPr>
              <w:t>Eelistatud poliitikavariant on variant 2, kuna see aitab üldiselt kõige paremini toetada kolmandatest riikidest pärit tööotsijate rahvusvahelist värbamist seaduslike kanalite kaudu ning leevendada seega ELis valitsevat tööjõupuudust ja oskuste nappust. See variant on algatuse eesmärkide saavutamiseks majanduslikult kõige sobivam (vt allpool esitatud lisaselgitused eelistatud poliitikavariandi eeliste kohta).</w:t>
            </w:r>
          </w:p>
          <w:p w14:paraId="7F53438B" w14:textId="37162A1E" w:rsidR="00F86150" w:rsidRPr="00381AAB" w:rsidRDefault="00F86150" w:rsidP="00815ED4">
            <w:pPr>
              <w:pStyle w:val="Normal1"/>
              <w:shd w:val="clear" w:color="auto" w:fill="FFFFFF"/>
              <w:spacing w:before="120" w:beforeAutospacing="0" w:after="120" w:afterAutospacing="0"/>
              <w:jc w:val="both"/>
              <w:rPr>
                <w:noProof/>
              </w:rPr>
            </w:pPr>
          </w:p>
        </w:tc>
      </w:tr>
      <w:tr w:rsidR="005053E3" w:rsidRPr="0099383D" w14:paraId="2744087C" w14:textId="77777777" w:rsidTr="004978A5">
        <w:tc>
          <w:tcPr>
            <w:tcW w:w="9331" w:type="dxa"/>
            <w:shd w:val="clear" w:color="auto" w:fill="CCCCCC"/>
          </w:tcPr>
          <w:p w14:paraId="6BAEAD87" w14:textId="77777777" w:rsidR="005053E3" w:rsidRPr="00381AAB" w:rsidRDefault="005053E3" w:rsidP="00815ED4">
            <w:pPr>
              <w:spacing w:before="120" w:after="120"/>
              <w:jc w:val="both"/>
              <w:rPr>
                <w:noProof/>
                <w:sz w:val="24"/>
                <w:szCs w:val="24"/>
              </w:rPr>
            </w:pPr>
            <w:r>
              <w:rPr>
                <w:b/>
                <w:noProof/>
                <w:sz w:val="24"/>
              </w:rPr>
              <w:t>Kes millist varianti toetab?</w:t>
            </w:r>
            <w:r>
              <w:rPr>
                <w:noProof/>
                <w:sz w:val="24"/>
              </w:rPr>
              <w:t xml:space="preserve"> </w:t>
            </w:r>
          </w:p>
        </w:tc>
      </w:tr>
      <w:tr w:rsidR="005053E3" w:rsidRPr="0099383D" w14:paraId="2212C440" w14:textId="77777777" w:rsidTr="004978A5">
        <w:tc>
          <w:tcPr>
            <w:tcW w:w="9331" w:type="dxa"/>
            <w:shd w:val="clear" w:color="auto" w:fill="auto"/>
          </w:tcPr>
          <w:p w14:paraId="78063B02" w14:textId="2BB1B0F8" w:rsidR="005053E3" w:rsidRPr="005306CF" w:rsidRDefault="005053E3" w:rsidP="00815ED4">
            <w:pPr>
              <w:spacing w:before="120" w:after="120"/>
              <w:jc w:val="both"/>
              <w:rPr>
                <w:noProof/>
                <w:sz w:val="24"/>
                <w:szCs w:val="24"/>
              </w:rPr>
            </w:pPr>
            <w:r>
              <w:rPr>
                <w:noProof/>
                <w:sz w:val="24"/>
              </w:rPr>
              <w:t>Enamik konsulteeritud sidusrühmi toetas mitmesuguseid meetmeid, mis pakuti välja hiljem eelistatuks osutunud variandi raames. Kahe seadusandliku variandi puhul olid sidusrühmad eri seisukohal ELi talendireservi suunatud või avatud olemuse suhtes. Liikmesriigid toetasid üldiselt sellist ELi talendireservi, mis keskenduks nendele sektoritele ja kutsealadele, kus valitseb tööjõupuudus nii ELi kui ka riikide tasandil. Samuti pooldasid nad paindlikkust, mis on vajalik, et olla suuteline tööturu arenguga kohanema.</w:t>
            </w:r>
            <w:r>
              <w:rPr>
                <w:rStyle w:val="normaltextrun"/>
                <w:noProof/>
                <w:sz w:val="24"/>
              </w:rPr>
              <w:t xml:space="preserve"> Ka enamik majandus- ja sotsiaalpartnereid ning mõned teised sidusrühmad olid suunatud lähenemisviisiga nõus, vähemalt esimeses etapis. </w:t>
            </w:r>
            <w:r>
              <w:rPr>
                <w:noProof/>
                <w:sz w:val="24"/>
              </w:rPr>
              <w:t xml:space="preserve">Euroopa Parlament seevastu soovitas oma resolutsioonis 2020/2010(INI) kaasata algusest peale kõik tööhõivesektorid. Enamik sidusrühmi soosis ideed kasutada ära riiklike tööturuasutuste kogemused ja olemasolevad vahendid, näiteks võtta üle teatavad EURESe IT- ja juhtimiselemendid. </w:t>
            </w:r>
          </w:p>
        </w:tc>
      </w:tr>
      <w:tr w:rsidR="005053E3" w:rsidRPr="0099383D" w14:paraId="18687A59" w14:textId="77777777" w:rsidTr="004978A5">
        <w:tc>
          <w:tcPr>
            <w:tcW w:w="9331" w:type="dxa"/>
            <w:tcBorders>
              <w:bottom w:val="single" w:sz="4" w:space="0" w:color="auto"/>
            </w:tcBorders>
            <w:shd w:val="clear" w:color="auto" w:fill="CCCCCC"/>
          </w:tcPr>
          <w:p w14:paraId="44FF7CED" w14:textId="77777777" w:rsidR="005053E3" w:rsidRPr="00381AAB" w:rsidRDefault="005053E3" w:rsidP="00815ED4">
            <w:pPr>
              <w:spacing w:before="120" w:after="120"/>
              <w:jc w:val="center"/>
              <w:rPr>
                <w:b/>
                <w:noProof/>
                <w:sz w:val="24"/>
                <w:szCs w:val="24"/>
              </w:rPr>
            </w:pPr>
            <w:r>
              <w:rPr>
                <w:b/>
                <w:noProof/>
                <w:sz w:val="24"/>
              </w:rPr>
              <w:t>C. Eelistatud poliitikavariandi mõju</w:t>
            </w:r>
          </w:p>
        </w:tc>
      </w:tr>
      <w:tr w:rsidR="005053E3" w:rsidRPr="0099383D" w14:paraId="2652805E" w14:textId="77777777" w:rsidTr="004978A5">
        <w:tc>
          <w:tcPr>
            <w:tcW w:w="9331" w:type="dxa"/>
            <w:tcBorders>
              <w:bottom w:val="single" w:sz="4" w:space="0" w:color="auto"/>
            </w:tcBorders>
            <w:shd w:val="clear" w:color="auto" w:fill="E6E6E6"/>
          </w:tcPr>
          <w:p w14:paraId="7B2A7189" w14:textId="151150F2" w:rsidR="005053E3" w:rsidRPr="00381AAB" w:rsidRDefault="005053E3" w:rsidP="00815ED4">
            <w:pPr>
              <w:spacing w:before="120" w:after="120"/>
              <w:jc w:val="both"/>
              <w:rPr>
                <w:noProof/>
                <w:sz w:val="24"/>
                <w:szCs w:val="24"/>
              </w:rPr>
            </w:pPr>
            <w:r>
              <w:rPr>
                <w:b/>
                <w:noProof/>
                <w:sz w:val="24"/>
              </w:rPr>
              <w:t>Millised on eelistatud poliitikavariandi (kui see on olemas, vastasel korral peamiste poliitikavariantide) eelised?</w:t>
            </w:r>
          </w:p>
        </w:tc>
      </w:tr>
      <w:tr w:rsidR="005053E3" w:rsidRPr="0018464C" w14:paraId="0B46E3FB" w14:textId="77777777" w:rsidTr="004978A5">
        <w:tc>
          <w:tcPr>
            <w:tcW w:w="9331" w:type="dxa"/>
            <w:tcBorders>
              <w:bottom w:val="single" w:sz="4" w:space="0" w:color="auto"/>
            </w:tcBorders>
            <w:shd w:val="clear" w:color="auto" w:fill="auto"/>
          </w:tcPr>
          <w:p w14:paraId="046D84B5" w14:textId="445F93EF" w:rsidR="00FD4861" w:rsidRDefault="00012A9F" w:rsidP="00815ED4">
            <w:pPr>
              <w:spacing w:before="120" w:after="120"/>
              <w:jc w:val="both"/>
              <w:rPr>
                <w:noProof/>
                <w:color w:val="000000"/>
                <w:sz w:val="24"/>
                <w:szCs w:val="24"/>
                <w:shd w:val="clear" w:color="auto" w:fill="FFFFFF"/>
              </w:rPr>
            </w:pPr>
            <w:r>
              <w:rPr>
                <w:noProof/>
                <w:color w:val="000000"/>
                <w:sz w:val="24"/>
                <w:shd w:val="clear" w:color="auto" w:fill="FFFFFF"/>
              </w:rPr>
              <w:t xml:space="preserve">Eelistatud poliitikavariant aitaks vastu tulla tööandjate vajadustele ning võtta samal ajal arvesse </w:t>
            </w:r>
            <w:r>
              <w:rPr>
                <w:b/>
                <w:noProof/>
                <w:color w:val="000000"/>
                <w:sz w:val="24"/>
                <w:shd w:val="clear" w:color="auto" w:fill="FFFFFF"/>
              </w:rPr>
              <w:t>tööturu ja muude poliitikaeesmärkidega seotud laiemaid strateegilisi kaalutlusi nii ELis kui ka liikmesriikides</w:t>
            </w:r>
            <w:r>
              <w:rPr>
                <w:noProof/>
                <w:color w:val="000000"/>
                <w:sz w:val="24"/>
                <w:shd w:val="clear" w:color="auto" w:fill="FFFFFF"/>
              </w:rPr>
              <w:t xml:space="preserve">. See variant oleks </w:t>
            </w:r>
            <w:r>
              <w:rPr>
                <w:b/>
                <w:noProof/>
                <w:color w:val="000000"/>
                <w:sz w:val="24"/>
                <w:shd w:val="clear" w:color="auto" w:fill="FFFFFF"/>
              </w:rPr>
              <w:t>avatud igale oskuste tasemele</w:t>
            </w:r>
            <w:r>
              <w:rPr>
                <w:noProof/>
                <w:color w:val="000000"/>
                <w:sz w:val="24"/>
                <w:shd w:val="clear" w:color="auto" w:fill="FFFFFF"/>
              </w:rPr>
              <w:t xml:space="preserve"> ning kujutaks endast paindlikku mehhanismi, mis aitaks strateegilisemalt ja struktuursemalt kindlaks teha ja lahendada tööjõupuuduse ja oskuste nappuse probleeme. Töövahendusplatvorm ning individuaalne nõustamine ja mitmesugused muud teenused tuleksid kasuks ettevõtjatele ja iseäranis VKEdele, sest need muudaksid lihtsamaks töötajate rahvusvahelise värbamise ja tagaksid ettevõtjatele juurdepääsu suuremale hulgale väljastpoolt ELi pärit sobivatele tööotsijatele.</w:t>
            </w:r>
          </w:p>
          <w:p w14:paraId="319DBC20" w14:textId="072252F1" w:rsidR="005053E3" w:rsidRPr="00381AAB" w:rsidRDefault="007F6FC4" w:rsidP="00815ED4">
            <w:pPr>
              <w:spacing w:before="120" w:after="120"/>
              <w:jc w:val="both"/>
              <w:rPr>
                <w:noProof/>
                <w:sz w:val="24"/>
                <w:szCs w:val="24"/>
              </w:rPr>
            </w:pPr>
            <w:r>
              <w:rPr>
                <w:noProof/>
                <w:color w:val="000000"/>
                <w:sz w:val="24"/>
                <w:shd w:val="clear" w:color="auto" w:fill="FFFFFF"/>
              </w:rPr>
              <w:t>Käesolev algatus annab panuse Euroopa oskusteaastasse ja on komisjoni 2023. aasta tööprogrammis välja kuulutatud komisjoni talentide liikuvuse paketis sisalduva algatuse põhikomponent.</w:t>
            </w:r>
          </w:p>
        </w:tc>
      </w:tr>
      <w:tr w:rsidR="005053E3" w:rsidRPr="0099383D" w14:paraId="021389FE" w14:textId="77777777" w:rsidTr="004978A5">
        <w:tc>
          <w:tcPr>
            <w:tcW w:w="9331" w:type="dxa"/>
            <w:tcBorders>
              <w:bottom w:val="single" w:sz="4" w:space="0" w:color="auto"/>
            </w:tcBorders>
            <w:shd w:val="clear" w:color="auto" w:fill="E6E6E6"/>
          </w:tcPr>
          <w:p w14:paraId="39A4CB2F" w14:textId="2C549EE6" w:rsidR="005053E3" w:rsidRPr="00381AAB" w:rsidRDefault="005053E3" w:rsidP="00815ED4">
            <w:pPr>
              <w:spacing w:before="120" w:after="120"/>
              <w:jc w:val="both"/>
              <w:rPr>
                <w:noProof/>
                <w:sz w:val="24"/>
                <w:szCs w:val="24"/>
              </w:rPr>
            </w:pPr>
            <w:r>
              <w:rPr>
                <w:b/>
                <w:noProof/>
                <w:sz w:val="24"/>
              </w:rPr>
              <w:t>Millised on eelistatud poliitikavariandi (kui see on olemas, vastasel korral peamiste poliitikavariantide) kulud?</w:t>
            </w:r>
          </w:p>
        </w:tc>
      </w:tr>
      <w:tr w:rsidR="005053E3" w:rsidRPr="005371A8" w14:paraId="0625B090" w14:textId="77777777" w:rsidTr="004978A5">
        <w:tc>
          <w:tcPr>
            <w:tcW w:w="9331" w:type="dxa"/>
            <w:tcBorders>
              <w:bottom w:val="single" w:sz="4" w:space="0" w:color="auto"/>
            </w:tcBorders>
            <w:shd w:val="clear" w:color="auto" w:fill="auto"/>
          </w:tcPr>
          <w:p w14:paraId="29FA5655" w14:textId="1DC4D08D" w:rsidR="005306CF" w:rsidRDefault="00A96108" w:rsidP="00815ED4">
            <w:pPr>
              <w:spacing w:before="120" w:after="120"/>
              <w:jc w:val="both"/>
              <w:rPr>
                <w:noProof/>
                <w:sz w:val="24"/>
                <w:szCs w:val="24"/>
              </w:rPr>
            </w:pPr>
            <w:r>
              <w:rPr>
                <w:noProof/>
                <w:sz w:val="24"/>
              </w:rPr>
              <w:t>Eelistatud poliitikavariant eeldab järgmisi kulusid</w:t>
            </w:r>
            <w:r w:rsidR="000F30A8">
              <w:rPr>
                <w:rStyle w:val="FootnoteReference"/>
                <w:noProof/>
                <w:sz w:val="24"/>
                <w:szCs w:val="24"/>
              </w:rPr>
              <w:footnoteReference w:id="1"/>
            </w:r>
            <w:r>
              <w:rPr>
                <w:noProof/>
                <w:sz w:val="24"/>
              </w:rPr>
              <w:t>:</w:t>
            </w:r>
          </w:p>
          <w:p w14:paraId="585D193D" w14:textId="7B4B9D6B" w:rsidR="00CF4182" w:rsidRDefault="00CF4182" w:rsidP="00CF4182">
            <w:pPr>
              <w:pStyle w:val="ListParagraph"/>
              <w:numPr>
                <w:ilvl w:val="0"/>
                <w:numId w:val="14"/>
              </w:numPr>
              <w:spacing w:before="120" w:after="120" w:line="240" w:lineRule="auto"/>
              <w:jc w:val="both"/>
              <w:rPr>
                <w:noProof/>
                <w:sz w:val="24"/>
                <w:szCs w:val="24"/>
              </w:rPr>
            </w:pPr>
            <w:r>
              <w:rPr>
                <w:noProof/>
                <w:sz w:val="24"/>
              </w:rPr>
              <w:t>komisjoni ühekordsed kulud ELi talendireservi platvormi (2026–2027) IT-arenduse jaoks summas 6 722 056–6</w:t>
            </w:r>
            <w:r w:rsidR="008A6116">
              <w:rPr>
                <w:noProof/>
                <w:sz w:val="24"/>
              </w:rPr>
              <w:t> </w:t>
            </w:r>
            <w:r>
              <w:rPr>
                <w:noProof/>
                <w:sz w:val="24"/>
              </w:rPr>
              <w:t>804</w:t>
            </w:r>
            <w:r w:rsidR="008A6116">
              <w:rPr>
                <w:noProof/>
                <w:sz w:val="24"/>
              </w:rPr>
              <w:t> </w:t>
            </w:r>
            <w:r>
              <w:rPr>
                <w:noProof/>
                <w:sz w:val="24"/>
              </w:rPr>
              <w:t>539 eurot (kui talendireservis osaleb 11–20 liikmesriiki) ning ELi talendireservi ja liikmesriikide asjaomaste süsteemide koostalitlusvõime tagamise kulud summas 2 672 400–4 175 625 eurot (kannab komisjon);</w:t>
            </w:r>
          </w:p>
          <w:p w14:paraId="069E2F1A" w14:textId="04BFC13D" w:rsidR="00CF4182" w:rsidRDefault="00CF4182" w:rsidP="00CF4182">
            <w:pPr>
              <w:pStyle w:val="ListParagraph"/>
              <w:numPr>
                <w:ilvl w:val="0"/>
                <w:numId w:val="14"/>
              </w:numPr>
              <w:spacing w:before="120" w:after="120" w:line="240" w:lineRule="auto"/>
              <w:jc w:val="both"/>
              <w:rPr>
                <w:noProof/>
                <w:sz w:val="24"/>
                <w:szCs w:val="24"/>
              </w:rPr>
            </w:pPr>
            <w:r>
              <w:rPr>
                <w:noProof/>
                <w:sz w:val="24"/>
              </w:rPr>
              <w:t>korduvad iga-aastased kulud pärast 2027. aastat summas 1 906 255–1 947 497 eurot ELi talendireservi IT-platvormi hooldamiseks ning selle täiendavate funktsioonide ja taristu arendamiseks platvormi kahel esimesel tegevusaastal (järgnevatel aastatel need kulud järk-järgult vähenevad) (kannab komisjon);</w:t>
            </w:r>
          </w:p>
          <w:p w14:paraId="7D81A82C" w14:textId="21BB1EB4" w:rsidR="00CF4182" w:rsidRDefault="00CF4182" w:rsidP="00CF4182">
            <w:pPr>
              <w:pStyle w:val="ListParagraph"/>
              <w:numPr>
                <w:ilvl w:val="0"/>
                <w:numId w:val="14"/>
              </w:numPr>
              <w:spacing w:before="120" w:after="120" w:line="240" w:lineRule="auto"/>
              <w:jc w:val="both"/>
              <w:rPr>
                <w:noProof/>
                <w:sz w:val="24"/>
                <w:szCs w:val="24"/>
              </w:rPr>
            </w:pPr>
            <w:r>
              <w:rPr>
                <w:noProof/>
                <w:sz w:val="24"/>
              </w:rPr>
              <w:t xml:space="preserve"> personalikulud</w:t>
            </w:r>
            <w:r>
              <w:rPr>
                <w:rStyle w:val="FootnoteReference"/>
                <w:noProof/>
                <w:sz w:val="24"/>
                <w:szCs w:val="24"/>
              </w:rPr>
              <w:footnoteReference w:id="2"/>
            </w:r>
            <w:r>
              <w:rPr>
                <w:noProof/>
                <w:sz w:val="24"/>
              </w:rPr>
              <w:t xml:space="preserve"> ning teabevahetuse, liikmesriikide kontaktpunktide koolitamise ja veebipõhise teabe edastamise kulud igal aastal summas 5 426 500–6 000 000 eurot (kannab komisjon);</w:t>
            </w:r>
          </w:p>
          <w:p w14:paraId="721D94DF" w14:textId="2295A1EE" w:rsidR="00CF4182" w:rsidRDefault="00CF4182" w:rsidP="00CF4182">
            <w:pPr>
              <w:pStyle w:val="ListParagraph"/>
              <w:numPr>
                <w:ilvl w:val="0"/>
                <w:numId w:val="14"/>
              </w:numPr>
              <w:spacing w:before="120" w:after="120" w:line="240" w:lineRule="auto"/>
              <w:jc w:val="both"/>
              <w:rPr>
                <w:noProof/>
                <w:sz w:val="24"/>
                <w:szCs w:val="24"/>
              </w:rPr>
            </w:pPr>
            <w:r>
              <w:rPr>
                <w:noProof/>
                <w:sz w:val="24"/>
              </w:rPr>
              <w:t>juhtimisega seotud korduvad iga-aastased kulud 9 440 000–16 040 000 eurot kõigi osalevate liikmesriikide jaoks, eeldusel, et 2030. aastaks on ELi talendireserviga ühinenud vähemalt 11–20 liikmesriiki. Neist 8 000 000–14 600 000 eurot on ette nähtud riiklikele kontaktpunktidele (alates 2026. aastast) ja 1 440 000 eurot haldustoe jaoks, mida pakutakse nn ELi talendipartnerluspasside väljastamiseks ja tööle suunamise hõlbustamiseks talendipartnerluste raames (pärast 2027. aastat) (mõlemad kulukategooriad kaetakse Varjupaiga-, Rände- ja Integratsioonifondist);</w:t>
            </w:r>
          </w:p>
          <w:p w14:paraId="03D464A5" w14:textId="4E7D9FDA" w:rsidR="00CB743F" w:rsidRPr="00C11FE8" w:rsidRDefault="00CF4182" w:rsidP="00C11FE8">
            <w:pPr>
              <w:pStyle w:val="ListParagraph"/>
              <w:numPr>
                <w:ilvl w:val="0"/>
                <w:numId w:val="14"/>
              </w:numPr>
              <w:spacing w:before="120" w:after="120" w:line="240" w:lineRule="auto"/>
              <w:jc w:val="both"/>
              <w:rPr>
                <w:noProof/>
                <w:sz w:val="24"/>
                <w:szCs w:val="24"/>
              </w:rPr>
            </w:pPr>
            <w:r>
              <w:rPr>
                <w:noProof/>
                <w:sz w:val="24"/>
              </w:rPr>
              <w:t>pärast 2027. aastat kantavad iga-aastased kulud summas 348 075–543 867 eurot ELi talendireservi IT-platvormi ja liikmesriikide asjaomaste süsteemide koostalitlusvõime tagamiseks. Neid kannavad kõik osalevad liikmesriigid süsteemi esimesel kahel tegevusaastal (järgnevatel aastatel need kulud järk-järgult vähenevad), eeldusel, et 2030. aastaks on ELi talendireserviga ühinenud 11–20 liikmesriiki (kannavad liikmesriigid).</w:t>
            </w:r>
          </w:p>
        </w:tc>
      </w:tr>
      <w:tr w:rsidR="005053E3" w:rsidRPr="0099383D" w14:paraId="0337577E" w14:textId="77777777" w:rsidTr="004978A5">
        <w:tc>
          <w:tcPr>
            <w:tcW w:w="9331" w:type="dxa"/>
            <w:tcBorders>
              <w:bottom w:val="single" w:sz="4" w:space="0" w:color="auto"/>
            </w:tcBorders>
            <w:shd w:val="clear" w:color="auto" w:fill="E6E6E6"/>
          </w:tcPr>
          <w:p w14:paraId="6EF334A4" w14:textId="77777777" w:rsidR="005053E3" w:rsidRPr="00381AAB" w:rsidRDefault="005053E3" w:rsidP="00815ED4">
            <w:pPr>
              <w:spacing w:before="120" w:after="120"/>
              <w:jc w:val="both"/>
              <w:rPr>
                <w:noProof/>
                <w:sz w:val="24"/>
                <w:szCs w:val="24"/>
              </w:rPr>
            </w:pPr>
            <w:r>
              <w:rPr>
                <w:b/>
                <w:noProof/>
                <w:sz w:val="24"/>
              </w:rPr>
              <w:t xml:space="preserve">Milline on mõju ettevõtjatele, VKEdele ja mikroettevõtjatele? </w:t>
            </w:r>
          </w:p>
        </w:tc>
      </w:tr>
      <w:tr w:rsidR="005053E3" w:rsidRPr="0099383D" w14:paraId="6D7BFA07" w14:textId="77777777" w:rsidTr="004978A5">
        <w:tc>
          <w:tcPr>
            <w:tcW w:w="9331" w:type="dxa"/>
            <w:tcBorders>
              <w:bottom w:val="single" w:sz="4" w:space="0" w:color="auto"/>
            </w:tcBorders>
            <w:shd w:val="clear" w:color="auto" w:fill="auto"/>
          </w:tcPr>
          <w:p w14:paraId="7D241D10" w14:textId="334828D6" w:rsidR="005053E3" w:rsidRPr="00381AAB" w:rsidRDefault="00F71BE7" w:rsidP="00815ED4">
            <w:pPr>
              <w:spacing w:before="120" w:after="120"/>
              <w:jc w:val="both"/>
              <w:rPr>
                <w:noProof/>
                <w:sz w:val="24"/>
                <w:szCs w:val="24"/>
              </w:rPr>
            </w:pPr>
            <w:r>
              <w:rPr>
                <w:noProof/>
                <w:sz w:val="24"/>
              </w:rPr>
              <w:t xml:space="preserve">Eelistatud poliitikavariant oleks ettevõtjate ja eelkõige VKEde jaoks kasulik. Töövahendusplatvorm ja lisateenused aitaksid muuta rahvusvahelise värbamise protsessi kiiremaks, lihtsamaks ja tõhusamaks ning tööandjatel oleks seega kergem täita vabu töökohti. Selle variandi peamised eelised on </w:t>
            </w:r>
            <w:r>
              <w:rPr>
                <w:b/>
                <w:noProof/>
                <w:sz w:val="24"/>
              </w:rPr>
              <w:t>ajasääst</w:t>
            </w:r>
            <w:r>
              <w:rPr>
                <w:noProof/>
                <w:sz w:val="24"/>
              </w:rPr>
              <w:t xml:space="preserve"> värbamisprotsessi eri etappides ja </w:t>
            </w:r>
            <w:r>
              <w:rPr>
                <w:b/>
                <w:noProof/>
                <w:sz w:val="24"/>
              </w:rPr>
              <w:t>kulude kokkuhoid</w:t>
            </w:r>
            <w:r>
              <w:rPr>
                <w:noProof/>
                <w:sz w:val="24"/>
              </w:rPr>
              <w:t>, samuti tööandjate juurdepääs suuremale hulgale sobiva profiiliga kandidaatidele.</w:t>
            </w:r>
          </w:p>
        </w:tc>
      </w:tr>
      <w:tr w:rsidR="005053E3" w:rsidRPr="0099383D" w14:paraId="09795130" w14:textId="77777777" w:rsidTr="004978A5">
        <w:tc>
          <w:tcPr>
            <w:tcW w:w="9331" w:type="dxa"/>
            <w:tcBorders>
              <w:bottom w:val="single" w:sz="4" w:space="0" w:color="auto"/>
            </w:tcBorders>
            <w:shd w:val="clear" w:color="auto" w:fill="E6E6E6"/>
          </w:tcPr>
          <w:p w14:paraId="4833E231" w14:textId="77777777" w:rsidR="005053E3" w:rsidRPr="00381AAB" w:rsidRDefault="005053E3" w:rsidP="00815ED4">
            <w:pPr>
              <w:spacing w:before="120" w:after="120"/>
              <w:jc w:val="both"/>
              <w:rPr>
                <w:b/>
                <w:i/>
                <w:noProof/>
                <w:sz w:val="24"/>
                <w:szCs w:val="24"/>
              </w:rPr>
            </w:pPr>
            <w:r>
              <w:rPr>
                <w:b/>
                <w:noProof/>
                <w:sz w:val="24"/>
              </w:rPr>
              <w:t>Kas on ette näha märkimisväärset mõju riigieelarvetele ja ametiasutustele?</w:t>
            </w:r>
            <w:r>
              <w:rPr>
                <w:noProof/>
                <w:sz w:val="24"/>
              </w:rPr>
              <w:t xml:space="preserve"> </w:t>
            </w:r>
          </w:p>
        </w:tc>
      </w:tr>
      <w:tr w:rsidR="00381AAB" w:rsidRPr="0099383D" w14:paraId="569FA08C" w14:textId="77777777" w:rsidTr="004978A5">
        <w:tc>
          <w:tcPr>
            <w:tcW w:w="9331" w:type="dxa"/>
            <w:tcBorders>
              <w:bottom w:val="single" w:sz="4" w:space="0" w:color="auto"/>
            </w:tcBorders>
            <w:shd w:val="clear" w:color="auto" w:fill="auto"/>
          </w:tcPr>
          <w:p w14:paraId="3136E9F8" w14:textId="192C43C0" w:rsidR="004F702D" w:rsidRPr="004F702D" w:rsidRDefault="004F702D" w:rsidP="004F702D">
            <w:pPr>
              <w:spacing w:before="120" w:after="120"/>
              <w:jc w:val="both"/>
              <w:rPr>
                <w:noProof/>
                <w:sz w:val="24"/>
                <w:szCs w:val="24"/>
              </w:rPr>
            </w:pPr>
            <w:r>
              <w:rPr>
                <w:noProof/>
                <w:sz w:val="24"/>
              </w:rPr>
              <w:t>Liikmesriigid peaksid alates 2026. aastast sisse seadma oma riikliku kontaktpunkti. Nad võivad paluda haldustuge nn ELi talendipartnerluspasside väljastamiseks, et hõlbustada tööle suunamist talendipartnerluste raames (pärast 2027. aastat)</w:t>
            </w:r>
            <w:r>
              <w:rPr>
                <w:rStyle w:val="FootnoteReference"/>
                <w:noProof/>
                <w:sz w:val="24"/>
                <w:szCs w:val="24"/>
              </w:rPr>
              <w:footnoteReference w:id="3"/>
            </w:r>
            <w:r>
              <w:rPr>
                <w:noProof/>
                <w:sz w:val="24"/>
              </w:rPr>
              <w:t>.</w:t>
            </w:r>
          </w:p>
          <w:p w14:paraId="34A1CB60" w14:textId="121A330D" w:rsidR="006C3527" w:rsidRPr="00C11FE8" w:rsidRDefault="004F702D" w:rsidP="00815ED4">
            <w:pPr>
              <w:spacing w:before="120" w:after="120"/>
              <w:jc w:val="both"/>
              <w:rPr>
                <w:rStyle w:val="normaltextrun"/>
                <w:noProof/>
                <w:sz w:val="24"/>
                <w:szCs w:val="24"/>
              </w:rPr>
            </w:pPr>
            <w:r>
              <w:rPr>
                <w:noProof/>
                <w:sz w:val="24"/>
              </w:rPr>
              <w:t>Need korduvad iga-aastased kulud, mis kaetakse Varjupaiga-, Rände- ja Integratsioonifondist, on 9 440 000–16 040 000 eurot kõigi osalevate liikmesriikide jaoks, eeldusel, et 2030. aastaks on ELi talendireserviga ühinenud vähemalt 11–20 liikmesriiki. Neist 8 000 000–14 600 000 eurot on mõeldud riiklikele kontaktpunktidele ja 1 440 000 eurot haldustoeks nn ELi talendipartnerluspasside väljastamisel.</w:t>
            </w:r>
          </w:p>
          <w:p w14:paraId="41A9D9AB" w14:textId="522FE880" w:rsidR="004F702D" w:rsidRPr="00023366" w:rsidRDefault="006C3527" w:rsidP="00023366">
            <w:pPr>
              <w:spacing w:before="120" w:after="120"/>
              <w:jc w:val="both"/>
              <w:rPr>
                <w:noProof/>
                <w:color w:val="000000"/>
                <w:sz w:val="24"/>
                <w:szCs w:val="24"/>
                <w:shd w:val="clear" w:color="auto" w:fill="FFFFFF"/>
              </w:rPr>
            </w:pPr>
            <w:r>
              <w:rPr>
                <w:rStyle w:val="normaltextrun"/>
                <w:noProof/>
                <w:color w:val="000000"/>
                <w:sz w:val="24"/>
                <w:shd w:val="clear" w:color="auto" w:fill="FFFFFF"/>
              </w:rPr>
              <w:t>Lisaks on infotehnoloogia seisukohast vaja pärast 2027. aastat tagada liikmesriikide süsteemide koostalitlusvõime ELi talendireservi IT-platvormiga (vt kulud eespool).</w:t>
            </w:r>
            <w:r>
              <w:rPr>
                <w:rStyle w:val="eop"/>
                <w:noProof/>
                <w:color w:val="000000"/>
                <w:sz w:val="24"/>
                <w:shd w:val="clear" w:color="auto" w:fill="FFFFFF"/>
              </w:rPr>
              <w:t> </w:t>
            </w:r>
            <w:r>
              <w:rPr>
                <w:rStyle w:val="eop"/>
                <w:noProof/>
                <w:sz w:val="24"/>
              </w:rPr>
              <w:t>Selleks kulutatakse igal aastal 348 075–543 867 eurot, mille eraldavad kõik osalevad liikmesriigid süsteemi esimesel kahel tegevusaastal (järgnevatel aastatel need kulud järk-järgult vähenevad), eeldusel, et 2030. aastaks on ELi talendireserviga ühinenud 11–20 liikmesriiki (kannavad liikmesriigid).</w:t>
            </w:r>
          </w:p>
          <w:p w14:paraId="0E2C5AAF" w14:textId="1DDC6FD2" w:rsidR="003557E5" w:rsidRPr="00B04F81" w:rsidRDefault="006C3527" w:rsidP="00815ED4">
            <w:pPr>
              <w:spacing w:before="120" w:after="120"/>
              <w:jc w:val="both"/>
              <w:rPr>
                <w:noProof/>
                <w:sz w:val="24"/>
                <w:szCs w:val="24"/>
              </w:rPr>
            </w:pPr>
            <w:r>
              <w:rPr>
                <w:rStyle w:val="eop"/>
                <w:noProof/>
                <w:color w:val="000000"/>
                <w:sz w:val="24"/>
                <w:shd w:val="clear" w:color="auto" w:fill="FFFFFF"/>
              </w:rPr>
              <w:t>Neid aitaks korvata oodatav kasu liikmesriikide majandusele ja SKP kasv, mida eeldatakse lisandunud palkadest.</w:t>
            </w:r>
            <w:r>
              <w:rPr>
                <w:rStyle w:val="normaltextrun"/>
                <w:noProof/>
                <w:color w:val="000000"/>
                <w:sz w:val="24"/>
                <w:shd w:val="clear" w:color="auto" w:fill="FFFFFF"/>
              </w:rPr>
              <w:t> </w:t>
            </w:r>
            <w:r>
              <w:rPr>
                <w:rStyle w:val="eop"/>
                <w:noProof/>
                <w:sz w:val="24"/>
              </w:rPr>
              <w:t>Mõju riikide rahandusele oleks üldiselt positiivne.</w:t>
            </w:r>
          </w:p>
        </w:tc>
      </w:tr>
      <w:tr w:rsidR="005053E3" w:rsidRPr="0099383D" w14:paraId="3AC84CE5" w14:textId="77777777" w:rsidTr="004978A5">
        <w:tc>
          <w:tcPr>
            <w:tcW w:w="9331" w:type="dxa"/>
            <w:tcBorders>
              <w:bottom w:val="single" w:sz="4" w:space="0" w:color="auto"/>
            </w:tcBorders>
            <w:shd w:val="clear" w:color="auto" w:fill="E6E6E6"/>
          </w:tcPr>
          <w:p w14:paraId="44DF04CF" w14:textId="77777777" w:rsidR="005053E3" w:rsidRPr="00381AAB" w:rsidRDefault="005053E3" w:rsidP="00815ED4">
            <w:pPr>
              <w:spacing w:before="120" w:after="120"/>
              <w:jc w:val="both"/>
              <w:rPr>
                <w:noProof/>
                <w:sz w:val="24"/>
                <w:szCs w:val="24"/>
              </w:rPr>
            </w:pPr>
            <w:r>
              <w:rPr>
                <w:b/>
                <w:noProof/>
                <w:sz w:val="24"/>
              </w:rPr>
              <w:t>Kas on oodata muud olulist mõju?</w:t>
            </w:r>
            <w:r>
              <w:rPr>
                <w:noProof/>
                <w:sz w:val="24"/>
              </w:rPr>
              <w:t xml:space="preserve"> </w:t>
            </w:r>
          </w:p>
        </w:tc>
      </w:tr>
      <w:tr w:rsidR="005053E3" w:rsidRPr="0099383D" w14:paraId="365436B1" w14:textId="77777777" w:rsidTr="004978A5">
        <w:tc>
          <w:tcPr>
            <w:tcW w:w="9331" w:type="dxa"/>
            <w:tcBorders>
              <w:bottom w:val="single" w:sz="4" w:space="0" w:color="auto"/>
            </w:tcBorders>
            <w:shd w:val="clear" w:color="auto" w:fill="auto"/>
          </w:tcPr>
          <w:p w14:paraId="313AC2E9" w14:textId="52717D3E" w:rsidR="00381AAB" w:rsidRPr="00381AAB" w:rsidRDefault="00381AAB" w:rsidP="00815ED4">
            <w:pPr>
              <w:spacing w:before="120" w:after="120"/>
              <w:jc w:val="both"/>
              <w:rPr>
                <w:noProof/>
                <w:sz w:val="24"/>
                <w:szCs w:val="24"/>
              </w:rPr>
            </w:pPr>
            <w:r>
              <w:rPr>
                <w:noProof/>
                <w:sz w:val="24"/>
              </w:rPr>
              <w:t xml:space="preserve">ELi talendireserv aitaks muuta talendipartnerlused tulemuslikumaks, sest töövahendusplatvormina aitaks see kõnealustes partnerlustes osalevate kolmandate riikide tööotsijatel tööd leida. See aga peaks aitama kaasata paremini peamisi partnerriike kõigisse rändekoostöö aspektidesse. </w:t>
            </w:r>
          </w:p>
        </w:tc>
      </w:tr>
      <w:tr w:rsidR="005053E3" w:rsidRPr="0099383D" w14:paraId="6E04239A" w14:textId="77777777" w:rsidTr="004978A5">
        <w:tc>
          <w:tcPr>
            <w:tcW w:w="9331" w:type="dxa"/>
            <w:tcBorders>
              <w:bottom w:val="single" w:sz="4" w:space="0" w:color="auto"/>
            </w:tcBorders>
            <w:shd w:val="clear" w:color="auto" w:fill="C0C0C0"/>
          </w:tcPr>
          <w:p w14:paraId="57C2FA2B" w14:textId="77777777" w:rsidR="005053E3" w:rsidRPr="00381AAB" w:rsidRDefault="005053E3" w:rsidP="00815ED4">
            <w:pPr>
              <w:spacing w:before="120" w:after="120"/>
              <w:jc w:val="center"/>
              <w:rPr>
                <w:b/>
                <w:noProof/>
                <w:sz w:val="24"/>
                <w:szCs w:val="24"/>
              </w:rPr>
            </w:pPr>
            <w:r>
              <w:rPr>
                <w:b/>
                <w:noProof/>
                <w:sz w:val="24"/>
              </w:rPr>
              <w:t>D. Järelmeetmed</w:t>
            </w:r>
          </w:p>
        </w:tc>
      </w:tr>
      <w:tr w:rsidR="005053E3" w:rsidRPr="0099383D" w14:paraId="5C67B78E" w14:textId="77777777" w:rsidTr="004978A5">
        <w:tc>
          <w:tcPr>
            <w:tcW w:w="9331" w:type="dxa"/>
            <w:tcBorders>
              <w:bottom w:val="single" w:sz="4" w:space="0" w:color="auto"/>
            </w:tcBorders>
            <w:shd w:val="clear" w:color="auto" w:fill="E6E6E6"/>
          </w:tcPr>
          <w:p w14:paraId="2FD6BEF0" w14:textId="77777777" w:rsidR="005053E3" w:rsidRPr="00381AAB" w:rsidRDefault="005053E3" w:rsidP="00815ED4">
            <w:pPr>
              <w:spacing w:before="120" w:after="120"/>
              <w:jc w:val="both"/>
              <w:rPr>
                <w:noProof/>
                <w:sz w:val="24"/>
                <w:szCs w:val="24"/>
              </w:rPr>
            </w:pPr>
            <w:r>
              <w:rPr>
                <w:b/>
                <w:noProof/>
                <w:sz w:val="24"/>
              </w:rPr>
              <w:t xml:space="preserve">Millal poliitika läbi vaadatakse? </w:t>
            </w:r>
          </w:p>
        </w:tc>
      </w:tr>
      <w:tr w:rsidR="005053E3" w:rsidRPr="0099383D" w14:paraId="32CFD24B" w14:textId="77777777" w:rsidTr="004978A5">
        <w:tc>
          <w:tcPr>
            <w:tcW w:w="9331" w:type="dxa"/>
            <w:tcBorders>
              <w:bottom w:val="single" w:sz="4" w:space="0" w:color="auto"/>
            </w:tcBorders>
            <w:shd w:val="clear" w:color="auto" w:fill="auto"/>
          </w:tcPr>
          <w:p w14:paraId="11F9AF89" w14:textId="7F7F0BE4" w:rsidR="005053E3" w:rsidRPr="00381AAB" w:rsidRDefault="00D4712F" w:rsidP="00815ED4">
            <w:pPr>
              <w:spacing w:before="120" w:after="120"/>
              <w:jc w:val="both"/>
              <w:rPr>
                <w:noProof/>
                <w:sz w:val="24"/>
                <w:szCs w:val="24"/>
              </w:rPr>
            </w:pPr>
            <w:r>
              <w:rPr>
                <w:noProof/>
                <w:sz w:val="24"/>
              </w:rPr>
              <w:t xml:space="preserve">Komisjon esitab Euroopa Parlamendile, nõukogule, Euroopa Majandus- ja Sotsiaalkomiteele ning Regioonide Komiteele 2031. aastaks (hinnanguliselt kolm aastat pärast ELi talendireservi töölerakendamist) ja seejärel iga kolme aasta tagant aruande määruse kohaldamise kohta. </w:t>
            </w:r>
          </w:p>
        </w:tc>
      </w:tr>
    </w:tbl>
    <w:p w14:paraId="69C35193" w14:textId="77777777" w:rsidR="00F31280" w:rsidRDefault="00F31280" w:rsidP="00815ED4">
      <w:pPr>
        <w:spacing w:before="120" w:after="120"/>
        <w:rPr>
          <w:noProof/>
        </w:rPr>
      </w:pPr>
    </w:p>
    <w:sectPr w:rsidR="00F31280" w:rsidSect="0026613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6E15E" w14:textId="77777777" w:rsidR="008967A0" w:rsidRDefault="008967A0" w:rsidP="0026613F">
      <w:pPr>
        <w:spacing w:after="0" w:line="240" w:lineRule="auto"/>
      </w:pPr>
      <w:r>
        <w:separator/>
      </w:r>
    </w:p>
  </w:endnote>
  <w:endnote w:type="continuationSeparator" w:id="0">
    <w:p w14:paraId="5B2FC678" w14:textId="77777777" w:rsidR="008967A0" w:rsidRDefault="008967A0"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F21A" w14:textId="4F1FBFBC" w:rsidR="0071434F" w:rsidRPr="001A7577" w:rsidRDefault="0071434F" w:rsidP="001A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BD778" w14:textId="3DDC18C9" w:rsidR="0071434F" w:rsidRPr="001A7577" w:rsidRDefault="001A7577" w:rsidP="001A7577">
    <w:pPr>
      <w:pStyle w:val="FooterCoverPage"/>
      <w:rPr>
        <w:rFonts w:ascii="Arial" w:hAnsi="Arial" w:cs="Arial"/>
        <w:b/>
        <w:sz w:val="48"/>
      </w:rPr>
    </w:pPr>
    <w:r w:rsidRPr="001A7577">
      <w:rPr>
        <w:rFonts w:ascii="Arial" w:hAnsi="Arial" w:cs="Arial"/>
        <w:b/>
        <w:sz w:val="48"/>
      </w:rPr>
      <w:t>ET</w:t>
    </w:r>
    <w:r w:rsidRPr="001A7577">
      <w:rPr>
        <w:rFonts w:ascii="Arial" w:hAnsi="Arial" w:cs="Arial"/>
        <w:b/>
        <w:sz w:val="48"/>
      </w:rPr>
      <w:tab/>
    </w:r>
    <w:r w:rsidRPr="001A7577">
      <w:rPr>
        <w:rFonts w:ascii="Arial" w:hAnsi="Arial" w:cs="Arial"/>
        <w:b/>
        <w:sz w:val="48"/>
      </w:rPr>
      <w:tab/>
    </w:r>
    <w:r w:rsidRPr="001A7577">
      <w:tab/>
    </w:r>
    <w:r w:rsidRPr="001A7577">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B5F9" w14:textId="77777777" w:rsidR="001A7577" w:rsidRPr="001A7577" w:rsidRDefault="001A7577" w:rsidP="001A757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08C1" w14:textId="77777777" w:rsidR="0026613F" w:rsidRDefault="00266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rPr>
        <w:noProof/>
      </w:rPr>
    </w:sdtEndPr>
    <w:sdtContent>
      <w:p w14:paraId="0B9EB4A6" w14:textId="2D63F90C" w:rsidR="0026613F" w:rsidRDefault="0026613F">
        <w:pPr>
          <w:pStyle w:val="Footer"/>
          <w:jc w:val="center"/>
        </w:pPr>
        <w:r w:rsidRPr="005306CF">
          <w:rPr>
            <w:rFonts w:ascii="Times New Roman" w:hAnsi="Times New Roman"/>
          </w:rPr>
          <w:fldChar w:fldCharType="begin"/>
        </w:r>
        <w:r w:rsidRPr="005306CF">
          <w:rPr>
            <w:rFonts w:ascii="Times New Roman" w:hAnsi="Times New Roman"/>
          </w:rPr>
          <w:instrText xml:space="preserve"> PAGE   \* MERGEFORMAT </w:instrText>
        </w:r>
        <w:r w:rsidRPr="005306CF">
          <w:rPr>
            <w:rFonts w:ascii="Times New Roman" w:hAnsi="Times New Roman"/>
          </w:rPr>
          <w:fldChar w:fldCharType="separate"/>
        </w:r>
        <w:r w:rsidR="001A7577">
          <w:rPr>
            <w:rFonts w:ascii="Times New Roman" w:hAnsi="Times New Roman"/>
            <w:noProof/>
          </w:rPr>
          <w:t>1</w:t>
        </w:r>
        <w:r w:rsidRPr="005306CF">
          <w:rPr>
            <w:rFonts w:ascii="Times New Roman" w:hAnsi="Times New Roman"/>
          </w:rPr>
          <w:fldChar w:fldCharType="end"/>
        </w:r>
      </w:p>
    </w:sdtContent>
  </w:sdt>
  <w:p w14:paraId="6284F2C2" w14:textId="77777777" w:rsidR="0026613F" w:rsidRDefault="002661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B341" w14:textId="77777777" w:rsidR="0026613F" w:rsidRDefault="002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ECD6" w14:textId="77777777" w:rsidR="008967A0" w:rsidRDefault="008967A0" w:rsidP="0026613F">
      <w:pPr>
        <w:spacing w:after="0" w:line="240" w:lineRule="auto"/>
      </w:pPr>
      <w:r>
        <w:separator/>
      </w:r>
    </w:p>
  </w:footnote>
  <w:footnote w:type="continuationSeparator" w:id="0">
    <w:p w14:paraId="2E99AA69" w14:textId="77777777" w:rsidR="008967A0" w:rsidRDefault="008967A0" w:rsidP="0026613F">
      <w:pPr>
        <w:spacing w:after="0" w:line="240" w:lineRule="auto"/>
      </w:pPr>
      <w:r>
        <w:continuationSeparator/>
      </w:r>
    </w:p>
  </w:footnote>
  <w:footnote w:id="1">
    <w:p w14:paraId="22817FF9" w14:textId="18F74D09" w:rsidR="000F30A8" w:rsidRPr="00023366" w:rsidRDefault="000F30A8" w:rsidP="00023366">
      <w:pPr>
        <w:pStyle w:val="FootnoteText"/>
        <w:ind w:left="720" w:hanging="720"/>
        <w:rPr>
          <w:rFonts w:ascii="Times New Roman" w:hAnsi="Times New Roman" w:cs="Times New Roman"/>
          <w:sz w:val="18"/>
          <w:szCs w:val="18"/>
        </w:rPr>
      </w:pPr>
      <w:r>
        <w:rPr>
          <w:rFonts w:ascii="Times New Roman" w:hAnsi="Times New Roman" w:cs="Times New Roman"/>
          <w:sz w:val="18"/>
          <w:szCs w:val="18"/>
          <w:vertAlign w:val="superscript"/>
          <w:lang w:val="en-US"/>
        </w:rPr>
        <w:footnoteRef/>
      </w:r>
      <w:r>
        <w:t xml:space="preserve"> </w:t>
      </w:r>
      <w:r>
        <w:rPr>
          <w:rFonts w:ascii="Times New Roman" w:hAnsi="Times New Roman"/>
          <w:sz w:val="18"/>
        </w:rPr>
        <w:tab/>
        <w:t>2027. aasta järgsed kulud on soovituslikud ega mõjuta eelarvet, mis on algatuse jaoks ette nähtud mitmeaastases finantsraamistikus 2028–2034.</w:t>
      </w:r>
    </w:p>
  </w:footnote>
  <w:footnote w:id="2">
    <w:p w14:paraId="36A24D26" w14:textId="65E10BE8" w:rsidR="00CF4182" w:rsidRPr="00A94C45" w:rsidRDefault="00CF4182" w:rsidP="003C440C">
      <w:pPr>
        <w:pStyle w:val="FootnoteText"/>
        <w:ind w:left="720" w:hanging="72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Hinnanguliselt vajab komisjon kõigi ELi talendireserviga seotud ülesannete täitmiseks 13 töötajat, kes asuvad ametisse järk-järgult, sõltuvalt algatuse edenemise etapist. Kuni 2027. aastani on tarvis 10 töötajat. Pärast 2027. aastat on kulud soovituslikud ega mõjuta eelarvet, mis on algatuse jaoks ette nähtud mitmeaastases finantsraamistikus 2028–2034.</w:t>
      </w:r>
    </w:p>
  </w:footnote>
  <w:footnote w:id="3">
    <w:p w14:paraId="01EE5C09" w14:textId="48FD280C" w:rsidR="004F702D" w:rsidRPr="00023366" w:rsidRDefault="004F702D">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Samas.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003F" w14:textId="77777777" w:rsidR="001A7577" w:rsidRPr="001A7577" w:rsidRDefault="001A7577" w:rsidP="001A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6FF5" w14:textId="77777777" w:rsidR="001A7577" w:rsidRPr="001A7577" w:rsidRDefault="001A7577" w:rsidP="001A757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7438" w14:textId="77777777" w:rsidR="001A7577" w:rsidRPr="001A7577" w:rsidRDefault="001A7577" w:rsidP="001A757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2D6E" w14:textId="77777777" w:rsidR="0026613F" w:rsidRDefault="00266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D908" w14:textId="77777777" w:rsidR="0026613F" w:rsidRDefault="00266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40A3B" w14:textId="77777777" w:rsidR="0026613F" w:rsidRDefault="002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CCD"/>
    <w:multiLevelType w:val="hybridMultilevel"/>
    <w:tmpl w:val="93D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636"/>
    <w:multiLevelType w:val="hybridMultilevel"/>
    <w:tmpl w:val="FFAAE5E0"/>
    <w:lvl w:ilvl="0" w:tplc="C46629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0D46"/>
    <w:multiLevelType w:val="hybridMultilevel"/>
    <w:tmpl w:val="EA06981A"/>
    <w:lvl w:ilvl="0" w:tplc="FAF2B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C4D80"/>
    <w:multiLevelType w:val="hybridMultilevel"/>
    <w:tmpl w:val="5ACC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66123"/>
    <w:multiLevelType w:val="hybridMultilevel"/>
    <w:tmpl w:val="AF0A83BC"/>
    <w:lvl w:ilvl="0" w:tplc="1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A6809"/>
    <w:multiLevelType w:val="hybridMultilevel"/>
    <w:tmpl w:val="7278E8D4"/>
    <w:lvl w:ilvl="0" w:tplc="C46629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198C91C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29473D"/>
    <w:multiLevelType w:val="hybridMultilevel"/>
    <w:tmpl w:val="296A417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19492F"/>
    <w:multiLevelType w:val="hybridMultilevel"/>
    <w:tmpl w:val="C1DC8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405DC6"/>
    <w:multiLevelType w:val="hybridMultilevel"/>
    <w:tmpl w:val="6B5C3C9C"/>
    <w:lvl w:ilvl="0" w:tplc="1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22ABB"/>
    <w:multiLevelType w:val="hybridMultilevel"/>
    <w:tmpl w:val="FF82ED12"/>
    <w:lvl w:ilvl="0" w:tplc="1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DD363F"/>
    <w:multiLevelType w:val="hybridMultilevel"/>
    <w:tmpl w:val="17325B2A"/>
    <w:lvl w:ilvl="0" w:tplc="4CC6D94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5F7200"/>
    <w:multiLevelType w:val="hybridMultilevel"/>
    <w:tmpl w:val="541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120C2"/>
    <w:multiLevelType w:val="hybridMultilevel"/>
    <w:tmpl w:val="CA8272D0"/>
    <w:lvl w:ilvl="0" w:tplc="1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3"/>
  </w:num>
  <w:num w:numId="5">
    <w:abstractNumId w:val="10"/>
  </w:num>
  <w:num w:numId="6">
    <w:abstractNumId w:val="9"/>
  </w:num>
  <w:num w:numId="7">
    <w:abstractNumId w:val="4"/>
  </w:num>
  <w:num w:numId="8">
    <w:abstractNumId w:val="0"/>
  </w:num>
  <w:num w:numId="9">
    <w:abstractNumId w:val="12"/>
  </w:num>
  <w:num w:numId="10">
    <w:abstractNumId w:val="5"/>
  </w:num>
  <w:num w:numId="11">
    <w:abstractNumId w:val="1"/>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dile:"/>
    <w:docVar w:name="LW_CORRIGENDUM" w:val="&lt;UNUSED&gt;"/>
    <w:docVar w:name="LW_COVERPAGE_EXISTS" w:val="True"/>
    <w:docVar w:name="LW_COVERPAGE_GUID" w:val="764FE2BB-699B-4A47-B05D-A75603937F4E"/>
    <w:docVar w:name="LW_COVERPAGE_TYPE" w:val="1"/>
    <w:docVar w:name="LW_CROSSREFERENCE" w:val="{COM(2023) 716 final} - {SEC(2023) 716 final} - {SWD(2023) 716 final} - {SWD(2023) 717 final}"/>
    <w:docVar w:name="LW_DocType" w:val="NORMAL"/>
    <w:docVar w:name="LW_EMISSION" w:val="15.11.2023"/>
    <w:docVar w:name="LW_EMISSION_ISODATE" w:val="2023-11-15"/>
    <w:docVar w:name="LW_EMISSION_LOCATION" w:val="BRX"/>
    <w:docVar w:name="LW_EMISSION_PREFIX" w:val="Brüssel,"/>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millega luuakse ELi talendireserv"/>
    <w:docVar w:name="LW_PART_NBR" w:val="1"/>
    <w:docVar w:name="LW_PART_NBR_TOTAL" w:val="1"/>
    <w:docVar w:name="LW_REF.INST.NEW" w:val="SWD"/>
    <w:docVar w:name="LW_REF.INST.NEW_ADOPTED" w:val="final"/>
    <w:docVar w:name="LW_REF.INST.NEW_TEXT" w:val="(2023) 7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 HINDAMISE ARUANDE KOMMENTEERITUD KOKKUVÕTE_x000b_"/>
    <w:docVar w:name="LW_TYPEACTEPRINCIPAL.CP" w:val="Ettepanek: Euroopa Parlamendi ja nõukogu määrus,"/>
    <w:docVar w:name="LwApiVersions" w:val="LW4CoDe 1.23.2.0; LW 8.0, Build 20211117"/>
  </w:docVars>
  <w:rsids>
    <w:rsidRoot w:val="0026613F"/>
    <w:rsid w:val="00012A9F"/>
    <w:rsid w:val="00016957"/>
    <w:rsid w:val="000207BA"/>
    <w:rsid w:val="00023366"/>
    <w:rsid w:val="00023805"/>
    <w:rsid w:val="000440B3"/>
    <w:rsid w:val="00060F43"/>
    <w:rsid w:val="000A08DA"/>
    <w:rsid w:val="000B1645"/>
    <w:rsid w:val="000B4A38"/>
    <w:rsid w:val="000C5CAE"/>
    <w:rsid w:val="000C5DE3"/>
    <w:rsid w:val="000F30A8"/>
    <w:rsid w:val="00101679"/>
    <w:rsid w:val="001338A7"/>
    <w:rsid w:val="00137006"/>
    <w:rsid w:val="00153001"/>
    <w:rsid w:val="0016116F"/>
    <w:rsid w:val="001763EF"/>
    <w:rsid w:val="001A7577"/>
    <w:rsid w:val="001B66F2"/>
    <w:rsid w:val="001B6848"/>
    <w:rsid w:val="001C4B92"/>
    <w:rsid w:val="001E467C"/>
    <w:rsid w:val="001E7CA5"/>
    <w:rsid w:val="0024141F"/>
    <w:rsid w:val="00245D65"/>
    <w:rsid w:val="002529A1"/>
    <w:rsid w:val="0026203E"/>
    <w:rsid w:val="0026613F"/>
    <w:rsid w:val="00286819"/>
    <w:rsid w:val="002A4F75"/>
    <w:rsid w:val="002B5D9E"/>
    <w:rsid w:val="002C7EA5"/>
    <w:rsid w:val="002E74CD"/>
    <w:rsid w:val="002E7EB4"/>
    <w:rsid w:val="00325C84"/>
    <w:rsid w:val="0034001C"/>
    <w:rsid w:val="00344E94"/>
    <w:rsid w:val="003511F6"/>
    <w:rsid w:val="00353E9F"/>
    <w:rsid w:val="003557E5"/>
    <w:rsid w:val="00365C95"/>
    <w:rsid w:val="00381AAB"/>
    <w:rsid w:val="00390155"/>
    <w:rsid w:val="00390220"/>
    <w:rsid w:val="003A57B9"/>
    <w:rsid w:val="003B68DA"/>
    <w:rsid w:val="003C440C"/>
    <w:rsid w:val="003E6E38"/>
    <w:rsid w:val="004158C9"/>
    <w:rsid w:val="0046480F"/>
    <w:rsid w:val="004978A5"/>
    <w:rsid w:val="004A3979"/>
    <w:rsid w:val="004B7BA9"/>
    <w:rsid w:val="004F702D"/>
    <w:rsid w:val="005053E3"/>
    <w:rsid w:val="005129F6"/>
    <w:rsid w:val="005306CF"/>
    <w:rsid w:val="00542D7D"/>
    <w:rsid w:val="00590CE7"/>
    <w:rsid w:val="0059395F"/>
    <w:rsid w:val="005A5569"/>
    <w:rsid w:val="005D3E0A"/>
    <w:rsid w:val="005D74DF"/>
    <w:rsid w:val="005E0928"/>
    <w:rsid w:val="00623182"/>
    <w:rsid w:val="00624693"/>
    <w:rsid w:val="006365B4"/>
    <w:rsid w:val="00643954"/>
    <w:rsid w:val="0067765D"/>
    <w:rsid w:val="006A76EE"/>
    <w:rsid w:val="006C3527"/>
    <w:rsid w:val="006D626A"/>
    <w:rsid w:val="006D6E92"/>
    <w:rsid w:val="006F79EF"/>
    <w:rsid w:val="00710F73"/>
    <w:rsid w:val="0071350E"/>
    <w:rsid w:val="0071434F"/>
    <w:rsid w:val="0071506D"/>
    <w:rsid w:val="00742226"/>
    <w:rsid w:val="007471FC"/>
    <w:rsid w:val="007619D9"/>
    <w:rsid w:val="00762F83"/>
    <w:rsid w:val="00790CFF"/>
    <w:rsid w:val="007C02FF"/>
    <w:rsid w:val="007C15B3"/>
    <w:rsid w:val="007C50E4"/>
    <w:rsid w:val="007D315B"/>
    <w:rsid w:val="007F6FC4"/>
    <w:rsid w:val="00811345"/>
    <w:rsid w:val="00815ED4"/>
    <w:rsid w:val="00823201"/>
    <w:rsid w:val="00837386"/>
    <w:rsid w:val="008407A8"/>
    <w:rsid w:val="00856716"/>
    <w:rsid w:val="00856AB2"/>
    <w:rsid w:val="0086089F"/>
    <w:rsid w:val="0088140E"/>
    <w:rsid w:val="0088191B"/>
    <w:rsid w:val="0089118C"/>
    <w:rsid w:val="008967A0"/>
    <w:rsid w:val="008A2D51"/>
    <w:rsid w:val="008A6116"/>
    <w:rsid w:val="008D2C40"/>
    <w:rsid w:val="008E4937"/>
    <w:rsid w:val="008F6217"/>
    <w:rsid w:val="008F6A18"/>
    <w:rsid w:val="009155F2"/>
    <w:rsid w:val="009372C9"/>
    <w:rsid w:val="009412FC"/>
    <w:rsid w:val="009578A7"/>
    <w:rsid w:val="00985B0C"/>
    <w:rsid w:val="009869D5"/>
    <w:rsid w:val="00995292"/>
    <w:rsid w:val="009C3601"/>
    <w:rsid w:val="009D0464"/>
    <w:rsid w:val="009D0D0F"/>
    <w:rsid w:val="009D4C5F"/>
    <w:rsid w:val="009F5DE2"/>
    <w:rsid w:val="00A06090"/>
    <w:rsid w:val="00A228F3"/>
    <w:rsid w:val="00A3538B"/>
    <w:rsid w:val="00A558E0"/>
    <w:rsid w:val="00A74FC0"/>
    <w:rsid w:val="00A85BD2"/>
    <w:rsid w:val="00A94C45"/>
    <w:rsid w:val="00A96108"/>
    <w:rsid w:val="00A962FD"/>
    <w:rsid w:val="00A963A2"/>
    <w:rsid w:val="00AB77F7"/>
    <w:rsid w:val="00AC55B7"/>
    <w:rsid w:val="00AE2D47"/>
    <w:rsid w:val="00AE545D"/>
    <w:rsid w:val="00B04F81"/>
    <w:rsid w:val="00B1566B"/>
    <w:rsid w:val="00B75173"/>
    <w:rsid w:val="00B75419"/>
    <w:rsid w:val="00B93EDB"/>
    <w:rsid w:val="00B95DA7"/>
    <w:rsid w:val="00BB292A"/>
    <w:rsid w:val="00BB2D4F"/>
    <w:rsid w:val="00BB7626"/>
    <w:rsid w:val="00BB76E0"/>
    <w:rsid w:val="00BD3AAB"/>
    <w:rsid w:val="00BE6804"/>
    <w:rsid w:val="00BF4D81"/>
    <w:rsid w:val="00C11FE8"/>
    <w:rsid w:val="00C236CF"/>
    <w:rsid w:val="00C27170"/>
    <w:rsid w:val="00C3401E"/>
    <w:rsid w:val="00C37D09"/>
    <w:rsid w:val="00C41C1E"/>
    <w:rsid w:val="00C73B13"/>
    <w:rsid w:val="00C74112"/>
    <w:rsid w:val="00C766E2"/>
    <w:rsid w:val="00C80F05"/>
    <w:rsid w:val="00CB743F"/>
    <w:rsid w:val="00CC0F4F"/>
    <w:rsid w:val="00CC1963"/>
    <w:rsid w:val="00CE0394"/>
    <w:rsid w:val="00CF4182"/>
    <w:rsid w:val="00D1450C"/>
    <w:rsid w:val="00D20045"/>
    <w:rsid w:val="00D20532"/>
    <w:rsid w:val="00D20FD1"/>
    <w:rsid w:val="00D22F20"/>
    <w:rsid w:val="00D41FC9"/>
    <w:rsid w:val="00D4712F"/>
    <w:rsid w:val="00D642CD"/>
    <w:rsid w:val="00D747A5"/>
    <w:rsid w:val="00D7693F"/>
    <w:rsid w:val="00DA06C6"/>
    <w:rsid w:val="00DA4489"/>
    <w:rsid w:val="00DB64ED"/>
    <w:rsid w:val="00DE289D"/>
    <w:rsid w:val="00DE5E10"/>
    <w:rsid w:val="00DF0604"/>
    <w:rsid w:val="00E052BD"/>
    <w:rsid w:val="00E07233"/>
    <w:rsid w:val="00E21C98"/>
    <w:rsid w:val="00E265B8"/>
    <w:rsid w:val="00E60F3C"/>
    <w:rsid w:val="00E67265"/>
    <w:rsid w:val="00E72062"/>
    <w:rsid w:val="00E804ED"/>
    <w:rsid w:val="00E9602E"/>
    <w:rsid w:val="00E969BC"/>
    <w:rsid w:val="00EA7FBC"/>
    <w:rsid w:val="00EF07A1"/>
    <w:rsid w:val="00EF1762"/>
    <w:rsid w:val="00EF2E92"/>
    <w:rsid w:val="00F31280"/>
    <w:rsid w:val="00F71BE7"/>
    <w:rsid w:val="00F82F0C"/>
    <w:rsid w:val="00F86150"/>
    <w:rsid w:val="00F93122"/>
    <w:rsid w:val="00FB4810"/>
    <w:rsid w:val="00FD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0A7CEB"/>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B2D4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table" w:styleId="TableGrid">
    <w:name w:val="Table Grid"/>
    <w:basedOn w:val="TableNormal"/>
    <w:rsid w:val="005053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3E3"/>
    <w:pPr>
      <w:spacing w:after="160" w:line="259" w:lineRule="auto"/>
      <w:ind w:left="720"/>
      <w:contextualSpacing/>
    </w:p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rsid w:val="005129F6"/>
    <w:rPr>
      <w:sz w:val="20"/>
      <w:szCs w:val="20"/>
    </w:rPr>
  </w:style>
  <w:style w:type="character" w:customStyle="1" w:styleId="Znakiprzypiswdolnych">
    <w:name w:val="Znaki przypisów dolnych"/>
    <w:link w:val="FootnoteReferenceLVL6"/>
    <w:uiPriority w:val="99"/>
    <w:unhideWhenUsed/>
    <w:qFormat/>
    <w:rsid w:val="005129F6"/>
    <w:rPr>
      <w:vertAlign w:val="superscript"/>
    </w:rPr>
  </w:style>
  <w:style w:type="character" w:styleId="FootnoteReference">
    <w:name w:val="footnote reference"/>
    <w:aliases w:val="Footnote Reference Superscript,Footnote symbol,BVI fnr, BVI fnr,Footnote reference number,note TESI,Appel note de bas de p,Nota,SUPERS,Footnote number,EN Footnote Reference,-E Fußnotenzeichen,number Char Char,number,Ref,styl,R,styli"/>
    <w:link w:val="BVIfnr"/>
    <w:uiPriority w:val="99"/>
    <w:qFormat/>
    <w:rsid w:val="005129F6"/>
    <w:rPr>
      <w:vertAlign w:val="superscript"/>
    </w:rPr>
  </w:style>
  <w:style w:type="character" w:styleId="Hyperlink">
    <w:name w:val="Hyperlink"/>
    <w:uiPriority w:val="99"/>
    <w:rsid w:val="005129F6"/>
    <w:rPr>
      <w:color w:val="0000FF"/>
      <w:u w:val="single"/>
    </w:rPr>
  </w:style>
  <w:style w:type="character" w:customStyle="1" w:styleId="normaltextrun">
    <w:name w:val="normaltextrun"/>
    <w:basedOn w:val="DefaultParagraphFont"/>
    <w:qFormat/>
    <w:rsid w:val="005129F6"/>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 (RMC)"/>
    <w:basedOn w:val="Normal"/>
    <w:link w:val="FootnoteTextChar"/>
    <w:uiPriority w:val="99"/>
    <w:unhideWhenUsed/>
    <w:qFormat/>
    <w:rsid w:val="005129F6"/>
    <w:pPr>
      <w:suppressAutoHyphens/>
      <w:spacing w:after="0" w:line="240" w:lineRule="auto"/>
    </w:pPr>
    <w:rPr>
      <w:sz w:val="20"/>
      <w:szCs w:val="20"/>
    </w:rPr>
  </w:style>
  <w:style w:type="character" w:customStyle="1" w:styleId="FootnoteTextChar1">
    <w:name w:val="Footnote Text Char1"/>
    <w:basedOn w:val="DefaultParagraphFont"/>
    <w:uiPriority w:val="99"/>
    <w:semiHidden/>
    <w:rsid w:val="005129F6"/>
    <w:rPr>
      <w:sz w:val="20"/>
      <w:szCs w:val="20"/>
    </w:r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Znakiprzypiswdolnych"/>
    <w:uiPriority w:val="99"/>
    <w:qFormat/>
    <w:rsid w:val="005129F6"/>
    <w:pPr>
      <w:suppressAutoHyphens/>
      <w:spacing w:after="160" w:line="240" w:lineRule="exact"/>
      <w:jc w:val="both"/>
    </w:pPr>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
    <w:basedOn w:val="Normal"/>
    <w:link w:val="FootnoteReference"/>
    <w:uiPriority w:val="99"/>
    <w:rsid w:val="005129F6"/>
    <w:pPr>
      <w:spacing w:after="160" w:line="240" w:lineRule="exact"/>
    </w:pPr>
    <w:rPr>
      <w:vertAlign w:val="superscript"/>
    </w:rPr>
  </w:style>
  <w:style w:type="paragraph" w:customStyle="1" w:styleId="Normal1">
    <w:name w:val="Normal1"/>
    <w:basedOn w:val="Normal"/>
    <w:rsid w:val="00EA7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al"/>
    <w:rsid w:val="00EA7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DefaultParagraphFont"/>
    <w:rsid w:val="00EA7FBC"/>
  </w:style>
  <w:style w:type="character" w:styleId="CommentReference">
    <w:name w:val="annotation reference"/>
    <w:basedOn w:val="DefaultParagraphFont"/>
    <w:uiPriority w:val="99"/>
    <w:unhideWhenUsed/>
    <w:rsid w:val="00D4712F"/>
    <w:rPr>
      <w:sz w:val="16"/>
      <w:szCs w:val="16"/>
    </w:rPr>
  </w:style>
  <w:style w:type="paragraph" w:styleId="CommentText">
    <w:name w:val="annotation text"/>
    <w:aliases w:val="Char2,Text poznámky"/>
    <w:basedOn w:val="Normal"/>
    <w:link w:val="CommentTextChar"/>
    <w:uiPriority w:val="99"/>
    <w:unhideWhenUsed/>
    <w:rsid w:val="00D4712F"/>
    <w:pPr>
      <w:spacing w:after="160" w:line="240" w:lineRule="auto"/>
    </w:pPr>
    <w:rPr>
      <w:sz w:val="20"/>
      <w:szCs w:val="20"/>
    </w:rPr>
  </w:style>
  <w:style w:type="character" w:customStyle="1" w:styleId="CommentTextChar">
    <w:name w:val="Comment Text Char"/>
    <w:aliases w:val="Char2 Char,Text poznámky Char"/>
    <w:basedOn w:val="DefaultParagraphFont"/>
    <w:link w:val="CommentText"/>
    <w:uiPriority w:val="99"/>
    <w:rsid w:val="00D4712F"/>
    <w:rPr>
      <w:sz w:val="20"/>
      <w:szCs w:val="20"/>
      <w:lang w:val="et-EE"/>
    </w:rPr>
  </w:style>
  <w:style w:type="paragraph" w:styleId="BalloonText">
    <w:name w:val="Balloon Text"/>
    <w:basedOn w:val="Normal"/>
    <w:link w:val="BalloonTextChar"/>
    <w:uiPriority w:val="99"/>
    <w:semiHidden/>
    <w:unhideWhenUsed/>
    <w:rsid w:val="00D4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4712F"/>
    <w:pPr>
      <w:spacing w:after="200"/>
    </w:pPr>
    <w:rPr>
      <w:b/>
      <w:bCs/>
    </w:rPr>
  </w:style>
  <w:style w:type="character" w:customStyle="1" w:styleId="CommentSubjectChar">
    <w:name w:val="Comment Subject Char"/>
    <w:basedOn w:val="CommentTextChar"/>
    <w:link w:val="CommentSubject"/>
    <w:uiPriority w:val="99"/>
    <w:semiHidden/>
    <w:rsid w:val="00D4712F"/>
    <w:rPr>
      <w:b/>
      <w:bCs/>
      <w:sz w:val="20"/>
      <w:szCs w:val="20"/>
      <w:lang w:val="et-EE"/>
    </w:rPr>
  </w:style>
  <w:style w:type="character" w:customStyle="1" w:styleId="eop">
    <w:name w:val="eop"/>
    <w:basedOn w:val="DefaultParagraphFont"/>
    <w:rsid w:val="00381AAB"/>
  </w:style>
  <w:style w:type="paragraph" w:styleId="Revision">
    <w:name w:val="Revision"/>
    <w:hidden/>
    <w:uiPriority w:val="99"/>
    <w:semiHidden/>
    <w:rsid w:val="00D1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31">
      <w:bodyDiv w:val="1"/>
      <w:marLeft w:val="0"/>
      <w:marRight w:val="0"/>
      <w:marTop w:val="0"/>
      <w:marBottom w:val="0"/>
      <w:divBdr>
        <w:top w:val="none" w:sz="0" w:space="0" w:color="auto"/>
        <w:left w:val="none" w:sz="0" w:space="0" w:color="auto"/>
        <w:bottom w:val="none" w:sz="0" w:space="0" w:color="auto"/>
        <w:right w:val="none" w:sz="0" w:space="0" w:color="auto"/>
      </w:divBdr>
    </w:div>
    <w:div w:id="547449854">
      <w:bodyDiv w:val="1"/>
      <w:marLeft w:val="0"/>
      <w:marRight w:val="0"/>
      <w:marTop w:val="0"/>
      <w:marBottom w:val="0"/>
      <w:divBdr>
        <w:top w:val="none" w:sz="0" w:space="0" w:color="auto"/>
        <w:left w:val="none" w:sz="0" w:space="0" w:color="auto"/>
        <w:bottom w:val="none" w:sz="0" w:space="0" w:color="auto"/>
        <w:right w:val="none" w:sz="0" w:space="0" w:color="auto"/>
      </w:divBdr>
    </w:div>
    <w:div w:id="1187452141">
      <w:bodyDiv w:val="1"/>
      <w:marLeft w:val="0"/>
      <w:marRight w:val="0"/>
      <w:marTop w:val="0"/>
      <w:marBottom w:val="0"/>
      <w:divBdr>
        <w:top w:val="none" w:sz="0" w:space="0" w:color="auto"/>
        <w:left w:val="none" w:sz="0" w:space="0" w:color="auto"/>
        <w:bottom w:val="none" w:sz="0" w:space="0" w:color="auto"/>
        <w:right w:val="none" w:sz="0" w:space="0" w:color="auto"/>
      </w:divBdr>
    </w:div>
    <w:div w:id="1212498167">
      <w:bodyDiv w:val="1"/>
      <w:marLeft w:val="0"/>
      <w:marRight w:val="0"/>
      <w:marTop w:val="0"/>
      <w:marBottom w:val="0"/>
      <w:divBdr>
        <w:top w:val="none" w:sz="0" w:space="0" w:color="auto"/>
        <w:left w:val="none" w:sz="0" w:space="0" w:color="auto"/>
        <w:bottom w:val="none" w:sz="0" w:space="0" w:color="auto"/>
        <w:right w:val="none" w:sz="0" w:space="0" w:color="auto"/>
      </w:divBdr>
    </w:div>
    <w:div w:id="19018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9B4D-5DE2-43FB-AE00-94CDDF8C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1499</Words>
  <Characters>11295</Characters>
  <Application>Microsoft Office Word</Application>
  <DocSecurity>0</DocSecurity>
  <Lines>182</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64</cp:revision>
  <cp:lastPrinted>2023-11-09T11:42:00Z</cp:lastPrinted>
  <dcterms:created xsi:type="dcterms:W3CDTF">2023-11-07T16:48:00Z</dcterms:created>
  <dcterms:modified xsi:type="dcterms:W3CDTF">2023-12-05T13:30:00Z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2023-09-06T10:45:26Z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c2f691ad-8abc-487a-8b5b-ac91045005c1</vt:lpwstr>
  </property>
  <property fmtid="{D5CDD505-2E9C-101B-9397-08002B2CF9AE}" pid="15" name="MSIP_Label_6bd9ddd1-4d20-43f6-abfa-fc3c07406f94_ContentBits">
    <vt:lpwstr>0</vt:lpwstr>
  </property>
</Properties>
</file>