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B85E4" w14:textId="156BD21B" w:rsidR="0029533F" w:rsidRPr="005E1B09" w:rsidRDefault="00057724" w:rsidP="00057724">
      <w:pPr>
        <w:pStyle w:val="Pagedecouverture"/>
        <w:rPr>
          <w:noProof/>
        </w:rPr>
      </w:pPr>
      <w:r>
        <w:rPr>
          <w:noProof/>
        </w:rPr>
        <w:pict w14:anchorId="17F45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576E91C6-1FCC-4131-A694-0EC106862C6D" style="width:455.25pt;height:468.75pt">
            <v:imagedata r:id="rId11" o:title=""/>
          </v:shape>
        </w:pict>
      </w:r>
    </w:p>
    <w:p w14:paraId="0BCC4FD4" w14:textId="77777777" w:rsidR="00A2210E" w:rsidRPr="005E1B09" w:rsidRDefault="00A2210E" w:rsidP="00FA3D6F">
      <w:pPr>
        <w:rPr>
          <w:noProof/>
        </w:rPr>
        <w:sectPr w:rsidR="00A2210E" w:rsidRPr="005E1B09" w:rsidSect="00057724">
          <w:footerReference w:type="default" r:id="rId12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C02D963" w14:textId="77777777" w:rsidR="00037B74" w:rsidRPr="005E1B09" w:rsidRDefault="00037B74" w:rsidP="00037B74">
      <w:pPr>
        <w:pStyle w:val="Exposdesmotifstitre"/>
        <w:rPr>
          <w:noProof/>
        </w:rPr>
      </w:pPr>
      <w:bookmarkStart w:id="0" w:name="_GoBack"/>
      <w:bookmarkEnd w:id="0"/>
      <w:r w:rsidRPr="005E1B09">
        <w:rPr>
          <w:noProof/>
        </w:rPr>
        <w:lastRenderedPageBreak/>
        <w:t>OBRAZLOŽENJE</w:t>
      </w:r>
    </w:p>
    <w:p w14:paraId="7537646F" w14:textId="77777777" w:rsidR="00037B74" w:rsidRPr="005E1B09" w:rsidRDefault="00037B74" w:rsidP="00037B74">
      <w:pPr>
        <w:pStyle w:val="ManualHeading1"/>
        <w:rPr>
          <w:noProof/>
        </w:rPr>
      </w:pPr>
      <w:r w:rsidRPr="005E1B09">
        <w:rPr>
          <w:noProof/>
        </w:rPr>
        <w:t>1.</w:t>
      </w:r>
      <w:r w:rsidRPr="005E1B09">
        <w:rPr>
          <w:noProof/>
        </w:rPr>
        <w:tab/>
        <w:t>KONTEKST PRIJEDLOGA</w:t>
      </w:r>
    </w:p>
    <w:p w14:paraId="01682DB6" w14:textId="4B88C2CA" w:rsidR="00636E1F" w:rsidRPr="005E1B09" w:rsidRDefault="00636E1F" w:rsidP="004D6F66">
      <w:pPr>
        <w:rPr>
          <w:noProof/>
        </w:rPr>
      </w:pPr>
      <w:r w:rsidRPr="005E1B09">
        <w:rPr>
          <w:noProof/>
        </w:rPr>
        <w:t xml:space="preserve">Vidjeti </w:t>
      </w:r>
      <w:bookmarkStart w:id="1" w:name="_Hlk144292538"/>
      <w:r w:rsidRPr="005E1B09">
        <w:rPr>
          <w:noProof/>
        </w:rPr>
        <w:t>Direktivu COM(2023) 516</w:t>
      </w:r>
      <w:bookmarkEnd w:id="1"/>
      <w:r w:rsidRPr="005E1B09">
        <w:rPr>
          <w:noProof/>
        </w:rPr>
        <w:t>.</w:t>
      </w:r>
    </w:p>
    <w:p w14:paraId="30912118" w14:textId="77777777" w:rsidR="00037B74" w:rsidRPr="005E1B09" w:rsidRDefault="00037B74" w:rsidP="00037B74">
      <w:pPr>
        <w:pStyle w:val="ManualHeading1"/>
        <w:rPr>
          <w:noProof/>
        </w:rPr>
      </w:pPr>
      <w:r w:rsidRPr="005E1B09">
        <w:rPr>
          <w:noProof/>
        </w:rPr>
        <w:t>2.</w:t>
      </w:r>
      <w:r w:rsidRPr="005E1B09">
        <w:rPr>
          <w:noProof/>
        </w:rPr>
        <w:tab/>
        <w:t>PRAVNA OSNOVA, SUPSIDIJARNOST I PROPORCIONALNOST</w:t>
      </w:r>
    </w:p>
    <w:p w14:paraId="4AAF54E2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t>•</w:t>
      </w:r>
      <w:r w:rsidRPr="005E1B09">
        <w:rPr>
          <w:noProof/>
        </w:rPr>
        <w:tab/>
      </w:r>
      <w:r w:rsidRPr="005E1B09">
        <w:rPr>
          <w:noProof/>
          <w:u w:color="000000"/>
          <w:bdr w:val="nil"/>
        </w:rPr>
        <w:t>Pravna osnova</w:t>
      </w:r>
    </w:p>
    <w:p w14:paraId="2C072B2B" w14:textId="77777777" w:rsidR="00D86167" w:rsidRPr="005E1B09" w:rsidRDefault="00D86167" w:rsidP="00D86167">
      <w:pPr>
        <w:rPr>
          <w:noProof/>
        </w:rPr>
      </w:pPr>
      <w:r w:rsidRPr="005E1B09">
        <w:rPr>
          <w:noProof/>
        </w:rPr>
        <w:t>Ovaj se Prijedlog temelji na članku 21. stavku 2. i članku 114. UFEU-a.</w:t>
      </w:r>
    </w:p>
    <w:p w14:paraId="47A32FF5" w14:textId="2CA681D0" w:rsidR="5992F2D0" w:rsidRPr="005E1B09" w:rsidRDefault="5992F2D0">
      <w:pPr>
        <w:rPr>
          <w:noProof/>
        </w:rPr>
      </w:pPr>
      <w:r w:rsidRPr="005E1B09">
        <w:rPr>
          <w:noProof/>
        </w:rPr>
        <w:t>Ovim se Prijedlogom mijenja Uredba (EU) 1024/2012 Europskog parlamenta i Vijeća od 25. listopada 2012. o administrativnoj suradnji s pomoću Informacijskog sustava unutarnjeg tržišta i stavljanju izvan snage Odluke Komisije 2008/49/EZ („Uredba IMI”)</w:t>
      </w:r>
      <w:r w:rsidRPr="005E1B09">
        <w:rPr>
          <w:rStyle w:val="FootnoteReference"/>
          <w:noProof/>
        </w:rPr>
        <w:footnoteReference w:id="2"/>
      </w:r>
      <w:r w:rsidRPr="005E1B09">
        <w:rPr>
          <w:noProof/>
        </w:rPr>
        <w:t>, koja se temelji na članku 114. UFEU-a.</w:t>
      </w:r>
    </w:p>
    <w:p w14:paraId="312EAE55" w14:textId="1242EC01" w:rsidR="004E09AB" w:rsidRPr="005E1B09" w:rsidRDefault="00D86167" w:rsidP="092C815B">
      <w:pPr>
        <w:rPr>
          <w:noProof/>
        </w:rPr>
      </w:pPr>
      <w:r w:rsidRPr="005E1B09">
        <w:rPr>
          <w:noProof/>
        </w:rPr>
        <w:t>Ovim se Prijedlogom mijenja i Uredba (EU) 2018/1724 Europskog parlamenta i Vijeća od 2. listopada 2018. o uspostavi jedinstvenog digitalnog pristupnika za pristup informacijama, postupcima, uslugama podrške i rješavanja problema te o izmjeni Uredbe (EU) br. 1024/2012</w:t>
      </w:r>
      <w:r w:rsidRPr="005E1B09">
        <w:rPr>
          <w:rStyle w:val="FootnoteReference"/>
          <w:noProof/>
        </w:rPr>
        <w:footnoteReference w:id="3"/>
      </w:r>
      <w:r w:rsidRPr="005E1B09">
        <w:rPr>
          <w:noProof/>
        </w:rPr>
        <w:t xml:space="preserve">, koja se temelji na članku 21. stavku 2. UFEU-a i članku 114. stavku 1. UFEU-a. </w:t>
      </w:r>
    </w:p>
    <w:p w14:paraId="1820DF8C" w14:textId="0AA3C0EE" w:rsidR="00BF6B5E" w:rsidRPr="005E1B09" w:rsidRDefault="00BF6B5E" w:rsidP="092C815B">
      <w:pPr>
        <w:rPr>
          <w:noProof/>
        </w:rPr>
      </w:pPr>
      <w:r w:rsidRPr="005E1B09">
        <w:rPr>
          <w:noProof/>
        </w:rPr>
        <w:t xml:space="preserve">Člankom 114. UFEU-a utvrđuje se da Europski parlament i Vijeće donose mjere za usklađivanje odredbi zakona ili drugih propisa u državama članicama, čiji je cilj uspostava i funkcioniranje unutarnjeg tržišta. Budući da je cilj ovog prijedloga izmjena Uredbe (EU) br. 1024/2012 o uspostavi sustava IMI koja ima izravan učinak na funkcioniranje unutarnjeg tržišta tako što olakšava suradnju među državama članicama i bavi se pitanjima razlika među odredbama država članica koje ometaju temeljne slobode, članak 114. UFEU-a odgovarajuća je pravna osnova. </w:t>
      </w:r>
    </w:p>
    <w:p w14:paraId="6B408D3F" w14:textId="65EB7CEA" w:rsidR="004E09AB" w:rsidRPr="005E1B09" w:rsidRDefault="00E755EA" w:rsidP="00D86167">
      <w:pPr>
        <w:rPr>
          <w:noProof/>
        </w:rPr>
      </w:pPr>
      <w:r w:rsidRPr="005E1B09">
        <w:rPr>
          <w:noProof/>
        </w:rPr>
        <w:t xml:space="preserve">Budući da je cilj ovog Prijedloga pojasniti i izmijeniti područje primjene Uredbe (EU) 2018/1724 kako bi se građanima, poduzećima i pravnim osobama koje nisu poduzeća, a koji ostvaruju ili namjeravaju ostvariti svoja prava koja proizlaze iz prava Unije u području unutarnjeg tržišta u smislu članka 26. stavka 2. UFEU-a, omogućio bolji internetski pristup informacijama i postupcima, olakšat će se ostvarivanje prava građana Unije na slobodno kretanje i boravak na državnom području država članica. Stoga bi se Prijedlog trebao temeljiti na članku 21. stavku 2 UFEU-a. </w:t>
      </w:r>
    </w:p>
    <w:p w14:paraId="6B7F9935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t>•</w:t>
      </w:r>
      <w:r w:rsidRPr="005E1B09">
        <w:rPr>
          <w:noProof/>
        </w:rPr>
        <w:tab/>
      </w:r>
      <w:r w:rsidRPr="005E1B09">
        <w:rPr>
          <w:noProof/>
          <w:u w:color="000000"/>
          <w:bdr w:val="nil"/>
        </w:rPr>
        <w:t xml:space="preserve">Supsidijarnost (za neisključivu nadležnost) </w:t>
      </w:r>
    </w:p>
    <w:p w14:paraId="53059EB5" w14:textId="1C5319BF" w:rsidR="004D6F66" w:rsidRPr="005E1B09" w:rsidRDefault="004D6F66" w:rsidP="00E40FBC">
      <w:pPr>
        <w:rPr>
          <w:noProof/>
        </w:rPr>
      </w:pPr>
      <w:r w:rsidRPr="005E1B09">
        <w:rPr>
          <w:noProof/>
        </w:rPr>
        <w:t>Vidjeti Direktivu COM(2023) 516.</w:t>
      </w:r>
    </w:p>
    <w:p w14:paraId="420BC618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t>•</w:t>
      </w:r>
      <w:r w:rsidRPr="005E1B09">
        <w:rPr>
          <w:noProof/>
        </w:rPr>
        <w:tab/>
      </w:r>
      <w:r w:rsidRPr="005E1B09">
        <w:rPr>
          <w:noProof/>
          <w:u w:color="000000"/>
          <w:bdr w:val="nil"/>
        </w:rPr>
        <w:t>Proporcionalnost</w:t>
      </w:r>
    </w:p>
    <w:p w14:paraId="7485A8E1" w14:textId="778E69B7" w:rsidR="00854D99" w:rsidRPr="005E1B09" w:rsidRDefault="00854D99" w:rsidP="00E40FBC">
      <w:pPr>
        <w:rPr>
          <w:noProof/>
        </w:rPr>
      </w:pPr>
      <w:r w:rsidRPr="005E1B09">
        <w:rPr>
          <w:noProof/>
        </w:rPr>
        <w:t>Vidjeti Direktivu COM(2023) 516.</w:t>
      </w:r>
    </w:p>
    <w:p w14:paraId="4662339F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lastRenderedPageBreak/>
        <w:t>•</w:t>
      </w:r>
      <w:r w:rsidRPr="005E1B09">
        <w:rPr>
          <w:noProof/>
        </w:rPr>
        <w:tab/>
      </w:r>
      <w:r w:rsidRPr="005E1B09">
        <w:rPr>
          <w:noProof/>
          <w:u w:color="000000"/>
          <w:bdr w:val="nil"/>
        </w:rPr>
        <w:t>Odabir instrumenta</w:t>
      </w:r>
    </w:p>
    <w:p w14:paraId="52E9C492" w14:textId="5FACD524" w:rsidR="00510E40" w:rsidRPr="005E1B09" w:rsidRDefault="00E40FBC" w:rsidP="002A40DB">
      <w:pPr>
        <w:rPr>
          <w:noProof/>
        </w:rPr>
      </w:pPr>
      <w:r w:rsidRPr="005E1B09">
        <w:rPr>
          <w:noProof/>
        </w:rPr>
        <w:t>Člankom 114. UFEU-a utvrđuje se da Europski parlament i Vijeće donose mjere za usklađivanje odredbi zakona ili drugih propisa u državama članicama, čiji je cilj uspostava i funkcioniranje unutarnjeg tržišta.</w:t>
      </w:r>
    </w:p>
    <w:p w14:paraId="7A8C77DA" w14:textId="77777777" w:rsidR="00E40FBC" w:rsidRPr="005E1B09" w:rsidRDefault="00E40FBC" w:rsidP="002A40DB">
      <w:pPr>
        <w:rPr>
          <w:noProof/>
        </w:rPr>
      </w:pPr>
      <w:r w:rsidRPr="005E1B09">
        <w:rPr>
          <w:noProof/>
        </w:rPr>
        <w:t>S obzirom na to da bi se ovim Prijedlogom izmijenile dvije uredbe, uredba je primjeren pravni instrument.</w:t>
      </w:r>
    </w:p>
    <w:p w14:paraId="1D17C019" w14:textId="77777777" w:rsidR="00037B74" w:rsidRPr="005E1B09" w:rsidRDefault="00037B74" w:rsidP="00037B74">
      <w:pPr>
        <w:pStyle w:val="ManualHeading1"/>
        <w:rPr>
          <w:noProof/>
        </w:rPr>
      </w:pPr>
      <w:r w:rsidRPr="005E1B09">
        <w:rPr>
          <w:noProof/>
        </w:rPr>
        <w:t>3.</w:t>
      </w:r>
      <w:r w:rsidRPr="005E1B09">
        <w:rPr>
          <w:noProof/>
        </w:rPr>
        <w:tab/>
        <w:t>REZULTATI EX POST EVALUACIJA, SAVJETOVANJA S DIONICIMA I PROCJENA UČINKA</w:t>
      </w:r>
    </w:p>
    <w:p w14:paraId="33313242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t>•</w:t>
      </w:r>
      <w:r w:rsidRPr="005E1B09">
        <w:rPr>
          <w:noProof/>
        </w:rPr>
        <w:tab/>
      </w:r>
      <w:r w:rsidRPr="005E1B09">
        <w:rPr>
          <w:i/>
          <w:noProof/>
          <w:u w:color="000000"/>
          <w:bdr w:val="nil"/>
        </w:rPr>
        <w:t>Ex post</w:t>
      </w:r>
      <w:r w:rsidRPr="005E1B09">
        <w:rPr>
          <w:noProof/>
          <w:u w:color="000000"/>
          <w:bdr w:val="nil"/>
        </w:rPr>
        <w:t xml:space="preserve"> evaluacije/provjere primjerenosti postojećeg zakonodavstva</w:t>
      </w:r>
    </w:p>
    <w:p w14:paraId="7102EFE7" w14:textId="37224DC1" w:rsidR="00E73C30" w:rsidRPr="005E1B09" w:rsidRDefault="00E73C30" w:rsidP="00FE4C3F">
      <w:pPr>
        <w:rPr>
          <w:noProof/>
        </w:rPr>
      </w:pPr>
      <w:r w:rsidRPr="005E1B09">
        <w:rPr>
          <w:noProof/>
        </w:rPr>
        <w:t>Vidjeti Direktivu COM(2023) 516.</w:t>
      </w:r>
    </w:p>
    <w:p w14:paraId="184EAF96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t>•</w:t>
      </w:r>
      <w:r w:rsidRPr="005E1B09">
        <w:rPr>
          <w:noProof/>
        </w:rPr>
        <w:tab/>
      </w:r>
      <w:r w:rsidRPr="005E1B09">
        <w:rPr>
          <w:noProof/>
          <w:u w:color="000000"/>
          <w:bdr w:val="nil"/>
        </w:rPr>
        <w:t>Savjetovanja s dionicima</w:t>
      </w:r>
    </w:p>
    <w:p w14:paraId="5B50240F" w14:textId="5D3E7054" w:rsidR="00FE4C3F" w:rsidRPr="005E1B09" w:rsidRDefault="00B1144F" w:rsidP="00FE4C3F">
      <w:pPr>
        <w:rPr>
          <w:noProof/>
        </w:rPr>
      </w:pPr>
      <w:r w:rsidRPr="005E1B09">
        <w:rPr>
          <w:noProof/>
        </w:rPr>
        <w:t>Vidjeti Direktivu COM(2023) 516.</w:t>
      </w:r>
    </w:p>
    <w:p w14:paraId="0FE5A5D0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t>•</w:t>
      </w:r>
      <w:r w:rsidRPr="005E1B09">
        <w:rPr>
          <w:noProof/>
        </w:rPr>
        <w:tab/>
      </w:r>
      <w:r w:rsidRPr="005E1B09">
        <w:rPr>
          <w:noProof/>
          <w:u w:color="000000"/>
          <w:bdr w:val="nil"/>
        </w:rPr>
        <w:t>Prikupljanje i primjena stručnog znanja</w:t>
      </w:r>
    </w:p>
    <w:p w14:paraId="526B1891" w14:textId="1FF62040" w:rsidR="00FE4C3F" w:rsidRPr="005E1B09" w:rsidRDefault="00FE4C3F" w:rsidP="00FE4C3F">
      <w:pPr>
        <w:rPr>
          <w:noProof/>
        </w:rPr>
      </w:pPr>
      <w:r w:rsidRPr="005E1B09">
        <w:rPr>
          <w:noProof/>
        </w:rPr>
        <w:t>Vidjeti Direktivu COM(2023)516.</w:t>
      </w:r>
    </w:p>
    <w:p w14:paraId="50D97793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t>•</w:t>
      </w:r>
      <w:r w:rsidRPr="005E1B09">
        <w:rPr>
          <w:noProof/>
        </w:rPr>
        <w:tab/>
      </w:r>
      <w:r w:rsidRPr="005E1B09">
        <w:rPr>
          <w:noProof/>
          <w:u w:color="000000"/>
          <w:bdr w:val="nil"/>
        </w:rPr>
        <w:t>Procjena učinka</w:t>
      </w:r>
    </w:p>
    <w:p w14:paraId="7CD50D2D" w14:textId="535226A0" w:rsidR="00FE4C3F" w:rsidRPr="005E1B09" w:rsidRDefault="00FE4C3F" w:rsidP="00FE4C3F">
      <w:pPr>
        <w:rPr>
          <w:noProof/>
        </w:rPr>
      </w:pPr>
      <w:r w:rsidRPr="005E1B09">
        <w:rPr>
          <w:noProof/>
        </w:rPr>
        <w:t>Vidjeti Direktivu COM(2023) 516.</w:t>
      </w:r>
    </w:p>
    <w:p w14:paraId="5DF7A40F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t>•</w:t>
      </w:r>
      <w:r w:rsidRPr="005E1B09">
        <w:rPr>
          <w:noProof/>
        </w:rPr>
        <w:tab/>
      </w:r>
      <w:r w:rsidRPr="005E1B09">
        <w:rPr>
          <w:noProof/>
          <w:u w:color="000000"/>
          <w:bdr w:val="nil"/>
        </w:rPr>
        <w:t>Temeljna prava</w:t>
      </w:r>
    </w:p>
    <w:p w14:paraId="487C3C42" w14:textId="4AC89467" w:rsidR="00FE4C3F" w:rsidRPr="005E1B09" w:rsidRDefault="00FE4C3F" w:rsidP="00FE4C3F">
      <w:pPr>
        <w:rPr>
          <w:noProof/>
        </w:rPr>
      </w:pPr>
      <w:r w:rsidRPr="005E1B09">
        <w:rPr>
          <w:noProof/>
        </w:rPr>
        <w:t>Vidjeti Direktivu COM(2023) 516.</w:t>
      </w:r>
    </w:p>
    <w:p w14:paraId="58FC0D13" w14:textId="77777777" w:rsidR="00037B74" w:rsidRPr="005E1B09" w:rsidRDefault="00037B74" w:rsidP="00037B74">
      <w:pPr>
        <w:pStyle w:val="ManualHeading1"/>
        <w:rPr>
          <w:noProof/>
        </w:rPr>
      </w:pPr>
      <w:r w:rsidRPr="005E1B09">
        <w:rPr>
          <w:noProof/>
        </w:rPr>
        <w:t>4.</w:t>
      </w:r>
      <w:r w:rsidRPr="005E1B09">
        <w:rPr>
          <w:noProof/>
        </w:rPr>
        <w:tab/>
        <w:t>UTJECAJ NA PRORAČUN</w:t>
      </w:r>
    </w:p>
    <w:p w14:paraId="33722D5F" w14:textId="0347C8C0" w:rsidR="009B638A" w:rsidRPr="005E1B09" w:rsidRDefault="009B638A" w:rsidP="009B638A">
      <w:pPr>
        <w:rPr>
          <w:noProof/>
        </w:rPr>
      </w:pPr>
      <w:r w:rsidRPr="005E1B09">
        <w:rPr>
          <w:noProof/>
        </w:rPr>
        <w:t>Vidjeti Direktivu COM(2023) 516.</w:t>
      </w:r>
    </w:p>
    <w:p w14:paraId="2595FC7B" w14:textId="77777777" w:rsidR="00037B74" w:rsidRPr="005E1B09" w:rsidRDefault="00037B74" w:rsidP="00037B74">
      <w:pPr>
        <w:pStyle w:val="ManualHeading1"/>
        <w:rPr>
          <w:noProof/>
        </w:rPr>
      </w:pPr>
      <w:r w:rsidRPr="005E1B09">
        <w:rPr>
          <w:noProof/>
        </w:rPr>
        <w:t>5.</w:t>
      </w:r>
      <w:r w:rsidRPr="005E1B09">
        <w:rPr>
          <w:noProof/>
        </w:rPr>
        <w:tab/>
        <w:t>DRUGI ELEMENTI</w:t>
      </w:r>
    </w:p>
    <w:p w14:paraId="7687A49A" w14:textId="15415125" w:rsidR="009B638A" w:rsidRPr="005E1B09" w:rsidRDefault="009B638A" w:rsidP="009B638A">
      <w:pPr>
        <w:rPr>
          <w:noProof/>
        </w:rPr>
      </w:pPr>
      <w:r w:rsidRPr="005E1B09">
        <w:rPr>
          <w:noProof/>
        </w:rPr>
        <w:t>Vidjeti Direktivu COM(2023) 516.</w:t>
      </w:r>
    </w:p>
    <w:p w14:paraId="354E3F90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t>•</w:t>
      </w:r>
      <w:r w:rsidRPr="005E1B09">
        <w:rPr>
          <w:noProof/>
        </w:rPr>
        <w:tab/>
      </w:r>
      <w:r w:rsidRPr="005E1B09">
        <w:rPr>
          <w:noProof/>
          <w:u w:color="000000"/>
          <w:bdr w:val="nil"/>
        </w:rPr>
        <w:t>Dokumenti s objašnjenjima (za direktive)</w:t>
      </w:r>
    </w:p>
    <w:p w14:paraId="3CB60558" w14:textId="73CFCE13" w:rsidR="001359A9" w:rsidRPr="005E1B09" w:rsidRDefault="001359A9" w:rsidP="001359A9">
      <w:pPr>
        <w:rPr>
          <w:noProof/>
        </w:rPr>
      </w:pPr>
      <w:r w:rsidRPr="005E1B09">
        <w:rPr>
          <w:noProof/>
        </w:rPr>
        <w:t>Vidjeti Direktivu COM(2023) 516.</w:t>
      </w:r>
    </w:p>
    <w:p w14:paraId="55089B1F" w14:textId="77777777" w:rsidR="00037B74" w:rsidRPr="005E1B09" w:rsidRDefault="00037B74" w:rsidP="00037B74">
      <w:pPr>
        <w:pStyle w:val="ManualHeading2"/>
        <w:rPr>
          <w:rFonts w:eastAsia="Arial Unicode MS"/>
          <w:noProof/>
          <w:u w:color="000000"/>
          <w:bdr w:val="nil"/>
        </w:rPr>
      </w:pPr>
      <w:r w:rsidRPr="005E1B09">
        <w:rPr>
          <w:noProof/>
          <w:u w:color="000000"/>
          <w:bdr w:val="nil"/>
        </w:rPr>
        <w:t>•</w:t>
      </w:r>
      <w:r w:rsidRPr="005E1B09">
        <w:rPr>
          <w:noProof/>
        </w:rPr>
        <w:tab/>
      </w:r>
      <w:r w:rsidRPr="005E1B09">
        <w:rPr>
          <w:noProof/>
          <w:u w:color="000000"/>
          <w:bdr w:val="nil"/>
        </w:rPr>
        <w:t>Detaljno obrazloženje posebnih odredaba prijedloga</w:t>
      </w:r>
    </w:p>
    <w:p w14:paraId="7FB4859A" w14:textId="032E1B5B" w:rsidR="006709D9" w:rsidRPr="005E1B09" w:rsidRDefault="006709D9" w:rsidP="006709D9">
      <w:pPr>
        <w:rPr>
          <w:noProof/>
        </w:rPr>
      </w:pPr>
      <w:r w:rsidRPr="005E1B09">
        <w:rPr>
          <w:noProof/>
        </w:rPr>
        <w:t xml:space="preserve">Ova je predložena uredba tehničke prirode i priložena je Direktivi COM(2023) 516. Njome se izmjenjuje </w:t>
      </w:r>
      <w:bookmarkStart w:id="2" w:name="_Hlk140501787"/>
      <w:r w:rsidRPr="005E1B09">
        <w:rPr>
          <w:noProof/>
        </w:rPr>
        <w:t>Uredba (EU) br. 1024/2012</w:t>
      </w:r>
      <w:bookmarkEnd w:id="2"/>
      <w:r w:rsidRPr="005E1B09">
        <w:rPr>
          <w:noProof/>
        </w:rPr>
        <w:t xml:space="preserve"> kojom je uspostavljen Informacijski sustav unutarnjeg tržišta (IMI) kako bi se osiguralo da nadležna tijela država članica surađuju i razmjenjuju informacije putem sustava IMI kada primjenjuju nacionalna pravila prenesena u skladu s odredbama Direktive COM(2023) 516 (članak 1.). Njome se izmjenjuje i Uredba (EU) 2018/1724 kojom je uspostavljen jedinstveni digitalni pristupnik kako bi se osiguralo da države članice omogućuju internetski pristup informacijama o europskim prekograničnim udruženjima i neprofitnim organizacijama te olakšala razmjena dokaza među nadležnim tijelima u postupcima utvrđenima u Direktivi predloženoj u COM(2023) 516 (članak 2.). Na taj se način ovom izmjenom nastoji osigurati funkcioniranje unutarnjeg tržišta u pogledu pružanja informacija i postupaka.</w:t>
      </w:r>
    </w:p>
    <w:p w14:paraId="4885AFEB" w14:textId="77777777" w:rsidR="00210BD2" w:rsidRPr="005E1B09" w:rsidRDefault="00210BD2">
      <w:pPr>
        <w:spacing w:before="0" w:after="200" w:line="276" w:lineRule="auto"/>
        <w:jc w:val="left"/>
        <w:rPr>
          <w:noProof/>
        </w:rPr>
      </w:pPr>
      <w:r w:rsidRPr="005E1B09">
        <w:rPr>
          <w:noProof/>
        </w:rPr>
        <w:br w:type="page"/>
      </w:r>
    </w:p>
    <w:p w14:paraId="756E5365" w14:textId="256A3BBD" w:rsidR="003B021D" w:rsidRDefault="003B021D" w:rsidP="003B021D">
      <w:pPr>
        <w:pStyle w:val="Rfrenceinterinstitutionnelle"/>
        <w:rPr>
          <w:noProof/>
        </w:rPr>
      </w:pPr>
      <w:r w:rsidRPr="003B021D">
        <w:t>2023/0314 (COD)</w:t>
      </w:r>
    </w:p>
    <w:p w14:paraId="381F1CE2" w14:textId="5D5733E2" w:rsidR="00A2210E" w:rsidRPr="005E1B09" w:rsidRDefault="005E1B09" w:rsidP="005E1B09">
      <w:pPr>
        <w:pStyle w:val="Statut"/>
        <w:rPr>
          <w:noProof/>
        </w:rPr>
      </w:pPr>
      <w:r w:rsidRPr="005E1B09">
        <w:rPr>
          <w:noProof/>
        </w:rPr>
        <w:t>Prijedlog</w:t>
      </w:r>
    </w:p>
    <w:p w14:paraId="1CA3CBAB" w14:textId="7AA30E90" w:rsidR="00A2210E" w:rsidRPr="005E1B09" w:rsidRDefault="005E1B09" w:rsidP="005E1B09">
      <w:pPr>
        <w:pStyle w:val="Typedudocument"/>
        <w:rPr>
          <w:noProof/>
        </w:rPr>
      </w:pPr>
      <w:r w:rsidRPr="005E1B09">
        <w:rPr>
          <w:noProof/>
        </w:rPr>
        <w:t>UREDBE EUROPSKOG PARLAMENTA I VIJEĆA</w:t>
      </w:r>
    </w:p>
    <w:p w14:paraId="43774F6E" w14:textId="5F5EEC89" w:rsidR="00AC41EE" w:rsidRPr="005E1B09" w:rsidRDefault="005E1B09" w:rsidP="005E1B09">
      <w:pPr>
        <w:pStyle w:val="Titreobjet"/>
        <w:rPr>
          <w:noProof/>
        </w:rPr>
      </w:pPr>
      <w:bookmarkStart w:id="3" w:name="_Hlk138438520"/>
      <w:r w:rsidRPr="005E1B09">
        <w:rPr>
          <w:noProof/>
        </w:rPr>
        <w:t xml:space="preserve">o izmjeni uredaba (EU) br. 1024/2012 i (EU) 2018/1724 o primjeni Informacijskog sustava unutarnjeg tržišta i jedinstvenog digitalnog pristupnika za potrebe određenih zahtjeva utvrđenih Direktivom (EU) .../... Europskog parlamenta i Vijeća o europskim prekograničnim udruženjima (COM(2023) 516)) </w:t>
      </w:r>
      <w:r w:rsidRPr="005E1B09">
        <w:rPr>
          <w:noProof/>
        </w:rPr>
        <w:br/>
        <w:t xml:space="preserve"> </w:t>
      </w:r>
      <w:r w:rsidRPr="005E1B09">
        <w:rPr>
          <w:noProof/>
        </w:rPr>
        <w:br/>
        <w:t xml:space="preserve"> </w:t>
      </w:r>
      <w:r w:rsidRPr="005E1B09">
        <w:rPr>
          <w:noProof/>
        </w:rPr>
        <w:br/>
      </w:r>
    </w:p>
    <w:bookmarkEnd w:id="3"/>
    <w:p w14:paraId="1975C17D" w14:textId="78BD89AE" w:rsidR="00CF696D" w:rsidRPr="005E1B09" w:rsidRDefault="005E1B09" w:rsidP="005E1B09">
      <w:pPr>
        <w:pStyle w:val="IntrtEEE"/>
        <w:rPr>
          <w:noProof/>
        </w:rPr>
      </w:pPr>
      <w:r w:rsidRPr="005E1B09">
        <w:rPr>
          <w:noProof/>
        </w:rPr>
        <w:t>(Tekst značajan za EGP)</w:t>
      </w:r>
    </w:p>
    <w:p w14:paraId="067C6D87" w14:textId="2B0FD547" w:rsidR="00A2210E" w:rsidRPr="005E1B09" w:rsidRDefault="00A2210E" w:rsidP="00FA3D6F">
      <w:pPr>
        <w:pStyle w:val="Institutionquiagit"/>
        <w:rPr>
          <w:noProof/>
        </w:rPr>
      </w:pPr>
      <w:r w:rsidRPr="005E1B09">
        <w:rPr>
          <w:noProof/>
        </w:rPr>
        <w:t>EUROPSKI PARLAMENT I VIJEĆE EUROPSKE UNIJE,</w:t>
      </w:r>
    </w:p>
    <w:p w14:paraId="6E82759C" w14:textId="4817CC8F" w:rsidR="00A2210E" w:rsidRPr="005E1B09" w:rsidRDefault="00A2210E" w:rsidP="00FA3D6F">
      <w:pPr>
        <w:rPr>
          <w:noProof/>
        </w:rPr>
      </w:pPr>
      <w:r w:rsidRPr="005E1B09">
        <w:rPr>
          <w:noProof/>
        </w:rPr>
        <w:t>uzimajući u obzir Ugovor o funkcioniranju Europske unije, a posebno njegov članak 21. stavak 2. i članak 114.,</w:t>
      </w:r>
    </w:p>
    <w:p w14:paraId="1DE6C9E6" w14:textId="77777777" w:rsidR="00A2210E" w:rsidRPr="005E1B09" w:rsidRDefault="00A2210E" w:rsidP="00FA3D6F">
      <w:pPr>
        <w:rPr>
          <w:noProof/>
        </w:rPr>
      </w:pPr>
      <w:r w:rsidRPr="005E1B09">
        <w:rPr>
          <w:noProof/>
        </w:rPr>
        <w:t>uzimajući u obzir prijedlog Europske komisije,</w:t>
      </w:r>
    </w:p>
    <w:p w14:paraId="39DC4982" w14:textId="77777777" w:rsidR="00A2210E" w:rsidRPr="005E1B09" w:rsidRDefault="00A2210E" w:rsidP="00FA3D6F">
      <w:pPr>
        <w:rPr>
          <w:noProof/>
        </w:rPr>
      </w:pPr>
      <w:r w:rsidRPr="005E1B09">
        <w:rPr>
          <w:noProof/>
        </w:rPr>
        <w:t>nakon prosljeđivanja nacrta zakonodavnog akta nacionalnim parlamentima,</w:t>
      </w:r>
    </w:p>
    <w:p w14:paraId="0654A67E" w14:textId="5BA4CBD4" w:rsidR="00C033BF" w:rsidRPr="005E1B09" w:rsidRDefault="00C033BF" w:rsidP="00FA3D6F">
      <w:pPr>
        <w:rPr>
          <w:noProof/>
        </w:rPr>
      </w:pPr>
      <w:r w:rsidRPr="005E1B09">
        <w:rPr>
          <w:noProof/>
        </w:rPr>
        <w:t>uzimajući u obzir mišljenje Europskoga gospodarskog i socijalnog odbora</w:t>
      </w:r>
      <w:r w:rsidRPr="005E1B09">
        <w:rPr>
          <w:rStyle w:val="FootnoteReference"/>
          <w:noProof/>
        </w:rPr>
        <w:footnoteReference w:id="4"/>
      </w:r>
      <w:r w:rsidRPr="005E1B09">
        <w:rPr>
          <w:noProof/>
        </w:rPr>
        <w:t>,</w:t>
      </w:r>
    </w:p>
    <w:p w14:paraId="54F2F0B2" w14:textId="77777777" w:rsidR="00A2210E" w:rsidRPr="005E1B09" w:rsidRDefault="00A2210E" w:rsidP="00FA3D6F">
      <w:pPr>
        <w:rPr>
          <w:noProof/>
        </w:rPr>
      </w:pPr>
      <w:r w:rsidRPr="005E1B09">
        <w:rPr>
          <w:noProof/>
        </w:rPr>
        <w:t>u skladu s redovnim zakonodavnim postupkom,</w:t>
      </w:r>
    </w:p>
    <w:p w14:paraId="4CA1C4CF" w14:textId="4E59F156" w:rsidR="00BA2FA4" w:rsidRPr="005E1B09" w:rsidRDefault="00A2210E" w:rsidP="008B7FA8">
      <w:pPr>
        <w:rPr>
          <w:noProof/>
        </w:rPr>
      </w:pPr>
      <w:r w:rsidRPr="005E1B09">
        <w:rPr>
          <w:noProof/>
        </w:rPr>
        <w:t>budući da:</w:t>
      </w:r>
    </w:p>
    <w:p w14:paraId="7C7B8D97" w14:textId="044347AB" w:rsidR="005252AA" w:rsidRPr="005E1B09" w:rsidRDefault="00053310" w:rsidP="00053310">
      <w:pPr>
        <w:pStyle w:val="ManualConsidrant"/>
        <w:rPr>
          <w:rFonts w:eastAsia="Times New Roman"/>
          <w:noProof/>
        </w:rPr>
      </w:pPr>
      <w:r w:rsidRPr="00053310">
        <w:t>(1)</w:t>
      </w:r>
      <w:r w:rsidRPr="00053310">
        <w:tab/>
      </w:r>
      <w:r w:rsidR="005252AA" w:rsidRPr="005E1B09">
        <w:rPr>
          <w:noProof/>
        </w:rPr>
        <w:t>Direktivom (EU) Europskog parlamenta i Vijeća o europskim prekograničnim udruženjima (COM(2023) 516)</w:t>
      </w:r>
      <w:r w:rsidR="005252AA" w:rsidRPr="005E1B09">
        <w:rPr>
          <w:rStyle w:val="FootnoteReference"/>
          <w:noProof/>
        </w:rPr>
        <w:footnoteReference w:id="5"/>
      </w:r>
      <w:r w:rsidR="005252AA" w:rsidRPr="005E1B09">
        <w:rPr>
          <w:noProof/>
        </w:rPr>
        <w:t xml:space="preserve"> utvrđuju se mjere za usklađivanje uvjeta za osnivanje i rad „europskih prekograničnih udruženja” s ciljem olakšavanja učinkovitog ostvarivanja slobode kretanja neprofitnih organizacija koja djeluju na unutarnjem tržištu.</w:t>
      </w:r>
    </w:p>
    <w:p w14:paraId="3158C1D5" w14:textId="777951C7" w:rsidR="00083FD7" w:rsidRPr="005E1B09" w:rsidRDefault="00053310" w:rsidP="00053310">
      <w:pPr>
        <w:pStyle w:val="ManualConsidrant"/>
        <w:rPr>
          <w:rFonts w:eastAsia="Times New Roman"/>
          <w:noProof/>
        </w:rPr>
      </w:pPr>
      <w:r w:rsidRPr="00053310">
        <w:t>(2)</w:t>
      </w:r>
      <w:r w:rsidRPr="00053310">
        <w:tab/>
      </w:r>
      <w:r w:rsidR="00FF1F41" w:rsidRPr="005E1B09">
        <w:rPr>
          <w:noProof/>
        </w:rPr>
        <w:t>U skladu s člankom 30. stavkom 2. Direktive COM(2023) 516 administrativna suradnja i razmjena informacija između nadležnih tijela država članica provodi se putem Informacijskog sustava unutarnjeg tržišta („sustav IMI”) uspostavljenog Uredbom (EU) br. 1024/2012 Europskog parlamenta i Vijeća</w:t>
      </w:r>
      <w:r w:rsidR="00FF1F41" w:rsidRPr="005E1B09">
        <w:rPr>
          <w:rStyle w:val="FootnoteReference"/>
          <w:rFonts w:eastAsia="Times New Roman"/>
          <w:noProof/>
        </w:rPr>
        <w:footnoteReference w:id="6"/>
      </w:r>
      <w:r w:rsidR="00FF1F41" w:rsidRPr="005E1B09">
        <w:rPr>
          <w:noProof/>
        </w:rPr>
        <w:t>. Zbog toga bi u sustavu IMI trebalo uspostaviti potrebne postupke administrativne suradnje.</w:t>
      </w:r>
    </w:p>
    <w:p w14:paraId="4C2173B1" w14:textId="16E20227" w:rsidR="00F21940" w:rsidRPr="005E1B09" w:rsidRDefault="00053310" w:rsidP="00053310">
      <w:pPr>
        <w:pStyle w:val="ManualConsidrant"/>
        <w:rPr>
          <w:rFonts w:eastAsia="Times New Roman"/>
          <w:noProof/>
        </w:rPr>
      </w:pPr>
      <w:r w:rsidRPr="00053310">
        <w:t>(3)</w:t>
      </w:r>
      <w:r w:rsidRPr="00053310">
        <w:tab/>
      </w:r>
      <w:r w:rsidR="00C25A48" w:rsidRPr="005E1B09">
        <w:rPr>
          <w:noProof/>
        </w:rPr>
        <w:t>U skladu s člancima 2. i 3. Uredbe (EU) 2018/1724 Europskog parlamenta</w:t>
      </w:r>
      <w:r w:rsidR="00C25A48" w:rsidRPr="005E1B09">
        <w:rPr>
          <w:rStyle w:val="FootnoteReference"/>
          <w:rFonts w:eastAsia="Calibri"/>
          <w:noProof/>
        </w:rPr>
        <w:footnoteReference w:id="7"/>
      </w:r>
      <w:r w:rsidR="00C25A48" w:rsidRPr="005E1B09">
        <w:rPr>
          <w:noProof/>
        </w:rPr>
        <w:t>i Vijeća jedinstveni digitalni pristupnik građanima Unije, fizičkim osobama s boravištem u državi članici i pravnim osobama sa sjedištem u državi članici omogućuje pristup informacijama, postupcima te uslugama podrške i rješavanja problema. Operativni dio i Prilog I. Uredbi (EU) 2018/1724 trebalo bi izmijeniti kako bi se osiguralo da se područje primjene ne tumači kao ograničeno na građane i poduzeća te da se odnosi na pravne osobe koje nisu poduzeća, kao što su europska prekogranična udruženja.</w:t>
      </w:r>
    </w:p>
    <w:p w14:paraId="6B55F879" w14:textId="4AA0D396" w:rsidR="00602AF2" w:rsidRPr="005E1B09" w:rsidRDefault="00053310" w:rsidP="00053310">
      <w:pPr>
        <w:pStyle w:val="ManualConsidrant"/>
        <w:rPr>
          <w:rFonts w:eastAsia="Times New Roman"/>
          <w:noProof/>
        </w:rPr>
      </w:pPr>
      <w:r w:rsidRPr="00053310">
        <w:t>(4)</w:t>
      </w:r>
      <w:r w:rsidRPr="00053310">
        <w:tab/>
      </w:r>
      <w:r w:rsidR="00602AF2" w:rsidRPr="005E1B09">
        <w:rPr>
          <w:rStyle w:val="ui-provider"/>
          <w:noProof/>
        </w:rPr>
        <w:t>Uredbom (EU) 2018/1724 Europskog parlamenta i Vijeća</w:t>
      </w:r>
      <w:r w:rsidR="00602AF2" w:rsidRPr="005E1B09">
        <w:rPr>
          <w:rStyle w:val="FootnoteReference"/>
          <w:noProof/>
        </w:rPr>
        <w:footnoteReference w:id="8"/>
      </w:r>
      <w:r w:rsidR="00602AF2" w:rsidRPr="005E1B09">
        <w:rPr>
          <w:rStyle w:val="ui-provider"/>
          <w:noProof/>
        </w:rPr>
        <w:t xml:space="preserve"> o uspostavi jedinstvenog digitalnog pristupnika utvrđuju se opća pravila za internetsko pružanje informacija, postupaka i usluga podrške relevantnih za funkcioniranje unutarnjeg tržišta. </w:t>
      </w:r>
      <w:r w:rsidR="00602AF2" w:rsidRPr="005E1B09">
        <w:rPr>
          <w:noProof/>
        </w:rPr>
        <w:t>Postupci obuhvaćeni ovom Uredbom trebali bi biti u skladu sa zahtjevima Uredbe (EU) 2018/1724 kako bi se osiguralo da svako europsko prekogranično udruženje može imati koristi od postupaka koji su u potpunosti dostupni putem interneta i prekogranične automatizirane razmjene dokaza, u skladu s načelom „samo jednom”. Ti postupci obuhvaćaju zahtjev za registraciju europskog prekograničnog udruženja i postupak prijenosa njegova registriranog sjedišta.</w:t>
      </w:r>
    </w:p>
    <w:p w14:paraId="053A9304" w14:textId="2DDB217F" w:rsidR="004E300B" w:rsidRPr="005E1B09" w:rsidRDefault="00053310" w:rsidP="00053310">
      <w:pPr>
        <w:pStyle w:val="ManualConsidrant"/>
        <w:rPr>
          <w:noProof/>
        </w:rPr>
      </w:pPr>
      <w:r w:rsidRPr="00053310">
        <w:t>(5)</w:t>
      </w:r>
      <w:r w:rsidRPr="00053310">
        <w:tab/>
      </w:r>
      <w:r w:rsidR="00BA2FA4" w:rsidRPr="005E1B09">
        <w:rPr>
          <w:noProof/>
        </w:rPr>
        <w:t xml:space="preserve">Uredbe (EU) br. 1024/2012 i (EU) 2018/1724 trebalo bi stoga na odgovarajući način izmijeniti, </w:t>
      </w:r>
    </w:p>
    <w:p w14:paraId="08A43FFF" w14:textId="77777777" w:rsidR="00A2210E" w:rsidRPr="005E1B09" w:rsidRDefault="00A2210E" w:rsidP="00FA3D6F">
      <w:pPr>
        <w:pStyle w:val="Formuledadoption"/>
        <w:rPr>
          <w:noProof/>
        </w:rPr>
      </w:pPr>
      <w:r w:rsidRPr="005E1B09">
        <w:rPr>
          <w:noProof/>
        </w:rPr>
        <w:t>DONIJELI SU OVU UREDBU:</w:t>
      </w:r>
    </w:p>
    <w:p w14:paraId="17B0841D" w14:textId="2A442920" w:rsidR="00A2210E" w:rsidRPr="005E1B09" w:rsidRDefault="00A2210E" w:rsidP="005B2D4D">
      <w:pPr>
        <w:pStyle w:val="Titrearticle"/>
        <w:rPr>
          <w:noProof/>
        </w:rPr>
      </w:pPr>
      <w:r w:rsidRPr="005E1B09">
        <w:rPr>
          <w:noProof/>
        </w:rPr>
        <w:t>Članak 1.</w:t>
      </w:r>
    </w:p>
    <w:p w14:paraId="7CCE2E51" w14:textId="5A93AA94" w:rsidR="005B2D4D" w:rsidRPr="005E1B09" w:rsidRDefault="005B2D4D" w:rsidP="005B2D4D">
      <w:pPr>
        <w:pStyle w:val="Titrearticle"/>
        <w:rPr>
          <w:noProof/>
        </w:rPr>
      </w:pPr>
      <w:r w:rsidRPr="005E1B09">
        <w:rPr>
          <w:noProof/>
        </w:rPr>
        <w:t>Izmjena Uredbe (EU) br. 1024/2012</w:t>
      </w:r>
    </w:p>
    <w:p w14:paraId="1BD06239" w14:textId="3CF8660B" w:rsidR="008548E4" w:rsidRPr="005E1B09" w:rsidRDefault="008548E4" w:rsidP="008548E4">
      <w:pPr>
        <w:rPr>
          <w:noProof/>
        </w:rPr>
      </w:pPr>
      <w:r w:rsidRPr="005E1B09">
        <w:rPr>
          <w:noProof/>
        </w:rPr>
        <w:t xml:space="preserve">U Prilogu Uredbi (EU) br. 1024/2012 dodaje se sljedeća nova točka (16.): </w:t>
      </w:r>
    </w:p>
    <w:p w14:paraId="2454F57B" w14:textId="10093245" w:rsidR="008548E4" w:rsidRPr="005E1B09" w:rsidRDefault="008548E4" w:rsidP="008548E4">
      <w:pPr>
        <w:rPr>
          <w:noProof/>
        </w:rPr>
      </w:pPr>
      <w:r w:rsidRPr="005E1B09">
        <w:rPr>
          <w:noProof/>
        </w:rPr>
        <w:t>16. Direktiva (EU) Europskog parlamenta i Vijeća o europskim prekograničnim udruženjima (COM(2023) 516) *: Članak 19. stavak 2., članak 19. stavak 4., članak 23. stavak 5., članak 23. stavak 6., članak 23. stavak 7., članak 24. stavak 3., članak 25. stavak 6. i članak 27.”</w:t>
      </w:r>
    </w:p>
    <w:p w14:paraId="656BA88B" w14:textId="77777777" w:rsidR="005B21F8" w:rsidRPr="005E1B09" w:rsidRDefault="005B21F8" w:rsidP="005B21F8">
      <w:pPr>
        <w:pStyle w:val="Text1"/>
        <w:ind w:left="0"/>
        <w:rPr>
          <w:noProof/>
          <w:szCs w:val="24"/>
        </w:rPr>
      </w:pPr>
      <w:r w:rsidRPr="005E1B09">
        <w:rPr>
          <w:noProof/>
        </w:rPr>
        <w:t>____________________</w:t>
      </w:r>
    </w:p>
    <w:p w14:paraId="6E2DBFEC" w14:textId="51002B89" w:rsidR="005B21F8" w:rsidRPr="005E1B09" w:rsidRDefault="005B21F8" w:rsidP="006A0A81">
      <w:pPr>
        <w:pStyle w:val="Text1"/>
        <w:ind w:left="0"/>
        <w:rPr>
          <w:noProof/>
          <w:szCs w:val="24"/>
        </w:rPr>
      </w:pPr>
      <w:r w:rsidRPr="005E1B09">
        <w:rPr>
          <w:noProof/>
        </w:rPr>
        <w:t>*(upućivanje na SL).</w:t>
      </w:r>
    </w:p>
    <w:p w14:paraId="1EF557DA" w14:textId="77777777" w:rsidR="00483D84" w:rsidRPr="005E1B09" w:rsidRDefault="00483D84" w:rsidP="00AB2561">
      <w:pPr>
        <w:pStyle w:val="Titrearticle"/>
        <w:rPr>
          <w:noProof/>
        </w:rPr>
      </w:pPr>
      <w:r w:rsidRPr="005E1B09">
        <w:rPr>
          <w:noProof/>
        </w:rPr>
        <w:t>Članak 2.</w:t>
      </w:r>
    </w:p>
    <w:p w14:paraId="12DEC5B7" w14:textId="45117F4B" w:rsidR="00483D84" w:rsidRPr="005E1B09" w:rsidRDefault="00483D84" w:rsidP="00AB2561">
      <w:pPr>
        <w:pStyle w:val="Titrearticle"/>
        <w:rPr>
          <w:noProof/>
        </w:rPr>
      </w:pPr>
      <w:r w:rsidRPr="005E1B09">
        <w:rPr>
          <w:noProof/>
        </w:rPr>
        <w:t>Izmjene Uredbe (EU) 2018/1724</w:t>
      </w:r>
    </w:p>
    <w:p w14:paraId="4CF3A252" w14:textId="77777777" w:rsidR="00926D77" w:rsidRPr="005E1B09" w:rsidRDefault="00926D77" w:rsidP="00926D77">
      <w:pPr>
        <w:rPr>
          <w:noProof/>
        </w:rPr>
      </w:pPr>
      <w:r w:rsidRPr="005E1B09">
        <w:rPr>
          <w:noProof/>
        </w:rPr>
        <w:t>Uredba (EU) 2018/1724 mijenja se kako slijedi:</w:t>
      </w:r>
    </w:p>
    <w:p w14:paraId="31B52738" w14:textId="77777777" w:rsidR="00207F25" w:rsidRPr="005E1B09" w:rsidRDefault="00207F25" w:rsidP="00DD0A5A">
      <w:pPr>
        <w:rPr>
          <w:noProof/>
        </w:rPr>
      </w:pPr>
    </w:p>
    <w:p w14:paraId="5A9CBCCC" w14:textId="7AB932B4" w:rsidR="00DD0A5A" w:rsidRPr="005E1B09" w:rsidRDefault="00053310" w:rsidP="00053310">
      <w:pPr>
        <w:pStyle w:val="Point0"/>
        <w:rPr>
          <w:noProof/>
        </w:rPr>
      </w:pPr>
      <w:r w:rsidRPr="00053310">
        <w:t>(1)</w:t>
      </w:r>
      <w:r w:rsidRPr="00053310">
        <w:tab/>
      </w:r>
      <w:r w:rsidR="00742925" w:rsidRPr="005E1B09">
        <w:rPr>
          <w:noProof/>
        </w:rPr>
        <w:t>u članku 1. stavku 1. točka (a) zamjenjuje se sljedećim:</w:t>
      </w:r>
    </w:p>
    <w:p w14:paraId="4C01CE76" w14:textId="4AF3E432" w:rsidR="00DD0A5A" w:rsidRPr="005E1B09" w:rsidRDefault="0047657B" w:rsidP="00DD0A5A">
      <w:pPr>
        <w:rPr>
          <w:noProof/>
        </w:rPr>
      </w:pPr>
      <w:r w:rsidRPr="005E1B09">
        <w:rPr>
          <w:noProof/>
        </w:rPr>
        <w:t xml:space="preserve">(a) uspostavljanje i funkcioniranje jedinstvenog digitalnog pristupnika kojim se građanima, poduzećima i pravnim osobama koje nisu poduzeća omogućuje lak pristup visokokvalitetnim informacijama, učinkovitim postupcima te djelotvornim uslugama podrške i rješavanja problema u pogledu pravila Unije i nacionalnih pravila primjenjivih na građane, poduzeća i pravne osobe koje nisu poduzeća koji ostvaruju ili žele ostvariti svoja prava koja proizlaze iz prava Unije u području unutarnjeg tržišta u smislu članka 26. stavka 2. UFEU-a; </w:t>
      </w:r>
    </w:p>
    <w:p w14:paraId="0FECC0B6" w14:textId="77777777" w:rsidR="00207F25" w:rsidRPr="005E1B09" w:rsidRDefault="00207F25" w:rsidP="00926D77">
      <w:pPr>
        <w:rPr>
          <w:noProof/>
        </w:rPr>
      </w:pPr>
    </w:p>
    <w:p w14:paraId="39A70F03" w14:textId="0E0BEE14" w:rsidR="00926D77" w:rsidRPr="005E1B09" w:rsidRDefault="00053310" w:rsidP="00053310">
      <w:pPr>
        <w:pStyle w:val="Point0"/>
        <w:rPr>
          <w:noProof/>
        </w:rPr>
      </w:pPr>
      <w:r w:rsidRPr="00053310">
        <w:t>(2)</w:t>
      </w:r>
      <w:r w:rsidRPr="00053310">
        <w:tab/>
      </w:r>
      <w:r w:rsidR="00926D77" w:rsidRPr="005E1B09">
        <w:rPr>
          <w:noProof/>
        </w:rPr>
        <w:t>u članku 1. stavku 1. točka (b) zamjenjuje se sljedećim:</w:t>
      </w:r>
    </w:p>
    <w:p w14:paraId="58F7BD28" w14:textId="053F4A09" w:rsidR="00926D77" w:rsidRPr="005E1B09" w:rsidRDefault="00926D77" w:rsidP="006A0A81">
      <w:pPr>
        <w:pStyle w:val="Text1"/>
        <w:ind w:left="0"/>
        <w:rPr>
          <w:noProof/>
          <w:szCs w:val="24"/>
        </w:rPr>
      </w:pPr>
      <w:r w:rsidRPr="005E1B09">
        <w:rPr>
          <w:noProof/>
        </w:rPr>
        <w:t>„(b) upotrebu postupaka za prekogranične korisnike i za primjenu načela „samo jednom” u vezi s postupcima navedenima u Prilogu II. ovoj Uredbi i postupcima iz direktiva 2005/36/EZ, 2006/123/EZ, 2014/24/EU, 2014/25/EU i .../...*;”</w:t>
      </w:r>
    </w:p>
    <w:p w14:paraId="32F688E3" w14:textId="4448DBDC" w:rsidR="005E6798" w:rsidRPr="005E1B09" w:rsidRDefault="005E6798" w:rsidP="006A0A81">
      <w:pPr>
        <w:pStyle w:val="Text1"/>
        <w:ind w:left="0"/>
        <w:rPr>
          <w:noProof/>
          <w:szCs w:val="24"/>
        </w:rPr>
      </w:pPr>
      <w:r w:rsidRPr="005E1B09">
        <w:rPr>
          <w:noProof/>
        </w:rPr>
        <w:t>____________________</w:t>
      </w:r>
    </w:p>
    <w:p w14:paraId="45F34252" w14:textId="616A242A" w:rsidR="009A6416" w:rsidRPr="005E1B09" w:rsidRDefault="00F45BB0" w:rsidP="00926D77">
      <w:pPr>
        <w:rPr>
          <w:noProof/>
        </w:rPr>
      </w:pPr>
      <w:r w:rsidRPr="005E1B09">
        <w:rPr>
          <w:noProof/>
        </w:rPr>
        <w:t>„* Direktiva Europskog parlamenta i Vijeća od ... o europskim prekograničnim udruženjima (upućivanje na SL).”</w:t>
      </w:r>
    </w:p>
    <w:p w14:paraId="4907959E" w14:textId="77777777" w:rsidR="00207F25" w:rsidRPr="005E1B09" w:rsidRDefault="00207F25" w:rsidP="00926D77">
      <w:pPr>
        <w:rPr>
          <w:noProof/>
        </w:rPr>
      </w:pPr>
    </w:p>
    <w:p w14:paraId="2AE8E0D1" w14:textId="38E6EC81" w:rsidR="001E7F12" w:rsidRPr="005E1B09" w:rsidRDefault="00053310" w:rsidP="00053310">
      <w:pPr>
        <w:pStyle w:val="Point0"/>
        <w:rPr>
          <w:noProof/>
        </w:rPr>
      </w:pPr>
      <w:r w:rsidRPr="00053310">
        <w:t>(3)</w:t>
      </w:r>
      <w:r w:rsidRPr="00053310">
        <w:tab/>
      </w:r>
      <w:r w:rsidR="004D33FC" w:rsidRPr="005E1B09">
        <w:rPr>
          <w:noProof/>
        </w:rPr>
        <w:t>u članku 2. stavku 2. točka (c) zamjenjuje se sljedećim:</w:t>
      </w:r>
    </w:p>
    <w:p w14:paraId="62DF3882" w14:textId="3FFA44F0" w:rsidR="00043C8B" w:rsidRPr="005E1B09" w:rsidRDefault="008D1CDB" w:rsidP="00947F81">
      <w:pPr>
        <w:rPr>
          <w:noProof/>
        </w:rPr>
      </w:pPr>
      <w:r w:rsidRPr="005E1B09">
        <w:rPr>
          <w:noProof/>
        </w:rPr>
        <w:t>„(c) informacijama o uslugama podrške i rješavanja problema, te poveznicama na njih, navedenima u Prilogu III. ili na koje se upućuje u članku 7. kojima se građani, poduzeća i pravne osobe koje nisu poduzeća mogu obratiti s pitanjima ili problemima koji se odnose na njihova prava, obveze, pravila ili postupke iz točaka (a) i (b) ovog stavka.”;</w:t>
      </w:r>
    </w:p>
    <w:p w14:paraId="345C97D4" w14:textId="77777777" w:rsidR="00176A09" w:rsidRPr="005E1B09" w:rsidRDefault="00176A09" w:rsidP="00947F81">
      <w:pPr>
        <w:rPr>
          <w:noProof/>
        </w:rPr>
      </w:pPr>
    </w:p>
    <w:p w14:paraId="001853C0" w14:textId="00758E76" w:rsidR="00926D77" w:rsidRPr="005E1B09" w:rsidRDefault="00053310" w:rsidP="00053310">
      <w:pPr>
        <w:pStyle w:val="Point0"/>
        <w:rPr>
          <w:noProof/>
        </w:rPr>
      </w:pPr>
      <w:r w:rsidRPr="00053310">
        <w:t>(4)</w:t>
      </w:r>
      <w:r w:rsidRPr="00053310">
        <w:tab/>
      </w:r>
      <w:r w:rsidR="004D33FC" w:rsidRPr="005E1B09">
        <w:rPr>
          <w:noProof/>
        </w:rPr>
        <w:t xml:space="preserve">u članku 14. stavak 1. zamjenjuje se sljedećim: </w:t>
      </w:r>
    </w:p>
    <w:p w14:paraId="6F1C5770" w14:textId="7F337151" w:rsidR="004D33FC" w:rsidRPr="005E1B09" w:rsidRDefault="00207F25" w:rsidP="00926D77">
      <w:pPr>
        <w:rPr>
          <w:noProof/>
        </w:rPr>
      </w:pPr>
      <w:r w:rsidRPr="005E1B09">
        <w:rPr>
          <w:noProof/>
        </w:rPr>
        <w:t>„1. U svrhu razmjene dokaza za internetske postupke navedene u Prilogu II. ovoj Uredbi i postupke predviđene direktivama 2005/36/EZ, 2006/123/EZ, 2014/24/EU, 2014/25/EU i …/…/… Komisija u suradnji s državama članicama uspostavlja tehnički sustav za automatiziranu razmjenu dokaza među nadležnim tijelima u različitim državama članicama („tehnički sustav”).”;</w:t>
      </w:r>
    </w:p>
    <w:p w14:paraId="16A7CC4E" w14:textId="0C4E8699" w:rsidR="00926D77" w:rsidRPr="005E1B09" w:rsidRDefault="00926D77" w:rsidP="00410CD4">
      <w:pPr>
        <w:rPr>
          <w:i/>
          <w:iCs/>
          <w:noProof/>
          <w:color w:val="000000"/>
          <w:szCs w:val="24"/>
          <w:shd w:val="clear" w:color="auto" w:fill="FFFFFF"/>
        </w:rPr>
      </w:pPr>
    </w:p>
    <w:p w14:paraId="3E55880E" w14:textId="2EF82378" w:rsidR="00926D77" w:rsidRPr="005E1B09" w:rsidRDefault="00053310" w:rsidP="00053310">
      <w:pPr>
        <w:pStyle w:val="Point0"/>
        <w:rPr>
          <w:noProof/>
        </w:rPr>
      </w:pPr>
      <w:r w:rsidRPr="00053310">
        <w:t>(5)</w:t>
      </w:r>
      <w:r w:rsidRPr="00053310">
        <w:tab/>
      </w:r>
      <w:r w:rsidR="00926D77" w:rsidRPr="005E1B09">
        <w:rPr>
          <w:noProof/>
        </w:rPr>
        <w:t>Prilog I. Uredbi (EU) 2018/1724 mijenja se kako slijedi:</w:t>
      </w:r>
    </w:p>
    <w:p w14:paraId="72515201" w14:textId="77777777" w:rsidR="00926D77" w:rsidRPr="005E1B09" w:rsidRDefault="00926D77" w:rsidP="00926D77">
      <w:pPr>
        <w:rPr>
          <w:i/>
          <w:noProof/>
        </w:rPr>
      </w:pPr>
    </w:p>
    <w:p w14:paraId="34C3F729" w14:textId="4686730A" w:rsidR="00926D77" w:rsidRPr="005E1B09" w:rsidRDefault="00053310" w:rsidP="00053310">
      <w:pPr>
        <w:pStyle w:val="Point1"/>
        <w:rPr>
          <w:noProof/>
        </w:rPr>
      </w:pPr>
      <w:r w:rsidRPr="00053310">
        <w:t>(a)</w:t>
      </w:r>
      <w:r w:rsidRPr="00053310">
        <w:tab/>
      </w:r>
      <w:r w:rsidR="00926D77" w:rsidRPr="005E1B09">
        <w:rPr>
          <w:noProof/>
        </w:rPr>
        <w:t xml:space="preserve">naslov se zamjenjuje sljedećim: </w:t>
      </w:r>
    </w:p>
    <w:p w14:paraId="5CEDB10A" w14:textId="738F313A" w:rsidR="00926D77" w:rsidRPr="005E1B09" w:rsidRDefault="00926D77" w:rsidP="00926D77">
      <w:pPr>
        <w:rPr>
          <w:noProof/>
        </w:rPr>
      </w:pPr>
      <w:r w:rsidRPr="005E1B09">
        <w:rPr>
          <w:noProof/>
        </w:rPr>
        <w:t>„Popis informacijskih područja važnih za građane, poduzeća i p</w:t>
      </w:r>
      <w:r w:rsidRPr="005E1B09">
        <w:rPr>
          <w:noProof/>
          <w:color w:val="000000"/>
          <w:shd w:val="clear" w:color="auto" w:fill="FFFFFF"/>
        </w:rPr>
        <w:t>ravne osobe koje nisu poduzeća sa sjedištem u državi članici</w:t>
      </w:r>
      <w:r w:rsidRPr="005E1B09">
        <w:rPr>
          <w:noProof/>
        </w:rPr>
        <w:t xml:space="preserve"> koji se na unutarnjem tržištu koriste svojim pravima iz članka 2. stavka 2. točke (a)”;</w:t>
      </w:r>
    </w:p>
    <w:p w14:paraId="25ADC1F9" w14:textId="77777777" w:rsidR="00926D77" w:rsidRPr="005E1B09" w:rsidRDefault="00926D77" w:rsidP="00926D77">
      <w:pPr>
        <w:rPr>
          <w:noProof/>
        </w:rPr>
      </w:pPr>
    </w:p>
    <w:p w14:paraId="474C64C0" w14:textId="3ADCDFE7" w:rsidR="00926D77" w:rsidRPr="005E1B09" w:rsidRDefault="00053310" w:rsidP="00053310">
      <w:pPr>
        <w:pStyle w:val="Point1"/>
        <w:rPr>
          <w:noProof/>
          <w:color w:val="000000"/>
          <w:szCs w:val="24"/>
          <w:shd w:val="clear" w:color="auto" w:fill="FFFFFF"/>
        </w:rPr>
      </w:pPr>
      <w:r w:rsidRPr="00053310">
        <w:t>(b)</w:t>
      </w:r>
      <w:r w:rsidRPr="00053310">
        <w:tab/>
      </w:r>
      <w:r w:rsidR="00926D77" w:rsidRPr="005E1B09">
        <w:rPr>
          <w:noProof/>
        </w:rPr>
        <w:t>dodaju se sljedeća područja informiranja:</w:t>
      </w:r>
    </w:p>
    <w:p w14:paraId="2548A6E8" w14:textId="1F55C221" w:rsidR="00926D77" w:rsidRPr="005E1B09" w:rsidRDefault="00ED61A2" w:rsidP="00926D77">
      <w:pPr>
        <w:rPr>
          <w:i/>
          <w:iCs/>
          <w:noProof/>
          <w:color w:val="000000"/>
          <w:szCs w:val="24"/>
          <w:shd w:val="clear" w:color="auto" w:fill="FFFFFF"/>
        </w:rPr>
      </w:pPr>
      <w:r w:rsidRPr="005E1B09">
        <w:rPr>
          <w:noProof/>
          <w:color w:val="000000"/>
          <w:shd w:val="clear" w:color="auto" w:fill="FFFFFF"/>
        </w:rPr>
        <w:t>„Informacijska područja koja se odnose na pravne osobe koje nisu poduzeća sa sjedištem u državi članici: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6842"/>
      </w:tblGrid>
      <w:tr w:rsidR="00926D77" w:rsidRPr="005E1B09" w14:paraId="29D84FFF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D9AF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AA. Osnivanje, vođenje i zatvaranje pravne osobe koja nije poduzeće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2BF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1.</w:t>
            </w:r>
            <w:r w:rsidRPr="005E1B09">
              <w:rPr>
                <w:noProof/>
              </w:rPr>
              <w:t xml:space="preserve"> registriranje, promjena pravnog oblika ili zatvaranje pravne osobe koja nije poduzeće (postupci registracije i pravni oblici)</w:t>
            </w:r>
          </w:p>
          <w:p w14:paraId="4087131C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2.</w:t>
            </w:r>
            <w:r w:rsidRPr="005E1B09">
              <w:rPr>
                <w:noProof/>
              </w:rPr>
              <w:t xml:space="preserve"> premještanje pravne osobe koja nije poduzeće u drugu državu članicu</w:t>
            </w:r>
          </w:p>
          <w:p w14:paraId="18F4FE54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3. prava intelektualnog vlasništva (prijava patenta, registracija žiga, crteža ili dizajna, dobivanje licence za reprodukciju)</w:t>
            </w:r>
          </w:p>
          <w:p w14:paraId="09CD983D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4. pravedne i transparentne trgovačke prakse, uključujući prava potrošača i jamstva u vezi s prodajom robe i usluga</w:t>
            </w:r>
          </w:p>
          <w:p w14:paraId="2F5606B9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5. ponuda internetskih usluga za prekogranična plaćanja pri prodaji robe i usluga na internetu</w:t>
            </w:r>
          </w:p>
          <w:p w14:paraId="124CA148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6. prava i obveze prema ugovornom pravu, uključujući kamate na zakašnjela plaćanja</w:t>
            </w:r>
          </w:p>
          <w:p w14:paraId="20D3F1DE" w14:textId="704A4A4E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7. postupci u slučaju nesolventnosti i likvidacija pravnih osoba koje nisu poduzeća</w:t>
            </w:r>
          </w:p>
          <w:p w14:paraId="7DF299A7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8. osiguranje kredita</w:t>
            </w:r>
          </w:p>
          <w:p w14:paraId="5EFD8ADC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9. spajanje ili prodaja pravne osobe koja nije poduzeće</w:t>
            </w:r>
          </w:p>
          <w:p w14:paraId="3FC5090A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10. građanskopravna odgovornost direktora pravne osobe koja nije poduzeće</w:t>
            </w:r>
          </w:p>
          <w:p w14:paraId="04F8ACC9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11. pravila i obveze u pogledu obrade osobnih podataka</w:t>
            </w:r>
          </w:p>
          <w:p w14:paraId="530960ED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</w:p>
        </w:tc>
      </w:tr>
      <w:tr w:rsidR="00926D77" w:rsidRPr="005E1B09" w14:paraId="3B308DA4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B2B1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AB. Zaposlenici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0DF7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 xml:space="preserve">1. </w:t>
            </w:r>
            <w:r w:rsidRPr="005E1B09">
              <w:rPr>
                <w:noProof/>
              </w:rPr>
              <w:t>uvjeti zapošljavanja utvrđeni zakonom ili zakonskim instrumentom (uključujući radno vrijeme, plaćeni dopust, pravo na godišnji odmor, prava i obveze u vezi s prekovremenim radom, zdravstveni pregledi, raskid ugovora, otpuštanja i višak radne snage)</w:t>
            </w:r>
          </w:p>
          <w:p w14:paraId="7F717227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2. prava i obveze u sustavu socijalne sigurnosti Unije (registracija poslodavca, prijava zaposlenika, obavještavanje zaposlenika o prestanku ugovora, plaćanje doprinosa za socijalno osiguranje, prava i obveze u vezi s mirovinama)</w:t>
            </w:r>
          </w:p>
          <w:p w14:paraId="3E352F90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3. zapošljavanje radnika iz drugih država članica (upućivanje radnika, pravila o slobodi pružanja usluga, uvjet boravišta za radnike)</w:t>
            </w:r>
          </w:p>
          <w:p w14:paraId="196E88A6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4. jednako postupanje (pravila kojima se zabranjuje diskriminacija na radnom mjestu, pravila o jednakoj plaći za muškarce i žene, jednaka plaća za zaposlenike s ugovorima o radu na ograničeno ili neograničeno vrijeme)</w:t>
            </w:r>
          </w:p>
          <w:p w14:paraId="407CF9E8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5. pravila o zastupanju osoblja</w:t>
            </w:r>
          </w:p>
          <w:p w14:paraId="158C1C90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</w:p>
        </w:tc>
      </w:tr>
      <w:tr w:rsidR="00926D77" w:rsidRPr="005E1B09" w14:paraId="15A1B6B8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9170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AC. Porezi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4CC2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 xml:space="preserve">1. PDV: </w:t>
            </w:r>
            <w:r w:rsidRPr="005E1B09">
              <w:rPr>
                <w:noProof/>
              </w:rPr>
              <w:t>informiranje o općim pravilima, stopama i izuzećima, registracija u sustavu PDV-a i plaćanje PDV-a, ostvarivanje povrata</w:t>
            </w:r>
          </w:p>
          <w:p w14:paraId="31EB6480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2. trošarine: informiranje o općim pravilima, stopama i izuzećima, registracija u sustavu PDV-a i plaćanje PDV-a, ostvarivanje povrata</w:t>
            </w:r>
          </w:p>
          <w:p w14:paraId="2E7B5AEB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3. carine i drugi porezi i nameti koji se naplaćuju pri uvozu</w:t>
            </w:r>
          </w:p>
          <w:p w14:paraId="4D5BA9BC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4. carinski postupci pri uvozu i izvozu u skladu s Carinskim zakonikom Unije</w:t>
            </w:r>
          </w:p>
          <w:p w14:paraId="49E01259" w14:textId="03A3B37C" w:rsidR="0028525A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5.·ostali porezi: plaćanje, stope, prijave poreza</w:t>
            </w:r>
          </w:p>
          <w:p w14:paraId="0FC50D73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</w:p>
        </w:tc>
      </w:tr>
      <w:tr w:rsidR="00926D77" w:rsidRPr="005E1B09" w14:paraId="462B78C6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5E52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 xml:space="preserve">AD. Roba 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9CF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 xml:space="preserve">1. dobivanje oznake CE </w:t>
            </w:r>
          </w:p>
          <w:p w14:paraId="43E3C427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2.</w:t>
            </w:r>
            <w:r w:rsidRPr="005E1B09">
              <w:rPr>
                <w:noProof/>
              </w:rPr>
              <w:t xml:space="preserve"> pravila i zahtjevi u pogledu proizvoda</w:t>
            </w:r>
          </w:p>
          <w:p w14:paraId="13E8F0BA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3. utvrđivanje primjenjivih standarda, tehničkih specifikacija i certificiranje proizvoda</w:t>
            </w:r>
          </w:p>
          <w:p w14:paraId="6A67B9E7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4. uzajamno priznavanje proizvoda koji ne podliježu specifikacijama Unije</w:t>
            </w:r>
          </w:p>
          <w:p w14:paraId="2853C4D0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5. zahtjevi u vezi s klasifikacijom, označivanjem i pakiranjem opasnih kemikalija</w:t>
            </w:r>
          </w:p>
          <w:p w14:paraId="30B216A3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6.·prodaja na daljinu / izvan poslovnih prostora: informacije koje unaprijed treba dati kupcima, pisana potvrda ugovora, povlačenje iz ugovora, isporuka robe, druge specifične obveze</w:t>
            </w:r>
          </w:p>
          <w:p w14:paraId="3B1B3219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7.·neispravni proizvodi: prava potrošača i jamstva, dužnosti nakon prodaje, pravni lijek za oštećenu stranu</w:t>
            </w:r>
          </w:p>
          <w:p w14:paraId="1D5DBC7B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8. certifikacija, oznake (EMAS, energetske oznake, ekološki dizajn, znak za okoliš EU-a)</w:t>
            </w:r>
          </w:p>
          <w:p w14:paraId="30147488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9.</w:t>
            </w:r>
            <w:r w:rsidRPr="005E1B09">
              <w:rPr>
                <w:noProof/>
              </w:rPr>
              <w:t xml:space="preserve"> recikliranje i upravljanje otpadom</w:t>
            </w:r>
          </w:p>
          <w:p w14:paraId="1BC74194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</w:p>
        </w:tc>
      </w:tr>
      <w:tr w:rsidR="00926D77" w:rsidRPr="005E1B09" w14:paraId="30365AEB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0BA4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 xml:space="preserve">AE. Usluge 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3F88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1. ishođenje</w:t>
            </w:r>
            <w:r w:rsidRPr="005E1B09">
              <w:rPr>
                <w:noProof/>
              </w:rPr>
              <w:t xml:space="preserve"> licencija, odobrenja ili dozvola radi osnivanja pravne osobe koja nije poduzeće i upravljanja njome</w:t>
            </w:r>
          </w:p>
          <w:p w14:paraId="33FE4403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2. obavješćivanje nadležnih tijela o prekograničnim aktivnostima</w:t>
            </w:r>
          </w:p>
          <w:p w14:paraId="3C83E774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3. priznavanje stručnih kvalifikacija, uključujući strukovno obrazovanje i osposobljavanje</w:t>
            </w:r>
          </w:p>
          <w:p w14:paraId="2B53281B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</w:p>
        </w:tc>
      </w:tr>
      <w:tr w:rsidR="00926D77" w:rsidRPr="005E1B09" w14:paraId="2734F6D8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AB4F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AF. Financiranje pravne osobe koja nije poduzeće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98B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1.</w:t>
            </w:r>
            <w:r w:rsidRPr="005E1B09">
              <w:rPr>
                <w:noProof/>
              </w:rPr>
              <w:t xml:space="preserve"> dobivanje pristupa financijskim sredstvima na razini Unije, uključujući programe financiranja Unije i bespovratna sredstva</w:t>
            </w:r>
          </w:p>
          <w:p w14:paraId="3C32BD27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</w:rPr>
              <w:t>2. dobivanje pristupa financiranju na nacionalnoj razini</w:t>
            </w:r>
          </w:p>
          <w:p w14:paraId="018F4AFA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3. inicijative namijenjene pravnim osobama koje nisu poduzeća (razmjene, programi mentoriranja itd.)</w:t>
            </w:r>
          </w:p>
          <w:p w14:paraId="713C0912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</w:p>
        </w:tc>
      </w:tr>
      <w:tr w:rsidR="00926D77" w:rsidRPr="005E1B09" w14:paraId="37F11A72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92DD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AG. Javni ugovori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C53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1. sudjelovanje u postupcima javne nabave: pravila i postupci</w:t>
            </w:r>
          </w:p>
          <w:p w14:paraId="326ADCEF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2. internetsko podnošenje ponude u postupku javne nabave</w:t>
            </w:r>
          </w:p>
          <w:p w14:paraId="48AA79D1" w14:textId="77777777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3.</w:t>
            </w:r>
            <w:r w:rsidRPr="005E1B09">
              <w:rPr>
                <w:noProof/>
              </w:rPr>
              <w:t xml:space="preserve"> prijavljivanje nepravilnosti u postupku javne nabave</w:t>
            </w:r>
          </w:p>
          <w:p w14:paraId="4F101B38" w14:textId="77777777" w:rsidR="00926D77" w:rsidRPr="005E1B09" w:rsidRDefault="00926D77">
            <w:pPr>
              <w:spacing w:after="0"/>
              <w:rPr>
                <w:noProof/>
                <w:color w:val="000000"/>
                <w:szCs w:val="24"/>
                <w:shd w:val="clear" w:color="auto" w:fill="FFFFFF"/>
              </w:rPr>
            </w:pPr>
          </w:p>
        </w:tc>
      </w:tr>
      <w:tr w:rsidR="00926D77" w:rsidRPr="005E1B09" w14:paraId="0302E363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5EDB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AH. Zdravlje i sigurnost na radu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D06D" w14:textId="5DD05DB5" w:rsidR="00926D77" w:rsidRPr="005E1B09" w:rsidRDefault="00926D77">
            <w:pPr>
              <w:rPr>
                <w:rFonts w:eastAsia="Times New Roman"/>
                <w:noProof/>
                <w:szCs w:val="24"/>
              </w:rPr>
            </w:pPr>
            <w:r w:rsidRPr="005E1B09">
              <w:rPr>
                <w:noProof/>
                <w:color w:val="000000"/>
                <w:shd w:val="clear" w:color="auto" w:fill="FFFFFF"/>
              </w:rPr>
              <w:t>1.</w:t>
            </w:r>
            <w:r w:rsidRPr="005E1B09">
              <w:rPr>
                <w:noProof/>
              </w:rPr>
              <w:t xml:space="preserve"> obveze u pogledu zdravlja i sigurnosti na radu s obzirom na različite vrste aktivnosti, uključujući sprječavanje rizika, informiranje i osposobljavanje”.</w:t>
            </w:r>
          </w:p>
          <w:p w14:paraId="19AFA969" w14:textId="77777777" w:rsidR="00926D77" w:rsidRPr="005E1B09" w:rsidRDefault="00926D77">
            <w:pPr>
              <w:rPr>
                <w:noProof/>
                <w:color w:val="000000"/>
                <w:szCs w:val="24"/>
                <w:shd w:val="clear" w:color="auto" w:fill="FFFFFF"/>
              </w:rPr>
            </w:pPr>
          </w:p>
        </w:tc>
      </w:tr>
    </w:tbl>
    <w:p w14:paraId="69C91C68" w14:textId="22AB1744" w:rsidR="00A2210E" w:rsidRPr="005E1B09" w:rsidRDefault="00A2210E" w:rsidP="00957A60">
      <w:pPr>
        <w:pStyle w:val="Titrearticle"/>
        <w:rPr>
          <w:noProof/>
        </w:rPr>
      </w:pPr>
      <w:r w:rsidRPr="005E1B09">
        <w:rPr>
          <w:noProof/>
        </w:rPr>
        <w:t>Članak 3.</w:t>
      </w:r>
    </w:p>
    <w:p w14:paraId="13DC79DE" w14:textId="3B29A700" w:rsidR="00957A60" w:rsidRPr="005E1B09" w:rsidRDefault="00957A60" w:rsidP="00957A60">
      <w:pPr>
        <w:pStyle w:val="Titrearticle"/>
        <w:rPr>
          <w:noProof/>
        </w:rPr>
      </w:pPr>
      <w:r w:rsidRPr="005E1B09">
        <w:rPr>
          <w:noProof/>
        </w:rPr>
        <w:t>Stupanje na snagu</w:t>
      </w:r>
    </w:p>
    <w:p w14:paraId="1D238ACB" w14:textId="4F02E4B3" w:rsidR="00A2210E" w:rsidRPr="007E50A6" w:rsidRDefault="00583DB6" w:rsidP="38E9039C">
      <w:pPr>
        <w:rPr>
          <w:highlight w:val="magenta"/>
        </w:rPr>
      </w:pPr>
      <w:r w:rsidRPr="005E1B09">
        <w:rPr>
          <w:noProof/>
        </w:rPr>
        <w:t xml:space="preserve">Ova Uredba stupa na snagu dvadesetog dana od dana objave u </w:t>
      </w:r>
      <w:r w:rsidRPr="005E1B09">
        <w:rPr>
          <w:i/>
          <w:noProof/>
        </w:rPr>
        <w:t>Službenom listu Europske unije</w:t>
      </w:r>
      <w:r w:rsidRPr="005E1B09">
        <w:rPr>
          <w:noProof/>
        </w:rPr>
        <w:t>.</w:t>
      </w:r>
    </w:p>
    <w:p w14:paraId="77905081" w14:textId="77777777" w:rsidR="00A2210E" w:rsidRPr="005E1B09" w:rsidRDefault="00A2210E" w:rsidP="00FA3D6F">
      <w:pPr>
        <w:pStyle w:val="Applicationdirecte"/>
        <w:rPr>
          <w:noProof/>
        </w:rPr>
      </w:pPr>
      <w:r w:rsidRPr="005E1B09">
        <w:rPr>
          <w:noProof/>
        </w:rPr>
        <w:t>Ova je Uredba u cijelosti obvezujuća i izravno se primjenjuje u svim državama članicama.</w:t>
      </w:r>
    </w:p>
    <w:p w14:paraId="5CE23979" w14:textId="2971186C" w:rsidR="00A2210E" w:rsidRPr="005E1B09" w:rsidRDefault="00630FF5" w:rsidP="00ED1574">
      <w:pPr>
        <w:pStyle w:val="Fait"/>
        <w:rPr>
          <w:noProof/>
        </w:rPr>
      </w:pPr>
      <w:r w:rsidRPr="00630FF5">
        <w:t>Sastavljeno u Bruxellesu,</w:t>
      </w:r>
    </w:p>
    <w:p w14:paraId="6DC3B2E4" w14:textId="77777777" w:rsidR="00A2210E" w:rsidRPr="005E1B09" w:rsidRDefault="00A2210E" w:rsidP="00ED1574">
      <w:pPr>
        <w:pStyle w:val="Institutionquisigne"/>
        <w:rPr>
          <w:noProof/>
        </w:rPr>
      </w:pPr>
      <w:r w:rsidRPr="005E1B09">
        <w:rPr>
          <w:noProof/>
        </w:rPr>
        <w:t>Za Europski parlament</w:t>
      </w:r>
      <w:r w:rsidRPr="005E1B09">
        <w:rPr>
          <w:noProof/>
        </w:rPr>
        <w:tab/>
        <w:t>Za Vijeće</w:t>
      </w:r>
    </w:p>
    <w:p w14:paraId="7CD7B580" w14:textId="39AEF23B" w:rsidR="00E95A4E" w:rsidRPr="005E1B09" w:rsidRDefault="00A2210E" w:rsidP="00803859">
      <w:pPr>
        <w:pStyle w:val="Personnequisigne"/>
        <w:rPr>
          <w:noProof/>
        </w:rPr>
      </w:pPr>
      <w:r w:rsidRPr="005E1B09">
        <w:rPr>
          <w:noProof/>
        </w:rPr>
        <w:t>Predsjednica</w:t>
      </w:r>
      <w:r w:rsidRPr="005E1B09">
        <w:rPr>
          <w:noProof/>
        </w:rPr>
        <w:tab/>
        <w:t>Predsjednik</w:t>
      </w:r>
    </w:p>
    <w:sectPr w:rsidR="00E95A4E" w:rsidRPr="005E1B09" w:rsidSect="00057724">
      <w:footerReference w:type="default" r:id="rId13"/>
      <w:footerReference w:type="first" r:id="rId14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E5822" w14:textId="77777777" w:rsidR="00E55A41" w:rsidRDefault="00E55A41" w:rsidP="00A2210E">
      <w:pPr>
        <w:spacing w:before="0" w:after="0"/>
      </w:pPr>
      <w:r>
        <w:separator/>
      </w:r>
    </w:p>
  </w:endnote>
  <w:endnote w:type="continuationSeparator" w:id="0">
    <w:p w14:paraId="1EDE5F51" w14:textId="77777777" w:rsidR="00E55A41" w:rsidRDefault="00E55A41" w:rsidP="00A2210E">
      <w:pPr>
        <w:spacing w:before="0" w:after="0"/>
      </w:pPr>
      <w:r>
        <w:continuationSeparator/>
      </w:r>
    </w:p>
  </w:endnote>
  <w:endnote w:type="continuationNotice" w:id="1">
    <w:p w14:paraId="71D3899D" w14:textId="77777777" w:rsidR="00E55A41" w:rsidRDefault="00E55A4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FC903" w14:textId="600F4252" w:rsidR="00210BD2" w:rsidRPr="00057724" w:rsidRDefault="00057724" w:rsidP="00057724">
    <w:pPr>
      <w:pStyle w:val="Footer"/>
      <w:rPr>
        <w:rFonts w:ascii="Arial" w:hAnsi="Arial" w:cs="Arial"/>
        <w:b/>
        <w:sz w:val="48"/>
      </w:rPr>
    </w:pPr>
    <w:r w:rsidRPr="00057724">
      <w:rPr>
        <w:rFonts w:ascii="Arial" w:hAnsi="Arial" w:cs="Arial"/>
        <w:b/>
        <w:sz w:val="48"/>
      </w:rPr>
      <w:t>HR</w:t>
    </w:r>
    <w:r w:rsidRPr="00057724">
      <w:rPr>
        <w:rFonts w:ascii="Arial" w:hAnsi="Arial" w:cs="Arial"/>
        <w:b/>
        <w:sz w:val="48"/>
      </w:rPr>
      <w:tab/>
    </w:r>
    <w:r w:rsidRPr="00057724">
      <w:rPr>
        <w:rFonts w:ascii="Arial" w:hAnsi="Arial" w:cs="Arial"/>
        <w:b/>
        <w:sz w:val="48"/>
      </w:rPr>
      <w:tab/>
    </w:r>
    <w:r w:rsidRPr="00057724">
      <w:tab/>
    </w:r>
    <w:r w:rsidRPr="00057724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9BEDA" w14:textId="5C4A27C7" w:rsidR="00057724" w:rsidRPr="00057724" w:rsidRDefault="00057724" w:rsidP="00057724">
    <w:pPr>
      <w:pStyle w:val="Footer"/>
      <w:rPr>
        <w:rFonts w:ascii="Arial" w:hAnsi="Arial" w:cs="Arial"/>
        <w:b/>
        <w:sz w:val="48"/>
      </w:rPr>
    </w:pPr>
    <w:r w:rsidRPr="00057724">
      <w:rPr>
        <w:rFonts w:ascii="Arial" w:hAnsi="Arial" w:cs="Arial"/>
        <w:b/>
        <w:sz w:val="48"/>
      </w:rPr>
      <w:t>HR</w:t>
    </w:r>
    <w:r w:rsidRPr="00057724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ED1574">
      <w:rPr>
        <w:noProof/>
      </w:rPr>
      <w:t>8</w:t>
    </w:r>
    <w:r>
      <w:fldChar w:fldCharType="end"/>
    </w:r>
    <w:r>
      <w:tab/>
    </w:r>
    <w:r w:rsidRPr="00057724">
      <w:tab/>
    </w:r>
    <w:r w:rsidRPr="00057724"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86DD" w14:textId="77777777" w:rsidR="00057724" w:rsidRPr="00057724" w:rsidRDefault="00057724" w:rsidP="00057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A2440" w14:textId="77777777" w:rsidR="00E55A41" w:rsidRDefault="00E55A41" w:rsidP="00A2210E">
      <w:pPr>
        <w:spacing w:before="0" w:after="0"/>
      </w:pPr>
      <w:r>
        <w:separator/>
      </w:r>
    </w:p>
  </w:footnote>
  <w:footnote w:type="continuationSeparator" w:id="0">
    <w:p w14:paraId="7201BA54" w14:textId="77777777" w:rsidR="00E55A41" w:rsidRDefault="00E55A41" w:rsidP="00A2210E">
      <w:pPr>
        <w:spacing w:before="0" w:after="0"/>
      </w:pPr>
      <w:r>
        <w:continuationSeparator/>
      </w:r>
    </w:p>
  </w:footnote>
  <w:footnote w:type="continuationNotice" w:id="1">
    <w:p w14:paraId="4BE6F4BC" w14:textId="77777777" w:rsidR="00E55A41" w:rsidRDefault="00E55A41">
      <w:pPr>
        <w:spacing w:before="0" w:after="0"/>
      </w:pPr>
    </w:p>
  </w:footnote>
  <w:footnote w:id="2">
    <w:p w14:paraId="2230AC01" w14:textId="4E37967F" w:rsidR="00AE0D72" w:rsidRPr="00AE0D72" w:rsidRDefault="00AE0D72">
      <w:pPr>
        <w:pStyle w:val="FootnoteText"/>
      </w:pPr>
      <w:r w:rsidRPr="009C0B36">
        <w:rPr>
          <w:rStyle w:val="FootnoteReference"/>
        </w:rPr>
        <w:footnoteRef/>
      </w:r>
      <w:r w:rsidR="009C0B36">
        <w:tab/>
      </w:r>
      <w:r>
        <w:t>Uredba (EU) br. 1024/2012 Europskog parlamenta i Vijeća od 25. listopada 2012. o administrativnoj suradnji putem Informacijskog sustava unutarnjeg tržišta i stavljanju izvan snage Odluke Komisije 2008/49/EZ („Uredba IMI”) (SL L 316, 14.11.2012., str. 1.).</w:t>
      </w:r>
    </w:p>
  </w:footnote>
  <w:footnote w:id="3">
    <w:p w14:paraId="75987DEC" w14:textId="77777777" w:rsidR="0087751A" w:rsidRPr="00E06F3E" w:rsidRDefault="0087751A" w:rsidP="0087751A">
      <w:pPr>
        <w:pStyle w:val="FootnoteText"/>
      </w:pPr>
      <w:r>
        <w:rPr>
          <w:rStyle w:val="FootnoteReference"/>
        </w:rPr>
        <w:footnoteRef/>
      </w:r>
      <w:r>
        <w:tab/>
        <w:t>Uredba (EU) 2018/1724 Europskog parlamenta i Vijeća od 2. listopada 2018. o uspostavi jedinstvenog digitalnog pristupnika za pristup informacijama, postupcima, uslugama podrške i rješavanja problema te o izmjeni Uredbe (EU) br. 1024/2012 (SL L 295, 21.11.2018., str. 1.).</w:t>
      </w:r>
    </w:p>
  </w:footnote>
  <w:footnote w:id="4">
    <w:p w14:paraId="3ED1E19F" w14:textId="067121DD" w:rsidR="00C033BF" w:rsidRPr="00803859" w:rsidRDefault="00C033BF" w:rsidP="00C033BF">
      <w:pPr>
        <w:pStyle w:val="FootnoteText"/>
      </w:pPr>
      <w:r>
        <w:rPr>
          <w:rStyle w:val="FootnoteReference"/>
        </w:rPr>
        <w:footnoteRef/>
      </w:r>
      <w:r>
        <w:tab/>
        <w:t>upućivanje na mišljenje</w:t>
      </w:r>
    </w:p>
  </w:footnote>
  <w:footnote w:id="5">
    <w:p w14:paraId="664FED16" w14:textId="318989E0" w:rsidR="005252AA" w:rsidRPr="00F17489" w:rsidRDefault="005252AA" w:rsidP="005252AA">
      <w:pPr>
        <w:pStyle w:val="FootnoteText"/>
      </w:pPr>
      <w:r>
        <w:rPr>
          <w:rStyle w:val="FootnoteReference"/>
        </w:rPr>
        <w:footnoteRef/>
      </w:r>
      <w:r>
        <w:tab/>
        <w:t>Direktiva Europskog parlamenta i Vijeća od ... o europskim prekograničnim udruženjima (upućivanje na SL).</w:t>
      </w:r>
    </w:p>
  </w:footnote>
  <w:footnote w:id="6">
    <w:p w14:paraId="5B998DBD" w14:textId="45956EBD" w:rsidR="00E536CF" w:rsidRPr="007549B9" w:rsidRDefault="00E536CF">
      <w:pPr>
        <w:pStyle w:val="FootnoteText"/>
      </w:pPr>
      <w:r w:rsidRPr="009C0B36">
        <w:rPr>
          <w:rStyle w:val="FootnoteReference"/>
        </w:rPr>
        <w:footnoteRef/>
      </w:r>
      <w:r w:rsidR="009C0B36">
        <w:tab/>
      </w:r>
      <w:r>
        <w:t>Uredba (EU) br. 1024/2012 Europskog parlamenta i Vijeća od 25. listopada 2012. o administrativnoj suradnji putem Informacijskog sustava unutarnjeg tržišta i stavljanju izvan snage Odluke Komisije 2008/49/EZ („Uredba IMI”) (SL L 316, 14.11.2012., str. 1.).</w:t>
      </w:r>
    </w:p>
  </w:footnote>
  <w:footnote w:id="7">
    <w:p w14:paraId="2C1A0679" w14:textId="672F385D" w:rsidR="00F333EE" w:rsidRPr="000637D8" w:rsidRDefault="00F333EE">
      <w:pPr>
        <w:pStyle w:val="FootnoteText"/>
      </w:pPr>
      <w:r>
        <w:rPr>
          <w:rStyle w:val="FootnoteReference"/>
        </w:rPr>
        <w:footnoteRef/>
      </w:r>
      <w:r>
        <w:tab/>
        <w:t>Uredba (EU) 2018/1724 Europskog parlamenta i Vijeća od 2. listopada 2018. o uspostavi jedinstvenog digitalnog pristupnika za pristup informacijama, postupcima, uslugama podrške i rješavanja problema te o izmjeni Uredbe (EU) br. 1024/2012 (SL L 295, 21.11.2018., str. 1.).</w:t>
      </w:r>
    </w:p>
  </w:footnote>
  <w:footnote w:id="8">
    <w:p w14:paraId="6B850632" w14:textId="3962C5C8" w:rsidR="000319D7" w:rsidRPr="008B7FA8" w:rsidRDefault="000319D7">
      <w:pPr>
        <w:pStyle w:val="FootnoteText"/>
      </w:pPr>
      <w:r>
        <w:rPr>
          <w:rStyle w:val="FootnoteReference"/>
        </w:rPr>
        <w:footnoteRef/>
      </w:r>
      <w:r>
        <w:tab/>
        <w:t>Uredba (EU) 2018/1724 Europskog parlamenta i Vijeća od 2. listopada 2018. o uspostavi jedinstvenog digitalnog pristupnika za pristup informacijama, postupcima, uslugama podrške i rješavanja problema te o izmjeni Uredbe (EU) br. 1024/2012 (SL L 295, 21.11.2018., str. 1.).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A36A0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0D0FD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1AC7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494C6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7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4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2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3-09-04 17:12:29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576E91C6-1FCC-4131-A694-0EC106862C6D"/>
    <w:docVar w:name="LW_COVERPAGE_TYPE" w:val="1"/>
    <w:docVar w:name="LW_CROSSREFERENCE" w:val="&lt;UNUSED&gt;"/>
    <w:docVar w:name="LW_DocType" w:val="COM"/>
    <w:docVar w:name="LW_EMISSION" w:val="5.9.2023."/>
    <w:docVar w:name="LW_EMISSION_ISODATE" w:val="2023-09-05"/>
    <w:docVar w:name="LW_EMISSION_LOCATION" w:val="BRX"/>
    <w:docVar w:name="LW_EMISSION_PREFIX" w:val="Bruxelles, "/>
    <w:docVar w:name="LW_EMISSION_SUFFIX" w:val="&lt;EMPTY&gt;"/>
    <w:docVar w:name="LW_ID_DOCMODEL" w:val="SJ-023"/>
    <w:docVar w:name="LW_ID_DOCSIGNATURE" w:val="SJ-023"/>
    <w:docVar w:name="LW_ID_DOCSTRUCTURE" w:val="COM/PL/ORG"/>
    <w:docVar w:name="LW_ID_DOCTYPE" w:val="SJ-023"/>
    <w:docVar w:name="LW_ID_EXP.MOTIFS.NEW" w:val="EM_PL_"/>
    <w:docVar w:name="LW_ID_STATUT" w:val="SJ-023"/>
    <w:docVar w:name="LW_INTERETEEE.CP" w:val="(Tekst značajan za EGP)"/>
    <w:docVar w:name="LW_LANGUE" w:val="HR"/>
    <w:docVar w:name="LW_LEVEL_OF_SENSITIVITY" w:val="Standard treatment"/>
    <w:docVar w:name="LW_NOM.INST" w:val="EUROPSKA KOMISIJ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314"/>
    <w:docVar w:name="LW_REF.II.NEW.CP_YEAR" w:val="2023"/>
    <w:docVar w:name="LW_REF.INST.NEW" w:val="COM"/>
    <w:docVar w:name="LW_REF.INST.NEW_ADOPTED" w:val="final"/>
    <w:docVar w:name="LW_REF.INST.NEW_TEXT" w:val="(2023) 515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ijedlog"/>
    <w:docVar w:name="LW_SUPERTITRE" w:val="&lt;UNUSED&gt;"/>
    <w:docVar w:name="LW_TITRE.OBJ.CP" w:val="o izmjeni uredaba (EU) br. 1024/2012 i (EU) 2018/1724 o primjeni Informacijskog sustava unutarnjeg tržišta i jedinstvenog digitalnog pristupnika za potrebe određenih zahtjeva utvrđenih Direktivom (EU) .../... Europskog parlamenta i Vijeća o europskim prekograničnim udruženjima (COM(2023) 516)) _x000b_ _x000b_ _x000b_"/>
    <w:docVar w:name="LW_TYPE.DOC.CP" w:val="UREDBE EUROPSKOG PARLAMENTA I VIJEĆA"/>
    <w:docVar w:name="LwApiVersions" w:val="LW4CoDe 1.23.2.0; LW 8.0, Build 20211117"/>
  </w:docVars>
  <w:rsids>
    <w:rsidRoot w:val="00A2210E"/>
    <w:rsid w:val="00002B31"/>
    <w:rsid w:val="00003E21"/>
    <w:rsid w:val="000070AF"/>
    <w:rsid w:val="00010BF7"/>
    <w:rsid w:val="0001126D"/>
    <w:rsid w:val="00011788"/>
    <w:rsid w:val="000156DA"/>
    <w:rsid w:val="00023271"/>
    <w:rsid w:val="000319D7"/>
    <w:rsid w:val="00031E65"/>
    <w:rsid w:val="00033062"/>
    <w:rsid w:val="00033BE1"/>
    <w:rsid w:val="000340D5"/>
    <w:rsid w:val="000348BA"/>
    <w:rsid w:val="00034B77"/>
    <w:rsid w:val="0003679B"/>
    <w:rsid w:val="00037B74"/>
    <w:rsid w:val="00040E6C"/>
    <w:rsid w:val="00041669"/>
    <w:rsid w:val="00043A94"/>
    <w:rsid w:val="00043C8B"/>
    <w:rsid w:val="0004400F"/>
    <w:rsid w:val="00044523"/>
    <w:rsid w:val="00052BD1"/>
    <w:rsid w:val="00053310"/>
    <w:rsid w:val="00053554"/>
    <w:rsid w:val="00054458"/>
    <w:rsid w:val="00054ABF"/>
    <w:rsid w:val="00056BE4"/>
    <w:rsid w:val="00057724"/>
    <w:rsid w:val="00061274"/>
    <w:rsid w:val="00061835"/>
    <w:rsid w:val="000637D8"/>
    <w:rsid w:val="00067669"/>
    <w:rsid w:val="00070194"/>
    <w:rsid w:val="00071926"/>
    <w:rsid w:val="00073DE6"/>
    <w:rsid w:val="0007401F"/>
    <w:rsid w:val="000743A0"/>
    <w:rsid w:val="0007448B"/>
    <w:rsid w:val="00075C1C"/>
    <w:rsid w:val="00080A6B"/>
    <w:rsid w:val="00082B6D"/>
    <w:rsid w:val="00083FD7"/>
    <w:rsid w:val="00092866"/>
    <w:rsid w:val="00094671"/>
    <w:rsid w:val="0009575C"/>
    <w:rsid w:val="000957F1"/>
    <w:rsid w:val="000974C2"/>
    <w:rsid w:val="000A1BA8"/>
    <w:rsid w:val="000A1E89"/>
    <w:rsid w:val="000A5C92"/>
    <w:rsid w:val="000A63B0"/>
    <w:rsid w:val="000A6A1F"/>
    <w:rsid w:val="000A7FB9"/>
    <w:rsid w:val="000B228C"/>
    <w:rsid w:val="000B3F83"/>
    <w:rsid w:val="000B41AB"/>
    <w:rsid w:val="000B43E6"/>
    <w:rsid w:val="000B4818"/>
    <w:rsid w:val="000B7B6F"/>
    <w:rsid w:val="000C0CC1"/>
    <w:rsid w:val="000C2D83"/>
    <w:rsid w:val="000C3D34"/>
    <w:rsid w:val="000C3EDE"/>
    <w:rsid w:val="000C4775"/>
    <w:rsid w:val="000C5864"/>
    <w:rsid w:val="000C664E"/>
    <w:rsid w:val="000E07BE"/>
    <w:rsid w:val="000E245D"/>
    <w:rsid w:val="000E35FC"/>
    <w:rsid w:val="000E558E"/>
    <w:rsid w:val="000E6973"/>
    <w:rsid w:val="000E6CF7"/>
    <w:rsid w:val="000F11FA"/>
    <w:rsid w:val="000F2F5E"/>
    <w:rsid w:val="000F3AC6"/>
    <w:rsid w:val="000F3B34"/>
    <w:rsid w:val="001016EE"/>
    <w:rsid w:val="00102566"/>
    <w:rsid w:val="00102A05"/>
    <w:rsid w:val="001054F7"/>
    <w:rsid w:val="001065F5"/>
    <w:rsid w:val="00107033"/>
    <w:rsid w:val="00110D43"/>
    <w:rsid w:val="00111F55"/>
    <w:rsid w:val="00115D4C"/>
    <w:rsid w:val="00117F7A"/>
    <w:rsid w:val="00120D17"/>
    <w:rsid w:val="00120FF3"/>
    <w:rsid w:val="0012116C"/>
    <w:rsid w:val="001224B6"/>
    <w:rsid w:val="001238EF"/>
    <w:rsid w:val="001246A0"/>
    <w:rsid w:val="001248B5"/>
    <w:rsid w:val="00130073"/>
    <w:rsid w:val="001359A9"/>
    <w:rsid w:val="00137617"/>
    <w:rsid w:val="0014264C"/>
    <w:rsid w:val="00147F0E"/>
    <w:rsid w:val="00153A69"/>
    <w:rsid w:val="0015636D"/>
    <w:rsid w:val="00163047"/>
    <w:rsid w:val="00164815"/>
    <w:rsid w:val="001663AC"/>
    <w:rsid w:val="001710EB"/>
    <w:rsid w:val="0017197E"/>
    <w:rsid w:val="00176A09"/>
    <w:rsid w:val="00181B87"/>
    <w:rsid w:val="0018444B"/>
    <w:rsid w:val="00184E23"/>
    <w:rsid w:val="001919FB"/>
    <w:rsid w:val="0019412A"/>
    <w:rsid w:val="00194786"/>
    <w:rsid w:val="0019535A"/>
    <w:rsid w:val="00197613"/>
    <w:rsid w:val="001A1702"/>
    <w:rsid w:val="001A7EBF"/>
    <w:rsid w:val="001B081A"/>
    <w:rsid w:val="001B30A5"/>
    <w:rsid w:val="001B5A88"/>
    <w:rsid w:val="001B6C40"/>
    <w:rsid w:val="001B7D51"/>
    <w:rsid w:val="001C4699"/>
    <w:rsid w:val="001C4E3B"/>
    <w:rsid w:val="001D1B49"/>
    <w:rsid w:val="001D1CCF"/>
    <w:rsid w:val="001D2343"/>
    <w:rsid w:val="001D7EF2"/>
    <w:rsid w:val="001E01B4"/>
    <w:rsid w:val="001E15C7"/>
    <w:rsid w:val="001E3BBE"/>
    <w:rsid w:val="001E7F12"/>
    <w:rsid w:val="001F14C0"/>
    <w:rsid w:val="001F6BAC"/>
    <w:rsid w:val="001F76B7"/>
    <w:rsid w:val="001F7E6A"/>
    <w:rsid w:val="002009C1"/>
    <w:rsid w:val="00201314"/>
    <w:rsid w:val="0020200F"/>
    <w:rsid w:val="0020348A"/>
    <w:rsid w:val="00206E58"/>
    <w:rsid w:val="00207989"/>
    <w:rsid w:val="00207F25"/>
    <w:rsid w:val="002104EE"/>
    <w:rsid w:val="00210BD2"/>
    <w:rsid w:val="002136CF"/>
    <w:rsid w:val="002176CB"/>
    <w:rsid w:val="0022050E"/>
    <w:rsid w:val="0022390B"/>
    <w:rsid w:val="0022500B"/>
    <w:rsid w:val="0023028D"/>
    <w:rsid w:val="00233DC7"/>
    <w:rsid w:val="002349CB"/>
    <w:rsid w:val="00234E16"/>
    <w:rsid w:val="002359CE"/>
    <w:rsid w:val="0023785B"/>
    <w:rsid w:val="00240C79"/>
    <w:rsid w:val="002455EF"/>
    <w:rsid w:val="00247779"/>
    <w:rsid w:val="0025052D"/>
    <w:rsid w:val="00251C1A"/>
    <w:rsid w:val="00251E01"/>
    <w:rsid w:val="00253323"/>
    <w:rsid w:val="00260C4B"/>
    <w:rsid w:val="00261136"/>
    <w:rsid w:val="0026341B"/>
    <w:rsid w:val="0026476C"/>
    <w:rsid w:val="00273DD3"/>
    <w:rsid w:val="00277B6A"/>
    <w:rsid w:val="00281004"/>
    <w:rsid w:val="00283BE2"/>
    <w:rsid w:val="0028525A"/>
    <w:rsid w:val="00285AED"/>
    <w:rsid w:val="00285BEE"/>
    <w:rsid w:val="0028741A"/>
    <w:rsid w:val="00291DEF"/>
    <w:rsid w:val="00293E07"/>
    <w:rsid w:val="0029533F"/>
    <w:rsid w:val="002A18EB"/>
    <w:rsid w:val="002A1E34"/>
    <w:rsid w:val="002A2492"/>
    <w:rsid w:val="002A39F1"/>
    <w:rsid w:val="002A40DB"/>
    <w:rsid w:val="002A54BE"/>
    <w:rsid w:val="002A77A0"/>
    <w:rsid w:val="002B181C"/>
    <w:rsid w:val="002B30AF"/>
    <w:rsid w:val="002B4A01"/>
    <w:rsid w:val="002B685B"/>
    <w:rsid w:val="002B79D0"/>
    <w:rsid w:val="002C1435"/>
    <w:rsid w:val="002D1E1F"/>
    <w:rsid w:val="002D742C"/>
    <w:rsid w:val="002E0332"/>
    <w:rsid w:val="002E18F1"/>
    <w:rsid w:val="002E70BB"/>
    <w:rsid w:val="002F017B"/>
    <w:rsid w:val="002F30D0"/>
    <w:rsid w:val="0030274E"/>
    <w:rsid w:val="00303874"/>
    <w:rsid w:val="00304FDC"/>
    <w:rsid w:val="00305691"/>
    <w:rsid w:val="00305A54"/>
    <w:rsid w:val="00306242"/>
    <w:rsid w:val="003101C0"/>
    <w:rsid w:val="00310299"/>
    <w:rsid w:val="00314065"/>
    <w:rsid w:val="003162F0"/>
    <w:rsid w:val="00332C75"/>
    <w:rsid w:val="0033344A"/>
    <w:rsid w:val="0033371E"/>
    <w:rsid w:val="003476AE"/>
    <w:rsid w:val="00350270"/>
    <w:rsid w:val="00352908"/>
    <w:rsid w:val="00355A98"/>
    <w:rsid w:val="00356756"/>
    <w:rsid w:val="00360621"/>
    <w:rsid w:val="00367192"/>
    <w:rsid w:val="003702B4"/>
    <w:rsid w:val="00371C7E"/>
    <w:rsid w:val="00371E8D"/>
    <w:rsid w:val="00374528"/>
    <w:rsid w:val="003748F0"/>
    <w:rsid w:val="00380BD7"/>
    <w:rsid w:val="00381854"/>
    <w:rsid w:val="00384800"/>
    <w:rsid w:val="003854D4"/>
    <w:rsid w:val="00385F04"/>
    <w:rsid w:val="00386943"/>
    <w:rsid w:val="00390646"/>
    <w:rsid w:val="0039069F"/>
    <w:rsid w:val="003907A1"/>
    <w:rsid w:val="00391D40"/>
    <w:rsid w:val="00392DA3"/>
    <w:rsid w:val="00394E5B"/>
    <w:rsid w:val="003953C1"/>
    <w:rsid w:val="00395E3B"/>
    <w:rsid w:val="0039743B"/>
    <w:rsid w:val="00397623"/>
    <w:rsid w:val="003A06CF"/>
    <w:rsid w:val="003A2204"/>
    <w:rsid w:val="003A2275"/>
    <w:rsid w:val="003A25DE"/>
    <w:rsid w:val="003B021D"/>
    <w:rsid w:val="003B2EB0"/>
    <w:rsid w:val="003B47CB"/>
    <w:rsid w:val="003B4B65"/>
    <w:rsid w:val="003B5330"/>
    <w:rsid w:val="003B7276"/>
    <w:rsid w:val="003C1564"/>
    <w:rsid w:val="003C276D"/>
    <w:rsid w:val="003C27FC"/>
    <w:rsid w:val="003C2E7D"/>
    <w:rsid w:val="003D1E95"/>
    <w:rsid w:val="003D2F0B"/>
    <w:rsid w:val="003D37FC"/>
    <w:rsid w:val="003E192D"/>
    <w:rsid w:val="003E1B5F"/>
    <w:rsid w:val="003E3251"/>
    <w:rsid w:val="003F2700"/>
    <w:rsid w:val="00402EAF"/>
    <w:rsid w:val="0040650F"/>
    <w:rsid w:val="004067C4"/>
    <w:rsid w:val="00406B0E"/>
    <w:rsid w:val="004072ED"/>
    <w:rsid w:val="00410CD4"/>
    <w:rsid w:val="00410E28"/>
    <w:rsid w:val="004128A9"/>
    <w:rsid w:val="00422605"/>
    <w:rsid w:val="0042648E"/>
    <w:rsid w:val="00430827"/>
    <w:rsid w:val="004355FA"/>
    <w:rsid w:val="00440F3B"/>
    <w:rsid w:val="00441219"/>
    <w:rsid w:val="0044440A"/>
    <w:rsid w:val="00444DC8"/>
    <w:rsid w:val="004469C8"/>
    <w:rsid w:val="004525C6"/>
    <w:rsid w:val="00457DFB"/>
    <w:rsid w:val="00461397"/>
    <w:rsid w:val="00471A20"/>
    <w:rsid w:val="00474CBD"/>
    <w:rsid w:val="00476125"/>
    <w:rsid w:val="0047657B"/>
    <w:rsid w:val="00476B41"/>
    <w:rsid w:val="00482F2B"/>
    <w:rsid w:val="00483037"/>
    <w:rsid w:val="00483485"/>
    <w:rsid w:val="00483D84"/>
    <w:rsid w:val="00483EFE"/>
    <w:rsid w:val="0048596F"/>
    <w:rsid w:val="00490ED8"/>
    <w:rsid w:val="004936D2"/>
    <w:rsid w:val="00494612"/>
    <w:rsid w:val="00495616"/>
    <w:rsid w:val="00497992"/>
    <w:rsid w:val="004A360E"/>
    <w:rsid w:val="004A4EEB"/>
    <w:rsid w:val="004A5124"/>
    <w:rsid w:val="004A5AC2"/>
    <w:rsid w:val="004A7558"/>
    <w:rsid w:val="004B298E"/>
    <w:rsid w:val="004B4584"/>
    <w:rsid w:val="004B7386"/>
    <w:rsid w:val="004C03DB"/>
    <w:rsid w:val="004C3AC9"/>
    <w:rsid w:val="004C6954"/>
    <w:rsid w:val="004C7643"/>
    <w:rsid w:val="004D2AA3"/>
    <w:rsid w:val="004D2B88"/>
    <w:rsid w:val="004D2DD1"/>
    <w:rsid w:val="004D33FC"/>
    <w:rsid w:val="004D4C8E"/>
    <w:rsid w:val="004D62E7"/>
    <w:rsid w:val="004D6F66"/>
    <w:rsid w:val="004E0762"/>
    <w:rsid w:val="004E09AB"/>
    <w:rsid w:val="004E135D"/>
    <w:rsid w:val="004E300B"/>
    <w:rsid w:val="004F078E"/>
    <w:rsid w:val="004F12DA"/>
    <w:rsid w:val="004F3176"/>
    <w:rsid w:val="004F3C62"/>
    <w:rsid w:val="004F719E"/>
    <w:rsid w:val="0050411A"/>
    <w:rsid w:val="00505DAD"/>
    <w:rsid w:val="0050767B"/>
    <w:rsid w:val="005076AF"/>
    <w:rsid w:val="00510E40"/>
    <w:rsid w:val="00517F29"/>
    <w:rsid w:val="005216F4"/>
    <w:rsid w:val="00521704"/>
    <w:rsid w:val="00523D93"/>
    <w:rsid w:val="005252AA"/>
    <w:rsid w:val="00525323"/>
    <w:rsid w:val="00526BB3"/>
    <w:rsid w:val="00527B27"/>
    <w:rsid w:val="005320CB"/>
    <w:rsid w:val="005355BE"/>
    <w:rsid w:val="00551CAC"/>
    <w:rsid w:val="00552A17"/>
    <w:rsid w:val="00554EAA"/>
    <w:rsid w:val="00557C74"/>
    <w:rsid w:val="00563809"/>
    <w:rsid w:val="005643A0"/>
    <w:rsid w:val="0056469A"/>
    <w:rsid w:val="00566733"/>
    <w:rsid w:val="00566A75"/>
    <w:rsid w:val="00567502"/>
    <w:rsid w:val="00582FB5"/>
    <w:rsid w:val="00583003"/>
    <w:rsid w:val="005830C9"/>
    <w:rsid w:val="00583DB6"/>
    <w:rsid w:val="005876A3"/>
    <w:rsid w:val="005912BF"/>
    <w:rsid w:val="0059372B"/>
    <w:rsid w:val="0059756B"/>
    <w:rsid w:val="005A0628"/>
    <w:rsid w:val="005A139E"/>
    <w:rsid w:val="005B028C"/>
    <w:rsid w:val="005B1EB6"/>
    <w:rsid w:val="005B21F8"/>
    <w:rsid w:val="005B2317"/>
    <w:rsid w:val="005B25D6"/>
    <w:rsid w:val="005B2D4D"/>
    <w:rsid w:val="005B41AB"/>
    <w:rsid w:val="005C4B4D"/>
    <w:rsid w:val="005D2623"/>
    <w:rsid w:val="005D51B5"/>
    <w:rsid w:val="005D6D99"/>
    <w:rsid w:val="005E1B09"/>
    <w:rsid w:val="005E3A7A"/>
    <w:rsid w:val="005E5EF1"/>
    <w:rsid w:val="005E6798"/>
    <w:rsid w:val="005E6A17"/>
    <w:rsid w:val="005E6ABB"/>
    <w:rsid w:val="00600C9D"/>
    <w:rsid w:val="00601FB0"/>
    <w:rsid w:val="00602AF2"/>
    <w:rsid w:val="00610A3E"/>
    <w:rsid w:val="00617DA5"/>
    <w:rsid w:val="00624A6C"/>
    <w:rsid w:val="00627687"/>
    <w:rsid w:val="00630FF5"/>
    <w:rsid w:val="006362E8"/>
    <w:rsid w:val="00636E1F"/>
    <w:rsid w:val="00645448"/>
    <w:rsid w:val="00646F28"/>
    <w:rsid w:val="006473B7"/>
    <w:rsid w:val="00651568"/>
    <w:rsid w:val="00653157"/>
    <w:rsid w:val="0065438F"/>
    <w:rsid w:val="0065712D"/>
    <w:rsid w:val="006576A9"/>
    <w:rsid w:val="00657A85"/>
    <w:rsid w:val="00657D57"/>
    <w:rsid w:val="00662EA6"/>
    <w:rsid w:val="00663F6B"/>
    <w:rsid w:val="0066562B"/>
    <w:rsid w:val="00666DDA"/>
    <w:rsid w:val="00667523"/>
    <w:rsid w:val="006709D9"/>
    <w:rsid w:val="00674861"/>
    <w:rsid w:val="00684B95"/>
    <w:rsid w:val="0068795A"/>
    <w:rsid w:val="006911FB"/>
    <w:rsid w:val="00692202"/>
    <w:rsid w:val="00692A6D"/>
    <w:rsid w:val="00694E94"/>
    <w:rsid w:val="006950CC"/>
    <w:rsid w:val="006A0A81"/>
    <w:rsid w:val="006A0B23"/>
    <w:rsid w:val="006A157C"/>
    <w:rsid w:val="006A1A4D"/>
    <w:rsid w:val="006A6083"/>
    <w:rsid w:val="006A64F8"/>
    <w:rsid w:val="006A7FE5"/>
    <w:rsid w:val="006B2D97"/>
    <w:rsid w:val="006B3182"/>
    <w:rsid w:val="006B796B"/>
    <w:rsid w:val="006C0287"/>
    <w:rsid w:val="006D0281"/>
    <w:rsid w:val="006D11AD"/>
    <w:rsid w:val="006D2CCF"/>
    <w:rsid w:val="006E023D"/>
    <w:rsid w:val="006E0C0E"/>
    <w:rsid w:val="006E1B99"/>
    <w:rsid w:val="006E1BD0"/>
    <w:rsid w:val="006E5791"/>
    <w:rsid w:val="006E7A48"/>
    <w:rsid w:val="006E7F5A"/>
    <w:rsid w:val="006F0FBB"/>
    <w:rsid w:val="006F115E"/>
    <w:rsid w:val="006F164A"/>
    <w:rsid w:val="006F54BB"/>
    <w:rsid w:val="006F58DB"/>
    <w:rsid w:val="00700250"/>
    <w:rsid w:val="007037B1"/>
    <w:rsid w:val="00704078"/>
    <w:rsid w:val="007050CC"/>
    <w:rsid w:val="00705187"/>
    <w:rsid w:val="007058FA"/>
    <w:rsid w:val="0070736B"/>
    <w:rsid w:val="00710C5F"/>
    <w:rsid w:val="007111C7"/>
    <w:rsid w:val="00714F68"/>
    <w:rsid w:val="0071725A"/>
    <w:rsid w:val="0071757F"/>
    <w:rsid w:val="007206C5"/>
    <w:rsid w:val="00720DB9"/>
    <w:rsid w:val="00724372"/>
    <w:rsid w:val="0072478C"/>
    <w:rsid w:val="00730506"/>
    <w:rsid w:val="00736FCC"/>
    <w:rsid w:val="00741552"/>
    <w:rsid w:val="00742925"/>
    <w:rsid w:val="00742D6E"/>
    <w:rsid w:val="007436D7"/>
    <w:rsid w:val="00744088"/>
    <w:rsid w:val="00745880"/>
    <w:rsid w:val="00746194"/>
    <w:rsid w:val="00747D76"/>
    <w:rsid w:val="00750AE3"/>
    <w:rsid w:val="00752306"/>
    <w:rsid w:val="007549B9"/>
    <w:rsid w:val="00756346"/>
    <w:rsid w:val="00764BDA"/>
    <w:rsid w:val="00766365"/>
    <w:rsid w:val="00767503"/>
    <w:rsid w:val="00773002"/>
    <w:rsid w:val="00773331"/>
    <w:rsid w:val="00773BD4"/>
    <w:rsid w:val="00774536"/>
    <w:rsid w:val="007765E4"/>
    <w:rsid w:val="00781807"/>
    <w:rsid w:val="007879FD"/>
    <w:rsid w:val="00787B48"/>
    <w:rsid w:val="00790F92"/>
    <w:rsid w:val="007913D7"/>
    <w:rsid w:val="007929E7"/>
    <w:rsid w:val="007932EF"/>
    <w:rsid w:val="00797B28"/>
    <w:rsid w:val="007A14FA"/>
    <w:rsid w:val="007A206C"/>
    <w:rsid w:val="007A2CE2"/>
    <w:rsid w:val="007A4B6A"/>
    <w:rsid w:val="007A5A7A"/>
    <w:rsid w:val="007B46F2"/>
    <w:rsid w:val="007B56E6"/>
    <w:rsid w:val="007B6042"/>
    <w:rsid w:val="007B6D24"/>
    <w:rsid w:val="007C379A"/>
    <w:rsid w:val="007C4AC8"/>
    <w:rsid w:val="007C4C29"/>
    <w:rsid w:val="007C591F"/>
    <w:rsid w:val="007D4A13"/>
    <w:rsid w:val="007D4A91"/>
    <w:rsid w:val="007E05B0"/>
    <w:rsid w:val="007E109F"/>
    <w:rsid w:val="007E1617"/>
    <w:rsid w:val="007E50A6"/>
    <w:rsid w:val="007E59C5"/>
    <w:rsid w:val="007E5B69"/>
    <w:rsid w:val="007E610B"/>
    <w:rsid w:val="007E6251"/>
    <w:rsid w:val="007F1908"/>
    <w:rsid w:val="007F197C"/>
    <w:rsid w:val="007F2263"/>
    <w:rsid w:val="007F3844"/>
    <w:rsid w:val="007F46E2"/>
    <w:rsid w:val="007F6C63"/>
    <w:rsid w:val="007F783A"/>
    <w:rsid w:val="008003DA"/>
    <w:rsid w:val="00801DCC"/>
    <w:rsid w:val="00803859"/>
    <w:rsid w:val="0080563C"/>
    <w:rsid w:val="00805DA0"/>
    <w:rsid w:val="0080625E"/>
    <w:rsid w:val="0080627A"/>
    <w:rsid w:val="008100CA"/>
    <w:rsid w:val="00810CE0"/>
    <w:rsid w:val="00811DF3"/>
    <w:rsid w:val="00816AE0"/>
    <w:rsid w:val="00820675"/>
    <w:rsid w:val="00827CA4"/>
    <w:rsid w:val="00830E13"/>
    <w:rsid w:val="008312A3"/>
    <w:rsid w:val="00832F1B"/>
    <w:rsid w:val="0084130D"/>
    <w:rsid w:val="00841CE0"/>
    <w:rsid w:val="00841F72"/>
    <w:rsid w:val="008422A5"/>
    <w:rsid w:val="0084334E"/>
    <w:rsid w:val="00844FFD"/>
    <w:rsid w:val="008451C2"/>
    <w:rsid w:val="00845E0D"/>
    <w:rsid w:val="0084683C"/>
    <w:rsid w:val="008479B9"/>
    <w:rsid w:val="0085254F"/>
    <w:rsid w:val="008548E4"/>
    <w:rsid w:val="00854C97"/>
    <w:rsid w:val="00854D99"/>
    <w:rsid w:val="00857A70"/>
    <w:rsid w:val="00861F93"/>
    <w:rsid w:val="00866FB1"/>
    <w:rsid w:val="00873EA8"/>
    <w:rsid w:val="0087439D"/>
    <w:rsid w:val="00874D22"/>
    <w:rsid w:val="00875A0F"/>
    <w:rsid w:val="00876D88"/>
    <w:rsid w:val="0087751A"/>
    <w:rsid w:val="008801D6"/>
    <w:rsid w:val="00881BC3"/>
    <w:rsid w:val="00882F28"/>
    <w:rsid w:val="008837AC"/>
    <w:rsid w:val="00885179"/>
    <w:rsid w:val="0088754D"/>
    <w:rsid w:val="0089069F"/>
    <w:rsid w:val="008908C7"/>
    <w:rsid w:val="00890A0C"/>
    <w:rsid w:val="008A20BC"/>
    <w:rsid w:val="008A2914"/>
    <w:rsid w:val="008A303C"/>
    <w:rsid w:val="008A36AB"/>
    <w:rsid w:val="008B4B61"/>
    <w:rsid w:val="008B4E66"/>
    <w:rsid w:val="008B757D"/>
    <w:rsid w:val="008B7FA8"/>
    <w:rsid w:val="008C56BB"/>
    <w:rsid w:val="008C6CFD"/>
    <w:rsid w:val="008D0E87"/>
    <w:rsid w:val="008D1CDB"/>
    <w:rsid w:val="008D1F39"/>
    <w:rsid w:val="008D28CA"/>
    <w:rsid w:val="008D3247"/>
    <w:rsid w:val="008D4131"/>
    <w:rsid w:val="008D6AC1"/>
    <w:rsid w:val="008E1231"/>
    <w:rsid w:val="008E4D8E"/>
    <w:rsid w:val="008E7081"/>
    <w:rsid w:val="008F2314"/>
    <w:rsid w:val="008F268E"/>
    <w:rsid w:val="008F696E"/>
    <w:rsid w:val="0090091C"/>
    <w:rsid w:val="009017BA"/>
    <w:rsid w:val="009023D3"/>
    <w:rsid w:val="0090245B"/>
    <w:rsid w:val="00903067"/>
    <w:rsid w:val="00903B57"/>
    <w:rsid w:val="00906C9F"/>
    <w:rsid w:val="00912FA8"/>
    <w:rsid w:val="0091572F"/>
    <w:rsid w:val="00915DC6"/>
    <w:rsid w:val="00916779"/>
    <w:rsid w:val="00916999"/>
    <w:rsid w:val="009175F9"/>
    <w:rsid w:val="0092279D"/>
    <w:rsid w:val="00923FF0"/>
    <w:rsid w:val="00924774"/>
    <w:rsid w:val="0092490E"/>
    <w:rsid w:val="00926D77"/>
    <w:rsid w:val="00930DCD"/>
    <w:rsid w:val="0093287C"/>
    <w:rsid w:val="00933AB7"/>
    <w:rsid w:val="009356C4"/>
    <w:rsid w:val="009358AD"/>
    <w:rsid w:val="0093643B"/>
    <w:rsid w:val="009379B1"/>
    <w:rsid w:val="009407DC"/>
    <w:rsid w:val="00941F0E"/>
    <w:rsid w:val="00943136"/>
    <w:rsid w:val="00943949"/>
    <w:rsid w:val="00946763"/>
    <w:rsid w:val="009474C8"/>
    <w:rsid w:val="00947F81"/>
    <w:rsid w:val="0095370E"/>
    <w:rsid w:val="00954961"/>
    <w:rsid w:val="00957562"/>
    <w:rsid w:val="00957A60"/>
    <w:rsid w:val="009603DE"/>
    <w:rsid w:val="00961D45"/>
    <w:rsid w:val="00962985"/>
    <w:rsid w:val="00962E0C"/>
    <w:rsid w:val="00962E9C"/>
    <w:rsid w:val="00964A28"/>
    <w:rsid w:val="009678BE"/>
    <w:rsid w:val="00967E2E"/>
    <w:rsid w:val="009748F4"/>
    <w:rsid w:val="0097595B"/>
    <w:rsid w:val="00980B33"/>
    <w:rsid w:val="00982F47"/>
    <w:rsid w:val="0098300B"/>
    <w:rsid w:val="00985B59"/>
    <w:rsid w:val="00986323"/>
    <w:rsid w:val="009922F1"/>
    <w:rsid w:val="009A1557"/>
    <w:rsid w:val="009A2476"/>
    <w:rsid w:val="009A3A30"/>
    <w:rsid w:val="009A6416"/>
    <w:rsid w:val="009A786F"/>
    <w:rsid w:val="009B0341"/>
    <w:rsid w:val="009B045A"/>
    <w:rsid w:val="009B33EF"/>
    <w:rsid w:val="009B5677"/>
    <w:rsid w:val="009B61F2"/>
    <w:rsid w:val="009B638A"/>
    <w:rsid w:val="009B6A0C"/>
    <w:rsid w:val="009B6D60"/>
    <w:rsid w:val="009B6FCA"/>
    <w:rsid w:val="009B76DC"/>
    <w:rsid w:val="009C0B36"/>
    <w:rsid w:val="009C0B85"/>
    <w:rsid w:val="009D15EC"/>
    <w:rsid w:val="009D1600"/>
    <w:rsid w:val="009D16A9"/>
    <w:rsid w:val="009D2BCA"/>
    <w:rsid w:val="009E0F8C"/>
    <w:rsid w:val="009E51B3"/>
    <w:rsid w:val="009E59DE"/>
    <w:rsid w:val="009F1FD4"/>
    <w:rsid w:val="009F259F"/>
    <w:rsid w:val="009F2C42"/>
    <w:rsid w:val="009F4F1F"/>
    <w:rsid w:val="009F558E"/>
    <w:rsid w:val="009F6138"/>
    <w:rsid w:val="009F78ED"/>
    <w:rsid w:val="00A00165"/>
    <w:rsid w:val="00A00C39"/>
    <w:rsid w:val="00A0298F"/>
    <w:rsid w:val="00A04F11"/>
    <w:rsid w:val="00A10654"/>
    <w:rsid w:val="00A12336"/>
    <w:rsid w:val="00A15245"/>
    <w:rsid w:val="00A2210E"/>
    <w:rsid w:val="00A2418A"/>
    <w:rsid w:val="00A2738B"/>
    <w:rsid w:val="00A314D0"/>
    <w:rsid w:val="00A37ED0"/>
    <w:rsid w:val="00A42ADC"/>
    <w:rsid w:val="00A4395F"/>
    <w:rsid w:val="00A43A6F"/>
    <w:rsid w:val="00A53C0E"/>
    <w:rsid w:val="00A53D85"/>
    <w:rsid w:val="00A54FED"/>
    <w:rsid w:val="00A56B65"/>
    <w:rsid w:val="00A56BFE"/>
    <w:rsid w:val="00A60200"/>
    <w:rsid w:val="00A637F5"/>
    <w:rsid w:val="00A66590"/>
    <w:rsid w:val="00A73130"/>
    <w:rsid w:val="00A76298"/>
    <w:rsid w:val="00A8014B"/>
    <w:rsid w:val="00A83444"/>
    <w:rsid w:val="00A906EC"/>
    <w:rsid w:val="00A94CCC"/>
    <w:rsid w:val="00A96250"/>
    <w:rsid w:val="00AA16CC"/>
    <w:rsid w:val="00AA6B1C"/>
    <w:rsid w:val="00AB2561"/>
    <w:rsid w:val="00AB7ABF"/>
    <w:rsid w:val="00AC1A60"/>
    <w:rsid w:val="00AC397C"/>
    <w:rsid w:val="00AC41EE"/>
    <w:rsid w:val="00AD016C"/>
    <w:rsid w:val="00AD0AEC"/>
    <w:rsid w:val="00AD39BA"/>
    <w:rsid w:val="00AD3AB0"/>
    <w:rsid w:val="00AD7409"/>
    <w:rsid w:val="00AE0330"/>
    <w:rsid w:val="00AE05EB"/>
    <w:rsid w:val="00AE0D72"/>
    <w:rsid w:val="00AE2E21"/>
    <w:rsid w:val="00AE75EC"/>
    <w:rsid w:val="00AF1296"/>
    <w:rsid w:val="00AF1F48"/>
    <w:rsid w:val="00B01668"/>
    <w:rsid w:val="00B03401"/>
    <w:rsid w:val="00B10891"/>
    <w:rsid w:val="00B1144F"/>
    <w:rsid w:val="00B11E87"/>
    <w:rsid w:val="00B14D94"/>
    <w:rsid w:val="00B1643E"/>
    <w:rsid w:val="00B16582"/>
    <w:rsid w:val="00B2067F"/>
    <w:rsid w:val="00B20D55"/>
    <w:rsid w:val="00B22A35"/>
    <w:rsid w:val="00B268FF"/>
    <w:rsid w:val="00B30F87"/>
    <w:rsid w:val="00B36B09"/>
    <w:rsid w:val="00B37E4C"/>
    <w:rsid w:val="00B51F2C"/>
    <w:rsid w:val="00B62990"/>
    <w:rsid w:val="00B629DF"/>
    <w:rsid w:val="00B65EC7"/>
    <w:rsid w:val="00B71212"/>
    <w:rsid w:val="00B764B1"/>
    <w:rsid w:val="00B76619"/>
    <w:rsid w:val="00B768C0"/>
    <w:rsid w:val="00B801C0"/>
    <w:rsid w:val="00B83037"/>
    <w:rsid w:val="00B832FF"/>
    <w:rsid w:val="00B87189"/>
    <w:rsid w:val="00B878CB"/>
    <w:rsid w:val="00B91F91"/>
    <w:rsid w:val="00B92AE0"/>
    <w:rsid w:val="00B92AF7"/>
    <w:rsid w:val="00B92FAA"/>
    <w:rsid w:val="00B93145"/>
    <w:rsid w:val="00B96DA0"/>
    <w:rsid w:val="00B97D7B"/>
    <w:rsid w:val="00BA04B2"/>
    <w:rsid w:val="00BA1193"/>
    <w:rsid w:val="00BA2FA4"/>
    <w:rsid w:val="00BA4AAB"/>
    <w:rsid w:val="00BA4C7F"/>
    <w:rsid w:val="00BB2A0A"/>
    <w:rsid w:val="00BB2B23"/>
    <w:rsid w:val="00BB4905"/>
    <w:rsid w:val="00BB5821"/>
    <w:rsid w:val="00BB7203"/>
    <w:rsid w:val="00BB7D5B"/>
    <w:rsid w:val="00BC3467"/>
    <w:rsid w:val="00BC432D"/>
    <w:rsid w:val="00BC7E0B"/>
    <w:rsid w:val="00BD034B"/>
    <w:rsid w:val="00BD2346"/>
    <w:rsid w:val="00BD36EF"/>
    <w:rsid w:val="00BD45A0"/>
    <w:rsid w:val="00BD4D3F"/>
    <w:rsid w:val="00BD5F72"/>
    <w:rsid w:val="00BE113E"/>
    <w:rsid w:val="00BE303E"/>
    <w:rsid w:val="00BE4022"/>
    <w:rsid w:val="00BE64CB"/>
    <w:rsid w:val="00BF098D"/>
    <w:rsid w:val="00BF102B"/>
    <w:rsid w:val="00BF1F77"/>
    <w:rsid w:val="00BF6B5E"/>
    <w:rsid w:val="00BF7C31"/>
    <w:rsid w:val="00C033BF"/>
    <w:rsid w:val="00C06721"/>
    <w:rsid w:val="00C0685A"/>
    <w:rsid w:val="00C10466"/>
    <w:rsid w:val="00C108D8"/>
    <w:rsid w:val="00C12301"/>
    <w:rsid w:val="00C14B3E"/>
    <w:rsid w:val="00C20902"/>
    <w:rsid w:val="00C21257"/>
    <w:rsid w:val="00C2253D"/>
    <w:rsid w:val="00C2561D"/>
    <w:rsid w:val="00C25A48"/>
    <w:rsid w:val="00C26B08"/>
    <w:rsid w:val="00C31A3E"/>
    <w:rsid w:val="00C34597"/>
    <w:rsid w:val="00C348C3"/>
    <w:rsid w:val="00C369CC"/>
    <w:rsid w:val="00C40640"/>
    <w:rsid w:val="00C45DD0"/>
    <w:rsid w:val="00C46924"/>
    <w:rsid w:val="00C50876"/>
    <w:rsid w:val="00C509BF"/>
    <w:rsid w:val="00C516D6"/>
    <w:rsid w:val="00C5291B"/>
    <w:rsid w:val="00C530FF"/>
    <w:rsid w:val="00C55090"/>
    <w:rsid w:val="00C5584D"/>
    <w:rsid w:val="00C624A3"/>
    <w:rsid w:val="00C632C4"/>
    <w:rsid w:val="00C64160"/>
    <w:rsid w:val="00C645B5"/>
    <w:rsid w:val="00C70C97"/>
    <w:rsid w:val="00C718B2"/>
    <w:rsid w:val="00C71A89"/>
    <w:rsid w:val="00C73FF3"/>
    <w:rsid w:val="00C77BEB"/>
    <w:rsid w:val="00C80608"/>
    <w:rsid w:val="00C8186E"/>
    <w:rsid w:val="00C824BE"/>
    <w:rsid w:val="00C8278B"/>
    <w:rsid w:val="00C82DB9"/>
    <w:rsid w:val="00C8560D"/>
    <w:rsid w:val="00C858B3"/>
    <w:rsid w:val="00C863D4"/>
    <w:rsid w:val="00C867F3"/>
    <w:rsid w:val="00C90649"/>
    <w:rsid w:val="00C91B3F"/>
    <w:rsid w:val="00C92341"/>
    <w:rsid w:val="00C94D83"/>
    <w:rsid w:val="00C956C3"/>
    <w:rsid w:val="00CA093E"/>
    <w:rsid w:val="00CA1948"/>
    <w:rsid w:val="00CA62DA"/>
    <w:rsid w:val="00CA642B"/>
    <w:rsid w:val="00CB4AC7"/>
    <w:rsid w:val="00CC5547"/>
    <w:rsid w:val="00CC76D6"/>
    <w:rsid w:val="00CC7F58"/>
    <w:rsid w:val="00CD002E"/>
    <w:rsid w:val="00CD0CB1"/>
    <w:rsid w:val="00CD1888"/>
    <w:rsid w:val="00CD4528"/>
    <w:rsid w:val="00CD59B5"/>
    <w:rsid w:val="00CD60C8"/>
    <w:rsid w:val="00CE1BE9"/>
    <w:rsid w:val="00CE405F"/>
    <w:rsid w:val="00CE463C"/>
    <w:rsid w:val="00CE525E"/>
    <w:rsid w:val="00CF0E1F"/>
    <w:rsid w:val="00CF398F"/>
    <w:rsid w:val="00CF4EFA"/>
    <w:rsid w:val="00CF696D"/>
    <w:rsid w:val="00D008A8"/>
    <w:rsid w:val="00D00DA1"/>
    <w:rsid w:val="00D012D0"/>
    <w:rsid w:val="00D036DD"/>
    <w:rsid w:val="00D077E3"/>
    <w:rsid w:val="00D07FA5"/>
    <w:rsid w:val="00D1193A"/>
    <w:rsid w:val="00D12991"/>
    <w:rsid w:val="00D15C30"/>
    <w:rsid w:val="00D16496"/>
    <w:rsid w:val="00D20381"/>
    <w:rsid w:val="00D22F72"/>
    <w:rsid w:val="00D2327D"/>
    <w:rsid w:val="00D279F0"/>
    <w:rsid w:val="00D27EAD"/>
    <w:rsid w:val="00D30592"/>
    <w:rsid w:val="00D31255"/>
    <w:rsid w:val="00D32405"/>
    <w:rsid w:val="00D3381F"/>
    <w:rsid w:val="00D35C40"/>
    <w:rsid w:val="00D360CE"/>
    <w:rsid w:val="00D3676C"/>
    <w:rsid w:val="00D36F94"/>
    <w:rsid w:val="00D4123F"/>
    <w:rsid w:val="00D44993"/>
    <w:rsid w:val="00D44FA7"/>
    <w:rsid w:val="00D44FDE"/>
    <w:rsid w:val="00D470BC"/>
    <w:rsid w:val="00D51327"/>
    <w:rsid w:val="00D531B0"/>
    <w:rsid w:val="00D55E5C"/>
    <w:rsid w:val="00D606E4"/>
    <w:rsid w:val="00D630A9"/>
    <w:rsid w:val="00D66579"/>
    <w:rsid w:val="00D735AE"/>
    <w:rsid w:val="00D7369B"/>
    <w:rsid w:val="00D752A9"/>
    <w:rsid w:val="00D765B3"/>
    <w:rsid w:val="00D811A6"/>
    <w:rsid w:val="00D8153B"/>
    <w:rsid w:val="00D818FE"/>
    <w:rsid w:val="00D84454"/>
    <w:rsid w:val="00D86167"/>
    <w:rsid w:val="00D86190"/>
    <w:rsid w:val="00D87D4C"/>
    <w:rsid w:val="00D9418F"/>
    <w:rsid w:val="00D97DC1"/>
    <w:rsid w:val="00DA0ACA"/>
    <w:rsid w:val="00DA14CC"/>
    <w:rsid w:val="00DA645F"/>
    <w:rsid w:val="00DB02BB"/>
    <w:rsid w:val="00DB16FA"/>
    <w:rsid w:val="00DB1B3D"/>
    <w:rsid w:val="00DB6065"/>
    <w:rsid w:val="00DB6AA7"/>
    <w:rsid w:val="00DC0C3C"/>
    <w:rsid w:val="00DC4798"/>
    <w:rsid w:val="00DD0A5A"/>
    <w:rsid w:val="00DD2AA5"/>
    <w:rsid w:val="00DD325B"/>
    <w:rsid w:val="00DD39DA"/>
    <w:rsid w:val="00DD7DDE"/>
    <w:rsid w:val="00DE003A"/>
    <w:rsid w:val="00DE0497"/>
    <w:rsid w:val="00DE470A"/>
    <w:rsid w:val="00DE4C1F"/>
    <w:rsid w:val="00DE67C9"/>
    <w:rsid w:val="00DF2131"/>
    <w:rsid w:val="00DF21B3"/>
    <w:rsid w:val="00DF5B1D"/>
    <w:rsid w:val="00E00134"/>
    <w:rsid w:val="00E02113"/>
    <w:rsid w:val="00E05306"/>
    <w:rsid w:val="00E102DD"/>
    <w:rsid w:val="00E1102B"/>
    <w:rsid w:val="00E1264C"/>
    <w:rsid w:val="00E1360A"/>
    <w:rsid w:val="00E14435"/>
    <w:rsid w:val="00E14F06"/>
    <w:rsid w:val="00E2194E"/>
    <w:rsid w:val="00E222DA"/>
    <w:rsid w:val="00E232EF"/>
    <w:rsid w:val="00E245B2"/>
    <w:rsid w:val="00E25F9C"/>
    <w:rsid w:val="00E3350F"/>
    <w:rsid w:val="00E34B18"/>
    <w:rsid w:val="00E34B70"/>
    <w:rsid w:val="00E37F69"/>
    <w:rsid w:val="00E400B0"/>
    <w:rsid w:val="00E40233"/>
    <w:rsid w:val="00E40516"/>
    <w:rsid w:val="00E40FBC"/>
    <w:rsid w:val="00E42EEE"/>
    <w:rsid w:val="00E438F0"/>
    <w:rsid w:val="00E46D9A"/>
    <w:rsid w:val="00E50AAD"/>
    <w:rsid w:val="00E52A63"/>
    <w:rsid w:val="00E536CF"/>
    <w:rsid w:val="00E55A41"/>
    <w:rsid w:val="00E56CA7"/>
    <w:rsid w:val="00E57C1B"/>
    <w:rsid w:val="00E60ACD"/>
    <w:rsid w:val="00E62A3D"/>
    <w:rsid w:val="00E62B24"/>
    <w:rsid w:val="00E666DE"/>
    <w:rsid w:val="00E66FF7"/>
    <w:rsid w:val="00E70D07"/>
    <w:rsid w:val="00E73688"/>
    <w:rsid w:val="00E73C30"/>
    <w:rsid w:val="00E7451D"/>
    <w:rsid w:val="00E755EA"/>
    <w:rsid w:val="00E774CD"/>
    <w:rsid w:val="00E8057E"/>
    <w:rsid w:val="00E87418"/>
    <w:rsid w:val="00E90C96"/>
    <w:rsid w:val="00E9110D"/>
    <w:rsid w:val="00E914A9"/>
    <w:rsid w:val="00E91F41"/>
    <w:rsid w:val="00E922EB"/>
    <w:rsid w:val="00E92FCA"/>
    <w:rsid w:val="00E95A4E"/>
    <w:rsid w:val="00E96A34"/>
    <w:rsid w:val="00E97B24"/>
    <w:rsid w:val="00EA04C6"/>
    <w:rsid w:val="00EB4C98"/>
    <w:rsid w:val="00EB4DA2"/>
    <w:rsid w:val="00EB4FD2"/>
    <w:rsid w:val="00EB536C"/>
    <w:rsid w:val="00EB6105"/>
    <w:rsid w:val="00EB674B"/>
    <w:rsid w:val="00EC02C4"/>
    <w:rsid w:val="00EC17C6"/>
    <w:rsid w:val="00EC35AE"/>
    <w:rsid w:val="00ED1574"/>
    <w:rsid w:val="00ED1C6D"/>
    <w:rsid w:val="00ED35B9"/>
    <w:rsid w:val="00ED61A2"/>
    <w:rsid w:val="00ED76A8"/>
    <w:rsid w:val="00EE0981"/>
    <w:rsid w:val="00EE665D"/>
    <w:rsid w:val="00EF1547"/>
    <w:rsid w:val="00F007E3"/>
    <w:rsid w:val="00F020D4"/>
    <w:rsid w:val="00F05317"/>
    <w:rsid w:val="00F06755"/>
    <w:rsid w:val="00F07470"/>
    <w:rsid w:val="00F12BCA"/>
    <w:rsid w:val="00F14AC8"/>
    <w:rsid w:val="00F15491"/>
    <w:rsid w:val="00F16C6A"/>
    <w:rsid w:val="00F1768D"/>
    <w:rsid w:val="00F21940"/>
    <w:rsid w:val="00F242A5"/>
    <w:rsid w:val="00F24B66"/>
    <w:rsid w:val="00F333EE"/>
    <w:rsid w:val="00F3529F"/>
    <w:rsid w:val="00F374CA"/>
    <w:rsid w:val="00F41CFF"/>
    <w:rsid w:val="00F43C25"/>
    <w:rsid w:val="00F43D0E"/>
    <w:rsid w:val="00F45BB0"/>
    <w:rsid w:val="00F46C41"/>
    <w:rsid w:val="00F5091D"/>
    <w:rsid w:val="00F5191F"/>
    <w:rsid w:val="00F536BD"/>
    <w:rsid w:val="00F56C25"/>
    <w:rsid w:val="00F6153B"/>
    <w:rsid w:val="00F618D0"/>
    <w:rsid w:val="00F632F9"/>
    <w:rsid w:val="00F635CD"/>
    <w:rsid w:val="00F65F47"/>
    <w:rsid w:val="00F66150"/>
    <w:rsid w:val="00F727B4"/>
    <w:rsid w:val="00F73130"/>
    <w:rsid w:val="00F806B2"/>
    <w:rsid w:val="00F80B93"/>
    <w:rsid w:val="00F83062"/>
    <w:rsid w:val="00F832E8"/>
    <w:rsid w:val="00F833BC"/>
    <w:rsid w:val="00F8502A"/>
    <w:rsid w:val="00F8549D"/>
    <w:rsid w:val="00F877AE"/>
    <w:rsid w:val="00F94CF8"/>
    <w:rsid w:val="00F971C1"/>
    <w:rsid w:val="00FA1573"/>
    <w:rsid w:val="00FA24C9"/>
    <w:rsid w:val="00FA3D6F"/>
    <w:rsid w:val="00FA4220"/>
    <w:rsid w:val="00FA583F"/>
    <w:rsid w:val="00FA69A1"/>
    <w:rsid w:val="00FB245C"/>
    <w:rsid w:val="00FB3013"/>
    <w:rsid w:val="00FC38F8"/>
    <w:rsid w:val="00FC6EA5"/>
    <w:rsid w:val="00FD347C"/>
    <w:rsid w:val="00FD5418"/>
    <w:rsid w:val="00FD563B"/>
    <w:rsid w:val="00FD72A4"/>
    <w:rsid w:val="00FE0DD3"/>
    <w:rsid w:val="00FE3467"/>
    <w:rsid w:val="00FE4C3F"/>
    <w:rsid w:val="00FE525D"/>
    <w:rsid w:val="00FE6CF9"/>
    <w:rsid w:val="00FE6E44"/>
    <w:rsid w:val="00FF1F41"/>
    <w:rsid w:val="00FF2B1C"/>
    <w:rsid w:val="00FF35C1"/>
    <w:rsid w:val="00FF4451"/>
    <w:rsid w:val="00FF68B7"/>
    <w:rsid w:val="00FF750C"/>
    <w:rsid w:val="0181901C"/>
    <w:rsid w:val="01DC873F"/>
    <w:rsid w:val="02D02D09"/>
    <w:rsid w:val="0660DB0E"/>
    <w:rsid w:val="092C815B"/>
    <w:rsid w:val="0B3F1A18"/>
    <w:rsid w:val="0C7294BE"/>
    <w:rsid w:val="0C9E35AD"/>
    <w:rsid w:val="0F8A8808"/>
    <w:rsid w:val="1222BD68"/>
    <w:rsid w:val="12985334"/>
    <w:rsid w:val="150DF41F"/>
    <w:rsid w:val="17592152"/>
    <w:rsid w:val="17AC9091"/>
    <w:rsid w:val="1859E4F4"/>
    <w:rsid w:val="1A7EF3F8"/>
    <w:rsid w:val="1AC5477A"/>
    <w:rsid w:val="1B7A9008"/>
    <w:rsid w:val="1C68E15B"/>
    <w:rsid w:val="2120AE3B"/>
    <w:rsid w:val="25E90D1D"/>
    <w:rsid w:val="289B239E"/>
    <w:rsid w:val="2AE15F91"/>
    <w:rsid w:val="2B012EAE"/>
    <w:rsid w:val="2E65794A"/>
    <w:rsid w:val="2EC3EC3E"/>
    <w:rsid w:val="2EF599D1"/>
    <w:rsid w:val="3125E903"/>
    <w:rsid w:val="31816739"/>
    <w:rsid w:val="34FCC6F9"/>
    <w:rsid w:val="3501A5BC"/>
    <w:rsid w:val="372D152D"/>
    <w:rsid w:val="38E9039C"/>
    <w:rsid w:val="3BD41CD9"/>
    <w:rsid w:val="4243AA02"/>
    <w:rsid w:val="428991A2"/>
    <w:rsid w:val="4357E3B3"/>
    <w:rsid w:val="43A035A7"/>
    <w:rsid w:val="4E337598"/>
    <w:rsid w:val="501773A0"/>
    <w:rsid w:val="508C6CB4"/>
    <w:rsid w:val="53613389"/>
    <w:rsid w:val="560FD8CB"/>
    <w:rsid w:val="566570F0"/>
    <w:rsid w:val="56B6BB22"/>
    <w:rsid w:val="5992F2D0"/>
    <w:rsid w:val="5A08EBD8"/>
    <w:rsid w:val="5B471C28"/>
    <w:rsid w:val="5CBF2175"/>
    <w:rsid w:val="5CC4C64F"/>
    <w:rsid w:val="5D151293"/>
    <w:rsid w:val="5DB94C9F"/>
    <w:rsid w:val="5FB07FB6"/>
    <w:rsid w:val="61B65DAC"/>
    <w:rsid w:val="6325B7D9"/>
    <w:rsid w:val="6759C90B"/>
    <w:rsid w:val="6902C3CD"/>
    <w:rsid w:val="6C0D99AF"/>
    <w:rsid w:val="6D361646"/>
    <w:rsid w:val="725B2F94"/>
    <w:rsid w:val="74ED520C"/>
    <w:rsid w:val="757323B3"/>
    <w:rsid w:val="7C4DFE52"/>
    <w:rsid w:val="7DC7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48E4278"/>
  <w15:docId w15:val="{CCB75C79-45FA-4CD1-A487-C9BCDFD5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hr-HR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4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4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4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symbolCharCharCharChar">
    <w:name w:val="Footnote symbol Char Char Char Char"/>
    <w:aliases w:val="Voetnootverwijzing Char Char Char Char,Times 10 Point Char Char Char Char,Exposant 3 Point Char Char Char Char,Footnote Reference Superscript Char Char Char Cha"/>
    <w:basedOn w:val="Normal"/>
    <w:link w:val="FootnoteReference"/>
    <w:uiPriority w:val="99"/>
    <w:rsid w:val="007A4B6A"/>
    <w:pPr>
      <w:spacing w:before="0" w:after="160" w:line="240" w:lineRule="exact"/>
      <w:jc w:val="left"/>
    </w:pPr>
    <w:rPr>
      <w:rFonts w:asciiTheme="minorHAnsi" w:hAnsiTheme="minorHAnsi" w:cstheme="minorBidi"/>
      <w:sz w:val="2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2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79D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79D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92279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semiHidden/>
    <w:unhideWhenUsed/>
    <w:rsid w:val="002176C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76C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76C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76CB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B8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070194"/>
  </w:style>
  <w:style w:type="paragraph" w:customStyle="1" w:styleId="Nomal">
    <w:name w:val="Nomal"/>
    <w:basedOn w:val="Point0number"/>
    <w:rsid w:val="00C55090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111F5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4D2AA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D2AA3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6C0287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6C0287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CD"/>
    <w:rPr>
      <w:rFonts w:ascii="Segoe UI" w:hAnsi="Segoe UI" w:cs="Segoe UI"/>
      <w:sz w:val="18"/>
      <w:szCs w:val="18"/>
      <w:lang w:val="hr-HR"/>
    </w:rPr>
  </w:style>
  <w:style w:type="character" w:customStyle="1" w:styleId="UnresolvedMention3">
    <w:name w:val="Unresolved Mention3"/>
    <w:basedOn w:val="DefaultParagraphFont"/>
    <w:uiPriority w:val="99"/>
    <w:unhideWhenUsed/>
    <w:rsid w:val="00AA6B1C"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AA6B1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D324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32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7724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57724"/>
    <w:rPr>
      <w:rFonts w:ascii="Times New Roman" w:hAnsi="Times New Roman" w:cs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57724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057724"/>
    <w:rPr>
      <w:rFonts w:ascii="Times New Roman" w:hAnsi="Times New Roman" w:cs="Times New Roman"/>
      <w:sz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hr-HR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057724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057724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link w:val="FootnotesymbolCharCharCharChar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0577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057724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0577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7"/>
      </w:numPr>
    </w:pPr>
  </w:style>
  <w:style w:type="paragraph" w:customStyle="1" w:styleId="Tiret1">
    <w:name w:val="Tiret 1"/>
    <w:basedOn w:val="Point1"/>
    <w:pPr>
      <w:numPr>
        <w:numId w:val="8"/>
      </w:numPr>
    </w:pPr>
  </w:style>
  <w:style w:type="paragraph" w:customStyle="1" w:styleId="Tiret2">
    <w:name w:val="Tiret 2"/>
    <w:basedOn w:val="Point2"/>
    <w:pPr>
      <w:numPr>
        <w:numId w:val="9"/>
      </w:numPr>
    </w:pPr>
  </w:style>
  <w:style w:type="paragraph" w:customStyle="1" w:styleId="Tiret3">
    <w:name w:val="Tiret 3"/>
    <w:basedOn w:val="Point3"/>
    <w:pPr>
      <w:numPr>
        <w:numId w:val="10"/>
      </w:numPr>
    </w:pPr>
  </w:style>
  <w:style w:type="paragraph" w:customStyle="1" w:styleId="Tiret4">
    <w:name w:val="Tiret 4"/>
    <w:basedOn w:val="Point4"/>
    <w:pPr>
      <w:numPr>
        <w:numId w:val="11"/>
      </w:numPr>
    </w:pPr>
  </w:style>
  <w:style w:type="paragraph" w:customStyle="1" w:styleId="Tiret5">
    <w:name w:val="Tiret 5"/>
    <w:basedOn w:val="Point5"/>
    <w:pPr>
      <w:numPr>
        <w:numId w:val="1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3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3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3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5"/>
      </w:numPr>
    </w:pPr>
  </w:style>
  <w:style w:type="paragraph" w:customStyle="1" w:styleId="Point1number">
    <w:name w:val="Point 1 (number)"/>
    <w:basedOn w:val="Normal"/>
    <w:pPr>
      <w:numPr>
        <w:ilvl w:val="2"/>
        <w:numId w:val="15"/>
      </w:numPr>
    </w:pPr>
  </w:style>
  <w:style w:type="paragraph" w:customStyle="1" w:styleId="Point2number">
    <w:name w:val="Point 2 (number)"/>
    <w:basedOn w:val="Normal"/>
    <w:pPr>
      <w:numPr>
        <w:ilvl w:val="4"/>
        <w:numId w:val="15"/>
      </w:numPr>
    </w:pPr>
  </w:style>
  <w:style w:type="paragraph" w:customStyle="1" w:styleId="Point3number">
    <w:name w:val="Point 3 (number)"/>
    <w:basedOn w:val="Normal"/>
    <w:pPr>
      <w:numPr>
        <w:ilvl w:val="6"/>
        <w:numId w:val="15"/>
      </w:numPr>
    </w:pPr>
  </w:style>
  <w:style w:type="paragraph" w:customStyle="1" w:styleId="Point0letter">
    <w:name w:val="Point 0 (letter)"/>
    <w:basedOn w:val="Normal"/>
    <w:pPr>
      <w:numPr>
        <w:ilvl w:val="1"/>
        <w:numId w:val="15"/>
      </w:numPr>
    </w:pPr>
  </w:style>
  <w:style w:type="paragraph" w:customStyle="1" w:styleId="Point1letter">
    <w:name w:val="Point 1 (letter)"/>
    <w:basedOn w:val="Normal"/>
    <w:pPr>
      <w:numPr>
        <w:ilvl w:val="3"/>
        <w:numId w:val="15"/>
      </w:numPr>
    </w:pPr>
  </w:style>
  <w:style w:type="paragraph" w:customStyle="1" w:styleId="Point2letter">
    <w:name w:val="Point 2 (letter)"/>
    <w:basedOn w:val="Normal"/>
    <w:pPr>
      <w:numPr>
        <w:ilvl w:val="5"/>
        <w:numId w:val="15"/>
      </w:numPr>
    </w:pPr>
  </w:style>
  <w:style w:type="paragraph" w:customStyle="1" w:styleId="Point3letter">
    <w:name w:val="Point 3 (letter)"/>
    <w:basedOn w:val="Normal"/>
    <w:pPr>
      <w:numPr>
        <w:ilvl w:val="7"/>
        <w:numId w:val="15"/>
      </w:numPr>
    </w:pPr>
  </w:style>
  <w:style w:type="paragraph" w:customStyle="1" w:styleId="Point4letter">
    <w:name w:val="Point 4 (letter)"/>
    <w:basedOn w:val="Normal"/>
    <w:pPr>
      <w:numPr>
        <w:ilvl w:val="8"/>
        <w:numId w:val="15"/>
      </w:numPr>
    </w:pPr>
  </w:style>
  <w:style w:type="paragraph" w:customStyle="1" w:styleId="Bullet0">
    <w:name w:val="Bullet 0"/>
    <w:basedOn w:val="Normal"/>
    <w:pPr>
      <w:numPr>
        <w:numId w:val="16"/>
      </w:numPr>
    </w:pPr>
  </w:style>
  <w:style w:type="paragraph" w:customStyle="1" w:styleId="Bullet1">
    <w:name w:val="Bullet 1"/>
    <w:basedOn w:val="Normal"/>
    <w:pPr>
      <w:numPr>
        <w:numId w:val="17"/>
      </w:numPr>
    </w:pPr>
  </w:style>
  <w:style w:type="paragraph" w:customStyle="1" w:styleId="Bullet2">
    <w:name w:val="Bullet 2"/>
    <w:basedOn w:val="Normal"/>
    <w:pPr>
      <w:numPr>
        <w:numId w:val="18"/>
      </w:numPr>
    </w:pPr>
  </w:style>
  <w:style w:type="paragraph" w:customStyle="1" w:styleId="Bullet3">
    <w:name w:val="Bullet 3"/>
    <w:basedOn w:val="Normal"/>
    <w:pPr>
      <w:numPr>
        <w:numId w:val="19"/>
      </w:numPr>
    </w:pPr>
  </w:style>
  <w:style w:type="paragraph" w:customStyle="1" w:styleId="Bullet4">
    <w:name w:val="Bullet 4"/>
    <w:basedOn w:val="Normal"/>
    <w:pPr>
      <w:numPr>
        <w:numId w:val="20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8c89d-4332-4d32-84a3-abf4120a8008">
      <UserInfo>
        <DisplayName>WOOLFSON Charlotte (GROW)</DisplayName>
        <AccountId>68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5" ma:contentTypeDescription="Create a new document." ma:contentTypeScope="" ma:versionID="91b81fdffbaf9f377de5f194477212eb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28d1c81336514fcbe64cb4dc49781d4f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F510-4BED-4A49-B2E4-3FF54B5F6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CD350-90C4-4C18-983D-B00F1EA6F7F7}">
  <ds:schemaRefs>
    <ds:schemaRef ds:uri="http://schemas.microsoft.com/office/2006/metadata/properties"/>
    <ds:schemaRef ds:uri="http://schemas.microsoft.com/office/infopath/2007/PartnerControls"/>
    <ds:schemaRef ds:uri="4af8c89d-4332-4d32-84a3-abf4120a8008"/>
  </ds:schemaRefs>
</ds:datastoreItem>
</file>

<file path=customXml/itemProps3.xml><?xml version="1.0" encoding="utf-8"?>
<ds:datastoreItem xmlns:ds="http://schemas.openxmlformats.org/officeDocument/2006/customXml" ds:itemID="{3E89B29D-464A-4A5F-8AB6-FD231BB7F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5474E6-9CD2-4925-8366-DA6ACF2A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7</TotalTime>
  <Pages>9</Pages>
  <Words>1966</Words>
  <Characters>12133</Characters>
  <Application>Microsoft Office Word</Application>
  <DocSecurity>0</DocSecurity>
  <Lines>282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48</cp:revision>
  <dcterms:created xsi:type="dcterms:W3CDTF">2023-08-31T09:19:00Z</dcterms:created>
  <dcterms:modified xsi:type="dcterms:W3CDTF">2023-09-04T15:12:00Z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MSIP_Label_6bd9ddd1-4d20-43f6-abfa-fc3c07406f94_Enabled">
    <vt:lpwstr>true</vt:lpwstr>
  </property>
  <property fmtid="{D5CDD505-2E9C-101B-9397-08002B2CF9AE}" pid="6" name="MSIP_Label_6bd9ddd1-4d20-43f6-abfa-fc3c07406f94_SetDate">
    <vt:lpwstr>2023-06-05T14:44:39Z</vt:lpwstr>
  </property>
  <property fmtid="{D5CDD505-2E9C-101B-9397-08002B2CF9AE}" pid="7" name="MSIP_Label_6bd9ddd1-4d20-43f6-abfa-fc3c07406f94_Method">
    <vt:lpwstr>Standard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iteId">
    <vt:lpwstr>b24c8b06-522c-46fe-9080-70926f8dddb1</vt:lpwstr>
  </property>
  <property fmtid="{D5CDD505-2E9C-101B-9397-08002B2CF9AE}" pid="10" name="MSIP_Label_6bd9ddd1-4d20-43f6-abfa-fc3c07406f94_ActionId">
    <vt:lpwstr>3946fbb5-62a6-4db2-854f-e0daeca76a38</vt:lpwstr>
  </property>
  <property fmtid="{D5CDD505-2E9C-101B-9397-08002B2CF9AE}" pid="11" name="MSIP_Label_6bd9ddd1-4d20-43f6-abfa-fc3c07406f94_ContentBits">
    <vt:lpwstr>0</vt:lpwstr>
  </property>
  <property fmtid="{D5CDD505-2E9C-101B-9397-08002B2CF9AE}" pid="12" name="Created using">
    <vt:lpwstr>LW 9.0, Build 20230317</vt:lpwstr>
  </property>
  <property fmtid="{D5CDD505-2E9C-101B-9397-08002B2CF9AE}" pid="13" name="Part">
    <vt:lpwstr>1</vt:lpwstr>
  </property>
  <property fmtid="{D5CDD505-2E9C-101B-9397-08002B2CF9AE}" pid="14" name="Total parts">
    <vt:lpwstr>1</vt:lpwstr>
  </property>
  <property fmtid="{D5CDD505-2E9C-101B-9397-08002B2CF9AE}" pid="15" name="Level of sensitivity">
    <vt:lpwstr>Standard treatment</vt:lpwstr>
  </property>
  <property fmtid="{D5CDD505-2E9C-101B-9397-08002B2CF9AE}" pid="16" name="LWTemplateID">
    <vt:lpwstr>SJ-023</vt:lpwstr>
  </property>
  <property fmtid="{D5CDD505-2E9C-101B-9397-08002B2CF9AE}" pid="17" name="ContentTypeId">
    <vt:lpwstr>0x0101007697B7BFF882854783B2AFEB81A9CCE9</vt:lpwstr>
  </property>
  <property fmtid="{D5CDD505-2E9C-101B-9397-08002B2CF9AE}" pid="18" name="DQCStatus">
    <vt:lpwstr>Green (DQC version 03)</vt:lpwstr>
  </property>
</Properties>
</file>