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8483" w14:textId="344E93D1" w:rsidR="0026613F" w:rsidRPr="0017456D" w:rsidRDefault="00746EEA" w:rsidP="00746EEA">
      <w:pPr>
        <w:pStyle w:val="Pagedecouverture"/>
        <w:rPr>
          <w:noProof/>
        </w:rPr>
      </w:pPr>
      <w:bookmarkStart w:id="0" w:name="LW_BM_COVERPAGE"/>
      <w:r>
        <w:rPr>
          <w:noProof/>
        </w:rPr>
        <w:pict w14:anchorId="3EC39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047CD12-99A4-4407-93B5-15D5802185A8" style="width:455.25pt;height:399pt">
            <v:imagedata r:id="rId11" o:title=""/>
          </v:shape>
        </w:pict>
      </w:r>
    </w:p>
    <w:bookmarkEnd w:id="0"/>
    <w:p w14:paraId="175A743A" w14:textId="77777777" w:rsidR="0026613F" w:rsidRPr="0017456D" w:rsidRDefault="0026613F" w:rsidP="0026613F">
      <w:pPr>
        <w:rPr>
          <w:noProof/>
        </w:rPr>
        <w:sectPr w:rsidR="0026613F" w:rsidRPr="0017456D" w:rsidSect="00746EE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CB16166" w14:textId="502062A7" w:rsidR="009C2F7A" w:rsidRPr="0017456D" w:rsidRDefault="009C2F7A" w:rsidP="0027151F">
      <w:pPr>
        <w:jc w:val="both"/>
        <w:rPr>
          <w:rFonts w:ascii="Times New Roman" w:hAnsi="Times New Roman" w:cs="Times New Roman"/>
          <w:b/>
          <w:noProof/>
          <w:sz w:val="24"/>
        </w:rPr>
      </w:pPr>
      <w:bookmarkStart w:id="1" w:name="_GoBack"/>
      <w:bookmarkEnd w:id="1"/>
      <w:r>
        <w:rPr>
          <w:rFonts w:ascii="Times New Roman" w:hAnsi="Times New Roman"/>
          <w:b/>
          <w:noProof/>
          <w:sz w:val="24"/>
        </w:rPr>
        <w:lastRenderedPageBreak/>
        <w:t>Behov av åtgärder</w:t>
      </w:r>
    </w:p>
    <w:p w14:paraId="01102874" w14:textId="293CA0B4" w:rsidR="00E40864" w:rsidRPr="0017456D" w:rsidRDefault="00EB0475" w:rsidP="00E713BD">
      <w:pPr>
        <w:jc w:val="both"/>
        <w:rPr>
          <w:rFonts w:ascii="Times New Roman" w:hAnsi="Times New Roman" w:cs="Times New Roman"/>
          <w:noProof/>
          <w:sz w:val="24"/>
        </w:rPr>
      </w:pPr>
      <w:r>
        <w:rPr>
          <w:rFonts w:ascii="Times New Roman" w:hAnsi="Times New Roman"/>
          <w:noProof/>
          <w:sz w:val="24"/>
        </w:rPr>
        <w:t>Hållbara investeringar och investeringar som beaktar miljömässiga, samhällsrelaterade och bolagsstyrningsrelaterade risker (ESG-risker) har blivit en allt viktigare del av traditionell finansiering, där vissa aktörer uppskattar det globala värdet till 40 biljoner amerikanska dollar. EU har infört byggstenarna för en ram för hållbar finansiering. Berörda parter har emellertid påpekat att det finns återstående marknadsbrister och luckor i lagstiftningen som skulle kunna begränsa utvecklingen och integreringen av EU:s marknad för hållbar finansiering. Många farhågor har väckts när det gäller hur marknaden för ESG-betyg fungerar.</w:t>
      </w:r>
    </w:p>
    <w:p w14:paraId="2A2F1356" w14:textId="30E1094F" w:rsidR="00E713BD" w:rsidRPr="0017456D" w:rsidRDefault="00E40864" w:rsidP="00E713BD">
      <w:pPr>
        <w:jc w:val="both"/>
        <w:rPr>
          <w:rFonts w:ascii="Times New Roman" w:hAnsi="Times New Roman" w:cs="Times New Roman"/>
          <w:noProof/>
          <w:sz w:val="24"/>
        </w:rPr>
      </w:pPr>
      <w:r>
        <w:rPr>
          <w:rFonts w:ascii="Times New Roman" w:hAnsi="Times New Roman"/>
          <w:noProof/>
          <w:sz w:val="24"/>
        </w:rPr>
        <w:t>Detta initiativ är en del av den strategi för finansiering av omställningen till en hållbar ekonomi som offentliggjordes i juli 2021. Initiativet följer efter ett arbete som inleddes 2018 med handlingsplanen för finansiering av hållbar tillväxt. Detta är en av de åtgärder som föreslagits av Europeiska kommissionen för att bidra till målen i den europeiska gröna given genom att förbättra flödet av och kvaliteten på den information som investerare, företag och andra aktörer använder som grund för sina beslut. ESG-betyg spelar en allt större roll för en väl fungerande marknad för hållbar finansiering i EU genom att tillhandahålla viktiga källor till bedömningar som investerare och finansinstitut kan använda för sina investeringsstrategier, riskhanteringar och interna analyser. De används även av företag som försöker få en bättre förståelse för de hållbarhetsrelaterade riskerna och möjligheterna i samband med sina egna eller sina partners verksamheter och hur de står sig jämfört med andra företag i dessa frågor.</w:t>
      </w:r>
    </w:p>
    <w:p w14:paraId="66404174" w14:textId="45172FFE" w:rsidR="00D50BF5" w:rsidRPr="0017456D" w:rsidRDefault="0017456D" w:rsidP="001879F4">
      <w:pPr>
        <w:jc w:val="both"/>
        <w:rPr>
          <w:rFonts w:ascii="Times New Roman" w:hAnsi="Times New Roman" w:cs="Times New Roman"/>
          <w:noProof/>
          <w:sz w:val="24"/>
        </w:rPr>
      </w:pPr>
      <w:r>
        <w:rPr>
          <w:rFonts w:ascii="Times New Roman" w:hAnsi="Times New Roman"/>
          <w:noProof/>
          <w:sz w:val="24"/>
        </w:rPr>
        <w:t>Det huvudsakliga syftet med detta initiativ är att åtgärda bristerna på en marknad som inte fungerar som den ska. Användarnas och de klassificerade företagens behov av ESG-betyg uppfylls inte, och förtroendet för betygen håller på att undergrävas. Detta problem har en rad olika aspekter, däribland en brist på öppenhet i metoderna för och målen med ESG-betyg och en brist på klarhet när det gäller hur leverantörer av ESG-betyg arbetar, särskilt hur de hanterar möjliga intressekonflikter.</w:t>
      </w:r>
    </w:p>
    <w:p w14:paraId="15CEE259" w14:textId="0027EA4C" w:rsidR="00D22790" w:rsidRPr="0017456D" w:rsidRDefault="00E713BD" w:rsidP="002B04B6">
      <w:pPr>
        <w:jc w:val="both"/>
        <w:rPr>
          <w:rFonts w:ascii="Times New Roman" w:hAnsi="Times New Roman" w:cs="Times New Roman"/>
          <w:noProof/>
          <w:sz w:val="24"/>
        </w:rPr>
      </w:pPr>
      <w:r>
        <w:rPr>
          <w:rFonts w:ascii="Times New Roman" w:hAnsi="Times New Roman"/>
          <w:noProof/>
          <w:sz w:val="24"/>
        </w:rPr>
        <w:t>Följaktligen fyller ESG-betygen inte sitt syfte, dvs. att ge användare, investerare och klassificerade företag möjlighet att fatta välgrundade beslut om ESG-relaterade risker, konsekvenser och möjligheter. Eftersom investerarnas och företagens beslut är avgörande för omställningen till en klimatneutral och mer hållbar ekonomi är detta ett hinder för marknadens potential att bidra till den europeiska gröna given och uppnåendet av FN:s mål för hållbar utveckling. Samtidigt är det mycket viktigt att öka förtroendet för de verksamheter som leverantörer av ESG-betyg bedriver genom att säkerställa att marknaden fungerar korrekt och att leverantörerna förebygger och hanterar intressekonflikter. Tillförlitliga ESG-betyg av hög kvalitet kommer även att bidra till de finansiella marknadernas integritet och förbättra skyddet för investerare. Den inre marknadens funktion skulle förbättras av ett förtydligande av en företagsverksamhet som spelar en allt viktigare roll för kanaliseringen av finansiering.</w:t>
      </w:r>
    </w:p>
    <w:p w14:paraId="4DF9FD48" w14:textId="46306B13" w:rsidR="00A21C92" w:rsidRPr="0017456D" w:rsidRDefault="0083459D" w:rsidP="002B04B6">
      <w:pPr>
        <w:jc w:val="both"/>
        <w:rPr>
          <w:rFonts w:ascii="Times New Roman" w:hAnsi="Times New Roman" w:cs="Times New Roman"/>
          <w:noProof/>
          <w:sz w:val="24"/>
        </w:rPr>
      </w:pPr>
      <w:r>
        <w:rPr>
          <w:rFonts w:ascii="Times New Roman" w:hAnsi="Times New Roman"/>
          <w:noProof/>
          <w:sz w:val="24"/>
        </w:rPr>
        <w:t>För att uppnå detta har två specifika mål fastställts: i) en ökad klarhet om ESG-betygens mål, kännetecken och metoder, och de datakällor som används för att ta fram dem, och ii) en ökad klarhet om hur leverantörer av ESG-betyg arbetar och förebygger eller mildrar eventuella risker på grund av intressekonflikter inom leverantörerna.</w:t>
      </w:r>
    </w:p>
    <w:p w14:paraId="0C297B44" w14:textId="10B6529C" w:rsidR="00D22790" w:rsidRPr="0017456D" w:rsidRDefault="00986078" w:rsidP="002B04B6">
      <w:pPr>
        <w:jc w:val="both"/>
        <w:rPr>
          <w:rFonts w:ascii="Times New Roman" w:hAnsi="Times New Roman" w:cs="Times New Roman"/>
          <w:noProof/>
          <w:sz w:val="24"/>
        </w:rPr>
      </w:pPr>
      <w:r>
        <w:rPr>
          <w:rFonts w:ascii="Times New Roman" w:hAnsi="Times New Roman"/>
          <w:noProof/>
          <w:sz w:val="24"/>
        </w:rPr>
        <w:t>När hållbara investeringar och ESG-betyg nu börjar få en allt större uppmärksamhet i olika jurisdiktioner över hela världen måste EU börja samarbeta med sina partner utifrån en enhetlig och övergripande europeisk strategi. Samtidigt riktas allt större uppmärksamhet mot ESG-betygens betydelse och den verksamhet som leverantörer av ESG-betyg bedriver. Under 2022 utfärdade Internationella organisationen för värdepapperstillsyn (Iosco) ett antal rekommendationer för leverantörer av ESG-betyg och deras tillsynsmyndigheter. I flera jurisdiktioner inleddes ett arbete med att anta uppförandekoder för leverantörer.</w:t>
      </w:r>
    </w:p>
    <w:p w14:paraId="5C5AC0B8" w14:textId="3B602533" w:rsidR="009C2F7A" w:rsidRPr="0017456D" w:rsidRDefault="009C2F7A" w:rsidP="0027151F">
      <w:pPr>
        <w:jc w:val="both"/>
        <w:rPr>
          <w:rFonts w:ascii="Times New Roman" w:hAnsi="Times New Roman" w:cs="Times New Roman"/>
          <w:b/>
          <w:noProof/>
          <w:sz w:val="24"/>
        </w:rPr>
      </w:pPr>
      <w:r>
        <w:rPr>
          <w:rFonts w:ascii="Times New Roman" w:hAnsi="Times New Roman"/>
          <w:b/>
          <w:noProof/>
          <w:sz w:val="24"/>
        </w:rPr>
        <w:t>Möjliga lösningar</w:t>
      </w:r>
    </w:p>
    <w:p w14:paraId="04DAB918" w14:textId="1930B18E" w:rsidR="00A6683B" w:rsidRPr="0017456D" w:rsidRDefault="004E610A" w:rsidP="0027151F">
      <w:pPr>
        <w:jc w:val="both"/>
        <w:rPr>
          <w:rFonts w:ascii="Times New Roman" w:hAnsi="Times New Roman" w:cs="Times New Roman"/>
          <w:noProof/>
          <w:sz w:val="24"/>
        </w:rPr>
      </w:pPr>
      <w:r>
        <w:rPr>
          <w:rFonts w:ascii="Times New Roman" w:hAnsi="Times New Roman"/>
          <w:noProof/>
          <w:sz w:val="24"/>
        </w:rPr>
        <w:t>Ett antal alternativ, både lagstiftning och andra åtgärder, har analyserats för företag (leverantörer av ESG-betyg) och för produkter (ESG-betyg). När det gäller regleringen av leverantörer av ESG-betyg har tre alternativ övervägts: en uppförandekod för branschen (alternativ 1), registrering och begränsad övervakning (alternativ 2), eller auktorisation, principbaserade organisatoriska krav, transparenskrav och riskbaserad övervakning (alternativ 3). När det gäller omfattningen av transparenskrav för ESG-betyg och deras metoder och mål har två alternativ övervägts: minimikrav för offentliggörande (alternativ 1), eller minimikrav för offentliggörande och mer omfattande krav på offentliggörande till kunder som anlitar leverantörer av ESG-betyg och klassificerade företag (alternativ 2). I analysen tas även hänsyn till alternativens kostnadseffektivitet och samstämmighet.</w:t>
      </w:r>
    </w:p>
    <w:p w14:paraId="1C86C9C6" w14:textId="487912B0" w:rsidR="00D25B03" w:rsidRPr="0017456D" w:rsidRDefault="00D25B03" w:rsidP="0027151F">
      <w:pPr>
        <w:jc w:val="both"/>
        <w:rPr>
          <w:rFonts w:ascii="Times New Roman" w:hAnsi="Times New Roman" w:cs="Times New Roman"/>
          <w:noProof/>
          <w:sz w:val="24"/>
        </w:rPr>
      </w:pPr>
      <w:r>
        <w:rPr>
          <w:rFonts w:ascii="Times New Roman" w:hAnsi="Times New Roman"/>
          <w:noProof/>
          <w:sz w:val="24"/>
        </w:rPr>
        <w:t>När det gäller tillämpningsområdet skulle Ioscos allmänt vedertagna definition av ESG-betyg utgöra grunden för definitionen av ESG-betyg inom ramen för detta initiativ. En definition av ESG-betyg behövs för att fastställa lagstiftningens tillämpningsområde och tillämpningen av dess krav. Detta initiativ skulle vara inriktat på enheter som tillhandahåller ESG-betyg eller ESG-poäng till allmänheten eller till abonnenter, och skulle inte omfatta finansinstitut och andra marknadsaktörer som utarbetar ESG-betyg för sina egna syften.</w:t>
      </w:r>
    </w:p>
    <w:p w14:paraId="2670471F" w14:textId="31F46097" w:rsidR="009C2F7A" w:rsidRPr="0017456D" w:rsidRDefault="009C2F7A" w:rsidP="0027151F">
      <w:pPr>
        <w:jc w:val="both"/>
        <w:rPr>
          <w:rFonts w:ascii="Times New Roman" w:hAnsi="Times New Roman" w:cs="Times New Roman"/>
          <w:b/>
          <w:noProof/>
          <w:sz w:val="24"/>
        </w:rPr>
      </w:pPr>
      <w:r>
        <w:rPr>
          <w:rFonts w:ascii="Times New Roman" w:hAnsi="Times New Roman"/>
          <w:b/>
          <w:noProof/>
          <w:sz w:val="24"/>
        </w:rPr>
        <w:t>De rekommenderade alternativens konsekvenser</w:t>
      </w:r>
    </w:p>
    <w:p w14:paraId="625A8614" w14:textId="782F909C" w:rsidR="00FB149B" w:rsidRPr="0017456D" w:rsidRDefault="00353792" w:rsidP="005026A8">
      <w:pPr>
        <w:jc w:val="both"/>
        <w:rPr>
          <w:rFonts w:ascii="Times New Roman" w:hAnsi="Times New Roman" w:cs="Times New Roman"/>
          <w:noProof/>
          <w:sz w:val="24"/>
        </w:rPr>
      </w:pPr>
      <w:r>
        <w:rPr>
          <w:rFonts w:ascii="Times New Roman" w:hAnsi="Times New Roman"/>
          <w:noProof/>
          <w:sz w:val="24"/>
        </w:rPr>
        <w:t>På grundval av en jämförelse mellan de analyserade alternativens effektivitet, ändamålsenlighet och samstämmighet skulle det rekommenderade alternativet vara en kombination av alternativ 3 för leverantörer av ESG-betyg (auktorisationsregler, organisatoriska krav och tillsyn) och alternativ 2 för ESG-betyg (minimikrav för offentliggörande av betygens metoder och mål till allmänheten och mer omfattande krav på offentliggörande till användare som anlitar leverantörer av ESG-betyg och klassificerade företag). Rekommendationen avser den kombination av alternativ som uppfyller målen med initiativet så effektivt och ändamålsenligt som möjligt.</w:t>
      </w:r>
    </w:p>
    <w:p w14:paraId="4F8B1B79" w14:textId="38F4809F" w:rsidR="00AE1FD0" w:rsidRPr="0017456D" w:rsidRDefault="009301A3" w:rsidP="001B55DC">
      <w:pPr>
        <w:jc w:val="both"/>
        <w:rPr>
          <w:rFonts w:ascii="Times New Roman" w:hAnsi="Times New Roman" w:cs="Times New Roman"/>
          <w:noProof/>
          <w:sz w:val="24"/>
        </w:rPr>
      </w:pPr>
      <w:r>
        <w:rPr>
          <w:rFonts w:ascii="Times New Roman" w:hAnsi="Times New Roman"/>
          <w:noProof/>
          <w:sz w:val="24"/>
        </w:rPr>
        <w:t>Även om det rekommenderade alternativet kan innebära högre initialkostnader förväntas de långsiktiga fördelarna uppväga kostnaderna. Det rekommenderade alternativet väntas ge betydande ekonomiska fördelar. Detta initiativ kan förväntas ha en positiv effekt på finansmarknadernas funktion och villkoren för ESG-investeringar. Det bör även hjälpa investerare och klassificerade enheter att förstå ESG-betygen på marknaden, fatta välgrundade beslut om dem och minska både kostnaden för insamling av information och behovet att anlita ytterligare leverantörer, vilket i sin tur kommer att minska kostnaden för att bedriva verksamhet och iaktta tillbörlig aktsamhet. Det skulle även vara icke-diskriminerande och vara tillämpligt på samma sätt för marknadsaktörer både inom och utanför EU. Initiativet kommer sannolikt att öka kostnaden för att bedriva verksamhet på kort sikt, men samtidigt kan ett ökat förtroende för ESG-betygen bidra till att främja marknadstillväxten och i slutändan öka lönsamheten. För att minska den administrativa bördan och de möjliga farhågorna kring en minskad tillgång till marknaden för små leverantörer planeras en övergångsperiod så att de får möjlighet att anpassa sig.</w:t>
      </w:r>
    </w:p>
    <w:p w14:paraId="342FC222" w14:textId="7DD33452" w:rsidR="001B55DC" w:rsidRPr="0017456D" w:rsidRDefault="00EF1CCA" w:rsidP="001B55DC">
      <w:pPr>
        <w:jc w:val="both"/>
        <w:rPr>
          <w:rFonts w:ascii="Times New Roman" w:hAnsi="Times New Roman" w:cs="Times New Roman"/>
          <w:noProof/>
          <w:sz w:val="24"/>
        </w:rPr>
      </w:pPr>
      <w:r>
        <w:rPr>
          <w:rFonts w:ascii="Times New Roman" w:hAnsi="Times New Roman"/>
          <w:noProof/>
          <w:sz w:val="24"/>
        </w:rPr>
        <w:t>Initiativet förväntas även ha positiva, om än marginella, indirekta sociala och miljömässiga effekter.</w:t>
      </w:r>
    </w:p>
    <w:p w14:paraId="2E7C3E97" w14:textId="77777777" w:rsidR="001B55DC" w:rsidRPr="0017456D" w:rsidRDefault="001B55DC" w:rsidP="0027151F">
      <w:pPr>
        <w:jc w:val="both"/>
        <w:rPr>
          <w:rFonts w:ascii="Times New Roman" w:hAnsi="Times New Roman" w:cs="Times New Roman"/>
          <w:noProof/>
        </w:rPr>
      </w:pPr>
    </w:p>
    <w:sectPr w:rsidR="001B55DC" w:rsidRPr="0017456D" w:rsidSect="0026613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E653" w14:textId="77777777" w:rsidR="007A7E68" w:rsidRPr="0017456D" w:rsidRDefault="007A7E68" w:rsidP="0026613F">
      <w:pPr>
        <w:spacing w:after="0" w:line="240" w:lineRule="auto"/>
      </w:pPr>
      <w:r>
        <w:separator/>
      </w:r>
    </w:p>
  </w:endnote>
  <w:endnote w:type="continuationSeparator" w:id="0">
    <w:p w14:paraId="377A0548" w14:textId="77777777" w:rsidR="007A7E68" w:rsidRPr="0017456D" w:rsidRDefault="007A7E68" w:rsidP="0026613F">
      <w:pPr>
        <w:spacing w:after="0" w:line="240" w:lineRule="auto"/>
      </w:pPr>
      <w:r>
        <w:continuationSeparator/>
      </w:r>
    </w:p>
  </w:endnote>
  <w:endnote w:type="continuationNotice" w:id="1">
    <w:p w14:paraId="50A038AB" w14:textId="77777777" w:rsidR="007A7E68" w:rsidRPr="0017456D" w:rsidRDefault="007A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F5EA" w14:textId="378E75E9" w:rsidR="000B1DB9" w:rsidRPr="00746EEA" w:rsidRDefault="000B1DB9" w:rsidP="0074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E528" w14:textId="6F503B5D" w:rsidR="000B1DB9" w:rsidRPr="00746EEA" w:rsidRDefault="00746EEA" w:rsidP="00746EEA">
    <w:pPr>
      <w:pStyle w:val="FooterCoverPage"/>
      <w:rPr>
        <w:rFonts w:ascii="Arial" w:hAnsi="Arial" w:cs="Arial"/>
        <w:b/>
        <w:sz w:val="48"/>
      </w:rPr>
    </w:pPr>
    <w:r w:rsidRPr="00746EEA">
      <w:rPr>
        <w:rFonts w:ascii="Arial" w:hAnsi="Arial" w:cs="Arial"/>
        <w:b/>
        <w:sz w:val="48"/>
      </w:rPr>
      <w:t>SV</w:t>
    </w:r>
    <w:r w:rsidRPr="00746EEA">
      <w:rPr>
        <w:rFonts w:ascii="Arial" w:hAnsi="Arial" w:cs="Arial"/>
        <w:b/>
        <w:sz w:val="48"/>
      </w:rPr>
      <w:tab/>
    </w:r>
    <w:r w:rsidRPr="00746EEA">
      <w:rPr>
        <w:rFonts w:ascii="Arial" w:hAnsi="Arial" w:cs="Arial"/>
        <w:b/>
        <w:sz w:val="48"/>
      </w:rPr>
      <w:tab/>
    </w:r>
    <w:r w:rsidRPr="00746EEA">
      <w:tab/>
    </w:r>
    <w:r w:rsidRPr="00746EEA">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48C2D" w14:textId="77777777" w:rsidR="00746EEA" w:rsidRPr="00746EEA" w:rsidRDefault="00746EEA" w:rsidP="00746EE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F090" w14:textId="77777777" w:rsidR="007A7E68" w:rsidRPr="0017456D" w:rsidRDefault="007A7E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sdtContent>
      <w:p w14:paraId="60127BB8" w14:textId="4F258B7D" w:rsidR="007A7E68" w:rsidRPr="0017456D" w:rsidRDefault="007A7E68">
        <w:pPr>
          <w:pStyle w:val="Footer"/>
          <w:jc w:val="center"/>
        </w:pPr>
        <w:r>
          <w:fldChar w:fldCharType="begin"/>
        </w:r>
        <w:r>
          <w:instrText xml:space="preserve"> PAGE   \* MERGEFORMAT </w:instrText>
        </w:r>
        <w:r>
          <w:fldChar w:fldCharType="separate"/>
        </w:r>
        <w:r w:rsidR="00746EEA">
          <w:rPr>
            <w:noProof/>
          </w:rPr>
          <w:t>2</w:t>
        </w:r>
        <w:r>
          <w:fldChar w:fldCharType="end"/>
        </w:r>
      </w:p>
    </w:sdtContent>
  </w:sdt>
  <w:p w14:paraId="4021366F" w14:textId="77777777" w:rsidR="007A7E68" w:rsidRPr="0017456D" w:rsidRDefault="007A7E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A860" w14:textId="77777777" w:rsidR="007A7E68" w:rsidRPr="0017456D" w:rsidRDefault="007A7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D177" w14:textId="77777777" w:rsidR="007A7E68" w:rsidRPr="0017456D" w:rsidRDefault="007A7E68" w:rsidP="0026613F">
      <w:pPr>
        <w:spacing w:after="0" w:line="240" w:lineRule="auto"/>
      </w:pPr>
      <w:r>
        <w:separator/>
      </w:r>
    </w:p>
  </w:footnote>
  <w:footnote w:type="continuationSeparator" w:id="0">
    <w:p w14:paraId="0EB63FCA" w14:textId="77777777" w:rsidR="007A7E68" w:rsidRPr="0017456D" w:rsidRDefault="007A7E68" w:rsidP="0026613F">
      <w:pPr>
        <w:spacing w:after="0" w:line="240" w:lineRule="auto"/>
      </w:pPr>
      <w:r>
        <w:continuationSeparator/>
      </w:r>
    </w:p>
  </w:footnote>
  <w:footnote w:type="continuationNotice" w:id="1">
    <w:p w14:paraId="773121B3" w14:textId="77777777" w:rsidR="007A7E68" w:rsidRPr="0017456D" w:rsidRDefault="007A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2E76" w14:textId="77777777" w:rsidR="00746EEA" w:rsidRPr="00746EEA" w:rsidRDefault="00746EEA" w:rsidP="00746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CE6" w14:textId="77777777" w:rsidR="00746EEA" w:rsidRPr="00746EEA" w:rsidRDefault="00746EEA" w:rsidP="00746EE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DB79" w14:textId="77777777" w:rsidR="00746EEA" w:rsidRPr="00746EEA" w:rsidRDefault="00746EEA" w:rsidP="00746EE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C69B" w14:textId="77777777" w:rsidR="007A7E68" w:rsidRPr="0017456D" w:rsidRDefault="007A7E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B5E8" w14:textId="77777777" w:rsidR="007A7E68" w:rsidRPr="0017456D" w:rsidRDefault="007A7E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273D" w14:textId="77777777" w:rsidR="007A7E68" w:rsidRPr="0017456D" w:rsidRDefault="007A7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E20"/>
    <w:multiLevelType w:val="hybridMultilevel"/>
    <w:tmpl w:val="466CFC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04CDE"/>
    <w:multiLevelType w:val="hybridMultilevel"/>
    <w:tmpl w:val="BA085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5047CD12-99A4-4407-93B5-15D5802185A8"/>
    <w:docVar w:name="LW_COVERPAGE_TYPE" w:val="1"/>
    <w:docVar w:name="LW_CROSSREFERENCE" w:val="{COM(2023) 314 final} - {SEC(2023) 241 final} - {SWD(2023) 204 final}"/>
    <w:docVar w:name="LW_DocType" w:val="NORMAL"/>
    <w:docVar w:name="LW_EMISSION" w:val="13.6.2023"/>
    <w:docVar w:name="LW_EMISSION_ISODATE" w:val="2023-06-13"/>
    <w:docVar w:name="LW_EMISSION_LOCATION" w:val="STR"/>
    <w:docVar w:name="LW_EMISSION_PREFIX" w:val="Strasbourg den "/>
    <w:docVar w:name="LW_EMISSION_SUFFIX" w:val=" "/>
    <w:docVar w:name="LW_ID_DOCTYPE_NONLW" w:val="CP-027"/>
    <w:docVar w:name="LW_LANGUE" w:val="SV"/>
    <w:docVar w:name="LW_LEVEL_OF_SENSITIVITY" w:val="Standard treatment"/>
    <w:docVar w:name="LW_NOM.INST" w:val="EUROPEISKA KOMMISSIONEN"/>
    <w:docVar w:name="LW_NOM.INST_JOINTDOC" w:val="&lt;EMPTY&gt;"/>
    <w:docVar w:name="LW_OBJETACTEPRINCIPAL.CP" w:val="om transparens och integritet i klassificeringsverksamhet avseende miljö, samhällsansvar och bolagsstyrning (ESG-betyg)"/>
    <w:docVar w:name="LW_PART_NBR" w:val="1"/>
    <w:docVar w:name="LW_PART_NBR_TOTAL" w:val="1"/>
    <w:docVar w:name="LW_REF.INST.NEW" w:val="SWD"/>
    <w:docVar w:name="LW_REF.INST.NEW_ADOPTED" w:val="final"/>
    <w:docVar w:name="LW_REF.INST.NEW_TEXT" w:val="(2023)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TSDOKUMENT FRÅN KOMMISSIONENS AVDELNINGAR_x000b__x000b_SAMMANFATTNING AV KONSEKVENSBEDÖMNINGSRAPPORTEN_x000b_"/>
    <w:docVar w:name="LW_TYPEACTEPRINCIPAL.CP" w:val="Förslag till Europaparlamentets och rådets förordning"/>
    <w:docVar w:name="LwApiVersions" w:val="LW4CoDe 1.23.2.0; LW 8.0, Build 20211117"/>
    <w:docVar w:name="Stamp" w:val="\\dossiers.dgt.cec.eu.int\dossiers\FISMA\FISMA-2023-00311\FISMA-2023-00311-00-01-EN-EDT-00.202304251610493349195.DOCX"/>
  </w:docVars>
  <w:rsids>
    <w:rsidRoot w:val="0026613F"/>
    <w:rsid w:val="0000422E"/>
    <w:rsid w:val="00015AA9"/>
    <w:rsid w:val="00036B54"/>
    <w:rsid w:val="000547BC"/>
    <w:rsid w:val="00060169"/>
    <w:rsid w:val="00071A69"/>
    <w:rsid w:val="00097CB2"/>
    <w:rsid w:val="000A0B25"/>
    <w:rsid w:val="000A773C"/>
    <w:rsid w:val="000B1DB9"/>
    <w:rsid w:val="000C5EF0"/>
    <w:rsid w:val="000D241E"/>
    <w:rsid w:val="00104184"/>
    <w:rsid w:val="00106357"/>
    <w:rsid w:val="00123FE0"/>
    <w:rsid w:val="001272CB"/>
    <w:rsid w:val="00127C93"/>
    <w:rsid w:val="001374EA"/>
    <w:rsid w:val="00141202"/>
    <w:rsid w:val="001578D5"/>
    <w:rsid w:val="0016078A"/>
    <w:rsid w:val="00160F04"/>
    <w:rsid w:val="0017456D"/>
    <w:rsid w:val="001879F4"/>
    <w:rsid w:val="001A7F14"/>
    <w:rsid w:val="001B55DC"/>
    <w:rsid w:val="001B6BB3"/>
    <w:rsid w:val="001E2BF6"/>
    <w:rsid w:val="001E340A"/>
    <w:rsid w:val="001E3610"/>
    <w:rsid w:val="001F380D"/>
    <w:rsid w:val="001F43DC"/>
    <w:rsid w:val="002129B0"/>
    <w:rsid w:val="00221CDC"/>
    <w:rsid w:val="0022602E"/>
    <w:rsid w:val="002432ED"/>
    <w:rsid w:val="002529A1"/>
    <w:rsid w:val="00252E3E"/>
    <w:rsid w:val="00261032"/>
    <w:rsid w:val="00263155"/>
    <w:rsid w:val="0026613F"/>
    <w:rsid w:val="0027151F"/>
    <w:rsid w:val="002A3774"/>
    <w:rsid w:val="002B04B6"/>
    <w:rsid w:val="002B234D"/>
    <w:rsid w:val="002D2580"/>
    <w:rsid w:val="002E7746"/>
    <w:rsid w:val="002F4E25"/>
    <w:rsid w:val="003070DC"/>
    <w:rsid w:val="00307314"/>
    <w:rsid w:val="003241A7"/>
    <w:rsid w:val="003242A1"/>
    <w:rsid w:val="00327EEB"/>
    <w:rsid w:val="003324B5"/>
    <w:rsid w:val="00353792"/>
    <w:rsid w:val="00356668"/>
    <w:rsid w:val="003642D3"/>
    <w:rsid w:val="00382D2E"/>
    <w:rsid w:val="00385EAF"/>
    <w:rsid w:val="00386568"/>
    <w:rsid w:val="003B168A"/>
    <w:rsid w:val="003B24E3"/>
    <w:rsid w:val="003B2A94"/>
    <w:rsid w:val="003E1DDB"/>
    <w:rsid w:val="003F1EDD"/>
    <w:rsid w:val="003F694A"/>
    <w:rsid w:val="003F7AEE"/>
    <w:rsid w:val="004076F6"/>
    <w:rsid w:val="00413501"/>
    <w:rsid w:val="004147DA"/>
    <w:rsid w:val="00425562"/>
    <w:rsid w:val="00426C21"/>
    <w:rsid w:val="00444589"/>
    <w:rsid w:val="00460671"/>
    <w:rsid w:val="00462E1A"/>
    <w:rsid w:val="00467048"/>
    <w:rsid w:val="00492D3B"/>
    <w:rsid w:val="004A074E"/>
    <w:rsid w:val="004A2690"/>
    <w:rsid w:val="004A3979"/>
    <w:rsid w:val="004A7FAA"/>
    <w:rsid w:val="004B6D1E"/>
    <w:rsid w:val="004E2BB4"/>
    <w:rsid w:val="004E41DD"/>
    <w:rsid w:val="004E610A"/>
    <w:rsid w:val="004E7634"/>
    <w:rsid w:val="004F7A2F"/>
    <w:rsid w:val="005026A8"/>
    <w:rsid w:val="005173FC"/>
    <w:rsid w:val="00523688"/>
    <w:rsid w:val="0053519F"/>
    <w:rsid w:val="00564577"/>
    <w:rsid w:val="00573085"/>
    <w:rsid w:val="005A73BB"/>
    <w:rsid w:val="005B7F36"/>
    <w:rsid w:val="005C500C"/>
    <w:rsid w:val="005C7950"/>
    <w:rsid w:val="005D06A6"/>
    <w:rsid w:val="005F2D24"/>
    <w:rsid w:val="00613159"/>
    <w:rsid w:val="00615208"/>
    <w:rsid w:val="00624693"/>
    <w:rsid w:val="00632948"/>
    <w:rsid w:val="00635977"/>
    <w:rsid w:val="00647A53"/>
    <w:rsid w:val="006746E2"/>
    <w:rsid w:val="00674793"/>
    <w:rsid w:val="00677717"/>
    <w:rsid w:val="00692A6A"/>
    <w:rsid w:val="00697FD8"/>
    <w:rsid w:val="006B485B"/>
    <w:rsid w:val="006C1A30"/>
    <w:rsid w:val="006C1AF2"/>
    <w:rsid w:val="006D36FB"/>
    <w:rsid w:val="006E1669"/>
    <w:rsid w:val="006E70C4"/>
    <w:rsid w:val="006F175A"/>
    <w:rsid w:val="00734B39"/>
    <w:rsid w:val="00746EEA"/>
    <w:rsid w:val="0075778D"/>
    <w:rsid w:val="00765F26"/>
    <w:rsid w:val="00782647"/>
    <w:rsid w:val="00785389"/>
    <w:rsid w:val="007924F5"/>
    <w:rsid w:val="0079471E"/>
    <w:rsid w:val="00795D15"/>
    <w:rsid w:val="00796583"/>
    <w:rsid w:val="00796FA9"/>
    <w:rsid w:val="007A5CE3"/>
    <w:rsid w:val="007A7E68"/>
    <w:rsid w:val="007B0BD0"/>
    <w:rsid w:val="007B17CE"/>
    <w:rsid w:val="007C05CB"/>
    <w:rsid w:val="007D3719"/>
    <w:rsid w:val="007E33B1"/>
    <w:rsid w:val="0080486C"/>
    <w:rsid w:val="008179AA"/>
    <w:rsid w:val="00817A9B"/>
    <w:rsid w:val="0083459D"/>
    <w:rsid w:val="008407A2"/>
    <w:rsid w:val="008407D9"/>
    <w:rsid w:val="00846919"/>
    <w:rsid w:val="00847952"/>
    <w:rsid w:val="00850C71"/>
    <w:rsid w:val="008805EE"/>
    <w:rsid w:val="008907CC"/>
    <w:rsid w:val="0089480C"/>
    <w:rsid w:val="008A2395"/>
    <w:rsid w:val="008D1A64"/>
    <w:rsid w:val="008D3929"/>
    <w:rsid w:val="0090513D"/>
    <w:rsid w:val="0091088C"/>
    <w:rsid w:val="009117FB"/>
    <w:rsid w:val="00911D3E"/>
    <w:rsid w:val="00916BE7"/>
    <w:rsid w:val="00925446"/>
    <w:rsid w:val="009301A3"/>
    <w:rsid w:val="00943725"/>
    <w:rsid w:val="00963116"/>
    <w:rsid w:val="00980B6D"/>
    <w:rsid w:val="0098286C"/>
    <w:rsid w:val="00984D66"/>
    <w:rsid w:val="00986078"/>
    <w:rsid w:val="009A02B7"/>
    <w:rsid w:val="009A5174"/>
    <w:rsid w:val="009B2779"/>
    <w:rsid w:val="009C2F7A"/>
    <w:rsid w:val="009D3B13"/>
    <w:rsid w:val="00A07468"/>
    <w:rsid w:val="00A121F3"/>
    <w:rsid w:val="00A15C97"/>
    <w:rsid w:val="00A21C92"/>
    <w:rsid w:val="00A24586"/>
    <w:rsid w:val="00A271D1"/>
    <w:rsid w:val="00A300E2"/>
    <w:rsid w:val="00A310F3"/>
    <w:rsid w:val="00A544A2"/>
    <w:rsid w:val="00A57A4C"/>
    <w:rsid w:val="00A6378D"/>
    <w:rsid w:val="00A6683B"/>
    <w:rsid w:val="00A91C04"/>
    <w:rsid w:val="00AB047D"/>
    <w:rsid w:val="00AC4AA3"/>
    <w:rsid w:val="00AC6381"/>
    <w:rsid w:val="00AE1FD0"/>
    <w:rsid w:val="00B04144"/>
    <w:rsid w:val="00B1566B"/>
    <w:rsid w:val="00B156A9"/>
    <w:rsid w:val="00B2287E"/>
    <w:rsid w:val="00B25143"/>
    <w:rsid w:val="00B3556E"/>
    <w:rsid w:val="00B46153"/>
    <w:rsid w:val="00B668E5"/>
    <w:rsid w:val="00B71099"/>
    <w:rsid w:val="00B86436"/>
    <w:rsid w:val="00B93897"/>
    <w:rsid w:val="00BB111E"/>
    <w:rsid w:val="00BD1322"/>
    <w:rsid w:val="00BD64DA"/>
    <w:rsid w:val="00BD731C"/>
    <w:rsid w:val="00BF21D8"/>
    <w:rsid w:val="00BF59EF"/>
    <w:rsid w:val="00C0562D"/>
    <w:rsid w:val="00C1629D"/>
    <w:rsid w:val="00C31227"/>
    <w:rsid w:val="00C47305"/>
    <w:rsid w:val="00C61F0E"/>
    <w:rsid w:val="00C73F53"/>
    <w:rsid w:val="00C751D3"/>
    <w:rsid w:val="00C80350"/>
    <w:rsid w:val="00C9220D"/>
    <w:rsid w:val="00C923BE"/>
    <w:rsid w:val="00C93E02"/>
    <w:rsid w:val="00CA4C29"/>
    <w:rsid w:val="00CB1C0F"/>
    <w:rsid w:val="00CC19AD"/>
    <w:rsid w:val="00CE2C1E"/>
    <w:rsid w:val="00CE3A42"/>
    <w:rsid w:val="00CF3FF3"/>
    <w:rsid w:val="00D01A44"/>
    <w:rsid w:val="00D02277"/>
    <w:rsid w:val="00D02FC1"/>
    <w:rsid w:val="00D20FD1"/>
    <w:rsid w:val="00D22790"/>
    <w:rsid w:val="00D25B03"/>
    <w:rsid w:val="00D400FD"/>
    <w:rsid w:val="00D50BF5"/>
    <w:rsid w:val="00D514F8"/>
    <w:rsid w:val="00D86398"/>
    <w:rsid w:val="00D93506"/>
    <w:rsid w:val="00D951D6"/>
    <w:rsid w:val="00DB6652"/>
    <w:rsid w:val="00DB6751"/>
    <w:rsid w:val="00DC34C0"/>
    <w:rsid w:val="00DC3752"/>
    <w:rsid w:val="00DC3A19"/>
    <w:rsid w:val="00DC79EF"/>
    <w:rsid w:val="00DF2B2F"/>
    <w:rsid w:val="00E04F3F"/>
    <w:rsid w:val="00E40864"/>
    <w:rsid w:val="00E713BD"/>
    <w:rsid w:val="00E91E4B"/>
    <w:rsid w:val="00EA0BBD"/>
    <w:rsid w:val="00EA65B0"/>
    <w:rsid w:val="00EB0475"/>
    <w:rsid w:val="00EB5569"/>
    <w:rsid w:val="00ED155C"/>
    <w:rsid w:val="00ED47B2"/>
    <w:rsid w:val="00EE2FD5"/>
    <w:rsid w:val="00EE4A9F"/>
    <w:rsid w:val="00EE6C59"/>
    <w:rsid w:val="00EF1CCA"/>
    <w:rsid w:val="00F00868"/>
    <w:rsid w:val="00F1090A"/>
    <w:rsid w:val="00F14836"/>
    <w:rsid w:val="00F17E2C"/>
    <w:rsid w:val="00F31280"/>
    <w:rsid w:val="00F322FA"/>
    <w:rsid w:val="00F41998"/>
    <w:rsid w:val="00F636F6"/>
    <w:rsid w:val="00F710C8"/>
    <w:rsid w:val="00F82433"/>
    <w:rsid w:val="00F90FEB"/>
    <w:rsid w:val="00FA6013"/>
    <w:rsid w:val="00FB149B"/>
    <w:rsid w:val="00FC1564"/>
    <w:rsid w:val="00FD00C0"/>
    <w:rsid w:val="00FD00EB"/>
    <w:rsid w:val="00FD0613"/>
    <w:rsid w:val="00FF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628C024"/>
  <w15:chartTrackingRefBased/>
  <w15:docId w15:val="{C06031B9-DAFF-4D24-8216-215BE15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character" w:styleId="Hyperlink">
    <w:name w:val="Hyperlink"/>
    <w:basedOn w:val="DefaultParagraphFont"/>
    <w:uiPriority w:val="99"/>
    <w:unhideWhenUsed/>
    <w:rsid w:val="0098286C"/>
    <w:rPr>
      <w:color w:val="0000FF" w:themeColor="hyperlink"/>
      <w:u w:val="single"/>
    </w:rPr>
  </w:style>
  <w:style w:type="paragraph" w:styleId="FootnoteText">
    <w:name w:val="footnote text"/>
    <w:basedOn w:val="Normal"/>
    <w:link w:val="FootnoteTextChar"/>
    <w:uiPriority w:val="99"/>
    <w:unhideWhenUsed/>
    <w:qFormat/>
    <w:rsid w:val="0098286C"/>
    <w:pPr>
      <w:spacing w:after="0" w:line="240" w:lineRule="auto"/>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qFormat/>
    <w:rsid w:val="0098286C"/>
    <w:rPr>
      <w:rFonts w:ascii="Times New Roman" w:eastAsia="Times New Roman" w:hAnsi="Times New Roman" w:cs="Times New Roman"/>
      <w:sz w:val="20"/>
    </w:rPr>
  </w:style>
  <w:style w:type="character" w:styleId="FootnoteReference">
    <w:name w:val="footnote reference"/>
    <w:basedOn w:val="DefaultParagraphFont"/>
    <w:link w:val="FootnotesymbolCharCharCharChar"/>
    <w:uiPriority w:val="99"/>
    <w:unhideWhenUsed/>
    <w:qFormat/>
    <w:rsid w:val="0098286C"/>
    <w:rPr>
      <w:vertAlign w:val="superscript"/>
    </w:rPr>
  </w:style>
  <w:style w:type="paragraph" w:customStyle="1" w:styleId="FootnotesymbolCharCharCharChar">
    <w:name w:val="Footnote symbol Char Char Char Char"/>
    <w:basedOn w:val="Normal"/>
    <w:link w:val="FootnoteReference"/>
    <w:qFormat/>
    <w:rsid w:val="0098286C"/>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9C2F7A"/>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C2F7A"/>
    <w:rPr>
      <w:rFonts w:ascii="Segoe UI" w:hAnsi="Segoe UI" w:cs="Segoe UI"/>
      <w:sz w:val="18"/>
    </w:rPr>
  </w:style>
  <w:style w:type="character" w:styleId="CommentReference">
    <w:name w:val="annotation reference"/>
    <w:basedOn w:val="DefaultParagraphFont"/>
    <w:semiHidden/>
    <w:unhideWhenUsed/>
    <w:rsid w:val="009C2F7A"/>
    <w:rPr>
      <w:sz w:val="16"/>
    </w:rPr>
  </w:style>
  <w:style w:type="paragraph" w:styleId="CommentText">
    <w:name w:val="annotation text"/>
    <w:basedOn w:val="Normal"/>
    <w:link w:val="CommentTextChar"/>
    <w:uiPriority w:val="99"/>
    <w:semiHidden/>
    <w:unhideWhenUsed/>
    <w:rsid w:val="009C2F7A"/>
    <w:pPr>
      <w:spacing w:line="240" w:lineRule="auto"/>
    </w:pPr>
    <w:rPr>
      <w:sz w:val="20"/>
    </w:rPr>
  </w:style>
  <w:style w:type="character" w:customStyle="1" w:styleId="CommentTextChar">
    <w:name w:val="Comment Text Char"/>
    <w:basedOn w:val="DefaultParagraphFont"/>
    <w:link w:val="CommentText"/>
    <w:uiPriority w:val="99"/>
    <w:semiHidden/>
    <w:rsid w:val="009C2F7A"/>
    <w:rPr>
      <w:sz w:val="20"/>
    </w:rPr>
  </w:style>
  <w:style w:type="paragraph" w:styleId="CommentSubject">
    <w:name w:val="annotation subject"/>
    <w:basedOn w:val="CommentText"/>
    <w:next w:val="CommentText"/>
    <w:link w:val="CommentSubjectChar"/>
    <w:uiPriority w:val="99"/>
    <w:semiHidden/>
    <w:unhideWhenUsed/>
    <w:rsid w:val="009C2F7A"/>
    <w:rPr>
      <w:b/>
    </w:rPr>
  </w:style>
  <w:style w:type="character" w:customStyle="1" w:styleId="CommentSubjectChar">
    <w:name w:val="Comment Subject Char"/>
    <w:basedOn w:val="CommentTextChar"/>
    <w:link w:val="CommentSubject"/>
    <w:uiPriority w:val="99"/>
    <w:semiHidden/>
    <w:rsid w:val="009C2F7A"/>
    <w:rPr>
      <w:b/>
      <w:sz w:val="20"/>
    </w:rPr>
  </w:style>
  <w:style w:type="paragraph" w:styleId="Revision">
    <w:name w:val="Revision"/>
    <w:hidden/>
    <w:uiPriority w:val="99"/>
    <w:semiHidden/>
    <w:rsid w:val="00C05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6" ma:contentTypeDescription="Create a new document." ma:contentTypeScope="" ma:versionID="f0c03153de8ffa1cf2db4e3b9ebba1b8">
  <xsd:schema xmlns:xsd="http://www.w3.org/2001/XMLSchema" xmlns:xs="http://www.w3.org/2001/XMLSchema" xmlns:p="http://schemas.microsoft.com/office/2006/metadata/properties" xmlns:ns2="c7440682-6439-415b-99df-de01877f7c9b" xmlns:ns3="909deea8-02af-466b-99ae-402c61f4ebdb" targetNamespace="http://schemas.microsoft.com/office/2006/metadata/properties" ma:root="true" ma:fieldsID="e8e75556d45bd2d51008e38a7e92e86d" ns2:_="" ns3:_="">
    <xsd:import namespace="c7440682-6439-415b-99df-de01877f7c9b"/>
    <xsd:import namespace="909deea8-02af-466b-99ae-402c61f4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deea8-02af-466b-99ae-402c61f4e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F975-054E-4FCA-8A24-8D857C9497A9}">
  <ds:schemaRefs>
    <ds:schemaRef ds:uri="c7440682-6439-415b-99df-de01877f7c9b"/>
    <ds:schemaRef ds:uri="909deea8-02af-466b-99ae-402c61f4eb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ACE7AF-2BB9-4AB0-86A4-74C4B3906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909deea8-02af-466b-99ae-402c61f4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2B4FB-E84E-485F-88BA-7F4B21CBCA47}">
  <ds:schemaRefs>
    <ds:schemaRef ds:uri="http://schemas.microsoft.com/sharepoint/v3/contenttype/forms"/>
  </ds:schemaRefs>
</ds:datastoreItem>
</file>

<file path=customXml/itemProps4.xml><?xml version="1.0" encoding="utf-8"?>
<ds:datastoreItem xmlns:ds="http://schemas.openxmlformats.org/officeDocument/2006/customXml" ds:itemID="{72F856CA-74EB-4EFC-A0AA-181737AA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1018</Words>
  <Characters>6532</Characters>
  <Application>Microsoft Office Word</Application>
  <DocSecurity>0</DocSecurity>
  <Lines>93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2023-05-10T15:21:00Z</dcterms:created>
  <dcterms:modified xsi:type="dcterms:W3CDTF">2023-07-07T16:02:00Z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9.0, Build 20230317</vt:lpwstr>
  </property>
  <property fmtid="{D5CDD505-2E9C-101B-9397-08002B2CF9AE}" pid="8" name="Created using">
    <vt:lpwstr>LW 7.0.1, Build 20190916</vt:lpwstr>
  </property>
  <property fmtid="{D5CDD505-2E9C-101B-9397-08002B2CF9AE}" pid="9" name="ContentTypeId">
    <vt:lpwstr>0x010100B56C08CCF0D84043B4E7C315EFB8EAF3</vt:lpwstr>
  </property>
  <property fmtid="{D5CDD505-2E9C-101B-9397-08002B2CF9AE}" pid="10" name="Doc Status">
    <vt:lpwstr/>
  </property>
  <property fmtid="{D5CDD505-2E9C-101B-9397-08002B2CF9AE}" pid="11" name="Document type">
    <vt:lpwstr/>
  </property>
  <property fmtid="{D5CDD505-2E9C-101B-9397-08002B2CF9AE}" pid="12" name="Confidentiality">
    <vt:lpwstr/>
  </property>
  <property fmtid="{D5CDD505-2E9C-101B-9397-08002B2CF9AE}" pid="13" name="_dlc_DocIdItemGuid">
    <vt:lpwstr>8ee3965c-bd14-4e51-a6a3-5bf099903cf5</vt:lpwstr>
  </property>
  <property fmtid="{D5CDD505-2E9C-101B-9397-08002B2CF9AE}" pid="14" name="MSIP_Label_6bd9ddd1-4d20-43f6-abfa-fc3c07406f94_Enabled">
    <vt:lpwstr>true</vt:lpwstr>
  </property>
  <property fmtid="{D5CDD505-2E9C-101B-9397-08002B2CF9AE}" pid="15" name="MSIP_Label_6bd9ddd1-4d20-43f6-abfa-fc3c07406f94_SetDate">
    <vt:lpwstr>2022-11-14T20:01:57Z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826056da-9ca9-4803-be1d-0436f2df2068</vt:lpwstr>
  </property>
  <property fmtid="{D5CDD505-2E9C-101B-9397-08002B2CF9AE}" pid="20" name="MSIP_Label_6bd9ddd1-4d20-43f6-abfa-fc3c07406f94_ContentBits">
    <vt:lpwstr>0</vt:lpwstr>
  </property>
</Properties>
</file>