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561E8" w14:textId="740C5EA6" w:rsidR="00587167" w:rsidRPr="00A7778D" w:rsidRDefault="00084EF2" w:rsidP="00084EF2">
      <w:pPr>
        <w:pStyle w:val="Pagedecouverture"/>
        <w:rPr>
          <w:noProof/>
        </w:rPr>
      </w:pPr>
      <w:r>
        <w:rPr>
          <w:noProof/>
        </w:rPr>
        <w:pict w14:anchorId="08A20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7D8B3014-991F-4D0E-9716-E638835313D0" style="width:455.25pt;height:414pt">
            <v:imagedata r:id="rId8" o:title=""/>
          </v:shape>
        </w:pict>
      </w:r>
    </w:p>
    <w:p w14:paraId="4819E0BE" w14:textId="77777777" w:rsidR="00587167" w:rsidRPr="00A7778D" w:rsidRDefault="00587167" w:rsidP="00EC435D">
      <w:pPr>
        <w:spacing w:line="23" w:lineRule="atLeast"/>
        <w:rPr>
          <w:noProof/>
          <w:szCs w:val="24"/>
        </w:rPr>
        <w:sectPr w:rsidR="00587167" w:rsidRPr="00A7778D" w:rsidSect="00084EF2">
          <w:footerReference w:type="default" r:id="rId9"/>
          <w:pgSz w:w="11907" w:h="16839"/>
          <w:pgMar w:top="1134" w:right="1417" w:bottom="1134" w:left="1417" w:header="709" w:footer="709" w:gutter="0"/>
          <w:pgNumType w:start="0"/>
          <w:cols w:space="720"/>
          <w:docGrid w:linePitch="360"/>
        </w:sectPr>
      </w:pPr>
    </w:p>
    <w:p w14:paraId="23CFA7B3" w14:textId="77777777" w:rsidR="00587167" w:rsidRPr="00A7778D" w:rsidRDefault="00587167" w:rsidP="00EC435D">
      <w:pPr>
        <w:pStyle w:val="Exposdesmotifstitre"/>
        <w:spacing w:line="23" w:lineRule="atLeast"/>
        <w:rPr>
          <w:noProof/>
          <w:szCs w:val="24"/>
        </w:rPr>
      </w:pPr>
      <w:bookmarkStart w:id="0" w:name="_Hlk135753957"/>
      <w:bookmarkStart w:id="1" w:name="_GoBack"/>
      <w:bookmarkEnd w:id="1"/>
      <w:r w:rsidRPr="00A7778D">
        <w:rPr>
          <w:noProof/>
        </w:rPr>
        <w:lastRenderedPageBreak/>
        <w:t>PERUSTELUT</w:t>
      </w:r>
    </w:p>
    <w:p w14:paraId="70614D39" w14:textId="77777777" w:rsidR="00587167" w:rsidRPr="00A7778D" w:rsidRDefault="00587167" w:rsidP="00EC435D">
      <w:pPr>
        <w:pStyle w:val="ManualHeading1"/>
        <w:spacing w:before="120" w:line="23" w:lineRule="atLeast"/>
        <w:rPr>
          <w:noProof/>
          <w:szCs w:val="24"/>
        </w:rPr>
      </w:pPr>
      <w:r w:rsidRPr="00A7778D">
        <w:rPr>
          <w:noProof/>
        </w:rPr>
        <w:t>1.</w:t>
      </w:r>
      <w:r w:rsidRPr="00A7778D">
        <w:rPr>
          <w:noProof/>
        </w:rPr>
        <w:tab/>
        <w:t>EHDOTUKSEN TAUSTA</w:t>
      </w:r>
    </w:p>
    <w:p w14:paraId="5FDC83AF" w14:textId="77777777" w:rsidR="00587167" w:rsidRPr="00A7778D" w:rsidRDefault="00587167" w:rsidP="00EC435D">
      <w:pPr>
        <w:pStyle w:val="ManualHeading2"/>
        <w:spacing w:line="23" w:lineRule="atLeast"/>
        <w:rPr>
          <w:rFonts w:eastAsia="Arial Unicode MS"/>
          <w:noProof/>
          <w:szCs w:val="24"/>
        </w:rPr>
      </w:pPr>
      <w:r w:rsidRPr="00A7778D">
        <w:rPr>
          <w:noProof/>
          <w:color w:val="000000"/>
          <w:u w:color="000000"/>
          <w:bdr w:val="nil"/>
        </w:rPr>
        <w:t>•</w:t>
      </w:r>
      <w:r w:rsidRPr="00A7778D">
        <w:rPr>
          <w:noProof/>
        </w:rPr>
        <w:tab/>
        <w:t>Ehdotuksen perustelut ja tavoitteet</w:t>
      </w:r>
    </w:p>
    <w:p w14:paraId="29B4B3B5" w14:textId="77777777" w:rsidR="001850D8" w:rsidRPr="00A7778D" w:rsidRDefault="004B365E" w:rsidP="00EC435D">
      <w:pPr>
        <w:spacing w:line="23" w:lineRule="atLeast"/>
        <w:rPr>
          <w:noProof/>
          <w:szCs w:val="24"/>
        </w:rPr>
      </w:pPr>
      <w:r w:rsidRPr="00A7778D">
        <w:rPr>
          <w:noProof/>
        </w:rPr>
        <w:t>Tämä ehdotus on olennainen osa heinäkuussa 2021 hyväksyttyä Euroopan komission uudistettua kestävän rahoituksen strategiaa</w:t>
      </w:r>
      <w:r w:rsidRPr="00A7778D">
        <w:rPr>
          <w:rStyle w:val="FootnoteReference0"/>
          <w:noProof/>
          <w:szCs w:val="24"/>
        </w:rPr>
        <w:footnoteReference w:id="2"/>
      </w:r>
      <w:r w:rsidRPr="00A7778D">
        <w:rPr>
          <w:noProof/>
        </w:rPr>
        <w:t xml:space="preserve">. </w:t>
      </w:r>
    </w:p>
    <w:p w14:paraId="145EE625" w14:textId="77777777" w:rsidR="001850D8" w:rsidRPr="00A7778D" w:rsidRDefault="00E10D80" w:rsidP="00EC435D">
      <w:pPr>
        <w:spacing w:line="23" w:lineRule="atLeast"/>
        <w:rPr>
          <w:noProof/>
          <w:szCs w:val="24"/>
        </w:rPr>
      </w:pPr>
      <w:r w:rsidRPr="00A7778D">
        <w:rPr>
          <w:noProof/>
        </w:rPr>
        <w:t>Ympäristöön, yhteiskuntaan ja hyvään hallintotapaan (jäljempänä ’ESG’) liittyvistä investoinneista eli sijoituksista, joissa sijoituspäätöksiä tehtäessä otetaan  huomioon ESG-tekijät (ja joita kutsutaan myös kestäviksi sijoituksiksi), on tulossa tärkeä osa yleistä rahoitustoimintaa. Erityisesti sijoitusrahastojen, joilla on kestäviä ominaisuuksia tai tavoitteita, määrä ja koko ovat kasvaneet huomattavasti, ja ne houkuttelevat yhä enemmän erilaisia pääomia. Tähän liittyen on kehitetty ESG-sijoitusekosysteemi, johon kuuluu muun muassa ESG-luokitusten tarjoaminen. Tällaisia ESG-luokituksia markkinoidaan siten, että ne tarjoavat näkemyksen yrityksen tai yhteisön altistumisesta ympäristöön, yhteiskuntaan ja/tai hyvään hallintotapaan liittyville tekijöille ja vaikutuksesta yhteiskuntaan.</w:t>
      </w:r>
    </w:p>
    <w:p w14:paraId="17AFE68C" w14:textId="25DCECDD" w:rsidR="00C96312" w:rsidRPr="00A7778D" w:rsidRDefault="00744400" w:rsidP="00EC435D">
      <w:pPr>
        <w:spacing w:line="23" w:lineRule="atLeast"/>
        <w:rPr>
          <w:noProof/>
          <w:szCs w:val="24"/>
        </w:rPr>
      </w:pPr>
      <w:r w:rsidRPr="00A7778D">
        <w:rPr>
          <w:noProof/>
        </w:rPr>
        <w:t xml:space="preserve">ESG-luokitukset vaikuttavat yhä enemmän pääomamarkkinoiden toimintaan ja sijoittajien luottamukseen kestäviä tuotteita kohtaan. ESG-luokitukset mahdollistavat erityisesti EU:n kestävän rahoituksen markkinoiden moitteettoman toiminnan, sillä ne tarjoavat kriittisiä tietolähteitä sijoittajien ja rahoituslaitosten sijoitusstrategioita, riskinhallintaa ja julkistamisvelvoitteita varten. Niitä käyttävät myös yritykset, jotka pyrkivät ymmärtämään paremmin omaan tai kumppaneidensa toimintaan liittyviä kestävyysriskejä ja -mahdollisuuksia ja vertaavat näitä muihin vastaaviin yrityksiin. </w:t>
      </w:r>
    </w:p>
    <w:p w14:paraId="522C38D0" w14:textId="77777777" w:rsidR="00D03B5D" w:rsidRPr="00A7778D" w:rsidRDefault="00D03B5D" w:rsidP="00EC435D">
      <w:pPr>
        <w:spacing w:line="23" w:lineRule="atLeast"/>
        <w:rPr>
          <w:noProof/>
          <w:szCs w:val="24"/>
        </w:rPr>
      </w:pPr>
      <w:r w:rsidRPr="00A7778D">
        <w:rPr>
          <w:noProof/>
        </w:rPr>
        <w:t xml:space="preserve">ESG-luokitusten markkinoiden odotetaan kasvavan edelleen huomattavasti tulevina vuosina. ESG-luokitusten kysynnän kasvu johtuu yrityksille aiheutuvien riskien muuttuvasta luonteesta, sijoittajien kasvavasta tietoisuudesta näiden riskien taloudellisista vaikutuksista ja sellaisten sijoitustuotteiden kasvusta, joilla pyritään nimenomaisesti täyttämään tietyt kestävyysvaatimukset tai saavuttamaan tietyt kestävyystavoitteet. Kasvun taustalla ovat myös EU:n vuodesta 2018 lähtien hyväksymät kestävää rahoitusta koskevat säädökset. </w:t>
      </w:r>
    </w:p>
    <w:p w14:paraId="058C66FF" w14:textId="77777777" w:rsidR="00D03B5D" w:rsidRPr="00A7778D" w:rsidRDefault="00D03B5D" w:rsidP="00EC435D">
      <w:pPr>
        <w:spacing w:line="23" w:lineRule="atLeast"/>
        <w:rPr>
          <w:bCs/>
          <w:noProof/>
          <w:szCs w:val="24"/>
        </w:rPr>
      </w:pPr>
      <w:r w:rsidRPr="00A7778D">
        <w:rPr>
          <w:noProof/>
        </w:rPr>
        <w:t>ESG-luokitusten nykyisillä markkinoilla on kuitenkin puutteita eivätkä ne toimi asianmukaisesti, koska sijoittajien ja luokiteltujen yhteisöjen ESG-luokituksia koskevia tarpeita ei täytetä ja luottamus luokituksiin heikkenee. Ongelmaan liittyy useita eri näkökohtia, etupäässä i) ESG-luokitusten ominaisuuksien, menetelmien ja tietolähteiden läpinäkyvyyden puute ja ii) ESG-luokitusten tarjoajien toiminnan epäselvyys. ESG-luokitukset eivät anna käyttäjille, sijoittajille ja luokitelluille yhteisöille riittävästi mahdollisuuksia tehdä tietoon perustuvia päätöksiä ESG-tekijöihin liittyvistä riskeistä, vaikutuksista ja mahdollisuuksista.</w:t>
      </w:r>
    </w:p>
    <w:p w14:paraId="7657F988" w14:textId="77777777" w:rsidR="00636131" w:rsidRPr="00A7778D" w:rsidRDefault="0023783C" w:rsidP="00EC435D">
      <w:pPr>
        <w:spacing w:line="23" w:lineRule="atLeast"/>
        <w:rPr>
          <w:noProof/>
          <w:szCs w:val="24"/>
        </w:rPr>
      </w:pPr>
      <w:r w:rsidRPr="00A7778D">
        <w:rPr>
          <w:noProof/>
        </w:rPr>
        <w:t>Näin ollen komissio sitoutui uudistetussa kestävän rahoituksen strategiassa toteuttamaan toimia ESG-luokitusten luotettavuuden, vertailtavuuden ja läpinäkyvyyden parantamiseksi. Tällä ehdotuksella pyritään erityisesti parantamaan ESG-luokituksia koskevien tietojen laatua i) parantamalla ESG-luokitusten ominaisuuksien ja menetelmien läpinäkyvyyttä ja ii) selkeyttämällä kuvaa ESG-luokitusten tarjoajien toiminnasta ja ehkäisemällä eturistiriitojen riskiä ESG-luokitusten tarjoajien tasolla. Koska ESG-luokituksia ja niiden taustatietoja käytetään sijoituspäätöksissä ja pääoman kohdentamisessa, aloitteen yleisenä tavoitteena on parantaa ESG-luokitusten laatua, jotta sijoittajat voivat tehdä parempiin tietoihin perustuvia sijoituspäätöksiä kestävyystavoitteiden suhteen. Luokitusten avulla luokitellut yhteisöt voivat myös tehdä tietoon perustuvia päätöksiä ESG-riskien hallinnasta ja vaikutuksesta yhteisöjen toimintaan. Samalla on ratkaisevan tärkeää edistää luottamusta ESG-luokitusten tarjoajien toimintaan varmistamalla, että markkinat toimivat asianmukaisesti ja ESG-luokitusten tarjoajat ehkäisevät ja hallitsevat eturistiriitoja.</w:t>
      </w:r>
    </w:p>
    <w:p w14:paraId="280CDFC0" w14:textId="77777777" w:rsidR="00C75A5D" w:rsidRPr="00A7778D" w:rsidRDefault="00C75A5D" w:rsidP="00EC435D">
      <w:pPr>
        <w:spacing w:line="23" w:lineRule="atLeast"/>
        <w:rPr>
          <w:noProof/>
          <w:szCs w:val="24"/>
        </w:rPr>
      </w:pPr>
      <w:r w:rsidRPr="00A7778D">
        <w:rPr>
          <w:noProof/>
        </w:rPr>
        <w:t>Tällä ehdotuksella ei pyritä yhdenmukaistamaan ESG-luokitusten laskentamenetelmiä vaan lisäämään niiden läpinäkyvyyttä. ESG-luokitusten tarjoajilla on edelleen täysi määräysvalta käyttämistään menetelmistä, ja ne voivat tehdä valintoja riippumattomasti, millä varmistetaan, että ESG-luokitusten markkinoilla on käytettävissä erilaisia lähestymistapoja (eli ESG-luokitusten välillä voi olla eroja ja ne voivat kattaa eri aloja).</w:t>
      </w:r>
    </w:p>
    <w:p w14:paraId="10F0A0A5" w14:textId="77777777" w:rsidR="00182F44" w:rsidRPr="00A7778D" w:rsidRDefault="004B365E" w:rsidP="00EC435D">
      <w:pPr>
        <w:spacing w:line="23" w:lineRule="atLeast"/>
        <w:rPr>
          <w:noProof/>
          <w:szCs w:val="24"/>
        </w:rPr>
      </w:pPr>
      <w:r w:rsidRPr="00A7778D">
        <w:rPr>
          <w:noProof/>
        </w:rPr>
        <w:t>Tällä ehdotuksella pyritään helpottamaan sisämarkkinoiden ja pääomamarkkinaunionin tarjoamien mahdollisuuksien hyödyntämistä ja edistämään siirtymistä täysin kestävään ja osallistavaan talous- ja rahoitusjärjestelmään Euroopan vihreän kehityksen ohjelman</w:t>
      </w:r>
      <w:r w:rsidRPr="00A7778D">
        <w:rPr>
          <w:rStyle w:val="FootnoteReference0"/>
          <w:noProof/>
          <w:szCs w:val="24"/>
        </w:rPr>
        <w:footnoteReference w:id="3"/>
      </w:r>
      <w:r w:rsidRPr="00A7778D">
        <w:rPr>
          <w:noProof/>
        </w:rPr>
        <w:t xml:space="preserve"> ja YK:n kestävän kehityksen tavoitteiden mukaisesti.</w:t>
      </w:r>
    </w:p>
    <w:p w14:paraId="7A4F8FE3" w14:textId="77777777" w:rsidR="003D75BF" w:rsidRPr="00A7778D" w:rsidRDefault="008368B0" w:rsidP="00EC435D">
      <w:pPr>
        <w:spacing w:line="23" w:lineRule="atLeast"/>
        <w:rPr>
          <w:noProof/>
          <w:szCs w:val="24"/>
        </w:rPr>
      </w:pPr>
      <w:r w:rsidRPr="00A7778D">
        <w:rPr>
          <w:noProof/>
        </w:rPr>
        <w:t xml:space="preserve">Kaikilla talouden aloilla tarvitaan merkittäviä investointeja, jotta voidaan siirtyä ilmastoneutraaliin talouteen ja saavuttaa unionin ympäristökestävyystavoitteet. Sijoittajien ja yritysten olisi voitava helpommin tunnistaa ympäristön kannalta kestävät investoinnit ja varmistaa niiden luotettavuus. </w:t>
      </w:r>
    </w:p>
    <w:p w14:paraId="594FEF46" w14:textId="77777777" w:rsidR="00DB2B1C" w:rsidRPr="00A7778D" w:rsidRDefault="00DB2B1C" w:rsidP="00EC435D">
      <w:pPr>
        <w:pBdr>
          <w:top w:val="nil"/>
          <w:left w:val="nil"/>
          <w:bottom w:val="nil"/>
          <w:right w:val="nil"/>
          <w:between w:val="nil"/>
          <w:bar w:val="nil"/>
        </w:pBdr>
        <w:spacing w:line="23" w:lineRule="atLeast"/>
        <w:rPr>
          <w:noProof/>
          <w:szCs w:val="24"/>
        </w:rPr>
      </w:pPr>
      <w:r w:rsidRPr="00A7778D">
        <w:rPr>
          <w:noProof/>
        </w:rPr>
        <w:t>Tämä aloite ei ole sääntelyn toimivuutta ja tuloksellisuutta koskevaan ohjelmaan (REFIT) kuuluva aloite.</w:t>
      </w:r>
    </w:p>
    <w:p w14:paraId="6A9B3B5A" w14:textId="77777777" w:rsidR="00587167" w:rsidRPr="00A7778D" w:rsidRDefault="00587167" w:rsidP="00EC435D">
      <w:pPr>
        <w:pStyle w:val="ManualHeading2"/>
        <w:spacing w:line="23" w:lineRule="atLeast"/>
        <w:rPr>
          <w:rFonts w:eastAsia="Arial Unicode MS"/>
          <w:noProof/>
          <w:color w:val="000000"/>
          <w:szCs w:val="24"/>
          <w:u w:color="000000"/>
          <w:bdr w:val="nil"/>
        </w:rPr>
      </w:pPr>
      <w:r w:rsidRPr="00A7778D">
        <w:rPr>
          <w:noProof/>
          <w:color w:val="000000"/>
          <w:u w:color="000000"/>
          <w:bdr w:val="nil"/>
        </w:rPr>
        <w:t>•</w:t>
      </w:r>
      <w:r w:rsidRPr="00A7778D">
        <w:rPr>
          <w:noProof/>
        </w:rPr>
        <w:tab/>
        <w:t>Yhdenmukaisuus muiden alaa koskevien politiikkojen säännösten kanssa</w:t>
      </w:r>
    </w:p>
    <w:p w14:paraId="6040CD40" w14:textId="77777777" w:rsidR="000B2700" w:rsidRPr="00A7778D" w:rsidRDefault="00D32AD6" w:rsidP="00EC435D">
      <w:pPr>
        <w:pBdr>
          <w:top w:val="nil"/>
          <w:left w:val="nil"/>
          <w:bottom w:val="nil"/>
          <w:right w:val="nil"/>
          <w:between w:val="nil"/>
          <w:bar w:val="nil"/>
        </w:pBdr>
        <w:spacing w:line="23" w:lineRule="atLeast"/>
        <w:rPr>
          <w:noProof/>
          <w:szCs w:val="24"/>
        </w:rPr>
      </w:pPr>
      <w:r w:rsidRPr="00A7778D">
        <w:rPr>
          <w:noProof/>
        </w:rPr>
        <w:t>EU on ottanut käyttöön kestävän rahoituksen kehyksen osatekijät</w:t>
      </w:r>
      <w:r w:rsidRPr="00A7778D">
        <w:rPr>
          <w:rStyle w:val="FootnoteReference0"/>
          <w:noProof/>
          <w:szCs w:val="24"/>
        </w:rPr>
        <w:footnoteReference w:id="4"/>
      </w:r>
      <w:r w:rsidRPr="00A7778D">
        <w:rPr>
          <w:noProof/>
        </w:rPr>
        <w:t>. Sidosryhmät ovat tuoneet esiin jäljellä olevia markkinoiden toimintapuutteita ja sääntelyn aukkoja, jotka voivat haitata markkinoiden kehitystä. ESG-luokitusten ja tietojen tarjoajat käyttävät yritysten julkaisemia tietoja, ja näiden tietojen saatavuus, tarkkuus ja johdonmukaisuus ovat keskeisiä niistä riippuvaisten jatkojalostustuotteiden laadun kannalta. Yritysten kestävyysraportointia koskevan direktiivin</w:t>
      </w:r>
      <w:r w:rsidRPr="00A7778D">
        <w:rPr>
          <w:rStyle w:val="FootnoteReference0"/>
          <w:noProof/>
          <w:szCs w:val="24"/>
        </w:rPr>
        <w:footnoteReference w:id="5"/>
      </w:r>
      <w:r w:rsidRPr="00A7778D">
        <w:rPr>
          <w:noProof/>
        </w:rPr>
        <w:t xml:space="preserve"> ja EU:n luokitusjärjestelmäasetuksen</w:t>
      </w:r>
      <w:r w:rsidRPr="00A7778D">
        <w:rPr>
          <w:rStyle w:val="FootnoteReference0"/>
          <w:noProof/>
          <w:szCs w:val="24"/>
        </w:rPr>
        <w:footnoteReference w:id="6"/>
      </w:r>
      <w:r w:rsidRPr="00A7778D">
        <w:rPr>
          <w:noProof/>
        </w:rPr>
        <w:t xml:space="preserve"> mukaan yritysten on tuotettava tietoja tietyistä ESG-tekijöistä. ESG-luokitukset perustuvat näihin tietoihin ja täydentävät niitä tarjoamalla kriittisiä tietolähteitä sijoitusstrategioita, riskinhallintaa ja sijoittajien ja rahoituslaitosten sisäisiä analyyseja varten. ESG-luokitusten tarjoajat käyttävät yrityksiltä peräisin olevia tietoja, ja mitä luotettavampia, täsmällisempiä ja vakiomuotoisempia tietoja on saatavilla, sitä vähemmän on tarpeen käyttää arvioita tiedoissa olevien aukkojen täyttämiseksi. Esimerkiksi yritysten kestävyysraportit auttavat ESG-luokitusten tarjoajia tekemään arviointeja.</w:t>
      </w:r>
    </w:p>
    <w:p w14:paraId="310EFD1F" w14:textId="77777777" w:rsidR="006C33A1" w:rsidRPr="00A7778D" w:rsidRDefault="00D32AD6" w:rsidP="00EC435D">
      <w:pPr>
        <w:pBdr>
          <w:top w:val="nil"/>
          <w:left w:val="nil"/>
          <w:bottom w:val="nil"/>
          <w:right w:val="nil"/>
          <w:between w:val="nil"/>
          <w:bar w:val="nil"/>
        </w:pBdr>
        <w:spacing w:line="23" w:lineRule="atLeast"/>
        <w:rPr>
          <w:noProof/>
          <w:szCs w:val="24"/>
        </w:rPr>
      </w:pPr>
      <w:r w:rsidRPr="00A7778D">
        <w:rPr>
          <w:noProof/>
        </w:rPr>
        <w:t>Lisäksi kestävää rahoitusta koskevassa lainsäädännössä (johon kuuluvat muun muassa yritysten kestävyysraportointia koskeva direktiivi, kestävää rahoitusta koskevien tietojen antamista koskeva asetus</w:t>
      </w:r>
      <w:r w:rsidRPr="00A7778D">
        <w:rPr>
          <w:rStyle w:val="FootnoteReference0"/>
          <w:noProof/>
          <w:szCs w:val="24"/>
        </w:rPr>
        <w:footnoteReference w:id="7"/>
      </w:r>
      <w:r w:rsidRPr="00A7778D">
        <w:rPr>
          <w:noProof/>
        </w:rPr>
        <w:t xml:space="preserve"> ja EU:n luokitusjärjestelmäasetus) rahoituslaitoksille ja markkinatoimijoille asetetut uudet vaatimukset lisäävät ESG-luokitusten kysyntää. </w:t>
      </w:r>
    </w:p>
    <w:p w14:paraId="2711652E" w14:textId="77777777" w:rsidR="00B83EFF" w:rsidRPr="00A7778D" w:rsidRDefault="00651A16" w:rsidP="00EC435D">
      <w:pPr>
        <w:pBdr>
          <w:top w:val="nil"/>
          <w:left w:val="nil"/>
          <w:bottom w:val="nil"/>
          <w:right w:val="nil"/>
          <w:between w:val="nil"/>
          <w:bar w:val="nil"/>
        </w:pBdr>
        <w:spacing w:line="23" w:lineRule="atLeast"/>
        <w:rPr>
          <w:noProof/>
          <w:szCs w:val="24"/>
        </w:rPr>
      </w:pPr>
      <w:r w:rsidRPr="00A7778D">
        <w:rPr>
          <w:noProof/>
        </w:rPr>
        <w:t>Tämä aloite liittyy myös tiiviisti vihreitä joukkolainoja koskevien standardien ja EU:n ilmastovertailuarvojen parissa tehtävään työhön. Eurooppalaisia vihreitä joukkolainoja koskevassa asetusehdotuksessa</w:t>
      </w:r>
      <w:r w:rsidRPr="00A7778D">
        <w:rPr>
          <w:rStyle w:val="FootnoteReference0"/>
          <w:noProof/>
          <w:szCs w:val="24"/>
        </w:rPr>
        <w:footnoteReference w:id="8"/>
      </w:r>
      <w:r w:rsidRPr="00A7778D">
        <w:rPr>
          <w:noProof/>
        </w:rPr>
        <w:t xml:space="preserve"> edellytetään, että EU:n tulevien vihreiden joukkolainojen liikkeeseenlaskijat julkistavat tietoja niiden joukkolainoilla rahoitettujen hankkeiden luokitusjärjestelmän mukaisuudesta. Tätä varten ne voivat hankkia ESG-luokituksia saadakseen taustatietoja, joita voitaisiin hyödyntää niiden hankearvioinneissa. ESG-luokituksissa julkistetut tiedot auttavat sijoittajia, myös vihreisiin joukkolainoihin sijoittavia, arvioimaan paremmin yritysten muuta kuin taloudellista kokonaistulosta. </w:t>
      </w:r>
    </w:p>
    <w:p w14:paraId="61636429" w14:textId="77777777" w:rsidR="00B83EFF" w:rsidRPr="00A7778D" w:rsidRDefault="00B83EFF" w:rsidP="00EC435D">
      <w:pPr>
        <w:pBdr>
          <w:top w:val="nil"/>
          <w:left w:val="nil"/>
          <w:bottom w:val="nil"/>
          <w:right w:val="nil"/>
          <w:between w:val="nil"/>
          <w:bar w:val="nil"/>
        </w:pBdr>
        <w:spacing w:line="23" w:lineRule="atLeast"/>
        <w:rPr>
          <w:noProof/>
          <w:szCs w:val="24"/>
        </w:rPr>
      </w:pPr>
      <w:r w:rsidRPr="00A7778D">
        <w:rPr>
          <w:noProof/>
        </w:rPr>
        <w:t>EU:n ilmastovertailuarvoja koskevaan asetukseen</w:t>
      </w:r>
      <w:r w:rsidRPr="00A7778D">
        <w:rPr>
          <w:rStyle w:val="FootnoteReference0"/>
          <w:noProof/>
          <w:szCs w:val="24"/>
        </w:rPr>
        <w:footnoteReference w:id="9"/>
      </w:r>
      <w:r w:rsidRPr="00A7778D">
        <w:rPr>
          <w:noProof/>
        </w:rPr>
        <w:t xml:space="preserve"> liittyvässä delegoidussa asetuksessa</w:t>
      </w:r>
      <w:r w:rsidRPr="00A7778D">
        <w:rPr>
          <w:rStyle w:val="FootnoteReference0"/>
          <w:noProof/>
          <w:szCs w:val="24"/>
        </w:rPr>
        <w:footnoteReference w:id="10"/>
      </w:r>
      <w:r w:rsidRPr="00A7778D">
        <w:rPr>
          <w:noProof/>
        </w:rPr>
        <w:t xml:space="preserve"> vahvistetaan luettelo ESG-tekijöistä, jotka vertailuarvojen hallinnoijien on julkistettava niiden vertailuarvojen osalta, joilla pyritään ESG-tavoitteisiin, riippuen perustana olevien varojen tyypistä (esimerkiksi pääoma, kiinteätuottoinen arvopaperi tai valtionlaina). Niiden on hankittava nämä tiedot suoraan yrityksiltä esimerkiksi näiden vuosikertomuksista tai hankittava ne ulkopuolisilta luokitusten/tietojen tarjoajilta. Delegoidussa asetuksessa annetaan vertailuarvojen hallinnoijille mahdollisuus julkistaa tietoja vertailuarvojen ESG-luokituksista. Paremmat tiedot ESG-luokituksissa käytetyistä menetelmistä auttaisivat vertailuarvojen hallinnoijia saamaan selkeämmän kuvan vertailuarvojen osatekijöistä. Paremmat ja luotettavammat luokitukset lisäävät vertailuarvojen hallinnoijien luottamusta ja viime kädessä edistävät näiden luokitusten käyttöä luotettavana välineenä mielekkäiden vertailuarvojen suunnittelussa. Lisäksi ne auttavat vertailuarvojen käyttäjiä tunnistamaan sijoitusstrategiansa mukaisia vertailuarvoja ja panemaan strategian täytäntöön välttäen viherpesun riskejä. Tällä asetuksella olisi myös parannettava sijoittajien luottamusta ESG-vertailuarvoihin ja siten tuettava kestävää sijoittamista.</w:t>
      </w:r>
    </w:p>
    <w:p w14:paraId="3D06598D" w14:textId="77777777" w:rsidR="000B2700" w:rsidRPr="00A7778D" w:rsidRDefault="00587167" w:rsidP="00EC435D">
      <w:pPr>
        <w:pStyle w:val="ManualHeading2"/>
        <w:spacing w:line="23" w:lineRule="atLeast"/>
        <w:rPr>
          <w:noProof/>
          <w:szCs w:val="24"/>
        </w:rPr>
      </w:pPr>
      <w:r w:rsidRPr="00A7778D">
        <w:rPr>
          <w:noProof/>
          <w:color w:val="000000"/>
          <w:u w:color="000000"/>
          <w:bdr w:val="nil"/>
        </w:rPr>
        <w:t>•</w:t>
      </w:r>
      <w:r w:rsidRPr="00A7778D">
        <w:rPr>
          <w:noProof/>
        </w:rPr>
        <w:tab/>
        <w:t>Yhdenmukaisuus unionin muiden politiikkojen kanssa</w:t>
      </w:r>
    </w:p>
    <w:p w14:paraId="37A65C33" w14:textId="77777777" w:rsidR="009E3E73" w:rsidRPr="00A7778D" w:rsidRDefault="009E3E73" w:rsidP="00EC435D">
      <w:pPr>
        <w:pBdr>
          <w:top w:val="nil"/>
          <w:left w:val="nil"/>
          <w:bottom w:val="nil"/>
          <w:right w:val="nil"/>
          <w:between w:val="nil"/>
          <w:bar w:val="nil"/>
        </w:pBdr>
        <w:spacing w:line="23" w:lineRule="atLeast"/>
        <w:rPr>
          <w:noProof/>
          <w:szCs w:val="24"/>
        </w:rPr>
      </w:pPr>
      <w:r w:rsidRPr="00A7778D">
        <w:rPr>
          <w:noProof/>
        </w:rPr>
        <w:t>Tämä ehdotus on osa kestävän rahoituksen toimenpidepakettia, joka on yksi pääomamarkkinaunionihankkeen painopisteistä. Se sisältää toimenpiteitä, joilla voidaan hyödyntää rahoituspalvelujen muutosvoimaa ja siirtää yksityistä pääomaa kestäviin sijoituksiin. Se edistää yhdentyneempien pääomamarkkinoiden kehittymistä, koska sen myötä sijoittajat pystyvät helpommin hyötymään sisämarkkinoista ja tekemään parempiin tietoihin perustuvia päätöksiä. Esimerkiksi eurooppalainen keskitetty yhteyspiste (ESAP) tarjoaa sidosryhmille helpomman pääsyn tietoihin, ja se voi myös toimia ESG-luokitusten tarjoajien tietolähteenä tai tietojen toimittamispaikkana, mikä vähentää arvioiden käyttöä ja parantaa myös yleisesti luokitusten laatua.</w:t>
      </w:r>
    </w:p>
    <w:p w14:paraId="042BF28A" w14:textId="77777777" w:rsidR="000B2700" w:rsidRPr="00A7778D" w:rsidRDefault="000B2700" w:rsidP="00EC435D">
      <w:pPr>
        <w:pBdr>
          <w:top w:val="nil"/>
          <w:left w:val="nil"/>
          <w:bottom w:val="nil"/>
          <w:right w:val="nil"/>
          <w:between w:val="nil"/>
          <w:bar w:val="nil"/>
        </w:pBdr>
        <w:spacing w:line="23" w:lineRule="atLeast"/>
        <w:rPr>
          <w:noProof/>
          <w:szCs w:val="24"/>
        </w:rPr>
      </w:pPr>
      <w:r w:rsidRPr="00A7778D">
        <w:rPr>
          <w:noProof/>
        </w:rPr>
        <w:t>Tämä ehdotus on Euroopan vihreän kehityksen ohjelman yleisten politiikkatavoitteiden mukainen. Euroopan vihreän kehityksen ohjelma on unionin vastaus nykysukupolven ilmasto- ja ympäristöhaasteisiin. Sen tavoitteena on muuttaa unioni nykyaikaiseksi, resurssitehokkaaksi ja kilpailukykyiseksi taloudeksi, jossa ei ole kasvihuonekaasujen nettopäästöjä vuoteen 2050 mennessä.</w:t>
      </w:r>
    </w:p>
    <w:p w14:paraId="25043BBA" w14:textId="77777777" w:rsidR="00544A29" w:rsidRPr="00A7778D" w:rsidRDefault="00544A29" w:rsidP="00EC435D">
      <w:pPr>
        <w:pBdr>
          <w:top w:val="nil"/>
          <w:left w:val="nil"/>
          <w:bottom w:val="nil"/>
          <w:right w:val="nil"/>
          <w:between w:val="nil"/>
          <w:bar w:val="nil"/>
        </w:pBdr>
        <w:spacing w:line="23" w:lineRule="atLeast"/>
        <w:rPr>
          <w:noProof/>
          <w:szCs w:val="24"/>
        </w:rPr>
      </w:pPr>
      <w:r w:rsidRPr="00A7778D">
        <w:rPr>
          <w:noProof/>
        </w:rPr>
        <w:t xml:space="preserve">Lisäksi täysin toimivien ja yhdentyneiden pääomamarkkinoiden ansiosta EU:n talous voi kasvaa kestävällä tavalla ja lisätä kilpailukykyään komission strategista painopistettä ”ihmisten hyväksi toimiva talous” noudattaen ja keskittyen luomaan oikeanlaiset olosuhteet työpaikkojen luomiselle, kasvulle ja investoinneille. </w:t>
      </w:r>
    </w:p>
    <w:p w14:paraId="2E740CC3" w14:textId="77777777" w:rsidR="00681A55" w:rsidRPr="00A7778D" w:rsidRDefault="00681A55" w:rsidP="00EC435D">
      <w:pPr>
        <w:pBdr>
          <w:top w:val="nil"/>
          <w:left w:val="nil"/>
          <w:bottom w:val="nil"/>
          <w:right w:val="nil"/>
          <w:between w:val="nil"/>
          <w:bar w:val="nil"/>
        </w:pBdr>
        <w:spacing w:line="23" w:lineRule="atLeast"/>
        <w:rPr>
          <w:noProof/>
          <w:szCs w:val="24"/>
        </w:rPr>
      </w:pPr>
      <w:r w:rsidRPr="00A7778D">
        <w:rPr>
          <w:noProof/>
        </w:rPr>
        <w:t xml:space="preserve">Tällä ehdotuksella täydennetään EU:n nykyistä ympäristö- ja ilmastopolitiikkaa tekemällä ESG-luokitusmenetelmistä läpinäkyvämpiä, minkä pitäisi johtaa investointien tehokkaampaan ohjaamiseen kestäviin omaisuuseriin. </w:t>
      </w:r>
    </w:p>
    <w:p w14:paraId="351A658A" w14:textId="77777777" w:rsidR="00587167" w:rsidRPr="00A7778D" w:rsidRDefault="00587167" w:rsidP="00EC435D">
      <w:pPr>
        <w:pStyle w:val="ManualHeading1"/>
        <w:spacing w:before="120" w:line="23" w:lineRule="atLeast"/>
        <w:rPr>
          <w:noProof/>
          <w:szCs w:val="24"/>
        </w:rPr>
      </w:pPr>
      <w:r w:rsidRPr="00A7778D">
        <w:rPr>
          <w:noProof/>
        </w:rPr>
        <w:t>2.</w:t>
      </w:r>
      <w:r w:rsidRPr="00A7778D">
        <w:rPr>
          <w:noProof/>
        </w:rPr>
        <w:tab/>
        <w:t>OIKEUSPERUSTA, TOISSIJAISUUSPERIAATE JA SUHTEELLISUUSPERIAATE</w:t>
      </w:r>
    </w:p>
    <w:p w14:paraId="50B62AA9" w14:textId="77777777" w:rsidR="00587167" w:rsidRPr="00A7778D" w:rsidRDefault="00587167" w:rsidP="00EC435D">
      <w:pPr>
        <w:pStyle w:val="ManualHeading2"/>
        <w:spacing w:line="23" w:lineRule="atLeast"/>
        <w:rPr>
          <w:rFonts w:eastAsia="Arial Unicode MS"/>
          <w:noProof/>
          <w:szCs w:val="24"/>
          <w:u w:color="000000"/>
          <w:bdr w:val="nil"/>
        </w:rPr>
      </w:pPr>
      <w:r w:rsidRPr="00A7778D">
        <w:rPr>
          <w:noProof/>
          <w:u w:color="000000"/>
          <w:bdr w:val="nil"/>
        </w:rPr>
        <w:t>•</w:t>
      </w:r>
      <w:r w:rsidRPr="00A7778D">
        <w:rPr>
          <w:noProof/>
        </w:rPr>
        <w:tab/>
        <w:t>Oikeusperusta</w:t>
      </w:r>
    </w:p>
    <w:p w14:paraId="778F72D4" w14:textId="77777777" w:rsidR="00121A92" w:rsidRPr="00A7778D" w:rsidRDefault="00121A92" w:rsidP="00EC435D">
      <w:pPr>
        <w:spacing w:line="23" w:lineRule="atLeast"/>
        <w:rPr>
          <w:noProof/>
          <w:szCs w:val="24"/>
        </w:rPr>
      </w:pPr>
      <w:r w:rsidRPr="00A7778D">
        <w:rPr>
          <w:noProof/>
        </w:rPr>
        <w:t xml:space="preserve">Tämä ehdotus kuuluu jaettuun toimivaltaan Euroopan unionin toiminnasta tehdyn sopimuksen (SEUT-sopimus) 4 artiklan 2 kohdan a alakohdan mukaisesti ja se perustuu SEUT-sopimuksen 114 artiklaan, jossa unionille annetaan toimivalta antaa aiheelliset säännökset, joiden tavoitteena on sisämarkkinoiden toteuttaminen ja toiminta. </w:t>
      </w:r>
    </w:p>
    <w:p w14:paraId="55351C43" w14:textId="77777777" w:rsidR="00121A92" w:rsidRPr="00A7778D" w:rsidRDefault="00121A92" w:rsidP="00EC435D">
      <w:pPr>
        <w:spacing w:line="23" w:lineRule="atLeast"/>
        <w:rPr>
          <w:noProof/>
          <w:szCs w:val="24"/>
        </w:rPr>
      </w:pPr>
      <w:r w:rsidRPr="00A7778D">
        <w:rPr>
          <w:noProof/>
        </w:rPr>
        <w:t xml:space="preserve">SEUT-sopimuksen 114 artiklan mukaan unioni voi toteuttaa toimenpiteitä paitsi poistaakseen perusvapauksien käyttämisen nykyisiä esteitä myös estääkseen tällaisten esteiden todennäköisen syntymisen tulevaisuudessa. Tämä koskee myös esteitä, joiden vuoksi markkinatoimijoiden, kuten ESG-luokitusten tarjoajien tai sijoittajien, on vaikea täysin hyödyntää sisämarkkinoiden tarjoamia etuja. </w:t>
      </w:r>
    </w:p>
    <w:p w14:paraId="718A09E2" w14:textId="77777777" w:rsidR="00587167" w:rsidRPr="00A7778D" w:rsidRDefault="00587167" w:rsidP="00EC435D">
      <w:pPr>
        <w:pStyle w:val="ManualHeading2"/>
        <w:spacing w:line="23" w:lineRule="atLeast"/>
        <w:rPr>
          <w:rFonts w:eastAsia="Arial Unicode MS"/>
          <w:noProof/>
          <w:szCs w:val="24"/>
          <w:u w:color="000000"/>
          <w:bdr w:val="nil"/>
        </w:rPr>
      </w:pPr>
      <w:r w:rsidRPr="00A7778D">
        <w:rPr>
          <w:noProof/>
          <w:u w:color="000000"/>
          <w:bdr w:val="nil"/>
        </w:rPr>
        <w:t>•</w:t>
      </w:r>
      <w:r w:rsidRPr="00A7778D">
        <w:rPr>
          <w:noProof/>
        </w:rPr>
        <w:tab/>
        <w:t>Toissijaisuusperiaate (jaetun toimivallan osalta)</w:t>
      </w:r>
      <w:r w:rsidRPr="00A7778D">
        <w:rPr>
          <w:noProof/>
          <w:u w:color="000000"/>
          <w:bdr w:val="nil"/>
        </w:rPr>
        <w:t xml:space="preserve"> </w:t>
      </w:r>
    </w:p>
    <w:p w14:paraId="57AA113F" w14:textId="77777777" w:rsidR="00B477B3" w:rsidRPr="00A7778D" w:rsidRDefault="00B477B3" w:rsidP="00EC435D">
      <w:pPr>
        <w:spacing w:line="23" w:lineRule="atLeast"/>
        <w:rPr>
          <w:noProof/>
          <w:szCs w:val="24"/>
        </w:rPr>
      </w:pPr>
      <w:r w:rsidRPr="00A7778D">
        <w:rPr>
          <w:noProof/>
        </w:rPr>
        <w:t>Jäsenvaltiot eivät voi yksin riittävällä tavalla saavuttaa tämän aloitteen tavoitetta, eli ESG-luokitusten ominaisuuksien ja tavoitteiden sekä ESG-luokitusten tarjoajien toiminnan selkeyttämistä, joten EU:n tason toimet ovat tarpeen EU:n pääomamarkkinoiden moitteettoman toiminnan kannalta.</w:t>
      </w:r>
    </w:p>
    <w:p w14:paraId="32647854" w14:textId="77777777" w:rsidR="00B477B3" w:rsidRPr="00A7778D" w:rsidRDefault="00B477B3" w:rsidP="00EC435D">
      <w:pPr>
        <w:spacing w:line="23" w:lineRule="atLeast"/>
        <w:rPr>
          <w:noProof/>
          <w:color w:val="000000"/>
          <w:szCs w:val="24"/>
        </w:rPr>
      </w:pPr>
      <w:r w:rsidRPr="00A7778D">
        <w:rPr>
          <w:noProof/>
        </w:rPr>
        <w:t xml:space="preserve">ESG-luokitusten tarjoajiin ei tällä hetkellä sovelleta mitään EU:n sääntelykehystä. </w:t>
      </w:r>
      <w:r w:rsidRPr="00A7778D">
        <w:rPr>
          <w:noProof/>
          <w:color w:val="000000"/>
        </w:rPr>
        <w:t xml:space="preserve">Jäsenvaltiot eivät sääntele ESG-luokitusten tarjoajien toimintaa eivätkä ESG-luokitusten antamisen edellytyksiä. Kukin ESG-luokitusten tarjoaja noudattaa omia sääntöjään, eikä ole selvää, mitä ne tekevät ja miten ne toimivat. </w:t>
      </w:r>
    </w:p>
    <w:p w14:paraId="5368EB35" w14:textId="77777777" w:rsidR="00B477B3" w:rsidRPr="00A7778D" w:rsidRDefault="00B477B3" w:rsidP="00EC435D">
      <w:pPr>
        <w:spacing w:line="23" w:lineRule="atLeast"/>
        <w:rPr>
          <w:noProof/>
          <w:szCs w:val="24"/>
        </w:rPr>
      </w:pPr>
      <w:r w:rsidRPr="00A7778D">
        <w:rPr>
          <w:noProof/>
        </w:rPr>
        <w:t>ESG-luokitusten markkinat ovat maailmanlaajuiset. Joidenkin suurten ESG-luokitusten tarjoajien päätoimipaikka on EU:ssa, kun taas monilla muilla on päätoimipaikka EU:n ulkopuolella, mutta niillä on tytäryhtiöitä EU:ssa.</w:t>
      </w:r>
    </w:p>
    <w:p w14:paraId="7B142F09" w14:textId="77777777" w:rsidR="00B477B3" w:rsidRPr="00A7778D" w:rsidRDefault="00B477B3" w:rsidP="00EC435D">
      <w:pPr>
        <w:spacing w:line="23" w:lineRule="atLeast"/>
        <w:rPr>
          <w:noProof/>
          <w:szCs w:val="24"/>
        </w:rPr>
      </w:pPr>
      <w:r w:rsidRPr="00A7778D">
        <w:rPr>
          <w:noProof/>
        </w:rPr>
        <w:t>Vaikka jäsenvaltiot voisivat toteuttaa erillisiä toimia ESG-luokitusten luotettavuuden ja läpinäkyvyyden parantamiseksi, tällaiset toimenpiteet todennäköisesti poikkeaisivat huomattavasti toisistaan eri jäsenvaltioissa. Tämä voi aiheuttaa eroja läpinäkyvyydessä, esteitä markkinatoimijoille ja haasteita niille, jotka toimivat yli rajojen (kuten EU:n markkinoilla, jossa käyttäjät sijaitsevat useissa jäsenvaltioissa), minkä lisäksi se rajoittaa luokitusten vertailtavuutta. Vaihtoehtoisesti ESG-luokitusten tarjoajien toimintaa koskevien sääntöjen puuttuessa nykytilanne ja läpinäkyvyyteen liittyvät ongelmat jatkuisivat ja voisivat jopa pahentua.</w:t>
      </w:r>
    </w:p>
    <w:p w14:paraId="505D63DB" w14:textId="77777777" w:rsidR="005B18D6" w:rsidRPr="00A7778D" w:rsidRDefault="005B18D6" w:rsidP="00EC435D">
      <w:pPr>
        <w:spacing w:line="23" w:lineRule="atLeast"/>
        <w:rPr>
          <w:noProof/>
          <w:szCs w:val="24"/>
        </w:rPr>
      </w:pPr>
      <w:bookmarkStart w:id="2" w:name="_Hlk134189306"/>
      <w:r w:rsidRPr="00A7778D">
        <w:rPr>
          <w:noProof/>
        </w:rPr>
        <w:t>Koska kestävään sijoittamiseen ja ESG-luokituksiin kiinnitetään yhä enemmän huomiota eri lainkäyttöalueilla ympäri maailmaa, on olennaisen tärkeää, että EU tekee yhteistyötä kumppaneidensa kanssa johdonmukaisen ja kattavan yhdenmukaistetun lähestymistavan pohjalta. Aloite ei korvaisi kansallista lainsäädäntöä, koska tällä hetkellä yhdelläkään jäsenvaltiolla ei ole ESG-luokitusten tarjoajien toimintaa sääntelevää lainsäädäntöä.</w:t>
      </w:r>
    </w:p>
    <w:p w14:paraId="29CC9E81" w14:textId="77777777" w:rsidR="005B18D6" w:rsidRPr="00A7778D" w:rsidRDefault="005B18D6" w:rsidP="00EC435D">
      <w:pPr>
        <w:spacing w:line="23" w:lineRule="atLeast"/>
        <w:rPr>
          <w:noProof/>
          <w:szCs w:val="24"/>
        </w:rPr>
      </w:pPr>
      <w:r w:rsidRPr="00A7778D">
        <w:rPr>
          <w:noProof/>
        </w:rPr>
        <w:t>Sisämarkkinoiden toimintaa voitaisiin parantaa selkeyttämällä sellaisten yhteisöjen toimintaa, jotka ovat yhä tärkeämpiä rahoituksen kanavoinnissa.</w:t>
      </w:r>
    </w:p>
    <w:bookmarkEnd w:id="2"/>
    <w:p w14:paraId="29E97B74" w14:textId="77777777" w:rsidR="00587167" w:rsidRPr="00A7778D" w:rsidRDefault="00587167" w:rsidP="00EC435D">
      <w:pPr>
        <w:pStyle w:val="ManualHeading2"/>
        <w:spacing w:line="23" w:lineRule="atLeast"/>
        <w:rPr>
          <w:rFonts w:eastAsia="Arial Unicode MS"/>
          <w:noProof/>
          <w:szCs w:val="24"/>
          <w:u w:color="000000"/>
          <w:bdr w:val="nil"/>
        </w:rPr>
      </w:pPr>
      <w:r w:rsidRPr="00A7778D">
        <w:rPr>
          <w:noProof/>
          <w:u w:color="000000"/>
          <w:bdr w:val="nil"/>
        </w:rPr>
        <w:t>•</w:t>
      </w:r>
      <w:r w:rsidRPr="00A7778D">
        <w:rPr>
          <w:noProof/>
        </w:rPr>
        <w:tab/>
        <w:t>Suhteellisuusperiaate</w:t>
      </w:r>
    </w:p>
    <w:p w14:paraId="7D31DAA4" w14:textId="77777777" w:rsidR="00DC4402" w:rsidRPr="00A7778D" w:rsidRDefault="00DC4402" w:rsidP="00EC435D">
      <w:pPr>
        <w:pBdr>
          <w:top w:val="nil"/>
          <w:left w:val="nil"/>
          <w:bottom w:val="nil"/>
          <w:right w:val="nil"/>
          <w:between w:val="nil"/>
          <w:bar w:val="nil"/>
        </w:pBdr>
        <w:spacing w:line="23" w:lineRule="atLeast"/>
        <w:rPr>
          <w:noProof/>
          <w:szCs w:val="24"/>
        </w:rPr>
      </w:pPr>
      <w:r w:rsidRPr="00A7778D">
        <w:rPr>
          <w:noProof/>
        </w:rPr>
        <w:t xml:space="preserve">Tässä ehdotuksessa noudatetaan SEUT-sopimuksen 5 artiklassa määrättyä suhteellisuusperiaatetta. Ehdotetut toimenpiteet ovat tarpeen asetettujen tavoitteiden saavuttamiseksi, ja ne ovat myös parhaiten tarkoitukseensa soveltuvia. </w:t>
      </w:r>
    </w:p>
    <w:p w14:paraId="7C9DCD0C" w14:textId="77777777" w:rsidR="00BF282E" w:rsidRPr="00A7778D" w:rsidRDefault="00BF282E" w:rsidP="00EC435D">
      <w:pPr>
        <w:pBdr>
          <w:top w:val="nil"/>
          <w:left w:val="nil"/>
          <w:bottom w:val="nil"/>
          <w:right w:val="nil"/>
          <w:between w:val="nil"/>
          <w:bar w:val="nil"/>
        </w:pBdr>
        <w:spacing w:line="23" w:lineRule="atLeast"/>
        <w:rPr>
          <w:noProof/>
          <w:szCs w:val="24"/>
        </w:rPr>
      </w:pPr>
      <w:r w:rsidRPr="00A7778D">
        <w:rPr>
          <w:noProof/>
        </w:rPr>
        <w:t>Ehdotuksessa keskitytään EU:ssa toimivien ESG-luokitusten tarjoajien toimintaan. Sillä puututaan markkinoiden puutteisiin, joita ovat a) ESG-luokitusten ominaisuuksien, käytettyjen menetelmien ja tietolähteiden epäselvyys ja b) ESG-luokitusten tarjoajien toiminnan epäselvyys ja valvonta.</w:t>
      </w:r>
    </w:p>
    <w:p w14:paraId="4CD02EC8" w14:textId="77777777" w:rsidR="00BF282E" w:rsidRPr="00A7778D" w:rsidRDefault="00BF282E" w:rsidP="00EC435D">
      <w:pPr>
        <w:pBdr>
          <w:top w:val="nil"/>
          <w:left w:val="nil"/>
          <w:bottom w:val="nil"/>
          <w:right w:val="nil"/>
          <w:between w:val="nil"/>
          <w:bar w:val="nil"/>
        </w:pBdr>
        <w:spacing w:line="23" w:lineRule="atLeast"/>
        <w:rPr>
          <w:b/>
          <w:noProof/>
          <w:szCs w:val="24"/>
        </w:rPr>
      </w:pPr>
      <w:r w:rsidRPr="00A7778D">
        <w:rPr>
          <w:noProof/>
        </w:rPr>
        <w:t>Tässä ehdotuksessa ei ylitetä sitä, mikä on tarpeen kunkin ongelman ratkaisemiseksi ja korjaamiseksi mahdollisimman tehokkaasti erityisesti 1) luomalla toimilupajärjestelmä, jota sovellettaisiin EU:ssa toimiviin ESG-luokitusten tarjoajiin asettamalla niiden toiminnalle oikeasuhteisia sääntöjä ja soveltamalla niihin jatkuvaa oikeasuhteista valvontaa ja 2) edellyttämällä EU:ssa toimivat ESG-luokitusten tarjoajat julkaisemaan keskeiset tiedot ESG-luokitusten ominaisuuksista ja menetelmistä ja antamaan yksityiskohtaisia menetelmiä koskevia tietoja tilaajilleen ja luokitelluille yhteisöille.</w:t>
      </w:r>
    </w:p>
    <w:p w14:paraId="699F9E5F" w14:textId="77777777" w:rsidR="002F358C" w:rsidRPr="00A7778D" w:rsidRDefault="00582419" w:rsidP="00EC435D">
      <w:pPr>
        <w:pBdr>
          <w:top w:val="nil"/>
          <w:left w:val="nil"/>
          <w:bottom w:val="nil"/>
          <w:right w:val="nil"/>
          <w:between w:val="nil"/>
          <w:bar w:val="nil"/>
        </w:pBdr>
        <w:spacing w:line="23" w:lineRule="atLeast"/>
        <w:rPr>
          <w:rFonts w:eastAsia="Times New Roman"/>
          <w:noProof/>
          <w:szCs w:val="24"/>
        </w:rPr>
      </w:pPr>
      <w:r w:rsidRPr="00A7778D">
        <w:rPr>
          <w:noProof/>
        </w:rPr>
        <w:t>Tämä ehdotus ei sisällä omaisuudenhoitajien tai muiden laitosten, kuten vertailuarvojen hallinnoijien, kehittämiä sisäisiä luokituksia, koska niitä käytetään omiin päätöksiin ja sijoituksiin eikä niillä ole samaa käyttötarkoitusta. Niitä ei myöskään julkisteta eikä jaeta tilaajille tai levitetä muulla tavoin.</w:t>
      </w:r>
    </w:p>
    <w:p w14:paraId="2B8B9C0C" w14:textId="77777777" w:rsidR="002F358C" w:rsidRPr="00A7778D" w:rsidRDefault="002F358C" w:rsidP="00EC435D">
      <w:pPr>
        <w:pBdr>
          <w:top w:val="nil"/>
          <w:left w:val="nil"/>
          <w:bottom w:val="nil"/>
          <w:right w:val="nil"/>
          <w:between w:val="nil"/>
          <w:bar w:val="nil"/>
        </w:pBdr>
        <w:spacing w:line="23" w:lineRule="atLeast"/>
        <w:rPr>
          <w:noProof/>
          <w:szCs w:val="24"/>
          <w:highlight w:val="yellow"/>
        </w:rPr>
      </w:pPr>
      <w:r w:rsidRPr="00A7778D">
        <w:rPr>
          <w:noProof/>
        </w:rPr>
        <w:t>Näin ollen tämä aloite on suunnattu oikeushenkilöille, jotka antavat ESG-luokituksia yleisölle tai tilaajille. Se ei kata rahoituslaitoksia tai muita markkinatoimijoita, jotka kehittävät ESG-luokituksia omiin tarkoituksiinsa tai omaan käyttöönsä.</w:t>
      </w:r>
    </w:p>
    <w:p w14:paraId="25EE43AA" w14:textId="77777777" w:rsidR="00587167" w:rsidRPr="00A7778D" w:rsidRDefault="00587167" w:rsidP="00EC435D">
      <w:pPr>
        <w:pStyle w:val="ManualHeading2"/>
        <w:spacing w:line="23" w:lineRule="atLeast"/>
        <w:rPr>
          <w:rFonts w:eastAsia="Arial Unicode MS"/>
          <w:noProof/>
          <w:szCs w:val="24"/>
          <w:u w:color="000000"/>
          <w:bdr w:val="nil"/>
        </w:rPr>
      </w:pPr>
      <w:r w:rsidRPr="00A7778D">
        <w:rPr>
          <w:noProof/>
          <w:u w:color="000000"/>
          <w:bdr w:val="nil"/>
        </w:rPr>
        <w:t>•</w:t>
      </w:r>
      <w:r w:rsidRPr="00A7778D">
        <w:rPr>
          <w:noProof/>
        </w:rPr>
        <w:tab/>
        <w:t>Toimintatavan valinta</w:t>
      </w:r>
    </w:p>
    <w:p w14:paraId="40A6994A" w14:textId="77777777" w:rsidR="0094735B" w:rsidRPr="00A7778D" w:rsidRDefault="0094735B" w:rsidP="00EC435D">
      <w:pPr>
        <w:spacing w:line="23" w:lineRule="atLeast"/>
        <w:rPr>
          <w:rFonts w:eastAsia="Arial Unicode MS"/>
          <w:noProof/>
          <w:szCs w:val="24"/>
        </w:rPr>
      </w:pPr>
      <w:r w:rsidRPr="00A7778D">
        <w:rPr>
          <w:noProof/>
        </w:rPr>
        <w:t>Tällä ehdotuksella pyritään ottamaan käyttöön järjestelmä, joka selkeyttäisi ESG-luokitusten ominaisuuksia. Tätä varten siinä vahvistetaan EU:ssa toimivia ESG-luokitusten tarjoajia koskevat säännöt. Ehdotuksella pyritään helpottamaan sisämarkkinoiden tarjoamien mahdollisuuksien parempaa hyödyntämistä ja edistämään siirtymistä täysin kestävään ja osallistavaan talous- ja rahoitusjärjestelmään Euroopan vihreän kehityksen ohjelman ja YK:n kestävän kehityksen tavoitteiden mukaisesti. Näiden poliittisten tavoitteiden saavuttamiseksi tarvitaan asetus, joka on paras tapa selkeyttää rahoituksen kanavoinnin kannalta yhä tärkeämpien yhteisöjen toimintaa.</w:t>
      </w:r>
    </w:p>
    <w:p w14:paraId="52537F21" w14:textId="77777777" w:rsidR="0094735B" w:rsidRPr="00A7778D" w:rsidRDefault="0094735B" w:rsidP="00EC435D">
      <w:pPr>
        <w:spacing w:line="23" w:lineRule="atLeast"/>
        <w:rPr>
          <w:rFonts w:eastAsia="Arial Unicode MS"/>
          <w:noProof/>
          <w:color w:val="0000FF"/>
          <w:szCs w:val="24"/>
        </w:rPr>
      </w:pPr>
      <w:r w:rsidRPr="00A7778D">
        <w:rPr>
          <w:noProof/>
        </w:rPr>
        <w:t>Sääntelykehys vastaisi muihin finanssimarkkinoiden toimijoihin sovellettavaa lähestymistapaa ja asiaa koskevaa lainsäädäntöä, kuten EU:n vertailuarvoasetusta, luottoluokituslaitoksia koskevaa asetusta ja EU:n vihreitä joukkolainoja koskevaan standardiin liittyvää ehdotusta, jossa säädetään jatkuvasta valvonnasta ja vahvistetaan useita organisaatiota, hallintomenettelyjä ja asiakirjoja koskevia vaatimuksia. Tämän aloitteen tavoitteet saavutettaisiin vain osittain muilla välineillä, kuten ei-sitovilla toimenpiteillä ja käytännesäännöillä, koska ne eivät kannustaisi laatimaan riittävän tiukkoja käytännesääntöjä. Nykyiset markkinapaineet määrittäisivät käytännesääntöjen tiukkuuden ja kattavuuden, ja nämä paineet ovat osoittautuneet riittämättömiksi ongelmien ratkaisemisessa. Lisäksi käytännesäännöt olisivat vapaaehtoisia. Jotkin palveluntarjoajat saattaisivat päättää olla hyväksymättä niitä, tai saattaisi syntyä useita toimialakoodeja. Molemmat tapaukset heikentäisivät mahdollisuuksia selkeyttää markkinoita käyttäjien tai luokiteltujen yhteisöjen kannalta.</w:t>
      </w:r>
    </w:p>
    <w:p w14:paraId="6840E742" w14:textId="77777777" w:rsidR="00587167" w:rsidRPr="00A7778D" w:rsidRDefault="00587167" w:rsidP="00EC435D">
      <w:pPr>
        <w:pStyle w:val="ManualHeading1"/>
        <w:spacing w:before="120" w:line="23" w:lineRule="atLeast"/>
        <w:rPr>
          <w:noProof/>
          <w:szCs w:val="24"/>
        </w:rPr>
      </w:pPr>
      <w:r w:rsidRPr="00A7778D">
        <w:rPr>
          <w:noProof/>
        </w:rPr>
        <w:t>3.</w:t>
      </w:r>
      <w:r w:rsidRPr="00A7778D">
        <w:rPr>
          <w:noProof/>
        </w:rPr>
        <w:tab/>
        <w:t>JÄLKIARVIOINTIEN, SIDOSRYHMIEN KUULEMISTEN JA VAIKUTUSTENARVIOINTIEN TULOKSET</w:t>
      </w:r>
    </w:p>
    <w:p w14:paraId="1CF4B9C0" w14:textId="77777777" w:rsidR="00587167" w:rsidRPr="00A7778D" w:rsidRDefault="00587167" w:rsidP="00EC435D">
      <w:pPr>
        <w:pStyle w:val="ManualHeading2"/>
        <w:spacing w:line="23" w:lineRule="atLeast"/>
        <w:rPr>
          <w:rFonts w:eastAsia="Arial Unicode MS"/>
          <w:noProof/>
          <w:szCs w:val="24"/>
          <w:u w:color="000000"/>
          <w:bdr w:val="nil"/>
        </w:rPr>
      </w:pPr>
      <w:r w:rsidRPr="00A7778D">
        <w:rPr>
          <w:noProof/>
          <w:u w:color="000000"/>
          <w:bdr w:val="nil"/>
        </w:rPr>
        <w:t>•</w:t>
      </w:r>
      <w:r w:rsidRPr="00A7778D">
        <w:rPr>
          <w:noProof/>
        </w:rPr>
        <w:tab/>
        <w:t>Jälkiarvioinnit/toimivuustarkastukset</w:t>
      </w:r>
    </w:p>
    <w:p w14:paraId="7386CE5E" w14:textId="77777777" w:rsidR="00587167" w:rsidRPr="00A7778D" w:rsidRDefault="00C56A30" w:rsidP="00EC435D">
      <w:pPr>
        <w:pBdr>
          <w:top w:val="nil"/>
          <w:left w:val="nil"/>
          <w:bottom w:val="nil"/>
          <w:right w:val="nil"/>
          <w:between w:val="nil"/>
          <w:bar w:val="nil"/>
        </w:pBdr>
        <w:spacing w:line="23" w:lineRule="atLeast"/>
        <w:rPr>
          <w:rFonts w:eastAsia="Arial Unicode MS"/>
          <w:noProof/>
          <w:szCs w:val="24"/>
        </w:rPr>
      </w:pPr>
      <w:r w:rsidRPr="00A7778D">
        <w:rPr>
          <w:noProof/>
        </w:rPr>
        <w:t>Ei sovelleta.</w:t>
      </w:r>
    </w:p>
    <w:p w14:paraId="15A7E144" w14:textId="77777777" w:rsidR="00DF1E2F" w:rsidRPr="00A7778D" w:rsidRDefault="00DF1E2F" w:rsidP="00EC435D">
      <w:pPr>
        <w:pBdr>
          <w:top w:val="nil"/>
          <w:left w:val="nil"/>
          <w:bottom w:val="nil"/>
          <w:right w:val="nil"/>
          <w:between w:val="nil"/>
          <w:bar w:val="nil"/>
        </w:pBdr>
        <w:spacing w:line="23" w:lineRule="atLeast"/>
        <w:rPr>
          <w:rFonts w:eastAsia="Arial Unicode MS"/>
          <w:noProof/>
          <w:szCs w:val="24"/>
        </w:rPr>
      </w:pPr>
      <w:r w:rsidRPr="00A7778D">
        <w:rPr>
          <w:noProof/>
        </w:rPr>
        <w:t>Tällä hetkellä ESG-luokituksille ei ole EU:n tason oikeudellista kehystä.</w:t>
      </w:r>
    </w:p>
    <w:p w14:paraId="64799D95" w14:textId="77777777" w:rsidR="00587167" w:rsidRPr="00A7778D" w:rsidRDefault="00587167" w:rsidP="00EC435D">
      <w:pPr>
        <w:pStyle w:val="ManualHeading2"/>
        <w:spacing w:line="23" w:lineRule="atLeast"/>
        <w:rPr>
          <w:rFonts w:eastAsia="Arial Unicode MS"/>
          <w:noProof/>
          <w:szCs w:val="24"/>
          <w:u w:color="000000"/>
          <w:bdr w:val="nil"/>
        </w:rPr>
      </w:pPr>
      <w:r w:rsidRPr="00A7778D">
        <w:rPr>
          <w:noProof/>
          <w:u w:color="000000"/>
          <w:bdr w:val="nil"/>
        </w:rPr>
        <w:t>•</w:t>
      </w:r>
      <w:r w:rsidRPr="00A7778D">
        <w:rPr>
          <w:noProof/>
        </w:rPr>
        <w:tab/>
        <w:t>Sidosryhmien kuuleminen</w:t>
      </w:r>
    </w:p>
    <w:p w14:paraId="289F3998" w14:textId="77777777" w:rsidR="006741EE" w:rsidRPr="00A7778D" w:rsidRDefault="006741EE" w:rsidP="00EC435D">
      <w:pPr>
        <w:spacing w:line="23" w:lineRule="atLeast"/>
        <w:rPr>
          <w:rFonts w:eastAsia="Times New Roman"/>
          <w:noProof/>
          <w:szCs w:val="24"/>
        </w:rPr>
      </w:pPr>
      <w:r w:rsidRPr="00A7778D">
        <w:rPr>
          <w:noProof/>
        </w:rPr>
        <w:t>Komissio on kerännyt huomattavan määrän näyttöä eri lähteistä, muun muassa Euroopan komission rahoitusvakauden, rahoituspalvelujen ja pääomamarkkinaunionin pääosaston tilaamasta tutkimuksesta, komission kuulemis- ja tiedotustoimista sekä sidosryhmien kanssa käydyistä keskusteluista. Myös Euroopan arvopaperimarkkinaviranomainen (jäljempänä ’arvopaperimarkkinaviranomainen’) tuki komission työtä vuonna 2022 julkaistulla kannanottopyynnöllä ja esitti kartoituksen EU:ssa toimivista ESG-luokitusten antajista. Komissio analysoi myös olemassa olevia ESG-luokitusten tarjoajia koskevia kansainvälisiä suosituksia ja sääntöjä, erityisesti kansainvälisen arvopaperimarkkinavalvojien yhteisön (jäljempänä ’IOSCO’) suosituksia. Aloitetta tukevaan kohdennettuun kuulemiseen vastasi yhteensä 168 organisaatiota ja yksityishenkilöä, jotka edustivat pääasiassa sijoittajia, ESG-luokitusten tarjoajia ja julkisesti noteerattuja yrityksiä.</w:t>
      </w:r>
    </w:p>
    <w:p w14:paraId="7F71353C" w14:textId="77777777" w:rsidR="006741EE" w:rsidRPr="00A7778D" w:rsidRDefault="006741EE" w:rsidP="00EC435D">
      <w:pPr>
        <w:pStyle w:val="ManualHeading2"/>
        <w:spacing w:line="23" w:lineRule="atLeast"/>
        <w:rPr>
          <w:rFonts w:eastAsia="Arial Unicode MS"/>
          <w:noProof/>
          <w:szCs w:val="24"/>
          <w:u w:color="000000"/>
          <w:bdr w:val="nil"/>
        </w:rPr>
      </w:pPr>
      <w:r w:rsidRPr="00A7778D">
        <w:rPr>
          <w:noProof/>
          <w:u w:color="000000"/>
          <w:bdr w:val="nil"/>
        </w:rPr>
        <w:t>•</w:t>
      </w:r>
      <w:r w:rsidRPr="00A7778D">
        <w:rPr>
          <w:noProof/>
        </w:rPr>
        <w:tab/>
        <w:t>Asiantuntijatiedon keruu ja käyttö</w:t>
      </w:r>
    </w:p>
    <w:p w14:paraId="351447C4" w14:textId="77777777" w:rsidR="006741EE" w:rsidRPr="00A7778D" w:rsidRDefault="006741EE" w:rsidP="00EC435D">
      <w:pPr>
        <w:pBdr>
          <w:top w:val="nil"/>
          <w:left w:val="nil"/>
          <w:bottom w:val="nil"/>
          <w:right w:val="nil"/>
          <w:between w:val="nil"/>
          <w:bar w:val="nil"/>
        </w:pBdr>
        <w:spacing w:line="23" w:lineRule="atLeast"/>
        <w:rPr>
          <w:rFonts w:eastAsia="Times New Roman"/>
          <w:noProof/>
          <w:szCs w:val="24"/>
        </w:rPr>
      </w:pPr>
      <w:r w:rsidRPr="00A7778D">
        <w:rPr>
          <w:noProof/>
        </w:rPr>
        <w:t>Saadakseen paremman käsityksen markkinoiden käytännön ongelmista komissio on kohdennetun kuulemisen jälkeen tarkastellut laajasti tutkimuskirjallisuutta</w:t>
      </w:r>
      <w:r w:rsidRPr="00A7778D">
        <w:rPr>
          <w:rStyle w:val="FootnoteReference0"/>
          <w:rFonts w:eastAsia="Times New Roman"/>
          <w:noProof/>
          <w:szCs w:val="24"/>
        </w:rPr>
        <w:footnoteReference w:id="11"/>
      </w:r>
      <w:r w:rsidRPr="00A7778D">
        <w:rPr>
          <w:noProof/>
        </w:rPr>
        <w:t>, markkina-analyysejä ja tiedotustoimia useiden ESG-luokitusten markkinoiden keskeisten sidosryhmien kanssa.</w:t>
      </w:r>
    </w:p>
    <w:p w14:paraId="6612058A" w14:textId="77777777" w:rsidR="006741EE" w:rsidRPr="00A7778D" w:rsidRDefault="006741EE" w:rsidP="00EC435D">
      <w:pPr>
        <w:pBdr>
          <w:top w:val="nil"/>
          <w:left w:val="nil"/>
          <w:bottom w:val="nil"/>
          <w:right w:val="nil"/>
          <w:between w:val="nil"/>
          <w:bar w:val="nil"/>
        </w:pBdr>
        <w:spacing w:line="23" w:lineRule="atLeast"/>
        <w:rPr>
          <w:rFonts w:eastAsia="Arial Unicode MS"/>
          <w:noProof/>
          <w:szCs w:val="24"/>
        </w:rPr>
      </w:pPr>
      <w:r w:rsidRPr="00A7778D">
        <w:rPr>
          <w:noProof/>
        </w:rPr>
        <w:t>Komissio järjesti huhti-lokakuussa 2022 kahdenvälisiä kokouksia eri sidosryhmien kanssa, joihin kuului muun muassa 14 eri ESG-luokitusten tarjoajaa, käyttäjää ja yhdistystä, jotka edustivat muun muassa luokitusten käyttäjiä, tutkijoita, kansalaisjärjestöjä, julkisia elimiä ja valvontaviranomaisia.</w:t>
      </w:r>
    </w:p>
    <w:p w14:paraId="5C6B6914" w14:textId="77777777" w:rsidR="007C5924" w:rsidRPr="00A7778D" w:rsidRDefault="006741EE" w:rsidP="00EC435D">
      <w:pPr>
        <w:pBdr>
          <w:top w:val="nil"/>
          <w:left w:val="nil"/>
          <w:bottom w:val="nil"/>
          <w:right w:val="nil"/>
          <w:between w:val="nil"/>
          <w:bar w:val="nil"/>
        </w:pBdr>
        <w:spacing w:line="23" w:lineRule="atLeast"/>
        <w:rPr>
          <w:noProof/>
          <w:szCs w:val="24"/>
        </w:rPr>
      </w:pPr>
      <w:r w:rsidRPr="00A7778D">
        <w:rPr>
          <w:noProof/>
        </w:rPr>
        <w:t xml:space="preserve">Komissio oli myös säännöllisesti yhteydessä arvopaperimarkkinaviranomaiseen saadakseen siltä lausuntoja ja neuvoja, jotka koskivat muun muassa mahdollista ESG-luokitusten tarjoajien unionin tason toimilupa- ja valvontajärjestelmää. </w:t>
      </w:r>
    </w:p>
    <w:p w14:paraId="1FAB1E53" w14:textId="77777777" w:rsidR="00587167" w:rsidRPr="00A7778D" w:rsidRDefault="00587167" w:rsidP="00EC435D">
      <w:pPr>
        <w:pStyle w:val="ManualHeading2"/>
        <w:spacing w:line="23" w:lineRule="atLeast"/>
        <w:rPr>
          <w:rFonts w:eastAsia="Arial Unicode MS"/>
          <w:noProof/>
          <w:szCs w:val="24"/>
          <w:u w:color="000000"/>
          <w:bdr w:val="nil"/>
        </w:rPr>
      </w:pPr>
      <w:r w:rsidRPr="00A7778D">
        <w:rPr>
          <w:noProof/>
          <w:u w:color="000000"/>
          <w:bdr w:val="nil"/>
        </w:rPr>
        <w:t>•</w:t>
      </w:r>
      <w:r w:rsidRPr="00A7778D">
        <w:rPr>
          <w:noProof/>
        </w:rPr>
        <w:tab/>
        <w:t>Vaikutustenarviointi</w:t>
      </w:r>
    </w:p>
    <w:p w14:paraId="02B72BE0" w14:textId="77777777" w:rsidR="00312D98" w:rsidRPr="00A7778D" w:rsidRDefault="00312D98" w:rsidP="00EC435D">
      <w:pPr>
        <w:pBdr>
          <w:top w:val="nil"/>
          <w:left w:val="nil"/>
          <w:bottom w:val="nil"/>
          <w:right w:val="nil"/>
          <w:between w:val="nil"/>
          <w:bar w:val="nil"/>
        </w:pBdr>
        <w:spacing w:line="23" w:lineRule="atLeast"/>
        <w:rPr>
          <w:noProof/>
          <w:szCs w:val="24"/>
        </w:rPr>
      </w:pPr>
      <w:r w:rsidRPr="00A7778D">
        <w:rPr>
          <w:noProof/>
        </w:rPr>
        <w:t>Tähän ehdotukseen liittyy vaikutustenarviointi</w:t>
      </w:r>
      <w:r w:rsidRPr="00A7778D">
        <w:rPr>
          <w:rStyle w:val="FootnoteReference0"/>
          <w:noProof/>
          <w:szCs w:val="24"/>
        </w:rPr>
        <w:footnoteReference w:id="12"/>
      </w:r>
      <w:r w:rsidRPr="00A7778D">
        <w:rPr>
          <w:noProof/>
        </w:rPr>
        <w:t xml:space="preserve">, joka toimitettiin sääntelyntarkastelulautakunnalle 16. marraskuuta 2022 ja joka sai sääntelyntarkastelulautakunnalta myönteisen lausunnon varauksin 16. joulukuuta. </w:t>
      </w:r>
    </w:p>
    <w:p w14:paraId="481ADC0F" w14:textId="77777777" w:rsidR="00312D98" w:rsidRPr="00A7778D" w:rsidRDefault="00312D98" w:rsidP="00EC435D">
      <w:pPr>
        <w:pBdr>
          <w:top w:val="nil"/>
          <w:left w:val="nil"/>
          <w:bottom w:val="nil"/>
          <w:right w:val="nil"/>
          <w:between w:val="nil"/>
          <w:bar w:val="nil"/>
        </w:pBdr>
        <w:spacing w:line="23" w:lineRule="atLeast"/>
        <w:rPr>
          <w:noProof/>
          <w:szCs w:val="24"/>
        </w:rPr>
      </w:pPr>
      <w:r w:rsidRPr="00A7778D">
        <w:rPr>
          <w:noProof/>
        </w:rPr>
        <w:t xml:space="preserve">Vaikutustenarvioinnissa todetaan, että keskeinen ongelma on kaksitahoinen: sijoittajat ja yritykset kiinnittävät huomiota ESG-luokitusten luotettavuuteen, tarkkuuteen ja oikea-aikaisuuteen liittyviin ongelmiin, kun taas luokitellut yhteisöt ovat epävarmoja siitä, mitä luokkia/perusteita käytetään niiden arvioinnissa, kuinka tarkasti ESG-luokitukset kuvastavat yhteisöjen todellista tulosta ja miten niitä voitaisiin parantaa. </w:t>
      </w:r>
    </w:p>
    <w:p w14:paraId="49790152" w14:textId="77777777" w:rsidR="0003582E" w:rsidRPr="00A7778D" w:rsidRDefault="0003582E" w:rsidP="00EC435D">
      <w:pPr>
        <w:spacing w:line="23" w:lineRule="atLeast"/>
        <w:rPr>
          <w:noProof/>
          <w:szCs w:val="24"/>
        </w:rPr>
      </w:pPr>
      <w:r w:rsidRPr="00A7778D">
        <w:rPr>
          <w:noProof/>
        </w:rPr>
        <w:t xml:space="preserve">Tällä ongelmalla on useita seurauksia. </w:t>
      </w:r>
      <w:r w:rsidRPr="00A7778D">
        <w:rPr>
          <w:b/>
          <w:noProof/>
        </w:rPr>
        <w:t>Käyttäjän näkökulmasta seuraukset</w:t>
      </w:r>
      <w:r w:rsidRPr="00A7778D">
        <w:rPr>
          <w:noProof/>
        </w:rPr>
        <w:t xml:space="preserve"> ovat seuraavat:</w:t>
      </w:r>
    </w:p>
    <w:p w14:paraId="42347769" w14:textId="739BC6D8" w:rsidR="0003582E" w:rsidRPr="00A7778D" w:rsidRDefault="002A7F8C" w:rsidP="002A7F8C">
      <w:pPr>
        <w:pStyle w:val="Point0"/>
        <w:rPr>
          <w:noProof/>
        </w:rPr>
      </w:pPr>
      <w:r w:rsidRPr="00A7778D">
        <w:rPr>
          <w:noProof/>
        </w:rPr>
        <w:t>1)</w:t>
      </w:r>
      <w:r w:rsidRPr="00A7778D">
        <w:rPr>
          <w:noProof/>
        </w:rPr>
        <w:tab/>
        <w:t>Sijoittajat eivät pysty ottamaan riittävästi huomioon kestävyyteen liittyviä ja muita kuin taloudellisia riskejä ja mahdollisuuksia sijoituspäätöksissään,</w:t>
      </w:r>
    </w:p>
    <w:p w14:paraId="71D5E211" w14:textId="7C20063A" w:rsidR="0003582E" w:rsidRPr="00A7778D" w:rsidRDefault="002A7F8C" w:rsidP="002A7F8C">
      <w:pPr>
        <w:pStyle w:val="Point0"/>
        <w:rPr>
          <w:noProof/>
        </w:rPr>
      </w:pPr>
      <w:r w:rsidRPr="00A7778D">
        <w:rPr>
          <w:noProof/>
        </w:rPr>
        <w:t>2)</w:t>
      </w:r>
      <w:r w:rsidRPr="00A7778D">
        <w:rPr>
          <w:noProof/>
        </w:rPr>
        <w:tab/>
        <w:t>Sijoittajat eivät myöskään pysty kanavoimaan riittävästi taloudellisia resursseja yrityksille ja taloudelliseen toimintaan, jolla puututaan sosiaalisiin ja ympäristöongelmiin eikä pahenneta niitä,</w:t>
      </w:r>
    </w:p>
    <w:p w14:paraId="354E87BC" w14:textId="3CAB18D9" w:rsidR="0003582E" w:rsidRPr="00A7778D" w:rsidRDefault="002A7F8C" w:rsidP="002A7F8C">
      <w:pPr>
        <w:pStyle w:val="Point0"/>
        <w:rPr>
          <w:noProof/>
        </w:rPr>
      </w:pPr>
      <w:r w:rsidRPr="00A7778D">
        <w:rPr>
          <w:noProof/>
        </w:rPr>
        <w:t>3)</w:t>
      </w:r>
      <w:r w:rsidRPr="00A7778D">
        <w:rPr>
          <w:noProof/>
        </w:rPr>
        <w:tab/>
        <w:t>Vertailuarvojen hallinnoijat laativat vertailuarvoja ESG-luokitusten perusteella, joiden laskentatavasta niillä ei ole selkeää käsitystä,</w:t>
      </w:r>
    </w:p>
    <w:p w14:paraId="20B9FDF5" w14:textId="5AE73492" w:rsidR="0003582E" w:rsidRPr="00A7778D" w:rsidRDefault="002A7F8C" w:rsidP="002A7F8C">
      <w:pPr>
        <w:pStyle w:val="Point0"/>
        <w:rPr>
          <w:noProof/>
        </w:rPr>
      </w:pPr>
      <w:r w:rsidRPr="00A7778D">
        <w:rPr>
          <w:noProof/>
        </w:rPr>
        <w:t>4)</w:t>
      </w:r>
      <w:r w:rsidRPr="00A7778D">
        <w:rPr>
          <w:noProof/>
        </w:rPr>
        <w:tab/>
        <w:t>Yritykset eivät voi ottaa huomioon kaikkia niiden toimintaan liittyviä mahdollisia riskejä ja mahdollisuuksia ja kanavoida investointeja vastaavasti.</w:t>
      </w:r>
    </w:p>
    <w:p w14:paraId="1A505E7F" w14:textId="77777777" w:rsidR="0003582E" w:rsidRPr="00A7778D" w:rsidRDefault="0003582E" w:rsidP="00EC435D">
      <w:pPr>
        <w:spacing w:line="23" w:lineRule="atLeast"/>
        <w:rPr>
          <w:noProof/>
          <w:szCs w:val="24"/>
        </w:rPr>
      </w:pPr>
      <w:r w:rsidRPr="00A7778D">
        <w:rPr>
          <w:b/>
          <w:noProof/>
        </w:rPr>
        <w:t>Luokitellun yhteisön näkökulmasta erityinen seuraus</w:t>
      </w:r>
      <w:r w:rsidRPr="00A7778D">
        <w:rPr>
          <w:noProof/>
        </w:rPr>
        <w:t xml:space="preserve"> on, että se voi saada ESG-luokituksen, jonka osatekijät ovat vanhentuneita tai virheellisiä, mikä voi vaikuttaa sen rahoituksen saannin ehtoihin.</w:t>
      </w:r>
    </w:p>
    <w:p w14:paraId="1845F459" w14:textId="77777777" w:rsidR="0003582E" w:rsidRPr="00A7778D" w:rsidRDefault="0003582E" w:rsidP="00EC435D">
      <w:pPr>
        <w:spacing w:line="23" w:lineRule="atLeast"/>
        <w:rPr>
          <w:noProof/>
          <w:szCs w:val="24"/>
        </w:rPr>
      </w:pPr>
      <w:r w:rsidRPr="00A7778D">
        <w:rPr>
          <w:b/>
          <w:noProof/>
        </w:rPr>
        <w:t>Muiden sidosryhmien näkökulmasta erityisenä seurauksena</w:t>
      </w:r>
      <w:r w:rsidRPr="00A7778D">
        <w:rPr>
          <w:noProof/>
        </w:rPr>
        <w:t xml:space="preserve"> on, että kansalaisjärjestöjen, ammattiliittojen ja muiden sidosryhmien on hankalampi saattaa yritykset vastuuseen vaikutuksistaan yhteiskuntaan ja ympäristöön.</w:t>
      </w:r>
    </w:p>
    <w:p w14:paraId="4EBBB560" w14:textId="77777777" w:rsidR="0003582E" w:rsidRPr="00A7778D" w:rsidRDefault="0003582E" w:rsidP="00EC435D">
      <w:pPr>
        <w:spacing w:line="23" w:lineRule="atLeast"/>
        <w:rPr>
          <w:noProof/>
          <w:szCs w:val="24"/>
        </w:rPr>
      </w:pPr>
      <w:r w:rsidRPr="00A7778D">
        <w:rPr>
          <w:noProof/>
        </w:rPr>
        <w:t xml:space="preserve">Ongelmat </w:t>
      </w:r>
      <w:r w:rsidRPr="00A7778D">
        <w:rPr>
          <w:b/>
          <w:noProof/>
        </w:rPr>
        <w:t>vaikuttavat kielteisesti EU:n kestävän rahoituksen markkinoiden toimintaan</w:t>
      </w:r>
      <w:r w:rsidRPr="00A7778D">
        <w:rPr>
          <w:noProof/>
        </w:rPr>
        <w:t xml:space="preserve"> ja jättävät aukon EU:n kestävän rahoituksen kehykseen, joka perustettiin lisäämään läpinäkyvyyttä ja välineitä, joiden avulla yksityinen pääoma virtaa kestäviin investointeihin, joita siirtymä edellyttää kiireellisesti. </w:t>
      </w:r>
      <w:r w:rsidRPr="00A7778D">
        <w:rPr>
          <w:b/>
          <w:noProof/>
        </w:rPr>
        <w:t>Laajempana seurauksena</w:t>
      </w:r>
      <w:r w:rsidRPr="00A7778D">
        <w:rPr>
          <w:noProof/>
        </w:rPr>
        <w:t xml:space="preserve"> on, ettei sisämarkkinoiden potentiaalia edistää Euroopan vihreän kehityksen ohjelman tavoitteita ja YK:n kestävän kehityksen tavoitteiden saavuttamista hyödynnetä täysimääräisesti. </w:t>
      </w:r>
    </w:p>
    <w:p w14:paraId="122A02D0" w14:textId="77777777" w:rsidR="0003582E" w:rsidRPr="00A7778D" w:rsidRDefault="00E95A2F" w:rsidP="00EC435D">
      <w:pPr>
        <w:pBdr>
          <w:top w:val="nil"/>
          <w:left w:val="nil"/>
          <w:bottom w:val="nil"/>
          <w:right w:val="nil"/>
          <w:between w:val="nil"/>
          <w:bar w:val="nil"/>
        </w:pBdr>
        <w:spacing w:line="23" w:lineRule="atLeast"/>
        <w:rPr>
          <w:noProof/>
          <w:szCs w:val="24"/>
        </w:rPr>
      </w:pPr>
      <w:r w:rsidRPr="00A7778D">
        <w:rPr>
          <w:noProof/>
        </w:rPr>
        <w:t>Lisäksi havaittiin kaksi täydentävää ongelmatekijää:</w:t>
      </w:r>
    </w:p>
    <w:p w14:paraId="70BA9E5B" w14:textId="3524ABFF" w:rsidR="00C62E7C" w:rsidRPr="00A7778D" w:rsidRDefault="002A7F8C" w:rsidP="002A7F8C">
      <w:pPr>
        <w:pStyle w:val="Point0"/>
        <w:rPr>
          <w:noProof/>
        </w:rPr>
      </w:pPr>
      <w:r w:rsidRPr="00A7778D">
        <w:rPr>
          <w:noProof/>
        </w:rPr>
        <w:t>1)</w:t>
      </w:r>
      <w:r w:rsidRPr="00A7778D">
        <w:rPr>
          <w:noProof/>
        </w:rPr>
        <w:tab/>
        <w:t>ESG-luokitusten tarjoajien toiminnan epäselvyys ja valvonnan puute</w:t>
      </w:r>
    </w:p>
    <w:p w14:paraId="4259FD1F" w14:textId="06603D84" w:rsidR="00E95A2F" w:rsidRPr="00A7778D" w:rsidRDefault="002A7F8C" w:rsidP="002A7F8C">
      <w:pPr>
        <w:pStyle w:val="Point0"/>
        <w:rPr>
          <w:noProof/>
        </w:rPr>
      </w:pPr>
      <w:r w:rsidRPr="00A7778D">
        <w:rPr>
          <w:noProof/>
        </w:rPr>
        <w:t>2)</w:t>
      </w:r>
      <w:r w:rsidRPr="00A7778D">
        <w:rPr>
          <w:noProof/>
        </w:rPr>
        <w:tab/>
        <w:t>ESG-luokitusten, niiden menetelmien ja tietolähteiden epäselvyys (tähän sisältyvät luokitusten laatiminen ja niiden julkistaminen/läpinäkyvyys)</w:t>
      </w:r>
    </w:p>
    <w:p w14:paraId="1150760A" w14:textId="77777777" w:rsidR="008E1A66" w:rsidRPr="00A7778D" w:rsidRDefault="008E1A66" w:rsidP="00EC435D">
      <w:pPr>
        <w:pBdr>
          <w:top w:val="nil"/>
          <w:left w:val="nil"/>
          <w:bottom w:val="nil"/>
          <w:right w:val="nil"/>
          <w:between w:val="nil"/>
          <w:bar w:val="nil"/>
        </w:pBdr>
        <w:spacing w:line="23" w:lineRule="atLeast"/>
        <w:rPr>
          <w:noProof/>
          <w:szCs w:val="24"/>
        </w:rPr>
      </w:pPr>
      <w:r w:rsidRPr="00A7778D">
        <w:rPr>
          <w:noProof/>
        </w:rPr>
        <w:t>Vaikutustenarvioinnissa tarkasteltiin erilaisia toimintavaihtoehtoja kahden keskeisen muuttujan osalta:</w:t>
      </w:r>
    </w:p>
    <w:p w14:paraId="56CD2710" w14:textId="77777777" w:rsidR="00A644B4" w:rsidRPr="00A7778D" w:rsidRDefault="00A644B4" w:rsidP="00580A58">
      <w:pPr>
        <w:pStyle w:val="Bullet0"/>
        <w:numPr>
          <w:ilvl w:val="0"/>
          <w:numId w:val="5"/>
        </w:numPr>
        <w:spacing w:line="23" w:lineRule="atLeast"/>
        <w:rPr>
          <w:noProof/>
          <w:szCs w:val="24"/>
        </w:rPr>
      </w:pPr>
      <w:r w:rsidRPr="00A7778D">
        <w:rPr>
          <w:b/>
          <w:noProof/>
        </w:rPr>
        <w:t>ESG-luokitusten tarjoajien toiminnan selkeyttäminen</w:t>
      </w:r>
      <w:r w:rsidRPr="00A7778D">
        <w:rPr>
          <w:noProof/>
        </w:rPr>
        <w:t xml:space="preserve"> ja </w:t>
      </w:r>
      <w:r w:rsidRPr="00A7778D">
        <w:rPr>
          <w:b/>
          <w:noProof/>
        </w:rPr>
        <w:t>eturistiriitojen</w:t>
      </w:r>
      <w:r w:rsidRPr="00A7778D">
        <w:rPr>
          <w:noProof/>
        </w:rPr>
        <w:t xml:space="preserve"> riskien ehkäiseminen ESG-luokitusten tarjoajien tasolla </w:t>
      </w:r>
    </w:p>
    <w:p w14:paraId="17606AF4" w14:textId="77777777" w:rsidR="00A644B4" w:rsidRPr="00A7778D" w:rsidRDefault="00A644B4" w:rsidP="005C115E">
      <w:pPr>
        <w:pStyle w:val="Bullet0"/>
        <w:spacing w:line="23" w:lineRule="atLeast"/>
        <w:rPr>
          <w:noProof/>
          <w:szCs w:val="24"/>
        </w:rPr>
      </w:pPr>
      <w:r w:rsidRPr="00A7778D">
        <w:rPr>
          <w:noProof/>
        </w:rPr>
        <w:t xml:space="preserve">tarve </w:t>
      </w:r>
      <w:r w:rsidRPr="00A7778D">
        <w:rPr>
          <w:b/>
          <w:noProof/>
        </w:rPr>
        <w:t>selkeyttää ESG-luokitusten ominaisuuksia</w:t>
      </w:r>
      <w:r w:rsidRPr="00A7778D">
        <w:rPr>
          <w:noProof/>
        </w:rPr>
        <w:t xml:space="preserve"> (eli mitä luokitukset tarkoittavat ja mihin tavoitteisiin niillä pyritään, niihin liittyvät menetelmät ja niiden kehittämisessä käytetyt tietolähteet tai arviot). </w:t>
      </w:r>
    </w:p>
    <w:p w14:paraId="68F3D9D2" w14:textId="77777777" w:rsidR="00974B1E" w:rsidRPr="00A7778D" w:rsidRDefault="00052024" w:rsidP="00EC435D">
      <w:pPr>
        <w:spacing w:line="23" w:lineRule="atLeast"/>
        <w:rPr>
          <w:noProof/>
          <w:szCs w:val="24"/>
        </w:rPr>
      </w:pPr>
      <w:r w:rsidRPr="00A7778D">
        <w:rPr>
          <w:noProof/>
        </w:rPr>
        <w:t>Useita lainsäädännöllisiä ja muita toimintavaihtoehtoja analysoitiin seuraavien kahden ulottuvuuden osalta: yhteisöt (ESG-luokitusten tarjoajat) ja tuotteet (ESG-luokitukset). ESG-luokitusten tarjoajien sääntelykohtelun osalta kolme vaihtoehtoa olivat toimialan käytännesäännöt (vaihtoehto 1), rekisteröinti ja kevyt valvonta (vaihtoehto 2) sekä toimilupa, periaatteisiin perustuvat organisaatiota koskevat vaatimukset ja riskiperusteinen valvonta (vaihtoehto 3). ESG-luokituksia ja niiden menetelmiä koskevien läpinäkyvyysvaatimusten laajuuden osalta tarkasteltiin kahta vaihtoehtoa: yleisölle julkistamista koskevat vähimmäisvaatimukset (vaihtoehto 1) ja yleisölle julkistamista koskevat vähimmäisvaatimukset sekä kattavammat ESG-luokitusten tarjoajien asiakkaille ja luokitelluille yhteisöille julkistamista koskevat vaatimukset (vaihtoehto 2). Analyysissä tarkastellaan huolellisesti myös vaihtoehtojen kustannustehokkuutta ja johdonmukaisuutta. Seuraavat vaihtoehdot hylättiin varhaisessa vaiheessa: rekisteröinti ja valvonta kansallisella tasolla, ESG-luokitusten tarjoajien menetelmien yhdenmukaistaminen, ESG-luokitusten sisältöä koskevien vähimmäisvaatimusten asettaminen ja julkistamisvaatimuksiin liittyvät yksityiskohtaiset mallit.</w:t>
      </w:r>
    </w:p>
    <w:p w14:paraId="6DF83C8E" w14:textId="77777777" w:rsidR="00052024" w:rsidRPr="00A7778D" w:rsidRDefault="00052024" w:rsidP="00EC435D">
      <w:pPr>
        <w:pBdr>
          <w:top w:val="nil"/>
          <w:left w:val="nil"/>
          <w:bottom w:val="nil"/>
          <w:right w:val="nil"/>
          <w:between w:val="nil"/>
          <w:bar w:val="nil"/>
        </w:pBdr>
        <w:spacing w:line="23" w:lineRule="atLeast"/>
        <w:rPr>
          <w:noProof/>
          <w:szCs w:val="24"/>
        </w:rPr>
      </w:pPr>
      <w:r w:rsidRPr="00A7778D">
        <w:rPr>
          <w:noProof/>
        </w:rPr>
        <w:t>Soveltamisalan osalta voidaan todeta, että IOSCOn laatima ESG-luokitusten määritelmä muodostaisi perustan tämän aloitteen soveltamisalalle, joka kattaisi sekä pisteytykset että luokitukset ja tuotteet, jotka ovat molempien yhdistelmä. Tämä aloite kohdistuisi erikoistuneisiin yhteisöihin, jotka antavat ESG-luokituksia tai -pisteitä yleisölle tai tilaajille, eikä se kattaisi rahoituslaitoksia tai muita markkinatoimijoita, jotka kehittävät ESG-luokituksia omiin tarkoituksiinsa, koska ne käyttävät omia mallejaan eivätkä anna ESG-luokituksia kaupallisesti muille finanssimarkkinoiden toimijoille.</w:t>
      </w:r>
    </w:p>
    <w:p w14:paraId="673809AC" w14:textId="77777777" w:rsidR="00974B1E" w:rsidRPr="00A7778D" w:rsidRDefault="00974B1E" w:rsidP="00EC435D">
      <w:pPr>
        <w:spacing w:line="23" w:lineRule="atLeast"/>
        <w:rPr>
          <w:noProof/>
          <w:szCs w:val="24"/>
        </w:rPr>
      </w:pPr>
      <w:r w:rsidRPr="00A7778D">
        <w:rPr>
          <w:noProof/>
        </w:rPr>
        <w:t>Tehokkuuden, vaikuttavuuden ja johdonmukaisuuden vertailun perusteella parhaaksi arvioidussa vaihtoehdossa yhdistettäisiin ESG-luokitusten tarjoajia koskeva vaihtoehto 3 (toimilupa, organisaatiota koskevat vaatimukset ja valvonta) ja ESG-luokituksia koskeva vaihtoehto 2 (yleisölle julkistettavat vähimmäistiedot ja ESG-luokitusten tarjoajien asiakkaille ja luokitelluille yhteisöille julkistettavat kattavammat tiedot). Yksityiskohtaisessa analyysissä todettiin, että tällaisten vaihtoehtojen yhdistelmällä voitaisiin täysin saavuttaa tavoitteet (toisin kuin muissa vaihtoehdoissa) ja tuottaa suurimmat hyödyt käyttäjille ja luokitelluille yhteisöille sekä tarjoajille itselleen ja yhteiskunnalle. Vaikka parhaaksi arvioidusta vaihtoehdosta voi aiheutua suurempia alkuvaiheen kustannuksia, pitkällä aikavälillä hyötyjen odotetaan olevan kustannuksia suuremmat.</w:t>
      </w:r>
    </w:p>
    <w:p w14:paraId="6BD7EF83" w14:textId="77777777" w:rsidR="00F205C2" w:rsidRPr="00A7778D" w:rsidRDefault="00F205C2" w:rsidP="00EC435D">
      <w:pPr>
        <w:spacing w:line="23" w:lineRule="atLeast"/>
        <w:rPr>
          <w:rFonts w:eastAsia="Arial Unicode MS"/>
          <w:noProof/>
          <w:szCs w:val="24"/>
        </w:rPr>
      </w:pPr>
      <w:r w:rsidRPr="00A7778D">
        <w:rPr>
          <w:noProof/>
        </w:rPr>
        <w:t>Parhaaksi arvioidusta vaihtoehdosta odotetaan koituvan merkittäviä taloudellisia hyötyjä. Tämän aloitteen odotetaan vaikuttavan myönteisesti finanssimarkkinoiden toimintaan ja ESG-sijoittamisen edellytyksiin. Parhaaksi arvioidun vaihtoehdon pitäisi antaa sijoittajille ja luokitelluille yhteisöille mahdollisuus ymmärtää ja tehdä tietoon perustuvia ESG-luokitusten valintoja. Sen pitäisi myös vähentää tietojen keräämisestä aiheutuvia kustannuksia ja tarvetta käyttää ylimääräisiä palveluntarjoajia, mikä alentaisi liiketoiminnan kustannuksia. Parhaaksi arvioitu vaihtoehto olisi myös syrjimätön, ja sitä sovellettaisiin yhtäläisesti kotimaisiin ja EU:n ulkopuolisiin markkinatoimijoihin. Tällä aloitteella voi olla vaikutusta ESG-luokitusten tarjoajien yleiseen kilpailukykyyn, sillä se todennäköisesti lisää niiden liiketoiminnan kustannuksia lyhyellä aikavälillä, mutta luottamuksen lisääntyminen ESG-luokituksiin voisi vauhdittaa markkinoiden kasvua. Markkinoille pääsyn menettämiseen liittyvien mahdollisten huolenaiheiden lieventämiseksi voitaisiin säätää siirtymäkaudesta, joka antaisi erityisesti pienille toimijoille enemmän sopeutumisaikaa. Aloitteella odotetaan myös olevan myönteisiä, joskin marginaalisia, välillisiä sosiaalisia ja ympäristövaikutuksia.</w:t>
      </w:r>
    </w:p>
    <w:p w14:paraId="560C613C" w14:textId="77777777" w:rsidR="00587167" w:rsidRPr="00A7778D" w:rsidRDefault="00587167" w:rsidP="00EC435D">
      <w:pPr>
        <w:pStyle w:val="ManualHeading2"/>
        <w:spacing w:line="23" w:lineRule="atLeast"/>
        <w:rPr>
          <w:rFonts w:eastAsia="Arial Unicode MS"/>
          <w:noProof/>
          <w:szCs w:val="24"/>
          <w:u w:color="000000"/>
          <w:bdr w:val="nil"/>
        </w:rPr>
      </w:pPr>
      <w:r w:rsidRPr="00A7778D">
        <w:rPr>
          <w:noProof/>
        </w:rPr>
        <w:t>•</w:t>
      </w:r>
      <w:r w:rsidRPr="00A7778D">
        <w:rPr>
          <w:noProof/>
        </w:rPr>
        <w:tab/>
        <w:t>Sääntelyn toimivuus ja yksinkertaistaminen</w:t>
      </w:r>
    </w:p>
    <w:p w14:paraId="33FB2353" w14:textId="77777777" w:rsidR="00223E19" w:rsidRPr="00A7778D" w:rsidRDefault="00223E19" w:rsidP="00EC435D">
      <w:pPr>
        <w:pBdr>
          <w:top w:val="nil"/>
          <w:left w:val="nil"/>
          <w:bottom w:val="nil"/>
          <w:right w:val="nil"/>
          <w:between w:val="nil"/>
          <w:bar w:val="nil"/>
        </w:pBdr>
        <w:spacing w:line="23" w:lineRule="atLeast"/>
        <w:rPr>
          <w:noProof/>
          <w:szCs w:val="24"/>
        </w:rPr>
      </w:pPr>
      <w:r w:rsidRPr="00A7778D">
        <w:rPr>
          <w:noProof/>
        </w:rPr>
        <w:t>Tämä aloite ei ole sääntelyn toimivuutta ja tuloksellisuutta koskevaan ohjelmaan (REFIT) kuuluva aloite.</w:t>
      </w:r>
    </w:p>
    <w:p w14:paraId="4486E98A" w14:textId="77777777" w:rsidR="00A8705F" w:rsidRPr="00A7778D" w:rsidRDefault="003D2675" w:rsidP="00EC435D">
      <w:pPr>
        <w:spacing w:line="23" w:lineRule="atLeast"/>
        <w:rPr>
          <w:noProof/>
          <w:szCs w:val="24"/>
        </w:rPr>
      </w:pPr>
      <w:r w:rsidRPr="00A7778D">
        <w:rPr>
          <w:noProof/>
        </w:rPr>
        <w:t>Tämän asetuksen mukaisista uusista vaatimuksista pienemmille palveluntarjoajille aiheutuvien kustannusten ja vaikutusten lieventämiseksi ehdotetaan seuraavia lieventäviä toimenpiteitä.</w:t>
      </w:r>
    </w:p>
    <w:p w14:paraId="06BA2A6E" w14:textId="6A6D83A5" w:rsidR="00A8705F" w:rsidRPr="00A7778D" w:rsidRDefault="002A7F8C" w:rsidP="002A7F8C">
      <w:pPr>
        <w:pStyle w:val="Point0"/>
        <w:rPr>
          <w:noProof/>
        </w:rPr>
      </w:pPr>
      <w:r w:rsidRPr="00A7778D">
        <w:rPr>
          <w:noProof/>
        </w:rPr>
        <w:t>1)</w:t>
      </w:r>
      <w:r w:rsidRPr="00A7778D">
        <w:rPr>
          <w:noProof/>
        </w:rPr>
        <w:tab/>
      </w:r>
      <w:r w:rsidRPr="00A7778D">
        <w:rPr>
          <w:noProof/>
          <w:u w:val="single"/>
        </w:rPr>
        <w:t>Siirtymäkausi.</w:t>
      </w:r>
      <w:r w:rsidRPr="00A7778D">
        <w:rPr>
          <w:noProof/>
        </w:rPr>
        <w:t xml:space="preserve"> Jotta lievennettäisiin mahdollisia huolenaiheita, jotka liittyvät markkinoille pääsyn menettämiseen toimilupamenettelyn vuoksi, palveluntarjoajat voisivat jatkaa toimintaansa sillä edellytyksellä, että ne ilmoittavat asiasta arvopaperimarkkinaviranomaiselle ja saavat toimiluvan ennalta määrätyn ajanjakson eli siirtymäkauden kuluessa.</w:t>
      </w:r>
    </w:p>
    <w:p w14:paraId="2EFA6287" w14:textId="41F83747" w:rsidR="00A8705F" w:rsidRPr="00A7778D" w:rsidRDefault="002A7F8C" w:rsidP="002A7F8C">
      <w:pPr>
        <w:pStyle w:val="Point0"/>
        <w:rPr>
          <w:noProof/>
        </w:rPr>
      </w:pPr>
      <w:r w:rsidRPr="00A7778D">
        <w:rPr>
          <w:noProof/>
        </w:rPr>
        <w:t>2)</w:t>
      </w:r>
      <w:r w:rsidRPr="00A7778D">
        <w:rPr>
          <w:noProof/>
        </w:rPr>
        <w:tab/>
        <w:t>Valvontamaksujen mukauttaminen palveluntarjoajan kokoon. Maksut jaettaisiin suhteellisesti palveluntarjoajien kesken niiden vuotuisen nettoliikevaihdon perusteella.</w:t>
      </w:r>
    </w:p>
    <w:p w14:paraId="56A2A118" w14:textId="084B0B2B" w:rsidR="00A8705F" w:rsidRPr="00A7778D" w:rsidRDefault="002A7F8C" w:rsidP="002A7F8C">
      <w:pPr>
        <w:pStyle w:val="Point0"/>
        <w:rPr>
          <w:noProof/>
        </w:rPr>
      </w:pPr>
      <w:r w:rsidRPr="00A7778D">
        <w:rPr>
          <w:noProof/>
        </w:rPr>
        <w:t>(3)</w:t>
      </w:r>
      <w:r w:rsidRPr="00A7778D">
        <w:rPr>
          <w:noProof/>
        </w:rPr>
        <w:tab/>
      </w:r>
      <w:r w:rsidRPr="00A7778D">
        <w:rPr>
          <w:noProof/>
          <w:u w:val="single"/>
        </w:rPr>
        <w:t>Oikeasuhteinen valvonta.</w:t>
      </w:r>
      <w:r w:rsidRPr="00A7778D">
        <w:rPr>
          <w:b/>
          <w:noProof/>
        </w:rPr>
        <w:t xml:space="preserve"> </w:t>
      </w:r>
      <w:r w:rsidRPr="00A7778D">
        <w:rPr>
          <w:noProof/>
        </w:rPr>
        <w:t>Arvopaperimarkkinaviranomainen on ottanut käyttöön riskiperusteisen, datavetoisen lähestymistavan valvonnan</w:t>
      </w:r>
      <w:r w:rsidRPr="00A7778D">
        <w:rPr>
          <w:rStyle w:val="FootnoteReference0"/>
          <w:noProof/>
          <w:szCs w:val="24"/>
        </w:rPr>
        <w:footnoteReference w:id="13"/>
      </w:r>
      <w:r w:rsidRPr="00A7778D">
        <w:rPr>
          <w:noProof/>
        </w:rPr>
        <w:t xml:space="preserve"> toteuttamisessa ja se priorisoi valvontatoimintansa tunnistetun riskitason ja valvottujen yhteisöjen merkityksen/koon mukaan.</w:t>
      </w:r>
    </w:p>
    <w:p w14:paraId="380AFD92" w14:textId="7FAF6F3A" w:rsidR="00A8705F" w:rsidRPr="00A7778D" w:rsidRDefault="002A7F8C" w:rsidP="002A7F8C">
      <w:pPr>
        <w:pStyle w:val="Point0"/>
        <w:rPr>
          <w:noProof/>
        </w:rPr>
      </w:pPr>
      <w:r w:rsidRPr="00A7778D">
        <w:rPr>
          <w:noProof/>
        </w:rPr>
        <w:t>4)</w:t>
      </w:r>
      <w:r w:rsidRPr="00A7778D">
        <w:rPr>
          <w:noProof/>
        </w:rPr>
        <w:tab/>
        <w:t xml:space="preserve">Pienten ja innovatiivisten yhteisöjen mahdollisuus hakea </w:t>
      </w:r>
      <w:r w:rsidRPr="00A7778D">
        <w:rPr>
          <w:noProof/>
          <w:u w:val="single"/>
        </w:rPr>
        <w:t>vapautusta</w:t>
      </w:r>
      <w:r w:rsidRPr="00A7778D">
        <w:rPr>
          <w:noProof/>
        </w:rPr>
        <w:t xml:space="preserve"> monista sisäisistä organisatorisista toimenpiteistä, jos ne voivat osoittaa, että vaatimukset ovat suhteettomia niiden liiketoiminnan luonteeseen, laajuuteen ja monimutkaisuuteen sekä niiden tuotteella arvioitavien seikkojen luonteeseen ja laajuuteen nähden (esimerkiksi datavetoinen luokittelija</w:t>
      </w:r>
      <w:r w:rsidRPr="00A7778D">
        <w:rPr>
          <w:rStyle w:val="FootnoteReference0"/>
          <w:noProof/>
          <w:szCs w:val="24"/>
        </w:rPr>
        <w:footnoteReference w:id="14"/>
      </w:r>
      <w:r w:rsidRPr="00A7778D">
        <w:rPr>
          <w:noProof/>
        </w:rPr>
        <w:t xml:space="preserve"> tai innovatiivinen, tulevaisuuteen suuntautuva luokittelija</w:t>
      </w:r>
      <w:r w:rsidRPr="00A7778D">
        <w:rPr>
          <w:rStyle w:val="FootnoteReference0"/>
          <w:noProof/>
          <w:szCs w:val="24"/>
        </w:rPr>
        <w:footnoteReference w:id="15"/>
      </w:r>
      <w:r w:rsidRPr="00A7778D">
        <w:rPr>
          <w:noProof/>
        </w:rPr>
        <w:t>).</w:t>
      </w:r>
    </w:p>
    <w:p w14:paraId="18AE9A71" w14:textId="77777777" w:rsidR="00587167" w:rsidRPr="00A7778D" w:rsidRDefault="00587167" w:rsidP="00EC435D">
      <w:pPr>
        <w:pStyle w:val="ManualHeading2"/>
        <w:spacing w:line="23" w:lineRule="atLeast"/>
        <w:rPr>
          <w:rFonts w:eastAsia="Arial Unicode MS"/>
          <w:noProof/>
          <w:szCs w:val="24"/>
          <w:u w:color="000000"/>
          <w:bdr w:val="nil"/>
        </w:rPr>
      </w:pPr>
      <w:r w:rsidRPr="00A7778D">
        <w:rPr>
          <w:noProof/>
          <w:u w:color="000000"/>
          <w:bdr w:val="nil"/>
        </w:rPr>
        <w:t>•</w:t>
      </w:r>
      <w:r w:rsidRPr="00A7778D">
        <w:rPr>
          <w:noProof/>
        </w:rPr>
        <w:tab/>
        <w:t>Perusoikeudet</w:t>
      </w:r>
    </w:p>
    <w:p w14:paraId="7D6790B4" w14:textId="77777777" w:rsidR="00587167" w:rsidRPr="00A7778D" w:rsidRDefault="00A722C2" w:rsidP="00EC435D">
      <w:pPr>
        <w:pBdr>
          <w:top w:val="nil"/>
          <w:left w:val="nil"/>
          <w:bottom w:val="nil"/>
          <w:right w:val="nil"/>
          <w:between w:val="nil"/>
          <w:bar w:val="nil"/>
        </w:pBdr>
        <w:spacing w:line="23" w:lineRule="atLeast"/>
        <w:rPr>
          <w:rFonts w:eastAsia="Arial Unicode MS"/>
          <w:noProof/>
          <w:szCs w:val="24"/>
        </w:rPr>
      </w:pPr>
      <w:r w:rsidRPr="00A7778D">
        <w:rPr>
          <w:noProof/>
        </w:rPr>
        <w:t>Ehdotuksessa kunnioitetaan Euroopan unionin perusoikeuskirjassa ja erityisesti sen 16 artiklassa (elinkeinovapaus) vahvistettuja oikeuksia ja periaatteita. Henkilöiden ja palvelujen vapaa liikkuvuus sekä sijoittautumisvapaus, joka on yksi Euroopan unionista tehdyssä sopimuksessa ja Euroopan unionin toiminnasta tehdyssä sopimuksessa suojatuista perusoikeuksista ja -vapauksista, on tämän toimenpiteen kannalta merkityksellinen.</w:t>
      </w:r>
    </w:p>
    <w:p w14:paraId="09273750" w14:textId="77777777" w:rsidR="00BA0985" w:rsidRPr="00A7778D" w:rsidRDefault="00587167" w:rsidP="00EC435D">
      <w:pPr>
        <w:pStyle w:val="ManualHeading1"/>
        <w:spacing w:before="120" w:line="23" w:lineRule="atLeast"/>
        <w:rPr>
          <w:noProof/>
          <w:szCs w:val="24"/>
        </w:rPr>
      </w:pPr>
      <w:r w:rsidRPr="00A7778D">
        <w:rPr>
          <w:noProof/>
        </w:rPr>
        <w:t>4.</w:t>
      </w:r>
      <w:r w:rsidRPr="00A7778D">
        <w:rPr>
          <w:noProof/>
        </w:rPr>
        <w:tab/>
        <w:t>TALOUSARVIOVAIKUTUKSET</w:t>
      </w:r>
    </w:p>
    <w:p w14:paraId="4081BD85" w14:textId="10C3CA4C" w:rsidR="00385B77" w:rsidRPr="00A7778D" w:rsidRDefault="00385B77" w:rsidP="00EC435D">
      <w:pPr>
        <w:autoSpaceDE w:val="0"/>
        <w:autoSpaceDN w:val="0"/>
        <w:spacing w:line="23" w:lineRule="atLeast"/>
        <w:rPr>
          <w:noProof/>
          <w:szCs w:val="24"/>
        </w:rPr>
      </w:pPr>
      <w:r w:rsidRPr="00A7778D">
        <w:rPr>
          <w:noProof/>
        </w:rPr>
        <w:t xml:space="preserve">Tässä ehdotetulla asetuksella arvopaperimarkkinaviranomainen valtuutetaan hoitamaan uutta tehtävää eli myöntämään toimiluvan ESG-luokitusten tarjoajille, jotka tarjoavat palvelujaan asetuksen mukaisesti, ja valvomaan niitä. Tämä edellyttää, että arvopaperimarkkinaviranomainen perii ESG-luokitusten tarjoajilta maksuja, joiden olisi katettava kaikki hallinnolliset kustannukset, joita arvopaperimarkkinaviranomaiselle aiheutuu toimilupien myöntämiseen ja valvontaan liittyvästä toiminnasta. Markkinat ovat kooltaan 59 yhteisöä: 30 EU:hun sijoittautunutta ESG-palvelujen tarjoajaa (3 suurta, 6 keskisuurta, 9 pientä ja 12 mikroyritystä) ja 29 EU:n ulkopuolista yhteisöä. Kun arvioidaan, että suuren ESG-luokitusten tarjoajan valvonta edellyttäisi 1,7 kokoaikaista työntekijää ja pienen ESG-luokitusten tarjoajan valvonta 0,2 kokoaikaista työntekijää vuodessa, arvopaperimarkkinaviranomainen tarvitsee vuodessa 20 kokoaikaista työntekijää. Saman arvion perusteella arvopaperimarkkinaviranomainen tarvitsisi 7 väliaikaista toimihenkilöä ja 12 sopimussuhteista toimihenkilöä toimilupien myöntämiseen 30:lle EU:ssa sijaitsevalle yhteisölle ja 29:lle EU:n ulkopuoliselle yhteisölle sekä 30:n EU:ssa sijaitsevan yhteisön ja 29 EU:n ulkopuolisen yhteisön valvontaan alkaen vuodesta </w:t>
      </w:r>
      <w:r w:rsidRPr="00A7778D">
        <w:rPr>
          <w:b/>
          <w:noProof/>
        </w:rPr>
        <w:t>N + 1</w:t>
      </w:r>
      <w:r w:rsidRPr="00A7778D">
        <w:rPr>
          <w:noProof/>
        </w:rPr>
        <w:t xml:space="preserve">. On todennäköistä, että toimilupien myöntämiseen liittyvä kertaluonteinen työ on suurimmillaan ensimmäisenä vuonna (vuosi </w:t>
      </w:r>
      <w:r w:rsidRPr="00A7778D">
        <w:rPr>
          <w:b/>
          <w:noProof/>
        </w:rPr>
        <w:t>N</w:t>
      </w:r>
      <w:r w:rsidRPr="00A7778D">
        <w:rPr>
          <w:noProof/>
        </w:rPr>
        <w:t>). Sen vuoksi on tärkeää, että arvopaperimarkkinaviranomaiselle annetaan alusta alkaen 19 kokoaikaista työntekijää tämän huipputason hallitsemiseksi.</w:t>
      </w:r>
    </w:p>
    <w:p w14:paraId="4C507FC4" w14:textId="423484D9" w:rsidR="00F07B42" w:rsidRPr="00A7778D" w:rsidRDefault="00385B77" w:rsidP="00EC435D">
      <w:pPr>
        <w:autoSpaceDE w:val="0"/>
        <w:autoSpaceDN w:val="0"/>
        <w:spacing w:line="23" w:lineRule="atLeast"/>
        <w:rPr>
          <w:noProof/>
          <w:szCs w:val="24"/>
          <w:highlight w:val="yellow"/>
        </w:rPr>
      </w:pPr>
      <w:r w:rsidRPr="00A7778D">
        <w:rPr>
          <w:noProof/>
        </w:rPr>
        <w:t>Kustannusten vuotuisen kokonaiskasvun arvioidaan olevan noin 3,7–3,8 miljoonaa euroa. Näitä kustannuksia ei kateta EU:n talousarviosta, koska ehdotus antaa arvopaperimarkkinaviranomaiselle mahdollisuuden periä ESG-luokitusten tarjoajilta toimilupa- ja valvontamaksuja kaikkien valvontakustannusten kattamiseksi. Samanlaista käytäntöä sovelletaan muilla aloilla, joilla arvopaperimarkkinaviranomainen vastaa tiettyjen yhteisöjen (esimerkiksi luottoluokituslaitosten) valvonnasta. Lisätietoja on saatavilla rahoitusselvityksestä.</w:t>
      </w:r>
    </w:p>
    <w:p w14:paraId="474263FC" w14:textId="77777777" w:rsidR="00587167" w:rsidRPr="00A7778D" w:rsidRDefault="00587167" w:rsidP="00EC435D">
      <w:pPr>
        <w:pStyle w:val="ManualHeading1"/>
        <w:spacing w:before="120" w:line="23" w:lineRule="atLeast"/>
        <w:rPr>
          <w:noProof/>
          <w:szCs w:val="24"/>
        </w:rPr>
      </w:pPr>
      <w:r w:rsidRPr="00A7778D">
        <w:rPr>
          <w:noProof/>
        </w:rPr>
        <w:t>5.</w:t>
      </w:r>
      <w:r w:rsidRPr="00A7778D">
        <w:rPr>
          <w:noProof/>
        </w:rPr>
        <w:tab/>
        <w:t>LISÄTIEDOT</w:t>
      </w:r>
    </w:p>
    <w:p w14:paraId="590295F5" w14:textId="77777777" w:rsidR="00587167" w:rsidRPr="00A7778D" w:rsidRDefault="00587167" w:rsidP="00EC435D">
      <w:pPr>
        <w:pStyle w:val="ManualHeading2"/>
        <w:spacing w:line="23" w:lineRule="atLeast"/>
        <w:rPr>
          <w:rFonts w:eastAsia="Arial Unicode MS"/>
          <w:noProof/>
          <w:szCs w:val="24"/>
          <w:u w:color="000000"/>
          <w:bdr w:val="nil"/>
        </w:rPr>
      </w:pPr>
      <w:r w:rsidRPr="00A7778D">
        <w:rPr>
          <w:noProof/>
          <w:u w:color="000000"/>
          <w:bdr w:val="nil"/>
        </w:rPr>
        <w:t>•</w:t>
      </w:r>
      <w:r w:rsidRPr="00A7778D">
        <w:rPr>
          <w:noProof/>
        </w:rPr>
        <w:tab/>
        <w:t>Toteuttamissuunnitelmat, seuranta, arviointi ja raportointijärjestelyt</w:t>
      </w:r>
    </w:p>
    <w:p w14:paraId="533FC8EC" w14:textId="77777777" w:rsidR="00A13F4C" w:rsidRPr="00A7778D" w:rsidRDefault="00A13F4C" w:rsidP="00EC435D">
      <w:pPr>
        <w:spacing w:line="23" w:lineRule="atLeast"/>
        <w:rPr>
          <w:noProof/>
          <w:szCs w:val="24"/>
        </w:rPr>
      </w:pPr>
      <w:r w:rsidRPr="00A7778D">
        <w:rPr>
          <w:noProof/>
        </w:rPr>
        <w:t xml:space="preserve">Komissio varmistaa, että tässä asetuksessa valitut toimet edistävät poliittisten tavoitteiden saavuttamista yhdistämällä erityisiä seurantatekijöitä, joiden tarkoituksena on mitata täytäntöönpanon tehokkuutta ja edistymistä kohti </w:t>
      </w:r>
      <w:r w:rsidRPr="00A7778D">
        <w:rPr>
          <w:i/>
          <w:noProof/>
        </w:rPr>
        <w:t>erityistavoitteita</w:t>
      </w:r>
      <w:r w:rsidRPr="00A7778D">
        <w:rPr>
          <w:noProof/>
        </w:rPr>
        <w:t xml:space="preserve">, mutta myös muilla seurantavälineillä, joilla edistetään </w:t>
      </w:r>
      <w:r w:rsidRPr="00A7778D">
        <w:rPr>
          <w:i/>
          <w:noProof/>
        </w:rPr>
        <w:t>yleistavoitteiden</w:t>
      </w:r>
      <w:r w:rsidRPr="00A7778D">
        <w:rPr>
          <w:noProof/>
        </w:rPr>
        <w:t xml:space="preserve"> saavuttamista. Näitä tekijöitä ja välineitä kuvataan tarkemmin jäljempänä. Seuratakseen edistymistä </w:t>
      </w:r>
      <w:r w:rsidRPr="00A7778D">
        <w:rPr>
          <w:i/>
          <w:noProof/>
        </w:rPr>
        <w:t>erityistavoitteiden</w:t>
      </w:r>
      <w:r w:rsidRPr="00A7778D">
        <w:rPr>
          <w:noProof/>
        </w:rPr>
        <w:t xml:space="preserve"> saavuttamisessa komissio tutkii mahdollisuutta järjestää säännöllisiä sijoittajia, yrityksiä ja ESG-luokitusten antajia koskevia kyselytutkimuksia.</w:t>
      </w:r>
    </w:p>
    <w:p w14:paraId="510BD54F" w14:textId="77777777" w:rsidR="00A13F4C" w:rsidRPr="00A7778D" w:rsidRDefault="00A13F4C" w:rsidP="00EC435D">
      <w:pPr>
        <w:spacing w:line="23" w:lineRule="atLeast"/>
        <w:rPr>
          <w:noProof/>
          <w:szCs w:val="24"/>
        </w:rPr>
      </w:pPr>
      <w:r w:rsidRPr="00A7778D">
        <w:rPr>
          <w:noProof/>
        </w:rPr>
        <w:t>Kyselytutkimuksissa kerättäisiin tietoja seuraavista aiheista: 1) käyttäjien ja luokiteltujen yhteisöjen käsitykset saatavilla olevien tietojen muutoksista erityisesti 4 jaksossa yksilöityjen erityistavoitteiden osalta sekä käsitykset siitä, onko kyseiset tavoitteet saavutettu, ja 2) ESG-luokitusten sääntelyn ja valvonnan kustannukset ja hyödyt ESG-luokitusten tarjoajan näkökulmasta. Tällaiset tutkimukset riippuvat käytettävissä olevista taloudellisista resursseista.</w:t>
      </w:r>
    </w:p>
    <w:p w14:paraId="4E030DCB" w14:textId="77777777" w:rsidR="00A13F4C" w:rsidRPr="00A7778D" w:rsidRDefault="00A13F4C" w:rsidP="00EC435D">
      <w:pPr>
        <w:spacing w:line="23" w:lineRule="atLeast"/>
        <w:rPr>
          <w:noProof/>
          <w:szCs w:val="24"/>
        </w:rPr>
      </w:pPr>
      <w:r w:rsidRPr="00A7778D">
        <w:rPr>
          <w:noProof/>
        </w:rPr>
        <w:t>Edistymistä erityistavoitteiden saavuttamisessa voidaan seurata myös useilla indikaattoreilla, joita ovat esimerkiksi saatavilla olevien ESG-luokitusten määrä, ESG-luokitusten käytön lisääntyminen käyttäjien ja liikkeeseenlaskijoiden keskuudessa ja ESG-luokitusten välisen yleisen korrelaation lisääntyminen.</w:t>
      </w:r>
    </w:p>
    <w:p w14:paraId="6634F345" w14:textId="77777777" w:rsidR="00A13F4C" w:rsidRPr="00A7778D" w:rsidRDefault="00A13F4C" w:rsidP="00EC435D">
      <w:pPr>
        <w:spacing w:line="23" w:lineRule="atLeast"/>
        <w:rPr>
          <w:noProof/>
          <w:szCs w:val="24"/>
        </w:rPr>
      </w:pPr>
      <w:r w:rsidRPr="00A7778D">
        <w:rPr>
          <w:i/>
          <w:noProof/>
        </w:rPr>
        <w:t>Yleistavoitteiden</w:t>
      </w:r>
      <w:r w:rsidRPr="00A7778D">
        <w:rPr>
          <w:noProof/>
        </w:rPr>
        <w:t xml:space="preserve"> saavuttamisessa tapahtuneen edistymisen seuranta on jo määritelmällisesti huomattavasti monimutkaisempaa, koska ehdotettujen toimenpiteiden vaikutuksia ESG-luokituksiin on menetelmällisesti vaikea erottaa muista mahdollisista tekijöistä. Komissio ehdottaa kuitenkin, että edistymistä yleistavoitteiden saavuttamisessa seurataan seuraavasti:</w:t>
      </w:r>
    </w:p>
    <w:p w14:paraId="186585B2" w14:textId="77777777" w:rsidR="00A13F4C" w:rsidRPr="00A7778D" w:rsidRDefault="00A13F4C" w:rsidP="00580A58">
      <w:pPr>
        <w:pStyle w:val="Tiret0"/>
        <w:numPr>
          <w:ilvl w:val="0"/>
          <w:numId w:val="6"/>
        </w:numPr>
        <w:spacing w:line="23" w:lineRule="atLeast"/>
        <w:rPr>
          <w:noProof/>
          <w:szCs w:val="24"/>
        </w:rPr>
      </w:pPr>
      <w:r w:rsidRPr="00A7778D">
        <w:rPr>
          <w:noProof/>
        </w:rPr>
        <w:t>seurataan kestävää taloudellista toimintaa harjoittaviin yrityksiin tehtävien sijoitusten kehityssuuntauksia ottaen huomioon ympäristöön, yhteiskuntaan ja hyvään hallintotapaan liittyvät näkökohdat</w:t>
      </w:r>
      <w:r w:rsidRPr="00A7778D">
        <w:rPr>
          <w:rStyle w:val="FootnoteReference0"/>
          <w:noProof/>
          <w:szCs w:val="24"/>
        </w:rPr>
        <w:footnoteReference w:id="16"/>
      </w:r>
      <w:r w:rsidRPr="00A7778D">
        <w:rPr>
          <w:noProof/>
        </w:rPr>
        <w:t>;</w:t>
      </w:r>
    </w:p>
    <w:p w14:paraId="09C6B929" w14:textId="77777777" w:rsidR="00A13F4C" w:rsidRPr="00A7778D" w:rsidRDefault="00A13F4C" w:rsidP="005C115E">
      <w:pPr>
        <w:pStyle w:val="Tiret0"/>
        <w:spacing w:line="23" w:lineRule="atLeast"/>
        <w:rPr>
          <w:noProof/>
          <w:szCs w:val="24"/>
        </w:rPr>
      </w:pPr>
      <w:r w:rsidRPr="00A7778D">
        <w:rPr>
          <w:noProof/>
        </w:rPr>
        <w:t>tehdään yhteistyötä valvojien ja muiden asiaankuuluvien sidosryhmien kanssa sen arvioimiseksi, ovatko ESG-luokituksiin liittyvät huolenaiheet viherpesusta vähenemässä.</w:t>
      </w:r>
    </w:p>
    <w:p w14:paraId="27BA15EA" w14:textId="77777777" w:rsidR="00A13F4C" w:rsidRPr="00A7778D" w:rsidRDefault="00A13F4C" w:rsidP="00EC435D">
      <w:pPr>
        <w:spacing w:line="23" w:lineRule="atLeast"/>
        <w:rPr>
          <w:noProof/>
          <w:szCs w:val="24"/>
        </w:rPr>
      </w:pPr>
      <w:r w:rsidRPr="00A7778D">
        <w:rPr>
          <w:noProof/>
        </w:rPr>
        <w:t>Sijoittajia, yrityksiä ja ESG-luokitusten tarjoajia koskevia ehdotettuja kyselytutkimuksia voi olla myös mahdollista käyttää näytön keräämiseen siitä, katsovatko sidosryhmät, että ESG-luokitusten tarjoajat ovat vastuullisempia toiminnastaan.</w:t>
      </w:r>
    </w:p>
    <w:p w14:paraId="28E77871" w14:textId="77777777" w:rsidR="00A13F4C" w:rsidRPr="00A7778D" w:rsidRDefault="00A13F4C" w:rsidP="00EC435D">
      <w:pPr>
        <w:spacing w:line="23" w:lineRule="atLeast"/>
        <w:rPr>
          <w:noProof/>
          <w:szCs w:val="24"/>
        </w:rPr>
      </w:pPr>
      <w:r w:rsidRPr="00A7778D">
        <w:rPr>
          <w:noProof/>
        </w:rPr>
        <w:t>Tämän aloitteen mukaisten ESG-luokitusten tarjoajien valvojana arvopaperimarkkinaviranomainen olisi asianmukainen elin, joka arvioi kehitystä ja tuo esiin mahdollisia huolenaiheita ja on yhteydessä sen jäsenvaltion asiaankuuluviin kansallisiin viranomaisiin, jossa ESG-luokituksia käytetään ja jossa ESG-luokitusten tarjoajat sijaitsevat ja harjoittavat toimintaa.</w:t>
      </w:r>
    </w:p>
    <w:p w14:paraId="53045700" w14:textId="77777777" w:rsidR="00A13F4C" w:rsidRPr="00A7778D" w:rsidRDefault="00A13F4C" w:rsidP="00EC435D">
      <w:pPr>
        <w:spacing w:line="23" w:lineRule="atLeast"/>
        <w:rPr>
          <w:noProof/>
          <w:szCs w:val="24"/>
        </w:rPr>
      </w:pPr>
      <w:r w:rsidRPr="00A7778D">
        <w:rPr>
          <w:noProof/>
        </w:rPr>
        <w:t>Lisäksi useat sidosryhmät, kuten kansalaisjärjestöt, ESG-luokitusten tarjoajat, liike-elämän järjestöt ja viranomaiset, julkaisevat todennäköisesti raportteja, joissa seurataan alan kehitystä ja jotka täydentävät hyödyllisellä tavalla komission suorittamaa seurantaa.</w:t>
      </w:r>
    </w:p>
    <w:p w14:paraId="688A6D92" w14:textId="77777777" w:rsidR="00A13F4C" w:rsidRPr="00A7778D" w:rsidRDefault="00A13F4C" w:rsidP="00EC435D">
      <w:pPr>
        <w:pBdr>
          <w:top w:val="nil"/>
          <w:left w:val="nil"/>
          <w:bottom w:val="nil"/>
          <w:right w:val="nil"/>
          <w:between w:val="nil"/>
          <w:bar w:val="nil"/>
        </w:pBdr>
        <w:spacing w:line="23" w:lineRule="atLeast"/>
        <w:rPr>
          <w:rFonts w:eastAsia="Arial Unicode MS"/>
          <w:noProof/>
          <w:szCs w:val="24"/>
        </w:rPr>
      </w:pPr>
      <w:r w:rsidRPr="00A7778D">
        <w:rPr>
          <w:noProof/>
        </w:rPr>
        <w:t>Sekä edellä esitetyt indikaattorit että kyselytutkimukset auttavat arvioimaan, onnistuuko erityistavoitteiden saavuttaminen parhaaksi arvioidulla toimintavaihtoehdolla. Tämän jälkeen näitä indikaattoreita käytetään perustana arvioinnille, joka olisi esitettävä viimeistään viiden vuoden kuluttua tämän aloitteen voimaantulosta. Ehdotusluonnoksessa sitoudutaan lisäksi arvioimaan uuden säädöksen vaikutuksia. Komissio alkaa seurata parhaaksi arvioidun toimenpidevaihtoehdon täytäntöönpanoa aloitteen voimaantulon jälkeen.</w:t>
      </w:r>
    </w:p>
    <w:p w14:paraId="219A5A53" w14:textId="77777777" w:rsidR="00587167" w:rsidRPr="00A7778D" w:rsidRDefault="00587167" w:rsidP="00EC435D">
      <w:pPr>
        <w:pStyle w:val="ManualHeading2"/>
        <w:spacing w:line="23" w:lineRule="atLeast"/>
        <w:rPr>
          <w:rFonts w:eastAsia="Arial Unicode MS"/>
          <w:noProof/>
          <w:szCs w:val="24"/>
          <w:u w:color="000000"/>
          <w:bdr w:val="nil"/>
        </w:rPr>
      </w:pPr>
      <w:r w:rsidRPr="00A7778D">
        <w:rPr>
          <w:noProof/>
          <w:u w:color="000000"/>
          <w:bdr w:val="nil"/>
        </w:rPr>
        <w:t>•</w:t>
      </w:r>
      <w:r w:rsidRPr="00A7778D">
        <w:rPr>
          <w:noProof/>
        </w:rPr>
        <w:tab/>
        <w:t>Selittävät asiakirjat (direktiivien osalta)</w:t>
      </w:r>
    </w:p>
    <w:p w14:paraId="3987E54A" w14:textId="77777777" w:rsidR="00587167" w:rsidRPr="00A7778D" w:rsidRDefault="004F1532" w:rsidP="00EC435D">
      <w:pPr>
        <w:pBdr>
          <w:top w:val="nil"/>
          <w:left w:val="nil"/>
          <w:bottom w:val="nil"/>
          <w:right w:val="nil"/>
          <w:between w:val="nil"/>
          <w:bar w:val="nil"/>
        </w:pBdr>
        <w:spacing w:line="23" w:lineRule="atLeast"/>
        <w:rPr>
          <w:rFonts w:eastAsia="Arial Unicode MS"/>
          <w:noProof/>
          <w:szCs w:val="24"/>
        </w:rPr>
      </w:pPr>
      <w:r w:rsidRPr="00A7778D">
        <w:rPr>
          <w:noProof/>
        </w:rPr>
        <w:t>Ei sovelleta.</w:t>
      </w:r>
    </w:p>
    <w:p w14:paraId="2D741822" w14:textId="77777777" w:rsidR="00587167" w:rsidRPr="00A7778D" w:rsidRDefault="00587167" w:rsidP="00EC435D">
      <w:pPr>
        <w:pStyle w:val="ManualHeading2"/>
        <w:spacing w:line="23" w:lineRule="atLeast"/>
        <w:rPr>
          <w:rFonts w:eastAsia="Arial Unicode MS"/>
          <w:noProof/>
          <w:szCs w:val="24"/>
          <w:u w:color="000000"/>
          <w:bdr w:val="nil"/>
        </w:rPr>
      </w:pPr>
      <w:r w:rsidRPr="00A7778D">
        <w:rPr>
          <w:noProof/>
          <w:u w:color="000000"/>
          <w:bdr w:val="nil"/>
        </w:rPr>
        <w:t>•</w:t>
      </w:r>
      <w:r w:rsidRPr="00A7778D">
        <w:rPr>
          <w:noProof/>
        </w:rPr>
        <w:tab/>
        <w:t>Yksityiskohtainen selvitys ehdotuksen säännöksistä (täydennetään, kun artiklojen numerointi / uusi järjestys on selvillä)</w:t>
      </w:r>
    </w:p>
    <w:p w14:paraId="59CE986E" w14:textId="1B8B71F9" w:rsidR="006F7AAE" w:rsidRPr="00A7778D" w:rsidRDefault="00A061E3" w:rsidP="00EC435D">
      <w:pPr>
        <w:pBdr>
          <w:top w:val="nil"/>
          <w:left w:val="nil"/>
          <w:bottom w:val="nil"/>
          <w:right w:val="nil"/>
          <w:between w:val="nil"/>
          <w:bar w:val="nil"/>
        </w:pBdr>
        <w:spacing w:line="23" w:lineRule="atLeast"/>
        <w:rPr>
          <w:noProof/>
          <w:szCs w:val="24"/>
        </w:rPr>
      </w:pPr>
      <w:r w:rsidRPr="00A7778D">
        <w:rPr>
          <w:noProof/>
        </w:rPr>
        <w:t>Ehdotuksen I osastossa säädetään asetuksen kohteesta, soveltamisalasta ja määritelmistä. Ehdotuksen 1 artiklassa vahvistetaan asetuksen kohde eli sellaisen yhteisen sääntelytavan käyttöönotto, jolla parannetaan ESG-luokitustoiminnan eheyttä, läpinäkyvyyttä, vastuullisuutta, hyvää hallintotapaa ja riippumattomuutta sekä edistetään säännellyille eurooppalaisille rahoitusalan yrityksille ja eurooppalaisille yrityksille annettavien ESG-luokitusten läpinäkyvyyttä ja laatua. Asetuksessa säädetään myös ESG-luokituksiin liittyvistä läpinäkyvyysvaatimuksista sekä ESG-luokitusten tarjoajien organisaatiota ja toimintaa koskevista säännöistä. Ehdotuksen 2 artikla liittyy asetuksen soveltamisalaan, joka on EU:ssa toimivien ESG-luokitusten tarjoajien harjoittama ESG-luokitustoiminta. Asetuksessa käytettävät määritelmät esitetään 3 artiklassa.</w:t>
      </w:r>
    </w:p>
    <w:p w14:paraId="65BAAA1F" w14:textId="77777777" w:rsidR="007477DD" w:rsidRPr="00A7778D" w:rsidRDefault="007477DD" w:rsidP="00EC435D">
      <w:pPr>
        <w:pBdr>
          <w:top w:val="nil"/>
          <w:left w:val="nil"/>
          <w:bottom w:val="nil"/>
          <w:right w:val="nil"/>
          <w:between w:val="nil"/>
          <w:bar w:val="nil"/>
        </w:pBdr>
        <w:spacing w:line="23" w:lineRule="atLeast"/>
        <w:rPr>
          <w:noProof/>
          <w:szCs w:val="24"/>
        </w:rPr>
      </w:pPr>
      <w:r w:rsidRPr="00A7778D">
        <w:rPr>
          <w:noProof/>
        </w:rPr>
        <w:t>Asetuksen II osastossa säädetään edellytyksistä, joita sovelletaan ESG-luokitusten tarjoamiseen unionissa.</w:t>
      </w:r>
    </w:p>
    <w:p w14:paraId="451D5242" w14:textId="6D806BBD" w:rsidR="007477DD" w:rsidRPr="00A7778D" w:rsidRDefault="007477DD" w:rsidP="00EC435D">
      <w:pPr>
        <w:pBdr>
          <w:top w:val="nil"/>
          <w:left w:val="nil"/>
          <w:bottom w:val="nil"/>
          <w:right w:val="nil"/>
          <w:between w:val="nil"/>
          <w:bar w:val="nil"/>
        </w:pBdr>
        <w:spacing w:line="23" w:lineRule="atLeast"/>
        <w:rPr>
          <w:noProof/>
          <w:szCs w:val="24"/>
        </w:rPr>
      </w:pPr>
      <w:r w:rsidRPr="00A7778D">
        <w:rPr>
          <w:noProof/>
        </w:rPr>
        <w:t>Ehdotuksen 4–8 artiklassa säädetään vaatimuksista, jotka koskevat ESG-luokitusten tarjoajien toimilupamenettelyä, mukaan lukien toimilupahakemuksen jättäminen, sen tutkiminen ja arvopaperimarkkinaviranomaisen ilmoitus toimiluvan myöntämistä, epäämistä tai peruuttamista koskevasta päätöksestä. Ehdotuksen 9–12 artiklassa vahvistetaan säännöt, jotka koskevat kolmansien maiden ESG-luokitusten tarjoajien ESG-luokitusten antamista EU:ssa. Ehdotuksen 9 artiklassa säädetään vastaavuuspäätöksiin liittyvistä vaatimuksista, 10 artiklassa  ESG-luokitusten hyväksymistä koskevista vaatimuksista ja 11 artiklassa tunnustamismenettelyä koskevista vaatimuksista. Ehdotuksen 12 artikla koskee arvopaperimarkkinaviranomaisen ja kolmansien maiden valvontaviranomaisten välisiä yhteistyöjärjestelyjä. Ehdotuksen 13 artiklassa säädetään vaatimuksesta, jonka mukaan arvopaperimarkkinaviranomaisen on pidettävä verkkosivustollaan rekisteriä kaikista toimiluvan saaneista ESG-luokitusten tarjoajista, sekä vaatimuksista, jotka koskevat tietojen saatavuutta eurooppalaisesta keskitetystä yhteyspisteestä (ESAP).</w:t>
      </w:r>
    </w:p>
    <w:p w14:paraId="10E99681" w14:textId="77777777" w:rsidR="00847C20" w:rsidRPr="00A7778D" w:rsidRDefault="00847C20" w:rsidP="00EC435D">
      <w:pPr>
        <w:pBdr>
          <w:top w:val="nil"/>
          <w:left w:val="nil"/>
          <w:bottom w:val="nil"/>
          <w:right w:val="nil"/>
          <w:between w:val="nil"/>
          <w:bar w:val="nil"/>
        </w:pBdr>
        <w:spacing w:line="23" w:lineRule="atLeast"/>
        <w:rPr>
          <w:noProof/>
          <w:szCs w:val="24"/>
        </w:rPr>
      </w:pPr>
      <w:r w:rsidRPr="00A7778D">
        <w:rPr>
          <w:noProof/>
        </w:rPr>
        <w:t>Asetuksen III osastossa vahvistetaan ESG-luokitustoiminnan eheyttä ja luotettavuutta koskevat periaatteet.</w:t>
      </w:r>
    </w:p>
    <w:p w14:paraId="6C3F953F" w14:textId="6325949A" w:rsidR="00847C20" w:rsidRPr="00A7778D" w:rsidRDefault="00847C20" w:rsidP="00EC435D">
      <w:pPr>
        <w:pBdr>
          <w:top w:val="nil"/>
          <w:left w:val="nil"/>
          <w:bottom w:val="nil"/>
          <w:right w:val="nil"/>
          <w:between w:val="nil"/>
          <w:bar w:val="nil"/>
        </w:pBdr>
        <w:spacing w:line="23" w:lineRule="atLeast"/>
        <w:rPr>
          <w:noProof/>
          <w:szCs w:val="24"/>
        </w:rPr>
      </w:pPr>
      <w:r w:rsidRPr="00A7778D">
        <w:rPr>
          <w:noProof/>
        </w:rPr>
        <w:t>Ehdotuksen 1 luvussa määritellään ESG-luokitustoiminnan hallintoa koskevat organisatoriset vaatimukset, prosessit ja asiakirjat. Ehdotuksen 14 artiklassa vahvistetaan yleiset periaatteet, joita ESG-luokitusten tarjoajien on noudatettava, mukaan lukien tarve käyttää asianmukaisia järjestelmiä, resursseja ja menettelyjä sekä varmistaa toimintojen riippumattomuus. Ehdotuksen 15 artiklassa edellytetään, että ESG-luokitustoiminta on erotettava useista muista toiminnoista, kuten konsultointitoiminnasta, luottoluokitusten antamisesta ja myynnistä sekä vertailuarvojen laatimisesta.  Ehdotuksen 16 artiklassa säädetään yksityiskohtaisemmin luokitusanalyytikoiden, työntekijöiden ja muiden ESG-luokitusten antamiseen osallistuvien henkilöiden velvoitteista. Ehdotuksen 17 artiklassa otetaan käyttöön ESG-luokitustoimintaan liittyvää tietojen kirjaamista koskevat vaatimukset. Sen jälkeen 18 artiklassa säädetään ESG-luokitusten tarjoajien velvollisuudesta perustaa riippumaton valitusmenettely sen varmistamiseksi, että sidosryhmät voivat ilmoittaa niille valituksista ja että ESG-luokitusten tarjoaja arvioi objektiivisesti valitusten perusteet. Ehdotuksen 19 artiklassa otetaan käyttöön vaatimuksia ja suojatoimia, jotka koskevat joidenkin ESG-luokitustoimintaan liittyvien tehtävien ulkoistamista kolmansille osapuolille. Ehdotuksen 20 artiklassa säädetään hallintovaatimuksia koskevista poikkeuksista, joita arvopaperimarkkinaviranomainen voi myöntää niille ESG-luokitusten tarjoajille, jotka täyttävät erityisesti kokoa koskevat kriteerit.</w:t>
      </w:r>
    </w:p>
    <w:p w14:paraId="5E4D8F8A" w14:textId="3D2C1922" w:rsidR="00847C20" w:rsidRPr="00A7778D" w:rsidRDefault="00847C20" w:rsidP="00EC435D">
      <w:pPr>
        <w:pBdr>
          <w:top w:val="nil"/>
          <w:left w:val="nil"/>
          <w:bottom w:val="nil"/>
          <w:right w:val="nil"/>
          <w:between w:val="nil"/>
          <w:bar w:val="nil"/>
        </w:pBdr>
        <w:spacing w:line="23" w:lineRule="atLeast"/>
        <w:rPr>
          <w:noProof/>
          <w:szCs w:val="24"/>
        </w:rPr>
      </w:pPr>
      <w:r w:rsidRPr="00A7778D">
        <w:rPr>
          <w:noProof/>
        </w:rPr>
        <w:t>Ehdotuksen 2 luvussa käsitellään ESG-luokitustoiminnan läpinäkyvyysvaatimuksia. Ehdotuksen 21 artiklassa otetaan käyttöön yleisön saataville asetettavia ESG-luokitustoimia koskevat läpinäkyvyysvaatimukset. Ehdotuksen 22 artiklassa otetaan käyttöön ESG-luokitusten tilaajien ja luokiteltujen yhteisöjen saataville asetettavia ESG-luokitustoimia koskevat läpinäkyvyysvaatimukset.</w:t>
      </w:r>
    </w:p>
    <w:p w14:paraId="6088927F" w14:textId="5FACCD55" w:rsidR="006E7D8F" w:rsidRPr="00A7778D" w:rsidRDefault="00847C20" w:rsidP="00EC435D">
      <w:pPr>
        <w:pBdr>
          <w:top w:val="nil"/>
          <w:left w:val="nil"/>
          <w:bottom w:val="nil"/>
          <w:right w:val="nil"/>
          <w:between w:val="nil"/>
          <w:bar w:val="nil"/>
        </w:pBdr>
        <w:spacing w:line="23" w:lineRule="atLeast"/>
        <w:rPr>
          <w:noProof/>
          <w:szCs w:val="24"/>
        </w:rPr>
      </w:pPr>
      <w:r w:rsidRPr="00A7778D">
        <w:rPr>
          <w:noProof/>
        </w:rPr>
        <w:t>Ehdotuksen 3 luvussa säädetään ESG-luokitusten tarjoajien riippumattomuuteen ja eturistiriitoihin liittyvistä velvoitteista. Ehdotuksen 23 artiklassa edellytetään, että ESG-luokitusten tarjoajilla on oltava käytössä vakaat hallintojärjestelyt, joihin sisältyy selkeä organisaatiorakenne, jossa on määritelty yksityiskohtaisesti, läpinäkyvästi ja kattavasti tehtävät ja vastuualueet kaikille ESG-luokituksen antamiseen osallistuville toimijoille. Ehdotuksen 24 artiklassa vahvistetaan vaatimukset, jotka koskevat ESG-luokitusten antamiseen osallistuvien työntekijöiden mahdollisten eturistiriitojen hallintaa. Ehdotuksen 25 artiklassa säädetään, että asiakkailta ESG-luokituksista veloitettavien maksujen on oltava oikeudenmukaisia, kohtuullisia, läpinäkyviä ja syrjimättömiä ja perustuttava todellisiin kustannuksiin.</w:t>
      </w:r>
    </w:p>
    <w:p w14:paraId="72690B85" w14:textId="6D889274" w:rsidR="007477DD" w:rsidRPr="00A7778D" w:rsidRDefault="007477DD" w:rsidP="00EC435D">
      <w:pPr>
        <w:pBdr>
          <w:top w:val="nil"/>
          <w:left w:val="nil"/>
          <w:bottom w:val="nil"/>
          <w:right w:val="nil"/>
          <w:between w:val="nil"/>
          <w:bar w:val="nil"/>
        </w:pBdr>
        <w:spacing w:line="23" w:lineRule="atLeast"/>
        <w:rPr>
          <w:noProof/>
          <w:szCs w:val="24"/>
        </w:rPr>
      </w:pPr>
      <w:r w:rsidRPr="00A7778D">
        <w:rPr>
          <w:noProof/>
        </w:rPr>
        <w:t>Ehdotuksen 4 luvun 26–39 artiklassa vahvistetaan arvopaperimarkkinaviranomaisen valtuudet valvoa ESG-luokitusten tarjoajia. Näihin kuuluvat valtuudet pyytää tietoja pelkällä pyynnöllä tai päätöksellä, valtuudet tehdä yleisiä tutkimuksia ja valtuudet tehdä tarkastuksia paikan päällä. Luvussa vahvistetaan myös edellytykset, joiden täyttyessä arvopaperimarkkinaviranomainen voi käyttää valvontavaltuuksiaan. Se sisältää useita säännöksiä, joissa täsmennetään valvontatoimenpiteet sekä sakot ja uhkasakot, joita arvopaperimarkkinaviranomainen voi määrätä. Arvopaperimarkkinaviranomainen voi myös periä toimilupa- ja valvontamaksuja.</w:t>
      </w:r>
    </w:p>
    <w:p w14:paraId="42EBD10C" w14:textId="5FCEF45A" w:rsidR="0082257C" w:rsidRPr="00A7778D" w:rsidRDefault="0082257C" w:rsidP="00EC435D">
      <w:pPr>
        <w:pBdr>
          <w:top w:val="nil"/>
          <w:left w:val="nil"/>
          <w:bottom w:val="nil"/>
          <w:right w:val="nil"/>
          <w:between w:val="nil"/>
          <w:bar w:val="nil"/>
        </w:pBdr>
        <w:spacing w:line="23" w:lineRule="atLeast"/>
        <w:rPr>
          <w:noProof/>
          <w:szCs w:val="24"/>
        </w:rPr>
      </w:pPr>
      <w:r w:rsidRPr="00A7778D">
        <w:rPr>
          <w:noProof/>
        </w:rPr>
        <w:t>Ehdotuksen 5 luvussa vahvistetaan arvopaperimarkkinaviranomaisen ja kansallisten toimivaltaisten viranomaisten välisen yhteistyön periaatteet.</w:t>
      </w:r>
    </w:p>
    <w:p w14:paraId="6BBF8A34" w14:textId="41AD41F9" w:rsidR="005F6760" w:rsidRPr="00A7778D" w:rsidRDefault="005F6760" w:rsidP="00EC435D">
      <w:pPr>
        <w:pBdr>
          <w:top w:val="nil"/>
          <w:left w:val="nil"/>
          <w:bottom w:val="nil"/>
          <w:right w:val="nil"/>
          <w:between w:val="nil"/>
          <w:bar w:val="nil"/>
        </w:pBdr>
        <w:spacing w:line="23" w:lineRule="atLeast"/>
        <w:rPr>
          <w:noProof/>
          <w:szCs w:val="24"/>
        </w:rPr>
      </w:pPr>
      <w:r w:rsidRPr="00A7778D">
        <w:rPr>
          <w:noProof/>
        </w:rPr>
        <w:t xml:space="preserve">Delegoituja ja täytäntöönpanosäädöksiä koskevassa IV osastossa siirretään komissiolle valta antaa delegoituja säädöksiä 45 artiklassa säädetyin edellytyksin. </w:t>
      </w:r>
    </w:p>
    <w:p w14:paraId="217DF51E" w14:textId="2F221FAD" w:rsidR="00587167" w:rsidRPr="00A7778D" w:rsidRDefault="005F6760" w:rsidP="00EC435D">
      <w:pPr>
        <w:pBdr>
          <w:top w:val="nil"/>
          <w:left w:val="nil"/>
          <w:bottom w:val="nil"/>
          <w:right w:val="nil"/>
          <w:between w:val="nil"/>
          <w:bar w:val="nil"/>
        </w:pBdr>
        <w:spacing w:line="23" w:lineRule="atLeast"/>
        <w:rPr>
          <w:noProof/>
          <w:szCs w:val="24"/>
        </w:rPr>
      </w:pPr>
      <w:r w:rsidRPr="00A7778D">
        <w:rPr>
          <w:noProof/>
        </w:rPr>
        <w:t>Siirtymä- ja loppusäännöksiä koskevassa V osastossa vahvistetaan päivämäärä, johon mennessä ESG-luokitusten tarjoajien olisi haettava toimilupaa, ja säädetään myös siirtymäajasta pienille ja keskisuurille ESG-luokitusten tarjoajille, jotka tarjoavat palvelujaan ennen asetuksen soveltamispäivää. Siinä otetaan myös käyttöön siirtymäkausi uusille markkinoille tulijoille, jotka ovat pieniä ja keskisuuria ESG-luokitusten tarjoajia.</w:t>
      </w:r>
    </w:p>
    <w:p w14:paraId="2E25ECB8" w14:textId="7BEF2C28" w:rsidR="006D50DB" w:rsidRPr="00A7778D" w:rsidRDefault="006D50DB" w:rsidP="00EC435D">
      <w:pPr>
        <w:pBdr>
          <w:top w:val="nil"/>
          <w:left w:val="nil"/>
          <w:bottom w:val="nil"/>
          <w:right w:val="nil"/>
          <w:between w:val="nil"/>
          <w:bar w:val="nil"/>
        </w:pBdr>
        <w:spacing w:line="23" w:lineRule="atLeast"/>
        <w:rPr>
          <w:noProof/>
          <w:szCs w:val="24"/>
        </w:rPr>
        <w:sectPr w:rsidR="006D50DB" w:rsidRPr="00A7778D" w:rsidSect="00084EF2">
          <w:footerReference w:type="default" r:id="rId10"/>
          <w:footerReference w:type="first" r:id="rId11"/>
          <w:pgSz w:w="11907" w:h="16839"/>
          <w:pgMar w:top="1134" w:right="1417" w:bottom="1134" w:left="1417" w:header="709" w:footer="709" w:gutter="0"/>
          <w:cols w:space="708"/>
          <w:docGrid w:linePitch="360"/>
        </w:sectPr>
      </w:pPr>
    </w:p>
    <w:p w14:paraId="7FF7242F" w14:textId="067428AA" w:rsidR="00CD0AD3" w:rsidRPr="00A7778D" w:rsidRDefault="00982211" w:rsidP="00982211">
      <w:pPr>
        <w:pStyle w:val="Rfrenceinterinstitutionnelle"/>
        <w:rPr>
          <w:noProof/>
        </w:rPr>
      </w:pPr>
      <w:r w:rsidRPr="00982211">
        <w:t>2023/0177 (COD)</w:t>
      </w:r>
    </w:p>
    <w:p w14:paraId="47341B01" w14:textId="4D74AAC5" w:rsidR="00587167" w:rsidRPr="00A7778D" w:rsidRDefault="00A7778D" w:rsidP="00A7778D">
      <w:pPr>
        <w:pStyle w:val="Statut"/>
        <w:rPr>
          <w:noProof/>
        </w:rPr>
      </w:pPr>
      <w:r w:rsidRPr="00A7778D">
        <w:rPr>
          <w:noProof/>
        </w:rPr>
        <w:t>Ehdotus</w:t>
      </w:r>
    </w:p>
    <w:p w14:paraId="34FCDFFD" w14:textId="0B070C58" w:rsidR="00587167" w:rsidRPr="00A7778D" w:rsidRDefault="00A7778D" w:rsidP="00A7778D">
      <w:pPr>
        <w:pStyle w:val="Typedudocument"/>
        <w:rPr>
          <w:noProof/>
        </w:rPr>
      </w:pPr>
      <w:r w:rsidRPr="00A7778D">
        <w:rPr>
          <w:noProof/>
        </w:rPr>
        <w:t>EUROOPAN PARLAMENTIN JA NEUVOSTON ASETUS</w:t>
      </w:r>
    </w:p>
    <w:p w14:paraId="6429B297" w14:textId="1EB80644" w:rsidR="00587167" w:rsidRPr="00A7778D" w:rsidRDefault="00A7778D" w:rsidP="00A7778D">
      <w:pPr>
        <w:pStyle w:val="Titreobjet"/>
        <w:rPr>
          <w:noProof/>
        </w:rPr>
      </w:pPr>
      <w:r w:rsidRPr="00A7778D">
        <w:rPr>
          <w:noProof/>
        </w:rPr>
        <w:t>ympäristöön, yhteiskuntaan ja hyvään hallintotapaan (ESG) liittyvän luokitustoiminnan läpinäkyvyydestä ja eheydestä</w:t>
      </w:r>
    </w:p>
    <w:p w14:paraId="2EB54836" w14:textId="4E7D50FE" w:rsidR="00CD0AD3" w:rsidRPr="00A7778D" w:rsidRDefault="00A7778D" w:rsidP="00A7778D">
      <w:pPr>
        <w:pStyle w:val="IntrtEEE"/>
        <w:rPr>
          <w:noProof/>
        </w:rPr>
      </w:pPr>
      <w:r w:rsidRPr="00A7778D">
        <w:rPr>
          <w:noProof/>
        </w:rPr>
        <w:t>(ETA:n kannalta merkityksellinen teksti)</w:t>
      </w:r>
    </w:p>
    <w:p w14:paraId="7BA01508" w14:textId="77777777" w:rsidR="00587167" w:rsidRPr="00A7778D" w:rsidRDefault="00587167" w:rsidP="00EC435D">
      <w:pPr>
        <w:pStyle w:val="Institutionquiagit"/>
        <w:spacing w:before="120" w:line="23" w:lineRule="atLeast"/>
        <w:rPr>
          <w:noProof/>
          <w:szCs w:val="24"/>
        </w:rPr>
      </w:pPr>
      <w:r w:rsidRPr="00A7778D">
        <w:rPr>
          <w:noProof/>
        </w:rPr>
        <w:t>EUROOPAN PARLAMENTTI JA EUROOPAN UNIONIN NEUVOSTO, jotka</w:t>
      </w:r>
    </w:p>
    <w:p w14:paraId="4753D6CE" w14:textId="77777777" w:rsidR="00587167" w:rsidRPr="00A7778D" w:rsidRDefault="00587167" w:rsidP="00EC435D">
      <w:pPr>
        <w:spacing w:line="23" w:lineRule="atLeast"/>
        <w:rPr>
          <w:noProof/>
          <w:szCs w:val="24"/>
        </w:rPr>
      </w:pPr>
      <w:r w:rsidRPr="00A7778D">
        <w:rPr>
          <w:noProof/>
        </w:rPr>
        <w:t>ottavat huomioon Euroopan unionin toiminnasta tehdyn sopimuksen ja erityisesti sen 114 artiklan,</w:t>
      </w:r>
    </w:p>
    <w:p w14:paraId="76648343" w14:textId="77777777" w:rsidR="00587167" w:rsidRPr="00A7778D" w:rsidRDefault="00587167" w:rsidP="00EC435D">
      <w:pPr>
        <w:spacing w:line="23" w:lineRule="atLeast"/>
        <w:rPr>
          <w:noProof/>
          <w:szCs w:val="24"/>
        </w:rPr>
      </w:pPr>
      <w:r w:rsidRPr="00A7778D">
        <w:rPr>
          <w:noProof/>
        </w:rPr>
        <w:t>ottavat huomioon Euroopan komission ehdotuksen,</w:t>
      </w:r>
    </w:p>
    <w:p w14:paraId="090C86CC" w14:textId="77777777" w:rsidR="00587167" w:rsidRPr="00A7778D" w:rsidRDefault="00587167" w:rsidP="00EC435D">
      <w:pPr>
        <w:spacing w:line="23" w:lineRule="atLeast"/>
        <w:rPr>
          <w:noProof/>
          <w:szCs w:val="24"/>
        </w:rPr>
      </w:pPr>
      <w:r w:rsidRPr="00A7778D">
        <w:rPr>
          <w:noProof/>
        </w:rPr>
        <w:t>sen jälkeen kun esitys lainsäätämisjärjestyksessä hyväksyttäväksi säädökseksi on toimitettu kansallisille parlamenteille,</w:t>
      </w:r>
    </w:p>
    <w:p w14:paraId="409BF17D" w14:textId="77777777" w:rsidR="00587167" w:rsidRPr="00A7778D" w:rsidRDefault="00587167" w:rsidP="00EC435D">
      <w:pPr>
        <w:spacing w:line="23" w:lineRule="atLeast"/>
        <w:rPr>
          <w:noProof/>
          <w:szCs w:val="24"/>
        </w:rPr>
      </w:pPr>
      <w:r w:rsidRPr="00A7778D">
        <w:rPr>
          <w:noProof/>
        </w:rPr>
        <w:t>ottavat huomioon Euroopan talous- ja sosiaalikomitean lausunnon</w:t>
      </w:r>
      <w:r w:rsidRPr="00A7778D">
        <w:rPr>
          <w:rStyle w:val="FootnoteReference0"/>
          <w:noProof/>
          <w:szCs w:val="24"/>
        </w:rPr>
        <w:footnoteReference w:id="17"/>
      </w:r>
      <w:r w:rsidRPr="00A7778D">
        <w:rPr>
          <w:noProof/>
        </w:rPr>
        <w:t>,</w:t>
      </w:r>
    </w:p>
    <w:p w14:paraId="398C16C9" w14:textId="77777777" w:rsidR="00587167" w:rsidRPr="00A7778D" w:rsidRDefault="00587167" w:rsidP="00EC435D">
      <w:pPr>
        <w:spacing w:line="23" w:lineRule="atLeast"/>
        <w:rPr>
          <w:noProof/>
          <w:szCs w:val="24"/>
        </w:rPr>
      </w:pPr>
      <w:r w:rsidRPr="00A7778D">
        <w:rPr>
          <w:noProof/>
        </w:rPr>
        <w:t>noudattavat tavallista lainsäätämisjärjestystä,</w:t>
      </w:r>
    </w:p>
    <w:p w14:paraId="4E52F6B5" w14:textId="77777777" w:rsidR="00587167" w:rsidRPr="00A7778D" w:rsidRDefault="00587167" w:rsidP="00EC435D">
      <w:pPr>
        <w:spacing w:line="23" w:lineRule="atLeast"/>
        <w:rPr>
          <w:noProof/>
          <w:szCs w:val="24"/>
        </w:rPr>
      </w:pPr>
      <w:r w:rsidRPr="00A7778D">
        <w:rPr>
          <w:noProof/>
        </w:rPr>
        <w:t>sekä katsovat seuraavaa:</w:t>
      </w:r>
    </w:p>
    <w:p w14:paraId="5FCF67DA" w14:textId="7F627856" w:rsidR="000F314C" w:rsidRPr="00A7778D" w:rsidRDefault="002A7F8C" w:rsidP="002A7F8C">
      <w:pPr>
        <w:pStyle w:val="ManualConsidrant"/>
        <w:rPr>
          <w:noProof/>
        </w:rPr>
      </w:pPr>
      <w:r w:rsidRPr="00A7778D">
        <w:rPr>
          <w:noProof/>
        </w:rPr>
        <w:t>1)</w:t>
      </w:r>
      <w:r w:rsidRPr="00A7778D">
        <w:rPr>
          <w:noProof/>
        </w:rPr>
        <w:tab/>
        <w:t>Yhdistyneiden kansakuntien yleiskokous hyväksyi 25 päivänä syyskuuta 2015 uuden maailmanlaajuisen kestävän kehityksen kehyksen eli Agenda 2030 -toimintaohjelman</w:t>
      </w:r>
      <w:r w:rsidRPr="00A7778D">
        <w:rPr>
          <w:rStyle w:val="FootnoteReference0"/>
          <w:noProof/>
          <w:szCs w:val="24"/>
        </w:rPr>
        <w:footnoteReference w:id="18"/>
      </w:r>
      <w:r w:rsidRPr="00A7778D">
        <w:rPr>
          <w:noProof/>
        </w:rPr>
        <w:t>, jonka ytimessä ovat kestävän kehityksen tavoitteet. Vuonna 2016 annetussa komission tiedonannossa ”Seuraavat toimet Euroopan kestävän tulevaisuuden varmistamiseksi”</w:t>
      </w:r>
      <w:r w:rsidRPr="00A7778D">
        <w:rPr>
          <w:rStyle w:val="FootnoteReference0"/>
          <w:noProof/>
          <w:szCs w:val="24"/>
        </w:rPr>
        <w:footnoteReference w:id="19"/>
      </w:r>
      <w:r w:rsidRPr="00A7778D">
        <w:rPr>
          <w:noProof/>
        </w:rPr>
        <w:t xml:space="preserve"> kestävän kehityksen tavoitteet kytketään unionin toimintakehykseen sen varmistamiseksi, että kestävän kehityksen tavoitteet sisällytetään jo lähtökohtaisesti kaikkiin unionin toimiin ja poliittisiin aloitteisiin unionissa ja maailmanlaajuisesti. Eurooppa-neuvoston 20 päivänä kesäkuuta 2017 antamissa päätelmissä</w:t>
      </w:r>
      <w:r w:rsidRPr="00A7778D">
        <w:rPr>
          <w:rStyle w:val="FootnoteReference0"/>
          <w:noProof/>
          <w:szCs w:val="24"/>
        </w:rPr>
        <w:footnoteReference w:id="20"/>
      </w:r>
      <w:r w:rsidRPr="00A7778D">
        <w:rPr>
          <w:noProof/>
        </w:rPr>
        <w:t xml:space="preserve"> vahvistetaan, että unioni ja jäsenvaltiot ovat sitoutuneet panemaan Agenda 2030 -toimintaohjelman täytäntöön täysipainoisella, johdonmukaisella, kattavalla, yhdennetyllä ja tehokkaalla tavalla tiiviissä yhteistyössä kumppaneiden ja muiden sidosryhmien kanssa. Komissio julkaisi 11 päivänä joulukuuta 2019 tiedonantonsa ”Euroopan vihreän kehityksen ohjelma”</w:t>
      </w:r>
      <w:r w:rsidRPr="00A7778D">
        <w:rPr>
          <w:rStyle w:val="FootnoteReference0"/>
          <w:noProof/>
          <w:szCs w:val="24"/>
        </w:rPr>
        <w:footnoteReference w:id="21"/>
      </w:r>
      <w:r w:rsidRPr="00A7778D">
        <w:rPr>
          <w:noProof/>
        </w:rPr>
        <w:t>.</w:t>
      </w:r>
    </w:p>
    <w:p w14:paraId="32CFF7D4" w14:textId="536C5E17" w:rsidR="00D80D47" w:rsidRPr="00A7778D" w:rsidRDefault="002A7F8C" w:rsidP="002A7F8C">
      <w:pPr>
        <w:pStyle w:val="ManualConsidrant"/>
        <w:rPr>
          <w:noProof/>
        </w:rPr>
      </w:pPr>
      <w:r w:rsidRPr="00A7778D">
        <w:rPr>
          <w:noProof/>
        </w:rPr>
        <w:t>2)</w:t>
      </w:r>
      <w:r w:rsidRPr="00A7778D">
        <w:rPr>
          <w:noProof/>
        </w:rPr>
        <w:tab/>
        <w:t>Siirtyminen kestävään talouteen on avainasemassa pyrittäessä varmistamaan unionin talouden pitkän aikavälin kilpailukyky. Kestävyys on jo pitkään ollut Eurooppa-hankkeen ytimessä, ja sen sosiaaliset ja ympäristöön liittyvät ulottuvuudet tunnustetaan unionin perussopimuksissa.</w:t>
      </w:r>
    </w:p>
    <w:p w14:paraId="6F634D7D" w14:textId="35286034" w:rsidR="00414348" w:rsidRPr="00A7778D" w:rsidRDefault="002A7F8C" w:rsidP="002A7F8C">
      <w:pPr>
        <w:pStyle w:val="ManualConsidrant"/>
        <w:rPr>
          <w:noProof/>
        </w:rPr>
      </w:pPr>
      <w:r w:rsidRPr="00A7778D">
        <w:rPr>
          <w:noProof/>
        </w:rPr>
        <w:t>3)</w:t>
      </w:r>
      <w:r w:rsidRPr="00A7778D">
        <w:rPr>
          <w:noProof/>
        </w:rPr>
        <w:tab/>
        <w:t>Kestävän kehityksen tavoitteiden saavuttaminen unionissa edellyttää pääomavirtojen ohjaamista kestäviin sijoituksiin. Kyseisten tavoitteiden saavuttamiseksi on tärkeää hyödyntää sisämarkkinoiden koko potentiaali. Tässä yhteydessä on ratkaisevan tärkeää poistaa esteet pääoman tehokkaalta liikkumiselta kestäviin sijoituksiin sisämarkkinoilla ja estää uusien esteiden syntyminen.</w:t>
      </w:r>
    </w:p>
    <w:p w14:paraId="2167A283" w14:textId="73D95E5B" w:rsidR="00136BD1" w:rsidRPr="00A7778D" w:rsidRDefault="0000347C" w:rsidP="001762CA">
      <w:pPr>
        <w:pStyle w:val="ManualConsidrant"/>
        <w:rPr>
          <w:noProof/>
        </w:rPr>
      </w:pPr>
      <w:r w:rsidRPr="00A7778D">
        <w:rPr>
          <w:noProof/>
        </w:rPr>
        <w:t>4)</w:t>
      </w:r>
      <w:r w:rsidRPr="00A7778D">
        <w:rPr>
          <w:noProof/>
        </w:rPr>
        <w:tab/>
        <w:t>EU:n lähestymistapa kestävään ja osallistavaan kasvuun perustuu Euroopan sosiaalisten oikeuksien pilarin 20 periaatteeseen, joilla varmistetaan oikeudenmukainen siirtymä kohti tätä tavoitetta, ja toimintapolitiikkoihin, joissa ketään ei jätetä jälkeen. Lisäksi EU:n sosiaalialan säännöstö, mukaan lukien tasa-arvon unionia koskevat strategiat</w:t>
      </w:r>
      <w:r w:rsidRPr="00A7778D">
        <w:rPr>
          <w:rStyle w:val="FootnoteReference0"/>
          <w:noProof/>
        </w:rPr>
        <w:footnoteReference w:id="22"/>
      </w:r>
      <w:r w:rsidRPr="00A7778D">
        <w:rPr>
          <w:noProof/>
        </w:rPr>
        <w:t>, sisältää normeja työlainsäädännön, tasa-arvon, esteettömyyden, työterveyden ja -turvallisuuden sekä syrjinnän torjunnan aloilla.</w:t>
      </w:r>
    </w:p>
    <w:p w14:paraId="4FA0AD92" w14:textId="7505CDFA" w:rsidR="009026C1" w:rsidRPr="00A7778D" w:rsidRDefault="002A7F8C" w:rsidP="002A7F8C">
      <w:pPr>
        <w:pStyle w:val="ManualConsidrant"/>
        <w:rPr>
          <w:noProof/>
        </w:rPr>
      </w:pPr>
      <w:r w:rsidRPr="00A7778D">
        <w:rPr>
          <w:noProof/>
        </w:rPr>
        <w:t>5)</w:t>
      </w:r>
      <w:r w:rsidRPr="00A7778D">
        <w:rPr>
          <w:noProof/>
        </w:rPr>
        <w:tab/>
        <w:t>Komissio julkaisi maaliskuussa 2018 kestävän kasvun rahoitusta koskevan toimintasuunnitelmansa</w:t>
      </w:r>
      <w:r w:rsidRPr="00A7778D">
        <w:rPr>
          <w:rStyle w:val="FootnoteReference0"/>
          <w:noProof/>
          <w:szCs w:val="24"/>
        </w:rPr>
        <w:footnoteReference w:id="23"/>
      </w:r>
      <w:r w:rsidRPr="00A7778D">
        <w:rPr>
          <w:noProof/>
        </w:rPr>
        <w:t>, jossa esitetään sen kestävän rahoituksen strategia. Toimintasuunnitelman tavoitteena on sisällyttää kestävyystekijät riskinhallintaan ja suunnata pääomavirtoja kestäviin investointeihin kestävän ja osallistavan kasvun saavuttamiseksi.</w:t>
      </w:r>
    </w:p>
    <w:p w14:paraId="622F88F0" w14:textId="7ABBF903" w:rsidR="00F509C0" w:rsidRPr="00A7778D" w:rsidRDefault="002A7F8C" w:rsidP="002A7F8C">
      <w:pPr>
        <w:pStyle w:val="ManualConsidrant"/>
        <w:rPr>
          <w:noProof/>
        </w:rPr>
      </w:pPr>
      <w:r w:rsidRPr="00A7778D">
        <w:rPr>
          <w:noProof/>
        </w:rPr>
        <w:t>6)</w:t>
      </w:r>
      <w:r w:rsidRPr="00A7778D">
        <w:rPr>
          <w:noProof/>
        </w:rPr>
        <w:tab/>
        <w:t>Osana toimintasuunnitelmaa komissio tilasi tutkimuksen ”Study on sustainability-related ratings, data and research”</w:t>
      </w:r>
      <w:r w:rsidRPr="00A7778D">
        <w:rPr>
          <w:rStyle w:val="FootnoteReference0"/>
          <w:noProof/>
          <w:szCs w:val="24"/>
        </w:rPr>
        <w:footnoteReference w:id="24"/>
      </w:r>
      <w:r w:rsidRPr="00A7778D">
        <w:rPr>
          <w:noProof/>
        </w:rPr>
        <w:t xml:space="preserve">, jossa tarkastellaan kestävyyteen liittyvien tuotteiden ja palvelujen markkinoiden kehitystä, yksilöidään tärkeimmät markkinatoimijat ja tuodaan esiin mahdollisia puutteita. Tutkimuksessa kartoitettiin ja luokiteltiin markkinatoimijoita ja markkinoilla saatavilla olevia kestävyyteen liittyviä tuotteita ja palveluja sekä analysoitiin kestävyyteen liittyvien tuotteiden ja palvelujen käyttöä ja markkinatoimijoiden käsitystä niiden laadusta. Tutkimuksessa korostettiin ympäristöön, yhteiskuntaan ja hyvään hallintotapaan (jäljempänä ’ESG’) liittyvien luokitusmenetelmien läpinäkyvyyden ja tarkkuuden puutetta sekä ESG-luokitusten tarjoajien toimintaan liittyvää epäselvyyttä. </w:t>
      </w:r>
    </w:p>
    <w:p w14:paraId="54A5434A" w14:textId="252297FF" w:rsidR="000D6EC3" w:rsidRPr="00A7778D" w:rsidRDefault="002A7F8C" w:rsidP="002A7F8C">
      <w:pPr>
        <w:pStyle w:val="ManualConsidrant"/>
        <w:rPr>
          <w:noProof/>
        </w:rPr>
      </w:pPr>
      <w:r w:rsidRPr="00A7778D">
        <w:rPr>
          <w:noProof/>
        </w:rPr>
        <w:t>7)</w:t>
      </w:r>
      <w:r w:rsidRPr="00A7778D">
        <w:rPr>
          <w:noProof/>
        </w:rPr>
        <w:tab/>
        <w:t>Komissio esitti Euroopan vihreän kehityksen ohjelman puitteissa uudistetun kestävän kehityksen strategian. Uudistettu kestävän rahoituksen strategia hyväksyttiin 6 päivänä heinäkuuta 2021</w:t>
      </w:r>
      <w:r w:rsidRPr="00A7778D">
        <w:rPr>
          <w:rStyle w:val="FootnoteReference0"/>
          <w:noProof/>
          <w:szCs w:val="24"/>
        </w:rPr>
        <w:footnoteReference w:id="25"/>
      </w:r>
      <w:r w:rsidRPr="00A7778D">
        <w:rPr>
          <w:rStyle w:val="FootnoteReference0"/>
          <w:noProof/>
          <w:szCs w:val="24"/>
          <w:vertAlign w:val="baseline"/>
        </w:rPr>
        <w:t>.</w:t>
      </w:r>
    </w:p>
    <w:p w14:paraId="6313617F" w14:textId="5716F269" w:rsidR="00E33EE6" w:rsidRPr="00A7778D" w:rsidRDefault="002A7F8C" w:rsidP="002A7F8C">
      <w:pPr>
        <w:pStyle w:val="ManualConsidrant"/>
        <w:rPr>
          <w:noProof/>
        </w:rPr>
      </w:pPr>
      <w:r w:rsidRPr="00A7778D">
        <w:rPr>
          <w:noProof/>
        </w:rPr>
        <w:t>8)</w:t>
      </w:r>
      <w:r w:rsidRPr="00A7778D">
        <w:rPr>
          <w:noProof/>
        </w:rPr>
        <w:tab/>
        <w:t>Jatkotoimena komissio ilmoitti uudistetussa kestävän rahoituksen strategiassa ESG-luokituksia koskevasta julkisesta kuulemisesta vaikutustenarvioinnin pohjaksi. Vuonna 2022 järjestetyssä julkisessa kuulemisessa sidosryhmät vahvistivat olevansa huolissaan ESG-luokitusmenetelmien ja -tavoitteiden läpinäkyvyyden puutteesta ja selkeän kuvan puuttumisesta ESG-luokitustoiminnasta.</w:t>
      </w:r>
    </w:p>
    <w:p w14:paraId="79902963" w14:textId="265E7DD0" w:rsidR="005B5FB4" w:rsidRPr="00A7778D" w:rsidRDefault="002A7F8C" w:rsidP="002A7F8C">
      <w:pPr>
        <w:pStyle w:val="ManualConsidrant"/>
        <w:rPr>
          <w:noProof/>
        </w:rPr>
      </w:pPr>
      <w:r w:rsidRPr="00A7778D">
        <w:rPr>
          <w:noProof/>
        </w:rPr>
        <w:t>9)</w:t>
      </w:r>
      <w:r w:rsidRPr="00A7778D">
        <w:rPr>
          <w:noProof/>
        </w:rPr>
        <w:tab/>
        <w:t>Kansainvälisellä tasolla toimiva Kansainvälinen arvopaperimarkkinavalvojien yhteisö (jäljempänä ’IOSCO’) julkaisi marraskuussa 2021 raportin, joka sisältää joukon ESG-luokitusten tarjoajia koskevia suosituksia</w:t>
      </w:r>
      <w:r w:rsidRPr="00A7778D">
        <w:rPr>
          <w:rStyle w:val="FootnoteReference0"/>
          <w:noProof/>
          <w:szCs w:val="24"/>
        </w:rPr>
        <w:footnoteReference w:id="26"/>
      </w:r>
      <w:r w:rsidRPr="00A7778D">
        <w:rPr>
          <w:noProof/>
        </w:rPr>
        <w:t>.</w:t>
      </w:r>
    </w:p>
    <w:p w14:paraId="2A90BC84" w14:textId="120D5BF9" w:rsidR="00E33EE6" w:rsidRPr="00A7778D" w:rsidRDefault="002A7F8C" w:rsidP="002A7F8C">
      <w:pPr>
        <w:pStyle w:val="ManualConsidrant"/>
        <w:rPr>
          <w:noProof/>
        </w:rPr>
      </w:pPr>
      <w:r w:rsidRPr="00A7778D">
        <w:rPr>
          <w:noProof/>
        </w:rPr>
        <w:t>10)</w:t>
      </w:r>
      <w:r w:rsidRPr="00A7778D">
        <w:rPr>
          <w:noProof/>
        </w:rPr>
        <w:tab/>
        <w:t>ESG-luokitukset ovat tärkeässä asemassa maailmanlaajuisilla pääomamarkkinoilla, sillä sijoittajat, lainanottajat ja liikkeeseenlaskijat käyttävät näitä luokituksia yhä enemmän valistuneissa ja kestävissä sijoitus- ja rahoituspäätöksissä. Muun muassa luottolaitokset, sijoituspalveluyritykset, vakuutusyritykset, henkivakuutusyritykset ja jälleenvakuutusyritykset käyttävät ESG-luokituksia usein kestävyyteen liittyvän suorituskyvyn tai kestävyysriskien ja -mahdollisuuksien vertailuperustana sijoitustoiminnassaan. ESG-luokituksilla on tämän vuoksi merkittävä vaikutus markkinoiden toimintaan sekä sijoittajien ja kuluttajien luottamukseen. Sen varmistamiseksi, että unionissa käytetyt ESG-luokitukset ovat riippumattomia, objektiivisia ja riittävän laadukkaita, on tärkeää, että ESG-luokitustoiminnassa noudatetaan eheyden, läpinäkyvyyden, vastuullisuuden ja hyvän hallintotavan periaatteita. ESG-luokitusten parempi vertailukelpoisuus ja luotettavuus parantaisivat näiden nopeasti kasvavien markkinoiden tehokkuutta ja helpottaisivat siten vihreän kehityksen ohjelman tavoitteiden saavuttamista.</w:t>
      </w:r>
    </w:p>
    <w:p w14:paraId="0D9CF00B" w14:textId="258E16E8" w:rsidR="00E342C9" w:rsidRPr="00A7778D" w:rsidRDefault="002A7F8C" w:rsidP="002A7F8C">
      <w:pPr>
        <w:pStyle w:val="ManualConsidrant"/>
        <w:rPr>
          <w:noProof/>
        </w:rPr>
      </w:pPr>
      <w:r w:rsidRPr="00A7778D">
        <w:rPr>
          <w:noProof/>
        </w:rPr>
        <w:t>11)</w:t>
      </w:r>
      <w:r w:rsidRPr="00A7778D">
        <w:rPr>
          <w:noProof/>
        </w:rPr>
        <w:tab/>
        <w:t>ESG-luokitukset mahdollistavat unionin kestävän rahoituksen markkinoiden moitteettoman toiminnan, sillä ne tarjoavat tärkeää tietoa sijoittajien ja rahoituslaitosten sijoitusstrategioita, riskinhallintaa ja julkistamisvelvoitteita varten. Sen vuoksi on tarpeen varmistaa, että ESG-luokitukset antavat käyttäjille olennaista päätöksentekoa tukevaa tietoa ja että ESG-luokitusten käyttäjät ymmärtävät paremmin ESG-luokitusten tavoitteet ja sen, mitä erityisiä seikkoja ja mittareita kyseisillä luokituksilla arvioidaan.</w:t>
      </w:r>
    </w:p>
    <w:p w14:paraId="58B19289" w14:textId="571185A4" w:rsidR="00E342C9" w:rsidRPr="00A7778D" w:rsidRDefault="002A7F8C" w:rsidP="002A7F8C">
      <w:pPr>
        <w:pStyle w:val="ManualConsidrant"/>
        <w:rPr>
          <w:noProof/>
        </w:rPr>
      </w:pPr>
      <w:r w:rsidRPr="00A7778D">
        <w:rPr>
          <w:noProof/>
        </w:rPr>
        <w:t>12)</w:t>
      </w:r>
      <w:r w:rsidRPr="00A7778D">
        <w:rPr>
          <w:noProof/>
        </w:rPr>
        <w:tab/>
        <w:t>On tarpeen ottaa huomioon ESG-luokitusten markkinoilla käytettävät erilaiset liiketoimintamallit. Ensimmäinen liiketoimintamalli on käyttäjä maksaa -malli, jossa käyttäjät ovat pääasiassa sijoittajia, jotka ostavat ESG-luokituksia sijoituspäätöksiä varten. Toinen liiketoimintamalli on liikkeeseenlaskija maksaa -malli, jossa yritykset ostavat ESG-luokituksia arvioidakseen toimintansa riskejä ja mahdollisuuksia.</w:t>
      </w:r>
    </w:p>
    <w:p w14:paraId="07964B01" w14:textId="5640C9BB" w:rsidR="0012044F" w:rsidRPr="00A7778D" w:rsidRDefault="002A7F8C" w:rsidP="002A7F8C">
      <w:pPr>
        <w:pStyle w:val="ManualConsidrant"/>
        <w:rPr>
          <w:noProof/>
        </w:rPr>
      </w:pPr>
      <w:r w:rsidRPr="00A7778D">
        <w:rPr>
          <w:noProof/>
        </w:rPr>
        <w:t>13)</w:t>
      </w:r>
      <w:r w:rsidRPr="00A7778D">
        <w:rPr>
          <w:noProof/>
        </w:rPr>
        <w:tab/>
        <w:t>Jäsenvaltiot eivät sääntele eivätkä valvo ESG-luokitusten tarjoajien toimintaa eikä ESG-luokitusten antamisen edellytyksiä. Kun otetaan huomioon nykyiset erot, läpinäkyvyyden puute ja yhteisten sääntöjen puuttuminen, on todennäköistä, että pyrkiessään varmistamaan yhdenmukaisuuden Euroopan vihreän kehityksen ohjelmassa asetettujen tavoitteiden kanssa eri jäsenvaltiot ottaisivat käyttöön toisistaan poikkeavia toimenpiteitä ja lähestymistapoja, mikä vaikuttaa suoraan kielteisesti sisämarkkinoiden moitteettomaan toimintaan ja luo sille esteitä sekä haittaa ESG-luokitusten markkinoiden toimintaa. ESG-luokitusten tarjoajiin, jotka antavat ESG-luokituksia rahoituslaitosten ja -yritysten käyttöön unionissa, sovellettaisiin erilaisia sääntöjä eri jäsenvaltioissa. Erilaiset standardit ja markkinakäytännöt hankaloittaisivat selkeän kuvan saamista ESG-luokitusten laatimisesta ja niiden vertailua, mikä loisi epätasapuoliset markkinaolosuhteet käyttäjille, aiheuttaisi lisäesteitä sisämarkkinoilla ja saattaisi vääristää sijoituspäätöksiä.</w:t>
      </w:r>
    </w:p>
    <w:p w14:paraId="2F4F88FB" w14:textId="1FC88518" w:rsidR="00634E8E" w:rsidRPr="00A7778D" w:rsidRDefault="0012044F" w:rsidP="002A7F8C">
      <w:pPr>
        <w:pStyle w:val="ManualConsidrant"/>
        <w:rPr>
          <w:noProof/>
        </w:rPr>
      </w:pPr>
      <w:r w:rsidRPr="00A7778D">
        <w:rPr>
          <w:noProof/>
        </w:rPr>
        <w:t>14)</w:t>
      </w:r>
      <w:r w:rsidRPr="00A7778D">
        <w:rPr>
          <w:noProof/>
        </w:rPr>
        <w:tab/>
        <w:t>Tämä asetus täydentää EU:n nykyistä kestävän rahoituksen kehystä. ESG-luokitusten olisi viime kädessä edistettävä tiedonkulkua sijoituspäätösten helpottamiseksi.</w:t>
      </w:r>
    </w:p>
    <w:p w14:paraId="1946DEA7" w14:textId="0E87ED05" w:rsidR="00843D53" w:rsidRPr="00A7778D" w:rsidRDefault="002A7F8C" w:rsidP="002A7F8C">
      <w:pPr>
        <w:pStyle w:val="ManualConsidrant"/>
        <w:rPr>
          <w:noProof/>
        </w:rPr>
      </w:pPr>
      <w:r w:rsidRPr="00A7778D">
        <w:rPr>
          <w:noProof/>
        </w:rPr>
        <w:t>15)</w:t>
      </w:r>
      <w:r w:rsidRPr="00A7778D">
        <w:rPr>
          <w:noProof/>
        </w:rPr>
        <w:tab/>
        <w:t>ESG-luokitusten tarjoajia koskevia sääntöjä ei pitäisi soveltaa yksityisiin ESG-luokituksiin, jotka on laadittu yksityisestä toimeksiannosta ja toimitettu ainoastaan toimeksiannon antaneelle henkilölle ja joita ei ole tarkoitettu julkistettaviksi eikä jaettaviksi tilaajille tai levitettäviksi muilla tavoin. Tällaisia sääntöjä ei myöskään pitäisi soveltaa eurooppalaisten rahoitusalan yritysten tuottamiin ESG-luokituksiin, joita käytetään sisäisiin tarkoituksiin. Eurooppalaisten tai kansallisten viranomaisten sekä keskuspankkien laatimat ESG-luokitukset olisi myös vapautettava tällaisista säännöistä. Tällaisia sääntöjä ei myöskään pitäisi soveltaa sellaisten ESG-tietojen toimittamiseen, joihin ei sisälly luokitusta tai pisteytystä ja joihin ei sovelleta minkäänlaista mallintamista tai analyysiä, joka johtaa ESG-luokituksen laatimiseen.</w:t>
      </w:r>
    </w:p>
    <w:p w14:paraId="4ED85B7F" w14:textId="0F9C8361" w:rsidR="002E3A68" w:rsidRPr="00A7778D" w:rsidRDefault="002A7F8C" w:rsidP="002A7F8C">
      <w:pPr>
        <w:pStyle w:val="ManualConsidrant"/>
        <w:rPr>
          <w:noProof/>
        </w:rPr>
      </w:pPr>
      <w:r w:rsidRPr="00A7778D">
        <w:rPr>
          <w:noProof/>
        </w:rPr>
        <w:t>16)</w:t>
      </w:r>
      <w:r w:rsidRPr="00A7778D">
        <w:rPr>
          <w:noProof/>
        </w:rPr>
        <w:tab/>
        <w:t>On tärkeää vahvistaa säännöt, joilla varmistetaan, että unionissa toimiluvan saaneiden ESG-luokitusten tarjoajien antamat ESG-luokitukset ovat riittävän laadukkaita, niihin sovelletaan asianmukaisia vaatimuksia ja varmistetaan markkinoiden eheys. Näitä sääntöjä sovellettaisiin yleisiin ESG-luokituksiin, joissa otetaan huomioon ympäristöön, yhteiskuntaan ja hyvään hallintotapaan liittyvät tekijät, sekä luokituksiin, joissa tarkastellaan vain yhtä ympäristöön, yhteiskuntaan tai hyvään hallintotapaan liittyvää tekijää tai sen osatekijää.</w:t>
      </w:r>
    </w:p>
    <w:p w14:paraId="5D3B0521" w14:textId="0268DA50" w:rsidR="004F2ADA" w:rsidRPr="00A7778D" w:rsidRDefault="002A7F8C" w:rsidP="002A7F8C">
      <w:pPr>
        <w:pStyle w:val="ManualConsidrant"/>
        <w:rPr>
          <w:noProof/>
        </w:rPr>
      </w:pPr>
      <w:r w:rsidRPr="00A7778D">
        <w:rPr>
          <w:noProof/>
        </w:rPr>
        <w:t>17)</w:t>
      </w:r>
      <w:r w:rsidRPr="00A7778D">
        <w:rPr>
          <w:noProof/>
        </w:rPr>
        <w:tab/>
        <w:t xml:space="preserve">Koska käytössä on unionin ulkopuolella sijaitsevien tarjoajien ESG-luokituksia, on tarpeen ottaa käyttöön vaatimuksia, joiden perusteella kolmansien maiden ESG-luokitusten tarjoajat voivat tarjota palvelujaan unionissa. Tämä on tarpeen markkinoiden eheyden, sijoittajansuojan ja asianmukaisen täytäntöönpanon varmistamiseksi. Sen vuoksi kyseisille kolmansien maiden ESG-luokitusten tarjoajille ehdotetaan kolmea mahdollista järjestelmää: vastaavuus, hyväksyntä ja tunnustaminen. Yleisenä periaatteena on, että kolmannessa maassa sovellettavan valvonnan ja sääntelyn olisi vastattava ESG-luokitusten valvontaa ja sääntelyä unionissa. Sen vuoksi kolmannessa maassa sijaitsevan ESG-luokitusten tarjoajan antamia ESG-luokituksia voidaan tarjota unionissa vain, jos komissio on tehnyt myönteisen päätöksen kolmannen maan järjestelmän vastaavuudesta. Jotta voidaan kuitenkin välttää kielteiset vaikutukset, jotka johtuvat kolmannen maan ESG-luokitusten tarjoajan ESG-luokitusten tarjoamisen äkillisestä lakkaamisesta unionissa, on tarpeen säätää myös tietyistä muista järjestelmistä, kuten hyväksymisestä ja tunnustamisesta. Kaikkien sellaisten ESG-luokitusten tarjoajien, joilla on konsernirakenne, olisi voitava käyttää unionin ulkopuolella laadituille ESG-luokituksille tarkoitettua hyväksymisjärjestelmää edellyttäen, että ne perustavat konsernin sisällä toimiluvan saaneen ESG-luokitusten tarjoajan unioniin. </w:t>
      </w:r>
      <w:bookmarkStart w:id="3" w:name="_Hlk135669561"/>
      <w:r w:rsidRPr="00A7778D">
        <w:rPr>
          <w:noProof/>
        </w:rPr>
        <w:t>Pienten ESG-luokitusten tarjoajien, jotka nettoliikevaihdon enimmäiskynnyksen perusteella määritellään direktiivin 2013/34/EU</w:t>
      </w:r>
      <w:r w:rsidRPr="00A7778D">
        <w:rPr>
          <w:rStyle w:val="FootnoteReference0"/>
          <w:noProof/>
        </w:rPr>
        <w:footnoteReference w:id="27"/>
      </w:r>
      <w:r w:rsidRPr="00A7778D">
        <w:rPr>
          <w:noProof/>
        </w:rPr>
        <w:t xml:space="preserve"> mukaisiksi pieniksi yrityksiksi, jotka eivät yleensä kuulu konserniin ja joilla ei välttämättä ole keinoja saada unionissa oikeushenkilöllisyyttä, olisi voitava jatkaa palvelujen tarjoamista tai alkaa tarjota niitä unionissa, minkä vuoksi niihin olisi sovellettava kevyempää järjestelmää eli tunnustamista.</w:t>
      </w:r>
      <w:bookmarkEnd w:id="3"/>
      <w:r w:rsidRPr="00A7778D">
        <w:rPr>
          <w:noProof/>
        </w:rPr>
        <w:t xml:space="preserve"> Jos kolmannen maan ESG-luokitusten tarjoajaa valvotaan, käyttöön olisi otettava tarkoituksenmukaiset yhteistyöjärjestelyt asianmukaisen tietojenvaihdon varmistamiseksi kolmannen maan asianomaisen toimivaltaisen viranomaisen kanssa.</w:t>
      </w:r>
    </w:p>
    <w:p w14:paraId="3C40B5B4" w14:textId="0B8BD9C6" w:rsidR="00292AFB" w:rsidRPr="00A7778D" w:rsidRDefault="002A7F8C" w:rsidP="002A7F8C">
      <w:pPr>
        <w:pStyle w:val="ManualConsidrant"/>
        <w:rPr>
          <w:noProof/>
        </w:rPr>
      </w:pPr>
      <w:r w:rsidRPr="00A7778D">
        <w:rPr>
          <w:noProof/>
        </w:rPr>
        <w:t>18)</w:t>
      </w:r>
      <w:r w:rsidRPr="00A7778D">
        <w:rPr>
          <w:noProof/>
        </w:rPr>
        <w:tab/>
        <w:t>Sijoittajien ja kuluttajien vahvan luottamuksen varmistamiseksi sisämarkkinoilla ESG-luokituksia unionissa antavien ESG-luokitusten tarjoajilla olisi oltava toimilupa. Sen vuoksi on tarpeen säätää toimiluvan myöntämistä, keskeyttämistä ja peruuttamista koskevista yhdenmukaistetuista edellytyksistä.</w:t>
      </w:r>
    </w:p>
    <w:p w14:paraId="2443A526" w14:textId="0F2E48F1" w:rsidR="00CF0D82" w:rsidRPr="00A7778D" w:rsidRDefault="002A7F8C" w:rsidP="002A7F8C">
      <w:pPr>
        <w:pStyle w:val="ManualConsidrant"/>
        <w:rPr>
          <w:noProof/>
        </w:rPr>
      </w:pPr>
      <w:r w:rsidRPr="00A7778D">
        <w:rPr>
          <w:noProof/>
        </w:rPr>
        <w:t>19)</w:t>
      </w:r>
      <w:r w:rsidRPr="00A7778D">
        <w:rPr>
          <w:noProof/>
        </w:rPr>
        <w:tab/>
        <w:t>Jotta sijoittajat ja muut ESG-luokitusten käyttäjät saisivat korkeatasoista tietoa, tiedot ESG-luokituksista ja ESG-luokitusten tarjoajista olisi asetettava saataville eurooppalaiseen keskitettyyn yhteyspisteeseen (ESAP)</w:t>
      </w:r>
      <w:r w:rsidRPr="00A7778D">
        <w:rPr>
          <w:rStyle w:val="FootnoteReference0"/>
          <w:noProof/>
          <w:szCs w:val="24"/>
        </w:rPr>
        <w:footnoteReference w:id="28"/>
      </w:r>
      <w:r w:rsidRPr="00A7778D">
        <w:rPr>
          <w:noProof/>
        </w:rPr>
        <w:t>. Eurooppalaisen keskitetyn yhteyspisteen olisi tarjottava yleisölle helppo ja keskitetty pääsy tällaisiin tietoihin.</w:t>
      </w:r>
    </w:p>
    <w:p w14:paraId="198797C1" w14:textId="7DB0FF02" w:rsidR="002F2E9F" w:rsidRPr="00A7778D" w:rsidRDefault="002A7F8C" w:rsidP="002A7F8C">
      <w:pPr>
        <w:pStyle w:val="ManualConsidrant"/>
        <w:rPr>
          <w:noProof/>
        </w:rPr>
      </w:pPr>
      <w:r w:rsidRPr="00A7778D">
        <w:rPr>
          <w:noProof/>
        </w:rPr>
        <w:t>20)</w:t>
      </w:r>
      <w:r w:rsidRPr="00A7778D">
        <w:rPr>
          <w:noProof/>
        </w:rPr>
        <w:tab/>
        <w:t>ESG-luokitusten laadun ja luotettavuuden varmistamiseksi ESG-luokitusten tarjoajien olisi käytettävä täsmällisiä, järjestelmällisiä, jatkuvia ja validoitavissa olevia luokitusmenetelmiä. ESG-luokitusten tarjoajien olisi tarkasteltava luokitusmenetelmiä uudelleen jatkuvasti ja vähintään kerran vuodessa.</w:t>
      </w:r>
    </w:p>
    <w:p w14:paraId="7F75BFFF" w14:textId="0513E47D" w:rsidR="00136BD1" w:rsidRPr="00A7778D" w:rsidRDefault="002A7F8C" w:rsidP="002A7F8C">
      <w:pPr>
        <w:pStyle w:val="ManualConsidrant"/>
        <w:rPr>
          <w:noProof/>
        </w:rPr>
      </w:pPr>
      <w:r w:rsidRPr="00A7778D">
        <w:rPr>
          <w:noProof/>
        </w:rPr>
        <w:t>21)</w:t>
      </w:r>
      <w:r w:rsidRPr="00A7778D">
        <w:rPr>
          <w:noProof/>
        </w:rPr>
        <w:tab/>
        <w:t>Paremman läpinäkyvyyden varmistamiseksi ESG-luokitusten tarjoajien olisi julkistettava tiedot menetelmistä, malleista ja keskeisistä luokitusoletuksista, joita kyseiset tarjoajat käyttävät ESG-luokitustoiminnassaan ja kussakin ESG-luokituksessaan. Kun otetaan huomioon, miten sijoittajat käyttävät ESG-luokituksia, luokituksissa olisi nimenomaisesti ilmoitettava, mitä kaksinkertaisen olennaisuuden ulottuvuutta luokitus koskee, eli onko kyse sekä luokitellulle yhteisölle aiheutuvasta olennaisesta rahoitusriskistä että luokitellun yhteisön olennaisesta vaikutuksesta ympäristöön ja yhteiskuntaan yleensä vai otetaanko luokituksessa huomioon vain yksi näistä ulottuvuuksista. Niissä olisi myös nimenomaisesti ilmoitettava, koskeeko luokitus muita ulottuvuuksia. Samasta syystä ESG-luokitusten tarjoajien olisi annettava yksityiskohtaisempia tietoja menetelmistä, malleista ja keskeisistä luokitusoletuksista ESG-luokitusten tilaajille. Näiden tietojen avulla ESG-luokitusten käyttäjien olisi kyettävä arvioimaan riittävän huolellisesti, voivatko ne tukeutua näihin ESG-luokituksiin. Toisaalta malleista annettavissa tiedoissa ei saisi ilmaista arkaluonteisia yritystietoja, eivätkä ne saisi haitata innovointia.</w:t>
      </w:r>
    </w:p>
    <w:p w14:paraId="77A9EF0E" w14:textId="673133F9" w:rsidR="002C482C" w:rsidRPr="00A7778D" w:rsidRDefault="002A7F8C" w:rsidP="002A7F8C">
      <w:pPr>
        <w:pStyle w:val="ManualConsidrant"/>
        <w:rPr>
          <w:noProof/>
        </w:rPr>
      </w:pPr>
      <w:r w:rsidRPr="00A7778D">
        <w:rPr>
          <w:noProof/>
        </w:rPr>
        <w:t>22)</w:t>
      </w:r>
      <w:r w:rsidRPr="00A7778D">
        <w:rPr>
          <w:noProof/>
        </w:rPr>
        <w:tab/>
        <w:t xml:space="preserve">ESG-luokitusten tarjoajien olisi varmistettava, että ne antavat riippumattomia, objektiivisia ja riittävän laadukkaita ESG-luokituksia. On tärkeää ottaa käyttöön organisaatiota koskevia vaatimuksia, joilla varmistetaan mahdollisten eturistiriitojen ehkäiseminen ja lieventäminen. ESG-luokitusten tarjoajien riippumattomuuden varmistamiseksi ESG-luokitusten tarjoajien olisi vältettävä eturistiriitatilanteita ja hallittava niitä asianmukaisesti silloin, kun ne ovat väistämättömiä. ESG-luokitusten tarjoajien olisi ilmoitettava eturistiriidoista mahdollisimman aikaisessa vaiheessa. Niiden olisi myös pidettävä kirjaa kaikista ESG-luokitusten tarjoajan ja sen luokitusprosessiin osallistuvien työntekijöiden ja muiden henkilöiden riippumattomuutta uhkaavista tekijöistä sekä turvatoimenpiteistä, joilla kyseisiä uhkia vähennetään. Mahdollisten eturistiriitojen välttämiseksi ESG-luokitusten tarjoajat eivät myöskään saisi tarjota useita muita palveluja, kuten konsultointipalveluja, luottoluokituksia, vertailuarvoja, sijoitustoimintaa, tilintarkastusta tai pankki-, vakuutus- ja jälleenvakuutustoimintaa. Jotta voidaan ehkäistä, tunnistaa, poistaa tai hallita kaikkia eturistiriitoja sekä ilmoittaa niistä ja varmistaa aina ESG-luokitus- ja arviointimenettelyn laatu, eheys ja perusteellisuus, ESG-luokitusten tarjoajien olisi otettava käyttöön asianmukaiset sisäiset toimintaperiaatteet ja menettelyt, joita sovelletaan luokitusprosessiin osallistuviin työntekijöihin ja muihin henkilöihin. Tällaisiin toimintatapoihin ja menettelyihin olisi kuuluttava erityisesti sisäiset valvontamekanismit ja säännösten noudattamista valvova toiminto. </w:t>
      </w:r>
    </w:p>
    <w:p w14:paraId="4D44F249" w14:textId="578457DC" w:rsidR="004F2ADA" w:rsidRPr="00A7778D" w:rsidRDefault="002A7F8C" w:rsidP="002A7F8C">
      <w:pPr>
        <w:pStyle w:val="ManualConsidrant"/>
        <w:rPr>
          <w:noProof/>
        </w:rPr>
      </w:pPr>
      <w:r w:rsidRPr="00A7778D">
        <w:rPr>
          <w:noProof/>
        </w:rPr>
        <w:t>23)</w:t>
      </w:r>
      <w:r w:rsidRPr="00A7778D">
        <w:rPr>
          <w:noProof/>
        </w:rPr>
        <w:tab/>
        <w:t>ESG-luokitusten tarjoajien toiminnan selkeyttäminen ja sitä koskevan luottamuksen lisääminen edellyttävät, että vahvistetaan ESG-luokitusten tarjoajien jatkuvaa valvontaa unionin tasolla koskevat vaatimukset. Jotta voidaan varmistaa tasapuoliset toimintaedellytykset jatkuvan valvonnan suhteen ja poistaa sääntelyerojen hyväksikäytön riski kaikissa jäsenvaltioissa, Euroopan arvopaperimarkkinaviranomaiselle (jäljempänä ’arvopaperimarkkinaviranomainen’) olisi annettava yksinomainen vastuu toimilupien myöntämisestä ja valvonnasta. Samalla tällaisella yksinomaisella vastuulla on tarkoitus optimoida valvontaresurssien kohdentaminen unionin tasolla siten, että valvonta keskitetään arvopaperimarkkinaviranomaiselle.</w:t>
      </w:r>
    </w:p>
    <w:p w14:paraId="690FB136" w14:textId="0B2B89B0" w:rsidR="00DF59EE" w:rsidRPr="00A7778D" w:rsidRDefault="002A7F8C" w:rsidP="002A7F8C">
      <w:pPr>
        <w:pStyle w:val="ManualConsidrant"/>
        <w:rPr>
          <w:noProof/>
        </w:rPr>
      </w:pPr>
      <w:r w:rsidRPr="00A7778D">
        <w:rPr>
          <w:noProof/>
        </w:rPr>
        <w:t>24)</w:t>
      </w:r>
      <w:r w:rsidRPr="00A7778D">
        <w:rPr>
          <w:noProof/>
        </w:rPr>
        <w:tab/>
        <w:t>Arvopaperimarkkinaviranomaisen olisi voitava vaatia kaikki tiedot, jotka se tarvitsee voidakseen hoitaa valvontatehtävänsä tehokkaasti. Sen olisi tämän vuoksi voitava vaatia tällaisia tietoja ESG-luokitusten tarjoajilta, ESG-luokitustoimintaan osallistuvilta henkilöiltä, luokitelluilta yhteisöiltä ja sellaisilta kolmansilta osapuolilta, joille ESG-luokitusten arvioijat ovat ulkoistaneet operatiivisia toimintoja, sekä henkilöiltä, jotka muulla tavoin läheisesti ja merkittävästi liittyvät tai ovat yhteydessä ESG-luokitusten tarjoajiin tai ESG-luokitustoimintaan.</w:t>
      </w:r>
    </w:p>
    <w:p w14:paraId="1A0E4487" w14:textId="204DD498" w:rsidR="00DF59EE" w:rsidRPr="00A7778D" w:rsidRDefault="002A7F8C" w:rsidP="002A7F8C">
      <w:pPr>
        <w:pStyle w:val="ManualConsidrant"/>
        <w:rPr>
          <w:noProof/>
        </w:rPr>
      </w:pPr>
      <w:r w:rsidRPr="00A7778D">
        <w:rPr>
          <w:noProof/>
        </w:rPr>
        <w:t>25)</w:t>
      </w:r>
      <w:r w:rsidRPr="00A7778D">
        <w:rPr>
          <w:noProof/>
        </w:rPr>
        <w:tab/>
        <w:t>Arvopaperimarkkinaviranomaisen pitäisi voida hoitaa valvontatehtävänsä ja erityisesti velvoittaa ESG-luokitusten tarjoajat lopettamaan rikkomisen, toimittamaan täydellisiä ja paikkansapitäviä tietoja tai toimimaan tutkimuksessa tai paikalla tehtävässä tarkastuksessa edellytetyllä tavalla. Sen varmistamiseksi, että arvopaperimarkkinaviranomainen pystyy hoitamaan näitä valvontatehtäviä, arvopaperimarkkinaviranomaisen olisi voitava määrätä sakkoja tai uhkasakkoja.</w:t>
      </w:r>
    </w:p>
    <w:p w14:paraId="3067B5B4" w14:textId="64E192C6" w:rsidR="00A540E6" w:rsidRPr="00A7778D" w:rsidRDefault="002A7F8C" w:rsidP="002A7F8C">
      <w:pPr>
        <w:pStyle w:val="ManualConsidrant"/>
        <w:rPr>
          <w:noProof/>
        </w:rPr>
      </w:pPr>
      <w:r w:rsidRPr="00A7778D">
        <w:rPr>
          <w:noProof/>
        </w:rPr>
        <w:t>26)</w:t>
      </w:r>
      <w:r w:rsidRPr="00A7778D">
        <w:rPr>
          <w:noProof/>
        </w:rPr>
        <w:tab/>
        <w:t>Koska arvopaperimarkkinaviranomaisen tehtävänä on myöntää toimiluvat ESG-luokitusten tarjoajille ja valvoa niitä, sen olisi laadittava komissiolle toimitettaviksi luonnoksia teknisiksi sääntelystandardeiksi, joihin ei liity toimintapoliittisia valintoja. Arvopaperimarkkinaviranomaisen olisi täsmennettävä tiedot, joita tarvitaan toimilupien myöntämiseen ESG-luokitusten tarjoajille. Komissiolle olisi siirrettävä valta hyväksyä nämä tekniset täytäntöönpanostandardit delegoiduilla säädöksillä Euroopan unionin toiminnasta tehdyn sopimuksen 290 artiklan nojalla sekä Euroopan parlamentin ja neuvoston asetuksen (EU) N:o 1095/2010</w:t>
      </w:r>
      <w:r w:rsidRPr="00A7778D">
        <w:rPr>
          <w:rStyle w:val="FootnoteReference0"/>
          <w:noProof/>
          <w:szCs w:val="24"/>
        </w:rPr>
        <w:footnoteReference w:id="29"/>
      </w:r>
      <w:r w:rsidRPr="00A7778D">
        <w:rPr>
          <w:noProof/>
        </w:rPr>
        <w:t xml:space="preserve"> 10–14 artiklan mukaisesti.</w:t>
      </w:r>
    </w:p>
    <w:p w14:paraId="15B278E2" w14:textId="3CC8A1AD" w:rsidR="0006260B" w:rsidRPr="00A7778D" w:rsidRDefault="002A7F8C" w:rsidP="002A7F8C">
      <w:pPr>
        <w:pStyle w:val="ManualConsidrant"/>
        <w:rPr>
          <w:noProof/>
        </w:rPr>
      </w:pPr>
      <w:r w:rsidRPr="00A7778D">
        <w:rPr>
          <w:noProof/>
        </w:rPr>
        <w:t>27)</w:t>
      </w:r>
      <w:r w:rsidRPr="00A7778D">
        <w:rPr>
          <w:noProof/>
        </w:rPr>
        <w:tab/>
        <w:t>Arvopaperimarkkinaviranomaisen olisi voitava veloittaa valvottavilta yhteisöiltä valvontamaksuja, kun se myöntää toimilupia ESG-luokitusten tarjoajille ja valvoo niitä. Valvottavien yhteisöjen olisi maksettava tällaiset maksut.</w:t>
      </w:r>
    </w:p>
    <w:p w14:paraId="7AD43C4E" w14:textId="77EF4B54" w:rsidR="00EE0C58" w:rsidRPr="00A7778D" w:rsidRDefault="002A7F8C" w:rsidP="002A7F8C">
      <w:pPr>
        <w:pStyle w:val="ManualConsidrant"/>
        <w:rPr>
          <w:noProof/>
        </w:rPr>
      </w:pPr>
      <w:r w:rsidRPr="00A7778D">
        <w:rPr>
          <w:noProof/>
        </w:rPr>
        <w:t>28)</w:t>
      </w:r>
      <w:r w:rsidRPr="00A7778D">
        <w:rPr>
          <w:noProof/>
        </w:rPr>
        <w:tab/>
        <w:t>Tämän asetuksen teknisten seikkojen täsmentämiseksi komissiolle olisi Euroopan unionin toiminnasta tehdyn sopimuksen 290 artiklan mukaisesti siirrettävä valta määrittää menettely sakkojen tai uhkasakkojen määräämistä koskevien valtuuksien käyttämiseksi, mukaan lukien puolustautumisoikeuksia koskevat säännökset, ajalliset säännökset ja sakkojen tai uhkasakkojen perimistä koskevat säännökset sekä yksityiskohtaiset säännöt erillissopimuksen määräämiseen ja täytäntöönpanoon sovellettavista vanhentumisajoista ja maksujen tyypeistä, maksujen perusteista, maksujen määristä ja maksujen suoritustavasta. On erityisen tärkeää, että komissio asiaa valmistellessaan toteuttaa asianmukaiset kuulemiset, myös asiantuntijatasolla, ja että nämä kuulemiset toteutetaan paremmasta lainsäädännöstä 13 päivänä huhtikuuta 2016 tehdyssä toimielinten välisessä sopimuksessa</w:t>
      </w:r>
      <w:r w:rsidRPr="00A7778D">
        <w:rPr>
          <w:rStyle w:val="FootnoteReference0"/>
          <w:noProof/>
          <w:szCs w:val="24"/>
        </w:rPr>
        <w:footnoteReference w:id="30"/>
      </w:r>
      <w:r w:rsidRPr="00A7778D">
        <w:rPr>
          <w:noProof/>
        </w:rPr>
        <w:t xml:space="preserve"> vahvistettujen periaatteiden mukaisesti. Jotta voitaisiin erityisesti varmistaa tasavertainen osallistuminen delegoitujen säädösten valmisteluun, Euroopan parlamentille ja neuvostolle olisi toimitettava kaikki asiakirjat samaan aikaan kuin jäsenvaltioiden asiantuntijoille, ja Euroopan parlamentin ja neuvoston asiantuntijoilla olisi oltava järjestelmällisesti oikeus osallistua komission asiantuntijaryhmien kokouksiin, joissa valmistellaan delegoituja säädöksiä.</w:t>
      </w:r>
    </w:p>
    <w:p w14:paraId="3B1A841B" w14:textId="3229BB6B" w:rsidR="003E518E" w:rsidRPr="00A7778D" w:rsidRDefault="002A7F8C" w:rsidP="002A7F8C">
      <w:pPr>
        <w:pStyle w:val="ManualConsidrant"/>
        <w:rPr>
          <w:noProof/>
        </w:rPr>
      </w:pPr>
      <w:r w:rsidRPr="00A7778D">
        <w:rPr>
          <w:noProof/>
        </w:rPr>
        <w:t>29)</w:t>
      </w:r>
      <w:r w:rsidRPr="00A7778D">
        <w:rPr>
          <w:noProof/>
        </w:rPr>
        <w:tab/>
        <w:t>Tarvitaan useita toimenpiteitä, joilla tuetaan pieniä ESG-luokitusten tarjoajia, jotta ne voivat jatkaa toimintaansa tai tulla markkinoille tämän asetuksen soveltamispäivän jälkeen. Tällaisiin toimenpiteisiin olisi sisällyttävä arvopaperimarkkinaviranomaisen mahdollisuus vapauttaa pienet ESG-luokitusten tarjoajat useista organisaatiota koskevista vaatimuksista, jos ne täyttävät tietyt perusteet. Lisäksi olisi otettava käyttöön siirtymäjärjestely ensimmäisten kuukausien ajaksi tämän asetuksen soveltamisen alkamisen jälkeen, jotta soveltamisen alkuvaihe voitaisiin tehdä helpommaksi pienille ESG-luokitusten tarjoajille. Lisäksi valvontamaksujen olisi oltava oikeassa suhteessa asianomaisen ESG-luokitusten tarjoajan vuotuiseen nettoliikevaihtoon.</w:t>
      </w:r>
    </w:p>
    <w:p w14:paraId="0E3C0566" w14:textId="0607D2EA" w:rsidR="001762CA" w:rsidRPr="00A7778D" w:rsidRDefault="002A7F8C" w:rsidP="002A7F8C">
      <w:pPr>
        <w:pStyle w:val="ManualConsidrant"/>
        <w:rPr>
          <w:noProof/>
        </w:rPr>
      </w:pPr>
      <w:r w:rsidRPr="00A7778D">
        <w:rPr>
          <w:noProof/>
        </w:rPr>
        <w:t>30)</w:t>
      </w:r>
      <w:r w:rsidRPr="00A7778D">
        <w:rPr>
          <w:noProof/>
        </w:rPr>
        <w:tab/>
        <w:t xml:space="preserve">Jäsenvaltiot eivät voi riittävällä tavalla saavuttaa tämän asetuksen tavoitteita, eli </w:t>
      </w:r>
      <w:r w:rsidRPr="00A7778D">
        <w:rPr>
          <w:rStyle w:val="ui-provider"/>
          <w:noProof/>
        </w:rPr>
        <w:t>laatia johdonmukaista ja tehokasta järjestelmää ESG-luokituksiin liittyviin puutteisiin ja haavoittuvuustekijöihin puuttumiseksi</w:t>
      </w:r>
      <w:r w:rsidRPr="00A7778D">
        <w:rPr>
          <w:noProof/>
        </w:rPr>
        <w:t xml:space="preserve">, vaan ne voidaan niiden </w:t>
      </w:r>
      <w:r w:rsidRPr="00A7778D">
        <w:rPr>
          <w:rStyle w:val="ui-provider"/>
          <w:noProof/>
        </w:rPr>
        <w:t>laajuuden ja vaikutusten</w:t>
      </w:r>
      <w:r w:rsidRPr="00A7778D">
        <w:rPr>
          <w:noProof/>
        </w:rPr>
        <w:t xml:space="preserve"> vuoksi saavuttaa paremmin unionin tasolla, joten unioni voi toteuttaa toimenpiteitä perustamissopimuksen 5 artiklassa vahvistetun toissijaisuusperiaatteen mukaisesti. Mainitussa artiklassa vahvistetun suhteellisuusperiaatteen mukaisesti tässä asetuksessa ei ylitetä sitä, mikä on tarpeen näiden tavoitteiden saavuttamiseksi.</w:t>
      </w:r>
    </w:p>
    <w:p w14:paraId="034ADEBF" w14:textId="09732B05" w:rsidR="00511974" w:rsidRPr="00A7778D" w:rsidRDefault="0000347C" w:rsidP="002A7F8C">
      <w:pPr>
        <w:pStyle w:val="ManualConsidrant"/>
        <w:rPr>
          <w:noProof/>
        </w:rPr>
      </w:pPr>
      <w:r w:rsidRPr="00A7778D">
        <w:rPr>
          <w:noProof/>
        </w:rPr>
        <w:t>31)</w:t>
      </w:r>
      <w:r w:rsidRPr="00A7778D">
        <w:rPr>
          <w:noProof/>
        </w:rPr>
        <w:tab/>
        <w:t>Tätä asetusta olisi sovellettava rajoittamatta SEUT-sopimuksen 101 ja 102 artiklan soveltamista,</w:t>
      </w:r>
    </w:p>
    <w:p w14:paraId="6A4FFE2E" w14:textId="77777777" w:rsidR="009C34F8" w:rsidRPr="00A7778D" w:rsidRDefault="005B1F05" w:rsidP="00EC435D">
      <w:pPr>
        <w:pStyle w:val="Formuledadoption"/>
        <w:spacing w:line="23" w:lineRule="atLeast"/>
        <w:rPr>
          <w:noProof/>
          <w:szCs w:val="24"/>
        </w:rPr>
      </w:pPr>
      <w:r w:rsidRPr="00A7778D">
        <w:rPr>
          <w:noProof/>
        </w:rPr>
        <w:t>OVAT HYVÄKSYNEET TÄMÄN ASETUKSEN:</w:t>
      </w:r>
    </w:p>
    <w:p w14:paraId="19D71EC8" w14:textId="77777777" w:rsidR="00587167" w:rsidRPr="00A7778D" w:rsidRDefault="00587167" w:rsidP="00CA716D">
      <w:pPr>
        <w:shd w:val="clear" w:color="auto" w:fill="FFFFFF" w:themeFill="background1"/>
        <w:spacing w:before="360" w:line="23" w:lineRule="atLeast"/>
        <w:jc w:val="center"/>
        <w:rPr>
          <w:rFonts w:eastAsia="Times New Roman"/>
          <w:caps/>
          <w:noProof/>
          <w:color w:val="333333"/>
          <w:szCs w:val="24"/>
        </w:rPr>
      </w:pPr>
      <w:r w:rsidRPr="00A7778D">
        <w:rPr>
          <w:caps/>
          <w:noProof/>
          <w:color w:val="333333"/>
        </w:rPr>
        <w:t>I osasto</w:t>
      </w:r>
    </w:p>
    <w:p w14:paraId="6CC490A2" w14:textId="77777777" w:rsidR="00587167" w:rsidRPr="00A7778D" w:rsidRDefault="00587167" w:rsidP="00EC435D">
      <w:pPr>
        <w:pStyle w:val="ChapterTitle"/>
        <w:spacing w:after="120" w:line="23" w:lineRule="atLeast"/>
        <w:rPr>
          <w:noProof/>
          <w:sz w:val="24"/>
          <w:szCs w:val="24"/>
        </w:rPr>
      </w:pPr>
      <w:r w:rsidRPr="00A7778D">
        <w:rPr>
          <w:rStyle w:val="boldface"/>
          <w:noProof/>
          <w:sz w:val="24"/>
        </w:rPr>
        <w:t>KOHDE, SOVELTAMISALA JA MÄÄRITELMÄT</w:t>
      </w:r>
    </w:p>
    <w:p w14:paraId="4BED769C" w14:textId="77777777" w:rsidR="00587167" w:rsidRPr="00A7778D" w:rsidRDefault="00587167" w:rsidP="00CA716D">
      <w:pPr>
        <w:pStyle w:val="Titrearticle"/>
        <w:spacing w:line="23" w:lineRule="atLeast"/>
        <w:rPr>
          <w:noProof/>
          <w:szCs w:val="24"/>
        </w:rPr>
      </w:pPr>
      <w:r w:rsidRPr="00A7778D">
        <w:rPr>
          <w:noProof/>
        </w:rPr>
        <w:t>1 artikla</w:t>
      </w:r>
    </w:p>
    <w:p w14:paraId="6FEC1DE7" w14:textId="77777777" w:rsidR="00587167" w:rsidRPr="00A7778D" w:rsidRDefault="00587167" w:rsidP="00887EFB">
      <w:pPr>
        <w:pStyle w:val="NormalCentered"/>
        <w:rPr>
          <w:b/>
          <w:bCs/>
          <w:noProof/>
        </w:rPr>
      </w:pPr>
      <w:r w:rsidRPr="00A7778D">
        <w:rPr>
          <w:b/>
          <w:noProof/>
        </w:rPr>
        <w:t>Kohde</w:t>
      </w:r>
    </w:p>
    <w:p w14:paraId="504421F3" w14:textId="77777777" w:rsidR="00BD3680" w:rsidRPr="00A7778D" w:rsidRDefault="00BD3680" w:rsidP="00EC435D">
      <w:pPr>
        <w:spacing w:line="23" w:lineRule="atLeast"/>
        <w:rPr>
          <w:noProof/>
          <w:szCs w:val="24"/>
        </w:rPr>
      </w:pPr>
      <w:r w:rsidRPr="00A7778D">
        <w:rPr>
          <w:noProof/>
        </w:rPr>
        <w:t>Tässä asetuksessa säädetään yhteisestä sääntelyä koskevasta lähestymistavasta, jolla parannetaan ESG-luokitustoiminnan eheyttä, läpinäkyvyyttä, vastuullisuutta, hyvää hallintotapaa ja riippumattomuutta ja edistetään ESG-luokitusten läpinäkyvyyttä ja laatua. Asetuksen tavoitteena on edistää sisämarkkinoiden moitteetonta toimintaa ja samalla saavuttaa korkeatasoinen kuluttajan- ja sijoittajansuoja ja estää viherpesu tai muunlainen väärä tieto, sosiaalinen pesu mukaan luettuna, ottamalla käyttöön ESG-luokituksiin liittyviä läpinäkyvyysvaatimuksia ja ESG-luokitusten tarjoajien organisaatiota ja toimintaa koskevia sääntöjä.</w:t>
      </w:r>
    </w:p>
    <w:p w14:paraId="60D74B01" w14:textId="77777777" w:rsidR="00587167" w:rsidRPr="00A7778D" w:rsidRDefault="00587167" w:rsidP="00887EFB">
      <w:pPr>
        <w:pStyle w:val="Titrearticle"/>
        <w:spacing w:line="23" w:lineRule="atLeast"/>
        <w:rPr>
          <w:noProof/>
          <w:szCs w:val="24"/>
        </w:rPr>
      </w:pPr>
      <w:r w:rsidRPr="00A7778D">
        <w:rPr>
          <w:noProof/>
        </w:rPr>
        <w:t>2 artikla</w:t>
      </w:r>
    </w:p>
    <w:p w14:paraId="3E655C80" w14:textId="77777777" w:rsidR="00587167" w:rsidRPr="00A7778D" w:rsidRDefault="00587167" w:rsidP="00887EFB">
      <w:pPr>
        <w:pStyle w:val="NormalCentered"/>
        <w:rPr>
          <w:b/>
          <w:bCs/>
          <w:noProof/>
        </w:rPr>
      </w:pPr>
      <w:r w:rsidRPr="00A7778D">
        <w:rPr>
          <w:b/>
          <w:noProof/>
        </w:rPr>
        <w:t>Soveltamisala</w:t>
      </w:r>
    </w:p>
    <w:p w14:paraId="519A6CFF" w14:textId="39ED7F02" w:rsidR="00BD3680" w:rsidRPr="00A7778D" w:rsidRDefault="002A7F8C" w:rsidP="002A7F8C">
      <w:pPr>
        <w:pStyle w:val="ManualNumPar1"/>
        <w:rPr>
          <w:noProof/>
        </w:rPr>
      </w:pPr>
      <w:r w:rsidRPr="00A7778D">
        <w:rPr>
          <w:noProof/>
        </w:rPr>
        <w:t>1.</w:t>
      </w:r>
      <w:r w:rsidRPr="00A7778D">
        <w:rPr>
          <w:noProof/>
        </w:rPr>
        <w:tab/>
        <w:t>Tätä asetusta sovelletaan unionissa toimivien ESG-luokitusten tarjoajien antamiin ESG-luokituksiin, jotka julkistetaan tai jaetaan säännellyille rahoitusalan yrityksille unionissa, Euroopan parlamentin ja neuvoston direktiivin 2013/34/EU soveltamisalaan kuuluville yrityksille tai unionin tai jäsenvaltioiden viranomaisille.</w:t>
      </w:r>
    </w:p>
    <w:p w14:paraId="2C544BF4" w14:textId="2846A9D1" w:rsidR="00170A4C" w:rsidRPr="00A7778D" w:rsidRDefault="002A7F8C" w:rsidP="002A7F8C">
      <w:pPr>
        <w:pStyle w:val="ManualNumPar1"/>
        <w:rPr>
          <w:noProof/>
        </w:rPr>
      </w:pPr>
      <w:r w:rsidRPr="00A7778D">
        <w:rPr>
          <w:noProof/>
        </w:rPr>
        <w:t>2.</w:t>
      </w:r>
      <w:r w:rsidRPr="00A7778D">
        <w:rPr>
          <w:noProof/>
        </w:rPr>
        <w:tab/>
        <w:t>Tämän asetuksen soveltamisalaan eivät kuulu:</w:t>
      </w:r>
    </w:p>
    <w:p w14:paraId="38F296E6" w14:textId="54A064C5" w:rsidR="00BD3680" w:rsidRPr="00A7778D" w:rsidRDefault="002A7F8C" w:rsidP="002A7F8C">
      <w:pPr>
        <w:pStyle w:val="Point1"/>
        <w:rPr>
          <w:noProof/>
        </w:rPr>
      </w:pPr>
      <w:r w:rsidRPr="00A7778D">
        <w:rPr>
          <w:noProof/>
        </w:rPr>
        <w:t>a)</w:t>
      </w:r>
      <w:r w:rsidRPr="00A7778D">
        <w:rPr>
          <w:noProof/>
        </w:rPr>
        <w:tab/>
        <w:t>yksityiset ESG-luokitukset, joita ei ole tarkoitettu julkistettaviksi tai jaettaviksi;</w:t>
      </w:r>
    </w:p>
    <w:p w14:paraId="4D93C56E" w14:textId="22348A0A" w:rsidR="00BD3680" w:rsidRPr="00A7778D" w:rsidRDefault="002A7F8C" w:rsidP="002A7F8C">
      <w:pPr>
        <w:pStyle w:val="Point1"/>
        <w:rPr>
          <w:noProof/>
        </w:rPr>
      </w:pPr>
      <w:r w:rsidRPr="00A7778D">
        <w:rPr>
          <w:noProof/>
        </w:rPr>
        <w:t>b)</w:t>
      </w:r>
      <w:r w:rsidRPr="00A7778D">
        <w:rPr>
          <w:noProof/>
        </w:rPr>
        <w:tab/>
        <w:t>unionissa toimivien säänneltyjen rahoitusalan yritysten laatimat ESG-luokitukset, joita käytetään sisäisiin tarkoituksiin tai sisäisten rahoituspalvelujen ja -tuotteiden tarjoamiseen;</w:t>
      </w:r>
    </w:p>
    <w:p w14:paraId="3909D890" w14:textId="5C2212B5" w:rsidR="001A540D" w:rsidRPr="00A7778D" w:rsidRDefault="002A7F8C" w:rsidP="002A7F8C">
      <w:pPr>
        <w:pStyle w:val="Point1"/>
        <w:rPr>
          <w:noProof/>
        </w:rPr>
      </w:pPr>
      <w:r w:rsidRPr="00A7778D">
        <w:rPr>
          <w:noProof/>
        </w:rPr>
        <w:t>c)</w:t>
      </w:r>
      <w:r w:rsidRPr="00A7778D">
        <w:rPr>
          <w:noProof/>
        </w:rPr>
        <w:tab/>
        <w:t xml:space="preserve">sellaisten ESG-raakatietojen antaminen, jotka eivät sisällä luokitus- tai pisteytystekijöitä ja joihin ei sovelleta minkäänlaista mallintamista tai analysointia, joka johtaa ESG-luokituksen laatimiseen; </w:t>
      </w:r>
    </w:p>
    <w:p w14:paraId="49C5F0B7" w14:textId="5977987E" w:rsidR="00282BA1" w:rsidRPr="00A7778D" w:rsidRDefault="002A7F8C" w:rsidP="002A7F8C">
      <w:pPr>
        <w:pStyle w:val="Point1"/>
        <w:rPr>
          <w:noProof/>
        </w:rPr>
      </w:pPr>
      <w:r w:rsidRPr="00A7778D">
        <w:rPr>
          <w:noProof/>
        </w:rPr>
        <w:t>d)</w:t>
      </w:r>
      <w:r w:rsidRPr="00A7778D">
        <w:rPr>
          <w:noProof/>
        </w:rPr>
        <w:tab/>
        <w:t>Euroopan parlamentin ja neuvoston asetuksen (EY) N:o 1060/2009</w:t>
      </w:r>
      <w:r w:rsidRPr="00A7778D">
        <w:rPr>
          <w:rStyle w:val="FootnoteReference0"/>
          <w:noProof/>
          <w:szCs w:val="24"/>
        </w:rPr>
        <w:footnoteReference w:id="31"/>
      </w:r>
      <w:r w:rsidRPr="00A7778D">
        <w:rPr>
          <w:noProof/>
        </w:rPr>
        <w:t xml:space="preserve"> nojalla annetut luottoluokitukset;</w:t>
      </w:r>
    </w:p>
    <w:p w14:paraId="49B0859B" w14:textId="125EC9FD" w:rsidR="007C3C3E" w:rsidRPr="00A7778D" w:rsidRDefault="002A7F8C" w:rsidP="002A7F8C">
      <w:pPr>
        <w:pStyle w:val="Point1"/>
        <w:rPr>
          <w:noProof/>
        </w:rPr>
      </w:pPr>
      <w:r w:rsidRPr="00A7778D">
        <w:rPr>
          <w:noProof/>
        </w:rPr>
        <w:t>e)</w:t>
      </w:r>
      <w:r w:rsidRPr="00A7778D">
        <w:rPr>
          <w:noProof/>
        </w:rPr>
        <w:tab/>
        <w:t>tuotteet tai palvelut, joihin sisältyy ESG-luokituksen osatekijä;</w:t>
      </w:r>
    </w:p>
    <w:p w14:paraId="14025F15" w14:textId="547B1EF0" w:rsidR="009A4632" w:rsidRPr="00A7778D" w:rsidRDefault="002A7F8C" w:rsidP="002A7F8C">
      <w:pPr>
        <w:pStyle w:val="Point1"/>
        <w:rPr>
          <w:noProof/>
        </w:rPr>
      </w:pPr>
      <w:r w:rsidRPr="00A7778D">
        <w:rPr>
          <w:noProof/>
        </w:rPr>
        <w:t>f)</w:t>
      </w:r>
      <w:r w:rsidRPr="00A7778D">
        <w:rPr>
          <w:noProof/>
        </w:rPr>
        <w:tab/>
        <w:t>toisen osapuolen lausunnot kestävyyteen liittyvistä joukkolainoista;</w:t>
      </w:r>
    </w:p>
    <w:p w14:paraId="3A065EF4" w14:textId="377667DB" w:rsidR="00E23161" w:rsidRPr="00A7778D" w:rsidRDefault="002A7F8C" w:rsidP="002A7F8C">
      <w:pPr>
        <w:pStyle w:val="Point1"/>
        <w:rPr>
          <w:noProof/>
        </w:rPr>
      </w:pPr>
      <w:r w:rsidRPr="00A7778D">
        <w:rPr>
          <w:noProof/>
        </w:rPr>
        <w:t>g)</w:t>
      </w:r>
      <w:r w:rsidRPr="00A7778D">
        <w:rPr>
          <w:noProof/>
        </w:rPr>
        <w:tab/>
        <w:t>unionin tai jäsenvaltioiden viranomaisten laatimat ESG-luokitukset;</w:t>
      </w:r>
    </w:p>
    <w:p w14:paraId="21758491" w14:textId="0FAB3E01" w:rsidR="005A6769" w:rsidRPr="00A7778D" w:rsidRDefault="002A7F8C" w:rsidP="002A7F8C">
      <w:pPr>
        <w:pStyle w:val="Point1"/>
        <w:rPr>
          <w:noProof/>
        </w:rPr>
      </w:pPr>
      <w:r w:rsidRPr="00A7778D">
        <w:rPr>
          <w:noProof/>
        </w:rPr>
        <w:t>h)</w:t>
      </w:r>
      <w:r w:rsidRPr="00A7778D">
        <w:rPr>
          <w:noProof/>
        </w:rPr>
        <w:tab/>
        <w:t>toimiluvan saaneen ESG-luokituksen tarjoajan antamat ESG-luokitukset, jotka kolmas osapuoli antaa käyttäjien saataville;</w:t>
      </w:r>
    </w:p>
    <w:p w14:paraId="346B84EB" w14:textId="567989E0" w:rsidR="00BD3680" w:rsidRPr="00A7778D" w:rsidRDefault="002A7F8C" w:rsidP="002A7F8C">
      <w:pPr>
        <w:pStyle w:val="Point1"/>
        <w:rPr>
          <w:noProof/>
        </w:rPr>
      </w:pPr>
      <w:r w:rsidRPr="00A7778D">
        <w:rPr>
          <w:noProof/>
        </w:rPr>
        <w:t>i)</w:t>
      </w:r>
      <w:r w:rsidRPr="00A7778D">
        <w:rPr>
          <w:noProof/>
        </w:rPr>
        <w:tab/>
        <w:t>keskuspankkien laatimat ESG-luokitukset, jotka täyttävät kaikki seuraavat edellytykset:</w:t>
      </w:r>
    </w:p>
    <w:p w14:paraId="1BD707D6" w14:textId="14E5FF22" w:rsidR="00BD3680" w:rsidRPr="00A7778D" w:rsidRDefault="002A7F8C" w:rsidP="002A7F8C">
      <w:pPr>
        <w:pStyle w:val="Point2"/>
        <w:rPr>
          <w:noProof/>
        </w:rPr>
      </w:pPr>
      <w:r w:rsidRPr="00A7778D">
        <w:rPr>
          <w:noProof/>
        </w:rPr>
        <w:t>a)</w:t>
      </w:r>
      <w:r w:rsidRPr="00A7778D">
        <w:rPr>
          <w:noProof/>
        </w:rPr>
        <w:tab/>
        <w:t>luokiteltu yhteisö ei maksa niistä;</w:t>
      </w:r>
    </w:p>
    <w:p w14:paraId="235455C4" w14:textId="650BE891" w:rsidR="00BD3680" w:rsidRPr="00A7778D" w:rsidRDefault="002A7F8C" w:rsidP="002A7F8C">
      <w:pPr>
        <w:pStyle w:val="Point2"/>
        <w:rPr>
          <w:noProof/>
        </w:rPr>
      </w:pPr>
      <w:r w:rsidRPr="00A7778D">
        <w:rPr>
          <w:noProof/>
        </w:rPr>
        <w:t>b)</w:t>
      </w:r>
      <w:r w:rsidRPr="00A7778D">
        <w:rPr>
          <w:noProof/>
        </w:rPr>
        <w:tab/>
        <w:t>niitä ei julkisteta;</w:t>
      </w:r>
    </w:p>
    <w:p w14:paraId="756AFC71" w14:textId="2ED60F0B" w:rsidR="00964A2C" w:rsidRPr="00A7778D" w:rsidRDefault="002A7F8C" w:rsidP="002A7F8C">
      <w:pPr>
        <w:pStyle w:val="Point2"/>
        <w:rPr>
          <w:noProof/>
        </w:rPr>
      </w:pPr>
      <w:r w:rsidRPr="00A7778D">
        <w:rPr>
          <w:noProof/>
        </w:rPr>
        <w:t>c)</w:t>
      </w:r>
      <w:r w:rsidRPr="00A7778D">
        <w:rPr>
          <w:noProof/>
        </w:rPr>
        <w:tab/>
        <w:t>ne on annettu sellaisten periaatteiden, vaatimusten ja menettelyjen mukaisesti, joilla taataan tässä asetuksessa edellytetty luokitustoiminnan asianmukaisuus, eheys ja riippumattomuus; ja</w:t>
      </w:r>
    </w:p>
    <w:p w14:paraId="24637CC1" w14:textId="689B74A0" w:rsidR="00BD3680" w:rsidRPr="00A7778D" w:rsidRDefault="002A7F8C" w:rsidP="002A7F8C">
      <w:pPr>
        <w:pStyle w:val="Point2"/>
        <w:rPr>
          <w:noProof/>
        </w:rPr>
      </w:pPr>
      <w:r w:rsidRPr="00A7778D">
        <w:rPr>
          <w:noProof/>
        </w:rPr>
        <w:t>d)</w:t>
      </w:r>
      <w:r w:rsidRPr="00A7778D">
        <w:rPr>
          <w:noProof/>
        </w:rPr>
        <w:tab/>
        <w:t>ne eivät liity keskuspankkien jäsenvaltioiden liikkeelle laskemiin rahoitusvälineisiin.</w:t>
      </w:r>
    </w:p>
    <w:p w14:paraId="17B5BBC7" w14:textId="77777777" w:rsidR="00587167" w:rsidRPr="00A7778D" w:rsidRDefault="00587167" w:rsidP="00887EFB">
      <w:pPr>
        <w:pStyle w:val="Titrearticle"/>
        <w:spacing w:line="23" w:lineRule="atLeast"/>
        <w:rPr>
          <w:noProof/>
          <w:szCs w:val="24"/>
        </w:rPr>
      </w:pPr>
      <w:r w:rsidRPr="00A7778D">
        <w:rPr>
          <w:noProof/>
        </w:rPr>
        <w:t>3 artikla</w:t>
      </w:r>
    </w:p>
    <w:p w14:paraId="31F17598" w14:textId="77777777" w:rsidR="00587167" w:rsidRPr="00A7778D" w:rsidRDefault="00587167" w:rsidP="00887EFB">
      <w:pPr>
        <w:pStyle w:val="NormalCentered"/>
        <w:rPr>
          <w:b/>
          <w:bCs/>
          <w:noProof/>
        </w:rPr>
      </w:pPr>
      <w:r w:rsidRPr="00A7778D">
        <w:rPr>
          <w:b/>
          <w:noProof/>
        </w:rPr>
        <w:t>Määritelmät</w:t>
      </w:r>
    </w:p>
    <w:p w14:paraId="173919D2" w14:textId="77777777" w:rsidR="00360124" w:rsidRPr="00A7778D" w:rsidRDefault="00360124" w:rsidP="00887EFB">
      <w:pPr>
        <w:rPr>
          <w:noProof/>
        </w:rPr>
      </w:pPr>
      <w:r w:rsidRPr="00A7778D">
        <w:rPr>
          <w:noProof/>
        </w:rPr>
        <w:t>Tässä asetuksessa tarkoitetaan</w:t>
      </w:r>
    </w:p>
    <w:p w14:paraId="04A0395A" w14:textId="6DFA2808" w:rsidR="006006AA" w:rsidRPr="00A7778D" w:rsidRDefault="002A7F8C" w:rsidP="002A7F8C">
      <w:pPr>
        <w:pStyle w:val="Point1"/>
        <w:rPr>
          <w:noProof/>
        </w:rPr>
      </w:pPr>
      <w:r w:rsidRPr="00A7778D">
        <w:rPr>
          <w:noProof/>
        </w:rPr>
        <w:t>1)</w:t>
      </w:r>
      <w:r w:rsidRPr="00A7778D">
        <w:rPr>
          <w:noProof/>
        </w:rPr>
        <w:tab/>
        <w:t>’ESG-luokituksella’ kolmansille osapuolille annettavaa lausuntoa, pisteytystä tai näiden yhdistelmää, joka koskee yhteisöä, rahoitusvälinettä, rahoitustuotetta tai yrityksen ESG-profiilia tai -ominaisuuksia tai ESG-riskeille altistumista tai vaikutuksia ihmisiin, yhteiskuntaan ja ympäristöön ja joka perustuu vakiintuneisiin menetelmiin ja määritettyyn luokitusluokkien luokittelujärjestelmään riippumatta siitä, onko tällainen ESG-luokitus nimenomaisesti nimetty ’luokitukseksi’ tai ’ESG-pisteytykseksi’;</w:t>
      </w:r>
    </w:p>
    <w:p w14:paraId="11C4DDAE" w14:textId="20B8961E" w:rsidR="007C462C" w:rsidRPr="00A7778D" w:rsidRDefault="002A7F8C" w:rsidP="002A7F8C">
      <w:pPr>
        <w:pStyle w:val="Point1"/>
        <w:rPr>
          <w:noProof/>
        </w:rPr>
      </w:pPr>
      <w:r w:rsidRPr="00A7778D">
        <w:rPr>
          <w:noProof/>
        </w:rPr>
        <w:t>2)</w:t>
      </w:r>
      <w:r w:rsidRPr="00A7778D">
        <w:rPr>
          <w:noProof/>
        </w:rPr>
        <w:tab/>
        <w:t>’lausunnolla’ arviointia, joka perustuu sääntöpohjaiseen menetelmään ja määritettyyn luokitusluokkien luokittelujärjestelmään ja jossa luokitusanalyytikko on suoraan osallisena luokitusprosessissa tai -järjestelmässä;</w:t>
      </w:r>
    </w:p>
    <w:p w14:paraId="48792797" w14:textId="45D1F874" w:rsidR="002A7B92" w:rsidRPr="00A7778D" w:rsidRDefault="002A7F8C" w:rsidP="002A7F8C">
      <w:pPr>
        <w:pStyle w:val="Point1"/>
        <w:rPr>
          <w:noProof/>
        </w:rPr>
      </w:pPr>
      <w:r w:rsidRPr="00A7778D">
        <w:rPr>
          <w:noProof/>
        </w:rPr>
        <w:t>3)</w:t>
      </w:r>
      <w:r w:rsidRPr="00A7778D">
        <w:rPr>
          <w:noProof/>
        </w:rPr>
        <w:tab/>
        <w:t>’pisteytyksellä’ mittaria, joka on johdettu tiedoista käyttäen sääntöpohjaista menetelmää ja joka perustuu ainoastaan ennalta vahvistettuun tilastolliseen tai algoritmiseen järjestelmään tai malliin ilman analyytikolta saatavaa merkittävää analyyttistä lisäpanosta;</w:t>
      </w:r>
    </w:p>
    <w:p w14:paraId="6AF09B5A" w14:textId="2ADEF10B" w:rsidR="007C462C" w:rsidRPr="00A7778D" w:rsidRDefault="002A7F8C" w:rsidP="002A7F8C">
      <w:pPr>
        <w:pStyle w:val="Point1"/>
        <w:rPr>
          <w:noProof/>
        </w:rPr>
      </w:pPr>
      <w:r w:rsidRPr="00A7778D">
        <w:rPr>
          <w:noProof/>
        </w:rPr>
        <w:t>4)</w:t>
      </w:r>
      <w:r w:rsidRPr="00A7778D">
        <w:rPr>
          <w:noProof/>
        </w:rPr>
        <w:tab/>
        <w:t>’ESG-luokitusten tarjoajalla’ oikeushenkilöä, jonka toimintaan kuuluu ammattimainen ESG-luokitusten tai -pisteytysten antaminen ja jakelu;</w:t>
      </w:r>
    </w:p>
    <w:p w14:paraId="2B84C12F" w14:textId="5F17B09A" w:rsidR="00220356" w:rsidRPr="00A7778D" w:rsidRDefault="002A7F8C" w:rsidP="002A7F8C">
      <w:pPr>
        <w:pStyle w:val="Point1"/>
        <w:rPr>
          <w:noProof/>
        </w:rPr>
      </w:pPr>
      <w:r w:rsidRPr="00A7778D">
        <w:rPr>
          <w:noProof/>
        </w:rPr>
        <w:t>5)</w:t>
      </w:r>
      <w:r w:rsidRPr="00A7778D">
        <w:rPr>
          <w:noProof/>
        </w:rPr>
        <w:tab/>
        <w:t>’unionissa toimivalla säännellyllä rahoitusalan yrityksellä’ yritystä sen oikeudellisesta muodosta riippumatta, eli</w:t>
      </w:r>
    </w:p>
    <w:p w14:paraId="1EF3FAB9" w14:textId="77777777" w:rsidR="00F62937" w:rsidRPr="00A7778D" w:rsidRDefault="00B05ABB" w:rsidP="00580A58">
      <w:pPr>
        <w:pStyle w:val="Tiret2"/>
        <w:numPr>
          <w:ilvl w:val="0"/>
          <w:numId w:val="7"/>
        </w:numPr>
        <w:rPr>
          <w:noProof/>
          <w:szCs w:val="24"/>
        </w:rPr>
      </w:pPr>
      <w:r w:rsidRPr="00A7778D">
        <w:rPr>
          <w:noProof/>
        </w:rPr>
        <w:t>i)</w:t>
      </w:r>
      <w:r w:rsidRPr="00A7778D">
        <w:rPr>
          <w:noProof/>
        </w:rPr>
        <w:tab/>
        <w:t>Euroopan parlamentin ja neuvoston asetuksen (EU) N:o 575/2013</w:t>
      </w:r>
      <w:r w:rsidRPr="00A7778D">
        <w:rPr>
          <w:rStyle w:val="FootnoteReference0"/>
          <w:noProof/>
          <w:szCs w:val="24"/>
        </w:rPr>
        <w:footnoteReference w:id="32"/>
      </w:r>
      <w:r w:rsidRPr="00A7778D">
        <w:rPr>
          <w:noProof/>
        </w:rPr>
        <w:t xml:space="preserve"> 4 artiklan 1 kohdan 1 alakohdassa määritelty luottolaitos;</w:t>
      </w:r>
    </w:p>
    <w:p w14:paraId="10E64C19" w14:textId="637F33DE" w:rsidR="00F62937" w:rsidRPr="00A7778D" w:rsidRDefault="00B05ABB" w:rsidP="005C115E">
      <w:pPr>
        <w:pStyle w:val="Tiret2"/>
        <w:rPr>
          <w:noProof/>
          <w:szCs w:val="24"/>
        </w:rPr>
      </w:pPr>
      <w:r w:rsidRPr="00A7778D">
        <w:rPr>
          <w:noProof/>
        </w:rPr>
        <w:t>ii)</w:t>
      </w:r>
      <w:r w:rsidRPr="00A7778D">
        <w:rPr>
          <w:noProof/>
        </w:rPr>
        <w:tab/>
        <w:t>Euroopan parlamentin ja neuvoston direktiivin 2014/65/EU</w:t>
      </w:r>
      <w:r w:rsidRPr="00A7778D">
        <w:rPr>
          <w:rStyle w:val="FootnoteReference0"/>
          <w:noProof/>
          <w:szCs w:val="24"/>
        </w:rPr>
        <w:footnoteReference w:id="33"/>
      </w:r>
      <w:r w:rsidRPr="00A7778D">
        <w:rPr>
          <w:noProof/>
        </w:rPr>
        <w:t xml:space="preserve"> 4 artiklan 1 kohdan 1 alakohdassa määritelty sijoituspalveluyritys;</w:t>
      </w:r>
    </w:p>
    <w:p w14:paraId="6E021A18" w14:textId="6A1E8EE1" w:rsidR="00F62937" w:rsidRPr="00A7778D" w:rsidRDefault="00B05ABB" w:rsidP="005C115E">
      <w:pPr>
        <w:pStyle w:val="Tiret2"/>
        <w:rPr>
          <w:noProof/>
          <w:szCs w:val="24"/>
        </w:rPr>
      </w:pPr>
      <w:r w:rsidRPr="00A7778D">
        <w:rPr>
          <w:noProof/>
        </w:rPr>
        <w:t>iii)</w:t>
      </w:r>
      <w:r w:rsidRPr="00A7778D">
        <w:rPr>
          <w:noProof/>
        </w:rPr>
        <w:tab/>
        <w:t>Euroopan parlamentin ja neuvoston direktiivin 2011/61/EU</w:t>
      </w:r>
      <w:r w:rsidRPr="00A7778D">
        <w:rPr>
          <w:rStyle w:val="FootnoteReference0"/>
          <w:noProof/>
          <w:szCs w:val="24"/>
        </w:rPr>
        <w:footnoteReference w:id="34"/>
      </w:r>
      <w:r w:rsidRPr="00A7778D">
        <w:rPr>
          <w:noProof/>
        </w:rPr>
        <w:t xml:space="preserve"> 4 artiklan 1 kohdan b alakohdassa määritelty vaihtoehtoisten sijoitusrahastojen hoitaja, mukaan lukien Euroopan parlamentin ja neuvoston asetuksen (EU) N:o 345/2013</w:t>
      </w:r>
      <w:r w:rsidRPr="00A7778D">
        <w:rPr>
          <w:rStyle w:val="FootnoteReference0"/>
          <w:noProof/>
          <w:szCs w:val="24"/>
        </w:rPr>
        <w:footnoteReference w:id="35"/>
      </w:r>
      <w:r w:rsidRPr="00A7778D">
        <w:rPr>
          <w:noProof/>
        </w:rPr>
        <w:t> 3 artiklan c alakohdassa määritelty vaatimukset täyttävän riskipääomarahaston hoitaja, Euroopan parlamentin ja neuvoston asetuksen (EU) N:o 346/2013</w:t>
      </w:r>
      <w:r w:rsidRPr="00A7778D">
        <w:rPr>
          <w:rStyle w:val="FootnoteReference0"/>
          <w:noProof/>
          <w:szCs w:val="24"/>
        </w:rPr>
        <w:footnoteReference w:id="36"/>
      </w:r>
      <w:r w:rsidRPr="00A7778D">
        <w:rPr>
          <w:noProof/>
        </w:rPr>
        <w:t> 3 artiklan c alakohdassa määritelty vaatimukset täyttävän yhteiskunnalliseen yrittäjyyteen erikoistuneen rahaston hoitaja ja Euroopan parlamentin ja neuvoston asetuksen (EU) 2015/760</w:t>
      </w:r>
      <w:r w:rsidRPr="00A7778D">
        <w:rPr>
          <w:rStyle w:val="FootnoteReference0"/>
          <w:noProof/>
          <w:szCs w:val="24"/>
        </w:rPr>
        <w:footnoteReference w:id="37"/>
      </w:r>
      <w:r w:rsidRPr="00A7778D">
        <w:rPr>
          <w:noProof/>
        </w:rPr>
        <w:t> 2 artiklan 12 alakohdassa määritelty eurooppalaisen pitkäaikaissijoitusrahaston hoitaja;</w:t>
      </w:r>
    </w:p>
    <w:p w14:paraId="61B001B4" w14:textId="77777777" w:rsidR="00F62937" w:rsidRPr="00A7778D" w:rsidRDefault="00B05ABB" w:rsidP="005C115E">
      <w:pPr>
        <w:pStyle w:val="Tiret2"/>
        <w:rPr>
          <w:noProof/>
          <w:szCs w:val="24"/>
        </w:rPr>
      </w:pPr>
      <w:r w:rsidRPr="00A7778D">
        <w:rPr>
          <w:noProof/>
        </w:rPr>
        <w:t>iv)</w:t>
      </w:r>
      <w:r w:rsidRPr="00A7778D">
        <w:rPr>
          <w:noProof/>
        </w:rPr>
        <w:tab/>
        <w:t>Euroopan parlamentin ja neuvoston direktiivin 2009/65/EY</w:t>
      </w:r>
      <w:r w:rsidRPr="00A7778D">
        <w:rPr>
          <w:rStyle w:val="FootnoteReference0"/>
          <w:noProof/>
          <w:szCs w:val="24"/>
        </w:rPr>
        <w:footnoteReference w:id="38"/>
      </w:r>
      <w:r w:rsidRPr="00A7778D">
        <w:rPr>
          <w:noProof/>
        </w:rPr>
        <w:t xml:space="preserve"> 2 artiklan 1 kohdan b alakohdassa määritelty siirtokelpoisiin arvopapereihin kohdistuvaa yhteistä sijoitustoimintaa harjoittavan yrityksen (yhteissijoitusyritys) rahastoyhtiö;</w:t>
      </w:r>
    </w:p>
    <w:p w14:paraId="383E4150" w14:textId="77777777" w:rsidR="00F62937" w:rsidRPr="00A7778D" w:rsidRDefault="00B05ABB" w:rsidP="005C115E">
      <w:pPr>
        <w:pStyle w:val="Tiret2"/>
        <w:rPr>
          <w:noProof/>
          <w:szCs w:val="24"/>
        </w:rPr>
      </w:pPr>
      <w:r w:rsidRPr="00A7778D">
        <w:rPr>
          <w:noProof/>
        </w:rPr>
        <w:t>v)</w:t>
      </w:r>
      <w:r w:rsidRPr="00A7778D">
        <w:rPr>
          <w:noProof/>
        </w:rPr>
        <w:tab/>
        <w:t>Euroopan parlamentin ja neuvoston direktiivin 2009/138/EY</w:t>
      </w:r>
      <w:r w:rsidRPr="00A7778D">
        <w:rPr>
          <w:rStyle w:val="FootnoteReference0"/>
          <w:noProof/>
          <w:szCs w:val="24"/>
        </w:rPr>
        <w:footnoteReference w:id="39"/>
      </w:r>
      <w:r w:rsidRPr="00A7778D">
        <w:rPr>
          <w:noProof/>
        </w:rPr>
        <w:t xml:space="preserve"> 13 artiklan 1 alakohdassa määritelty vakuutusyritys;</w:t>
      </w:r>
    </w:p>
    <w:p w14:paraId="475C7B9E" w14:textId="77777777" w:rsidR="00F62937" w:rsidRPr="00A7778D" w:rsidRDefault="00B05ABB" w:rsidP="005C115E">
      <w:pPr>
        <w:pStyle w:val="Tiret2"/>
        <w:rPr>
          <w:noProof/>
          <w:szCs w:val="24"/>
        </w:rPr>
      </w:pPr>
      <w:r w:rsidRPr="00A7778D">
        <w:rPr>
          <w:noProof/>
        </w:rPr>
        <w:t>vi)</w:t>
      </w:r>
      <w:r w:rsidRPr="00A7778D">
        <w:rPr>
          <w:noProof/>
        </w:rPr>
        <w:tab/>
        <w:t>direktiivin 2009/138/EY 13 artiklan 4 alakohdassa määritelty jälleenvakuutusyritys;</w:t>
      </w:r>
    </w:p>
    <w:p w14:paraId="41FF4945" w14:textId="77777777" w:rsidR="00F62937" w:rsidRPr="00A7778D" w:rsidRDefault="00B05ABB" w:rsidP="005C115E">
      <w:pPr>
        <w:pStyle w:val="Tiret2"/>
        <w:rPr>
          <w:noProof/>
          <w:szCs w:val="24"/>
        </w:rPr>
      </w:pPr>
      <w:r w:rsidRPr="00A7778D">
        <w:rPr>
          <w:noProof/>
        </w:rPr>
        <w:t>vii)</w:t>
      </w:r>
      <w:r w:rsidRPr="00A7778D">
        <w:rPr>
          <w:noProof/>
        </w:rPr>
        <w:tab/>
        <w:t>Euroopan parlamentin ja neuvoston direktiivin (EU) 2016/2341</w:t>
      </w:r>
      <w:r w:rsidRPr="00A7778D">
        <w:rPr>
          <w:rStyle w:val="FootnoteReference0"/>
          <w:noProof/>
          <w:szCs w:val="24"/>
        </w:rPr>
        <w:footnoteReference w:id="40"/>
      </w:r>
      <w:r w:rsidRPr="00A7778D">
        <w:rPr>
          <w:noProof/>
        </w:rPr>
        <w:t xml:space="preserve"> 1 artiklan 6 alakohdassa määritelty ammatillisia lisäeläkkeitä tarjoava laitos;</w:t>
      </w:r>
    </w:p>
    <w:p w14:paraId="79AAB2FB" w14:textId="77777777" w:rsidR="00F62937" w:rsidRPr="00A7778D" w:rsidRDefault="00B05ABB" w:rsidP="005C115E">
      <w:pPr>
        <w:pStyle w:val="Tiret2"/>
        <w:rPr>
          <w:noProof/>
          <w:szCs w:val="24"/>
        </w:rPr>
      </w:pPr>
      <w:r w:rsidRPr="00A7778D">
        <w:rPr>
          <w:noProof/>
        </w:rPr>
        <w:t>viii)</w:t>
      </w:r>
      <w:r w:rsidRPr="00A7778D">
        <w:rPr>
          <w:noProof/>
        </w:rPr>
        <w:tab/>
        <w:t>sellaista eläkejärjestelmää hallinnoiva eläkelaitos, jonka katsotaan olevan Euroopan parlamentin ja neuvoston asetuksen (EY) N:o 883/2004</w:t>
      </w:r>
      <w:r w:rsidRPr="00A7778D">
        <w:rPr>
          <w:rStyle w:val="FootnoteReference0"/>
          <w:noProof/>
          <w:szCs w:val="24"/>
        </w:rPr>
        <w:footnoteReference w:id="41"/>
      </w:r>
      <w:r w:rsidRPr="00A7778D">
        <w:rPr>
          <w:noProof/>
        </w:rPr>
        <w:t xml:space="preserve"> ja Euroopan parlamentin ja neuvoston asetuksen (EY) N:o 987/2009</w:t>
      </w:r>
      <w:r w:rsidRPr="00A7778D">
        <w:rPr>
          <w:rStyle w:val="FootnoteReference0"/>
          <w:noProof/>
          <w:szCs w:val="24"/>
        </w:rPr>
        <w:footnoteReference w:id="42"/>
      </w:r>
      <w:r w:rsidRPr="00A7778D">
        <w:rPr>
          <w:noProof/>
        </w:rPr>
        <w:t xml:space="preserve"> piiriin kuuluva sosiaaliturvajärjestelmä, tai oikeushenkilö, joka on perustettu tällaisen sosiaaliturvajärjestelmän sijoituksia varten;</w:t>
      </w:r>
    </w:p>
    <w:p w14:paraId="24A13C00" w14:textId="77777777" w:rsidR="00F62937" w:rsidRPr="00A7778D" w:rsidRDefault="00B05ABB" w:rsidP="005C115E">
      <w:pPr>
        <w:pStyle w:val="Tiret2"/>
        <w:rPr>
          <w:noProof/>
          <w:szCs w:val="24"/>
        </w:rPr>
      </w:pPr>
      <w:r w:rsidRPr="00A7778D">
        <w:rPr>
          <w:noProof/>
        </w:rPr>
        <w:t>ix)</w:t>
      </w:r>
      <w:r w:rsidRPr="00A7778D">
        <w:rPr>
          <w:noProof/>
        </w:rPr>
        <w:tab/>
        <w:t>vaihtoehtoinen sijoitusrahasto, jonka hoidosta vastaa direktiivin 2011/61/EU 4 artiklan 1 kohdan b alakohdassa määritelty vaihtoehtoisten sijoitusrahastojen hoitaja, tai vaihtoehtoinen sijoitusrahasto, jota valvotaan sovellettavan kansallisen lainsäädännön mukaisesti;</w:t>
      </w:r>
    </w:p>
    <w:p w14:paraId="5887865E" w14:textId="77777777" w:rsidR="00F62937" w:rsidRPr="00A7778D" w:rsidRDefault="00B05ABB" w:rsidP="005C115E">
      <w:pPr>
        <w:pStyle w:val="Tiret2"/>
        <w:rPr>
          <w:noProof/>
          <w:szCs w:val="24"/>
        </w:rPr>
      </w:pPr>
      <w:r w:rsidRPr="00A7778D">
        <w:rPr>
          <w:noProof/>
        </w:rPr>
        <w:t>x)</w:t>
      </w:r>
      <w:r w:rsidRPr="00A7778D">
        <w:rPr>
          <w:noProof/>
        </w:rPr>
        <w:tab/>
        <w:t>direktiivin 2009/65/EY 1 artiklan 2 kohdassa määritelty yhteissijoitusyritys;</w:t>
      </w:r>
    </w:p>
    <w:p w14:paraId="623AB118" w14:textId="77777777" w:rsidR="00F62937" w:rsidRPr="00A7778D" w:rsidRDefault="00B05ABB" w:rsidP="005C115E">
      <w:pPr>
        <w:pStyle w:val="Tiret2"/>
        <w:rPr>
          <w:noProof/>
          <w:szCs w:val="24"/>
        </w:rPr>
      </w:pPr>
      <w:r w:rsidRPr="00A7778D">
        <w:rPr>
          <w:noProof/>
        </w:rPr>
        <w:t>xi)</w:t>
      </w:r>
      <w:r w:rsidRPr="00A7778D">
        <w:rPr>
          <w:noProof/>
        </w:rPr>
        <w:tab/>
        <w:t>Euroopan parlamentin ja neuvoston asetuksen (EU) N:o 648/2012</w:t>
      </w:r>
      <w:r w:rsidRPr="00A7778D">
        <w:rPr>
          <w:rStyle w:val="FootnoteReference0"/>
          <w:noProof/>
          <w:szCs w:val="24"/>
        </w:rPr>
        <w:footnoteReference w:id="43"/>
      </w:r>
      <w:r w:rsidRPr="00A7778D">
        <w:rPr>
          <w:noProof/>
        </w:rPr>
        <w:t xml:space="preserve"> 2 artiklan 1 alakohdassa määritelty keskusvastapuoli;</w:t>
      </w:r>
    </w:p>
    <w:p w14:paraId="00A8C39C" w14:textId="77777777" w:rsidR="00F62937" w:rsidRPr="00A7778D" w:rsidRDefault="00B05ABB" w:rsidP="005C115E">
      <w:pPr>
        <w:pStyle w:val="Tiret2"/>
        <w:rPr>
          <w:noProof/>
          <w:szCs w:val="24"/>
        </w:rPr>
      </w:pPr>
      <w:r w:rsidRPr="00A7778D">
        <w:rPr>
          <w:noProof/>
        </w:rPr>
        <w:t>xii)</w:t>
      </w:r>
      <w:r w:rsidRPr="00A7778D">
        <w:rPr>
          <w:noProof/>
        </w:rPr>
        <w:tab/>
        <w:t>Euroopan parlamentin ja neuvoston asetuksen (EU) N:o 909/2014</w:t>
      </w:r>
      <w:r w:rsidRPr="00A7778D">
        <w:rPr>
          <w:rStyle w:val="FootnoteReference0"/>
          <w:noProof/>
          <w:szCs w:val="24"/>
        </w:rPr>
        <w:footnoteReference w:id="44"/>
      </w:r>
      <w:r w:rsidRPr="00A7778D">
        <w:rPr>
          <w:noProof/>
        </w:rPr>
        <w:t xml:space="preserve"> 2 artiklan 1 kohdan 1 alakohdassa määritelty arvopaperikeskus;</w:t>
      </w:r>
    </w:p>
    <w:p w14:paraId="6564DBA3" w14:textId="77777777" w:rsidR="00F62937" w:rsidRPr="00A7778D" w:rsidRDefault="00B05ABB" w:rsidP="005C115E">
      <w:pPr>
        <w:pStyle w:val="Tiret2"/>
        <w:rPr>
          <w:noProof/>
          <w:szCs w:val="24"/>
        </w:rPr>
      </w:pPr>
      <w:r w:rsidRPr="00A7778D">
        <w:rPr>
          <w:noProof/>
        </w:rPr>
        <w:t>xiii)</w:t>
      </w:r>
      <w:r w:rsidRPr="00A7778D">
        <w:rPr>
          <w:noProof/>
        </w:rPr>
        <w:tab/>
        <w:t>direktiivin 2009/138/EY 211 artiklan mukaisesti hyväksytty vakuutus- ja jälleenvakuutusyritysten riskeistä vastaava erillisyhtiö;</w:t>
      </w:r>
    </w:p>
    <w:p w14:paraId="694ADD3F" w14:textId="77777777" w:rsidR="00F62937" w:rsidRPr="00A7778D" w:rsidRDefault="00B05ABB" w:rsidP="005C115E">
      <w:pPr>
        <w:pStyle w:val="Tiret2"/>
        <w:rPr>
          <w:noProof/>
          <w:szCs w:val="24"/>
        </w:rPr>
      </w:pPr>
      <w:r w:rsidRPr="00A7778D">
        <w:rPr>
          <w:noProof/>
        </w:rPr>
        <w:t>xiv)</w:t>
      </w:r>
      <w:r w:rsidRPr="00A7778D">
        <w:rPr>
          <w:noProof/>
        </w:rPr>
        <w:tab/>
        <w:t>Euroopan parlamentin ja neuvoston asetuksen (EU) N:o 2017/2402</w:t>
      </w:r>
      <w:r w:rsidRPr="00A7778D">
        <w:rPr>
          <w:rStyle w:val="FootnoteReference0"/>
          <w:noProof/>
          <w:szCs w:val="24"/>
        </w:rPr>
        <w:footnoteReference w:id="45"/>
      </w:r>
      <w:r w:rsidRPr="00A7778D">
        <w:rPr>
          <w:noProof/>
        </w:rPr>
        <w:t xml:space="preserve"> 2 artiklan 2 kohdassa määritelty arvopaperistamista varten perustettu erillisyhtiö;</w:t>
      </w:r>
    </w:p>
    <w:p w14:paraId="7816A7CE" w14:textId="77777777" w:rsidR="00F62937" w:rsidRPr="00A7778D" w:rsidRDefault="00B05ABB" w:rsidP="005C115E">
      <w:pPr>
        <w:pStyle w:val="Tiret2"/>
        <w:rPr>
          <w:noProof/>
          <w:szCs w:val="24"/>
        </w:rPr>
      </w:pPr>
      <w:r w:rsidRPr="00A7778D">
        <w:rPr>
          <w:noProof/>
        </w:rPr>
        <w:t>xv)</w:t>
      </w:r>
      <w:r w:rsidRPr="00A7778D">
        <w:rPr>
          <w:noProof/>
        </w:rPr>
        <w:tab/>
        <w:t>direktiivin 2009/138/EY 212 artiklan 1 kohdan f alakohdassa määritelty vakuutushallintayhtiö tai direktiivin 2009/138/EY 212 artiklan 1 kohdan h alakohdassa määritelty rahoitusalan sekaholdingyhtiö, joka kuuluu vakuutusyritysryhmään, jota valvotaan ryhmätasolla kyseisen direktiivin 213 artiklan nojalla ja jota ei ole vapautettu ryhmävalvonnasta kyseisen direktiivin 214 artiklan 2 kohdan nojalla;</w:t>
      </w:r>
    </w:p>
    <w:p w14:paraId="18307596" w14:textId="77777777" w:rsidR="00F62937" w:rsidRPr="00A7778D" w:rsidRDefault="00B05ABB" w:rsidP="005C115E">
      <w:pPr>
        <w:pStyle w:val="Tiret2"/>
        <w:rPr>
          <w:noProof/>
          <w:szCs w:val="24"/>
        </w:rPr>
      </w:pPr>
      <w:r w:rsidRPr="00A7778D">
        <w:rPr>
          <w:noProof/>
        </w:rPr>
        <w:t>xvi)</w:t>
      </w:r>
      <w:r w:rsidRPr="00A7778D">
        <w:rPr>
          <w:noProof/>
        </w:rPr>
        <w:tab/>
        <w:t>Euroopan parlamentin ja neuvoston direktiivin (EU) 2015/2366</w:t>
      </w:r>
      <w:r w:rsidRPr="00A7778D">
        <w:rPr>
          <w:rStyle w:val="FootnoteReference0"/>
          <w:noProof/>
          <w:szCs w:val="24"/>
        </w:rPr>
        <w:footnoteReference w:id="46"/>
      </w:r>
      <w:r w:rsidRPr="00A7778D">
        <w:rPr>
          <w:noProof/>
        </w:rPr>
        <w:t xml:space="preserve"> 1 artiklan 1 kohdan d alakohdassa määritelty maksulaitos;</w:t>
      </w:r>
    </w:p>
    <w:p w14:paraId="161BB6C3" w14:textId="77777777" w:rsidR="00F62937" w:rsidRPr="00A7778D" w:rsidRDefault="00B05ABB" w:rsidP="005C115E">
      <w:pPr>
        <w:pStyle w:val="Tiret2"/>
        <w:rPr>
          <w:noProof/>
          <w:szCs w:val="24"/>
        </w:rPr>
      </w:pPr>
      <w:r w:rsidRPr="00A7778D">
        <w:rPr>
          <w:noProof/>
        </w:rPr>
        <w:t>xvii)</w:t>
      </w:r>
      <w:r w:rsidRPr="00A7778D">
        <w:rPr>
          <w:noProof/>
        </w:rPr>
        <w:tab/>
        <w:t>Euroopan parlamentin ja neuvoston direktiivin 2009/110/EY</w:t>
      </w:r>
      <w:r w:rsidRPr="00A7778D">
        <w:rPr>
          <w:rStyle w:val="FootnoteReference0"/>
          <w:noProof/>
          <w:szCs w:val="24"/>
        </w:rPr>
        <w:footnoteReference w:id="47"/>
      </w:r>
      <w:r w:rsidRPr="00A7778D">
        <w:rPr>
          <w:noProof/>
        </w:rPr>
        <w:t xml:space="preserve"> 2 artiklan 1 alakohdassa määritelty sähköisen rahan liikkeeseenlaskijalaitos;</w:t>
      </w:r>
    </w:p>
    <w:p w14:paraId="403F2451" w14:textId="77777777" w:rsidR="00F62937" w:rsidRPr="00A7778D" w:rsidRDefault="00B05ABB" w:rsidP="005C115E">
      <w:pPr>
        <w:pStyle w:val="Tiret2"/>
        <w:rPr>
          <w:noProof/>
          <w:szCs w:val="24"/>
        </w:rPr>
      </w:pPr>
      <w:r w:rsidRPr="00A7778D">
        <w:rPr>
          <w:noProof/>
        </w:rPr>
        <w:t>xviii)</w:t>
      </w:r>
      <w:r w:rsidRPr="00A7778D">
        <w:rPr>
          <w:noProof/>
        </w:rPr>
        <w:tab/>
        <w:t>Euroopan parlamentin ja neuvoston asetuksen (EU) 2020/1503</w:t>
      </w:r>
      <w:r w:rsidRPr="00A7778D">
        <w:rPr>
          <w:rStyle w:val="FootnoteReference0"/>
          <w:noProof/>
          <w:szCs w:val="24"/>
        </w:rPr>
        <w:footnoteReference w:id="48"/>
      </w:r>
      <w:r w:rsidRPr="00A7778D">
        <w:rPr>
          <w:noProof/>
        </w:rPr>
        <w:t xml:space="preserve"> 2 artiklan 1 kohdan e alakohdassa määritelty joukkorahoituspalvelun tarjoaja;</w:t>
      </w:r>
    </w:p>
    <w:p w14:paraId="51610A39" w14:textId="77777777" w:rsidR="00F62937" w:rsidRPr="00A7778D" w:rsidRDefault="00B05ABB" w:rsidP="005C115E">
      <w:pPr>
        <w:pStyle w:val="Tiret2"/>
        <w:rPr>
          <w:noProof/>
          <w:szCs w:val="24"/>
        </w:rPr>
      </w:pPr>
      <w:r w:rsidRPr="00A7778D">
        <w:rPr>
          <w:noProof/>
        </w:rPr>
        <w:t>xix)</w:t>
      </w:r>
      <w:r w:rsidRPr="00A7778D">
        <w:rPr>
          <w:noProof/>
        </w:rPr>
        <w:tab/>
        <w:t>[kryptovarojen markkinoita koskevan Euroopan parlamentin ja neuvoston asetusehdotuksen</w:t>
      </w:r>
      <w:r w:rsidRPr="00A7778D">
        <w:rPr>
          <w:rStyle w:val="FootnoteReference0"/>
          <w:noProof/>
          <w:szCs w:val="24"/>
        </w:rPr>
        <w:footnoteReference w:id="49"/>
      </w:r>
      <w:r w:rsidRPr="00A7778D">
        <w:rPr>
          <w:noProof/>
        </w:rPr>
        <w:t xml:space="preserve">] 3 artiklan 1 kohdan 8 alakohdassa määritelty kryptovarapalvelun tarjoaja, joka tarjoaa yhtä tai useampaa [kryptovarojen markkinoita koskevan Euroopan parlamentin ja neuvoston asetusehdotuksen] 3 artiklan 1 kohdan 9 alakohdassa määriteltyä kryptovarapalvelua; </w:t>
      </w:r>
    </w:p>
    <w:p w14:paraId="12D1FB89" w14:textId="77777777" w:rsidR="00125A7D" w:rsidRPr="00A7778D" w:rsidRDefault="00B05ABB" w:rsidP="005C115E">
      <w:pPr>
        <w:pStyle w:val="Tiret2"/>
        <w:rPr>
          <w:noProof/>
          <w:szCs w:val="24"/>
        </w:rPr>
      </w:pPr>
      <w:r w:rsidRPr="00A7778D">
        <w:rPr>
          <w:noProof/>
        </w:rPr>
        <w:t>xx)</w:t>
      </w:r>
      <w:r w:rsidRPr="00A7778D">
        <w:rPr>
          <w:noProof/>
        </w:rPr>
        <w:tab/>
        <w:t>asetuksen (EU) N:o 648/2012 2 artiklan 2 alakohdassa määritelty kauppatietorekisteri;</w:t>
      </w:r>
    </w:p>
    <w:p w14:paraId="1CAB6D8B" w14:textId="77777777" w:rsidR="00125A7D" w:rsidRPr="00A7778D" w:rsidRDefault="00B05ABB" w:rsidP="005C115E">
      <w:pPr>
        <w:pStyle w:val="Tiret2"/>
        <w:rPr>
          <w:noProof/>
          <w:szCs w:val="24"/>
        </w:rPr>
      </w:pPr>
      <w:r w:rsidRPr="00A7778D">
        <w:rPr>
          <w:noProof/>
        </w:rPr>
        <w:t>xxi)</w:t>
      </w:r>
      <w:r w:rsidRPr="00A7778D">
        <w:rPr>
          <w:noProof/>
        </w:rPr>
        <w:tab/>
        <w:t>asetuksen (EU) 2017/2402 2 artiklan 23 alakohdassa määritelty arvopaperistamisrekisteri;</w:t>
      </w:r>
    </w:p>
    <w:p w14:paraId="77963EDD" w14:textId="40FC3106" w:rsidR="00125A7D" w:rsidRPr="00A7778D" w:rsidRDefault="00B05ABB" w:rsidP="005C115E">
      <w:pPr>
        <w:pStyle w:val="Tiret2"/>
        <w:rPr>
          <w:noProof/>
          <w:szCs w:val="24"/>
        </w:rPr>
      </w:pPr>
      <w:r w:rsidRPr="00A7778D">
        <w:rPr>
          <w:noProof/>
        </w:rPr>
        <w:t>xxii)</w:t>
      </w:r>
      <w:r w:rsidRPr="00A7778D">
        <w:rPr>
          <w:noProof/>
        </w:rPr>
        <w:tab/>
        <w:t>Euroopan parlamentin ja neuvoston asetuksen (EU) 2016/1011</w:t>
      </w:r>
      <w:r w:rsidRPr="00A7778D">
        <w:rPr>
          <w:rStyle w:val="FootnoteReference0"/>
          <w:noProof/>
          <w:szCs w:val="24"/>
        </w:rPr>
        <w:footnoteReference w:id="50"/>
      </w:r>
      <w:r w:rsidRPr="00A7778D">
        <w:rPr>
          <w:noProof/>
        </w:rPr>
        <w:t> 3 artiklan 1 kohdan 3 alakohdassa määriteltyjen vertailuarvojen hallinnoija;</w:t>
      </w:r>
    </w:p>
    <w:p w14:paraId="59F6AE87" w14:textId="77777777" w:rsidR="00125A7D" w:rsidRPr="00A7778D" w:rsidRDefault="00B05ABB" w:rsidP="005C115E">
      <w:pPr>
        <w:pStyle w:val="Tiret2"/>
        <w:rPr>
          <w:noProof/>
          <w:szCs w:val="24"/>
        </w:rPr>
      </w:pPr>
      <w:r w:rsidRPr="00A7778D">
        <w:rPr>
          <w:noProof/>
        </w:rPr>
        <w:t>xxiii)</w:t>
      </w:r>
      <w:r w:rsidRPr="00A7778D">
        <w:rPr>
          <w:noProof/>
        </w:rPr>
        <w:tab/>
        <w:t>asetuksen (EY) N:o 1060/2009 3 artiklan 1 kohdan b alakohdassa määritelty luottoluokituslaitos;</w:t>
      </w:r>
    </w:p>
    <w:p w14:paraId="67924FD3" w14:textId="3A1F5549" w:rsidR="5AC2D6E5" w:rsidRPr="00A7778D" w:rsidRDefault="002A7F8C" w:rsidP="002A7F8C">
      <w:pPr>
        <w:pStyle w:val="Point1"/>
        <w:rPr>
          <w:noProof/>
        </w:rPr>
      </w:pPr>
      <w:r w:rsidRPr="00A7778D">
        <w:rPr>
          <w:noProof/>
        </w:rPr>
        <w:t>6)</w:t>
      </w:r>
      <w:r w:rsidRPr="00A7778D">
        <w:rPr>
          <w:noProof/>
        </w:rPr>
        <w:tab/>
        <w:t>’luokitusanalyytikolla’ henkilöä, joka suorittaa analyysitoimia ESG-luokitusten antamiseksi;</w:t>
      </w:r>
    </w:p>
    <w:p w14:paraId="730D493C" w14:textId="117B169E" w:rsidR="5AC2D6E5" w:rsidRPr="00A7778D" w:rsidRDefault="002A7F8C" w:rsidP="002A7F8C">
      <w:pPr>
        <w:pStyle w:val="Point1"/>
        <w:rPr>
          <w:noProof/>
        </w:rPr>
      </w:pPr>
      <w:r w:rsidRPr="00A7778D">
        <w:rPr>
          <w:noProof/>
        </w:rPr>
        <w:t>7)</w:t>
      </w:r>
      <w:r w:rsidRPr="00A7778D">
        <w:rPr>
          <w:noProof/>
        </w:rPr>
        <w:tab/>
        <w:t>’luokitellulla yhteisöllä’ oikeushenkilöä, rahoitusvälinettä, rahoitustuotetta, viranomaista tai julkisoikeudellista elintä, joka on nimenomaisesti tai epäsuorasti luokiteltu ESG-luokituksessa tai -pisteytyksessä riippumatta siitä, onko tällaista luokitusta pyydetty, ja siitä, onko kyseinen oikeushenkilö toimittanut tietoja kyseistä luokitusta tai pisteytystä varten;</w:t>
      </w:r>
    </w:p>
    <w:p w14:paraId="5FBF7F1A" w14:textId="01E035C2" w:rsidR="007F5CA4" w:rsidRPr="00A7778D" w:rsidRDefault="002A7F8C" w:rsidP="002A7F8C">
      <w:pPr>
        <w:pStyle w:val="Point1"/>
        <w:rPr>
          <w:noProof/>
        </w:rPr>
      </w:pPr>
      <w:r w:rsidRPr="00A7778D">
        <w:rPr>
          <w:noProof/>
        </w:rPr>
        <w:t>8)</w:t>
      </w:r>
      <w:r w:rsidRPr="00A7778D">
        <w:rPr>
          <w:noProof/>
        </w:rPr>
        <w:tab/>
        <w:t>’käyttäjällä’ luonnollista henkilöä tai oikeushenkilöä, mukaan lukien viranomainen tai julkisoikeudellinen laitos, jolle annetaan ESG-luokitus;</w:t>
      </w:r>
    </w:p>
    <w:p w14:paraId="507BEF79" w14:textId="336341CD" w:rsidR="0069451A" w:rsidRPr="00A7778D" w:rsidRDefault="002A7F8C" w:rsidP="002A7F8C">
      <w:pPr>
        <w:pStyle w:val="Point1"/>
        <w:rPr>
          <w:noProof/>
        </w:rPr>
      </w:pPr>
      <w:r w:rsidRPr="00A7778D">
        <w:rPr>
          <w:noProof/>
        </w:rPr>
        <w:t>9)</w:t>
      </w:r>
      <w:r w:rsidRPr="00A7778D">
        <w:rPr>
          <w:noProof/>
        </w:rPr>
        <w:tab/>
        <w:t>’toimivaltaisilla viranomaisilla’ kunkin jäsenvaltion tämän asetuksen soveltamista varten nimeämiä viranomaisia;</w:t>
      </w:r>
    </w:p>
    <w:p w14:paraId="3D9EC56E" w14:textId="4C996277" w:rsidR="00B05481" w:rsidRPr="00A7778D" w:rsidRDefault="002A7F8C" w:rsidP="002A7F8C">
      <w:pPr>
        <w:pStyle w:val="Point1"/>
        <w:rPr>
          <w:noProof/>
        </w:rPr>
      </w:pPr>
      <w:r w:rsidRPr="00A7778D">
        <w:rPr>
          <w:noProof/>
        </w:rPr>
        <w:t>(10)</w:t>
      </w:r>
      <w:r w:rsidRPr="00A7778D">
        <w:rPr>
          <w:noProof/>
        </w:rPr>
        <w:tab/>
        <w:t>’ylimmällä johdolla’ henkilöä tai henkilöitä, jotka tosiasiallisesti johtavat ESG-luokitusten tarjoajan liiketoimintaa, ja ESG-luokitusten tarjoajan hallinto- tai valvontaelimen jäsentä tai jäseniä;</w:t>
      </w:r>
    </w:p>
    <w:p w14:paraId="0F08E9F3" w14:textId="58082C53" w:rsidR="00BA3786" w:rsidRPr="00A7778D" w:rsidRDefault="002A7F8C" w:rsidP="002A7F8C">
      <w:pPr>
        <w:pStyle w:val="Point1"/>
        <w:rPr>
          <w:noProof/>
        </w:rPr>
      </w:pPr>
      <w:r w:rsidRPr="00A7778D">
        <w:rPr>
          <w:noProof/>
        </w:rPr>
        <w:t>(11)</w:t>
      </w:r>
      <w:r w:rsidRPr="00A7778D">
        <w:rPr>
          <w:noProof/>
        </w:rPr>
        <w:tab/>
        <w:t>’ESG-luokitusten tarjoajien ryhmällä’ unioniin sijoittautunutta yritysryhmittymää, joka koostuu direktiivin 2013/34/EU 2 artiklassa tarkoitetusta emoyhtiöstä ja sen tytäryhtiöistä, ja toisiinsa suhteessa olevia yrityksiä, joiden toimintaan kuuluu ESG-luokitusten antaminen.</w:t>
      </w:r>
    </w:p>
    <w:p w14:paraId="6403D2B6" w14:textId="77777777" w:rsidR="00587167" w:rsidRPr="00A7778D" w:rsidRDefault="00587167" w:rsidP="005F2D3A">
      <w:pPr>
        <w:shd w:val="clear" w:color="auto" w:fill="FFFFFF" w:themeFill="background1"/>
        <w:spacing w:before="360" w:line="23" w:lineRule="atLeast"/>
        <w:jc w:val="center"/>
        <w:rPr>
          <w:rFonts w:eastAsia="Times New Roman"/>
          <w:noProof/>
          <w:color w:val="333333"/>
          <w:szCs w:val="24"/>
        </w:rPr>
      </w:pPr>
      <w:r w:rsidRPr="00A7778D">
        <w:rPr>
          <w:noProof/>
          <w:color w:val="333333"/>
        </w:rPr>
        <w:t>II OSASTO</w:t>
      </w:r>
    </w:p>
    <w:p w14:paraId="01B77C3E" w14:textId="77777777" w:rsidR="00870D89" w:rsidRPr="00A7778D" w:rsidRDefault="00870D89" w:rsidP="00EC435D">
      <w:pPr>
        <w:pStyle w:val="ChapterTitle"/>
        <w:spacing w:after="120" w:line="23" w:lineRule="atLeast"/>
        <w:rPr>
          <w:rStyle w:val="boldface"/>
          <w:caps/>
          <w:noProof/>
          <w:sz w:val="24"/>
          <w:szCs w:val="24"/>
        </w:rPr>
      </w:pPr>
      <w:r w:rsidRPr="00A7778D">
        <w:rPr>
          <w:rStyle w:val="boldface"/>
          <w:caps/>
          <w:noProof/>
          <w:sz w:val="24"/>
        </w:rPr>
        <w:t>ESG-luokitusten antaminen unionissa</w:t>
      </w:r>
    </w:p>
    <w:p w14:paraId="77260E1E" w14:textId="77777777" w:rsidR="00870D89" w:rsidRPr="00A7778D" w:rsidRDefault="00870D89" w:rsidP="00674E7A">
      <w:pPr>
        <w:pStyle w:val="Titrearticle"/>
        <w:spacing w:line="23" w:lineRule="atLeast"/>
        <w:rPr>
          <w:noProof/>
          <w:szCs w:val="24"/>
        </w:rPr>
      </w:pPr>
      <w:r w:rsidRPr="00A7778D">
        <w:rPr>
          <w:noProof/>
        </w:rPr>
        <w:t>4 artikla</w:t>
      </w:r>
    </w:p>
    <w:p w14:paraId="09F88C91" w14:textId="77777777" w:rsidR="00AE01DA" w:rsidRPr="00A7778D" w:rsidRDefault="00AE01DA" w:rsidP="00674E7A">
      <w:pPr>
        <w:pStyle w:val="NormalCentered"/>
        <w:rPr>
          <w:b/>
          <w:bCs/>
          <w:noProof/>
        </w:rPr>
      </w:pPr>
      <w:r w:rsidRPr="00A7778D">
        <w:rPr>
          <w:b/>
          <w:noProof/>
        </w:rPr>
        <w:t>ESG-luokitusten antamista unionissa koskevat vaatimukset</w:t>
      </w:r>
    </w:p>
    <w:p w14:paraId="1F353DDE" w14:textId="77777777" w:rsidR="00AE01DA" w:rsidRPr="00A7778D" w:rsidRDefault="004354D0" w:rsidP="00674EB9">
      <w:pPr>
        <w:rPr>
          <w:noProof/>
        </w:rPr>
      </w:pPr>
      <w:r w:rsidRPr="00A7778D">
        <w:rPr>
          <w:noProof/>
        </w:rPr>
        <w:t>Oikeushenkilöön, joka haluaa antaa ESG-luokituksia unionissa, sovelletaan jotakin seuraavista:</w:t>
      </w:r>
    </w:p>
    <w:p w14:paraId="5893210C" w14:textId="30D43529" w:rsidR="00AE01DA" w:rsidRPr="00A7778D" w:rsidRDefault="002A7F8C" w:rsidP="002A7F8C">
      <w:pPr>
        <w:pStyle w:val="Point1"/>
        <w:rPr>
          <w:noProof/>
        </w:rPr>
      </w:pPr>
      <w:r w:rsidRPr="00A7778D">
        <w:rPr>
          <w:noProof/>
        </w:rPr>
        <w:t>a)</w:t>
      </w:r>
      <w:r w:rsidRPr="00A7778D">
        <w:rPr>
          <w:noProof/>
        </w:rPr>
        <w:tab/>
        <w:t>5 artiklassa tarkoitettu arvopaperimarkkinaviranomaisen myöntämä toimilupa;</w:t>
      </w:r>
    </w:p>
    <w:p w14:paraId="1F67BA6E" w14:textId="301F0374" w:rsidR="00AE01DA" w:rsidRPr="00A7778D" w:rsidRDefault="002A7F8C" w:rsidP="002A7F8C">
      <w:pPr>
        <w:pStyle w:val="Point1"/>
        <w:rPr>
          <w:noProof/>
        </w:rPr>
      </w:pPr>
      <w:r w:rsidRPr="00A7778D">
        <w:rPr>
          <w:noProof/>
        </w:rPr>
        <w:t>b)</w:t>
      </w:r>
      <w:r w:rsidRPr="00A7778D">
        <w:rPr>
          <w:noProof/>
        </w:rPr>
        <w:tab/>
        <w:t>9 artiklassa tarkoitettu täytäntöönpanopäätös;</w:t>
      </w:r>
    </w:p>
    <w:p w14:paraId="6967C51B" w14:textId="1FF25E79" w:rsidR="00AE01DA" w:rsidRPr="00A7778D" w:rsidRDefault="002A7F8C" w:rsidP="002A7F8C">
      <w:pPr>
        <w:pStyle w:val="Point1"/>
        <w:rPr>
          <w:noProof/>
        </w:rPr>
      </w:pPr>
      <w:r w:rsidRPr="00A7778D">
        <w:rPr>
          <w:noProof/>
        </w:rPr>
        <w:t>c)</w:t>
      </w:r>
      <w:r w:rsidRPr="00A7778D">
        <w:rPr>
          <w:noProof/>
        </w:rPr>
        <w:tab/>
        <w:t>10 artiklassa tarkoitettu hyväksyntää koskeva lupa;</w:t>
      </w:r>
    </w:p>
    <w:p w14:paraId="4D019106" w14:textId="430B34B8" w:rsidR="00AE01DA" w:rsidRPr="00A7778D" w:rsidRDefault="002A7F8C" w:rsidP="002A7F8C">
      <w:pPr>
        <w:pStyle w:val="Point1"/>
        <w:rPr>
          <w:noProof/>
        </w:rPr>
      </w:pPr>
      <w:r w:rsidRPr="00A7778D">
        <w:rPr>
          <w:noProof/>
        </w:rPr>
        <w:t>d)</w:t>
      </w:r>
      <w:r w:rsidRPr="00A7778D">
        <w:rPr>
          <w:noProof/>
        </w:rPr>
        <w:tab/>
        <w:t>11 kohdassa tarkoitettu tunnustaminen.</w:t>
      </w:r>
    </w:p>
    <w:p w14:paraId="50256274" w14:textId="77777777" w:rsidR="00E33B03" w:rsidRPr="00A7778D" w:rsidRDefault="00B73B86" w:rsidP="00674E7A">
      <w:pPr>
        <w:pStyle w:val="NormalCentered"/>
        <w:rPr>
          <w:i/>
          <w:iCs/>
          <w:noProof/>
        </w:rPr>
      </w:pPr>
      <w:r w:rsidRPr="00A7778D">
        <w:rPr>
          <w:noProof/>
        </w:rPr>
        <w:t>1 LUKU</w:t>
      </w:r>
    </w:p>
    <w:p w14:paraId="453EDCB9" w14:textId="77777777" w:rsidR="00E33B03" w:rsidRPr="00A7778D" w:rsidRDefault="00517AFF" w:rsidP="00674E7A">
      <w:pPr>
        <w:pStyle w:val="NormalCentered"/>
        <w:rPr>
          <w:rStyle w:val="italics"/>
          <w:b/>
          <w:bCs/>
          <w:noProof/>
        </w:rPr>
      </w:pPr>
      <w:r w:rsidRPr="00A7778D">
        <w:rPr>
          <w:rStyle w:val="italics"/>
          <w:b/>
          <w:noProof/>
        </w:rPr>
        <w:t>Toimiluvan myöntäminen ESG-luokitusten antamiseen unionissa</w:t>
      </w:r>
    </w:p>
    <w:p w14:paraId="17A68438" w14:textId="77777777" w:rsidR="00517AFF" w:rsidRPr="00A7778D" w:rsidRDefault="00517AFF" w:rsidP="00751C65">
      <w:pPr>
        <w:pStyle w:val="Titrearticle"/>
        <w:spacing w:line="23" w:lineRule="atLeast"/>
        <w:rPr>
          <w:noProof/>
          <w:szCs w:val="24"/>
        </w:rPr>
      </w:pPr>
      <w:r w:rsidRPr="00A7778D">
        <w:rPr>
          <w:noProof/>
        </w:rPr>
        <w:t>5 artikla</w:t>
      </w:r>
    </w:p>
    <w:p w14:paraId="6A2B181B" w14:textId="77777777" w:rsidR="00517AFF" w:rsidRPr="00A7778D" w:rsidRDefault="00517AFF" w:rsidP="00751C65">
      <w:pPr>
        <w:pStyle w:val="NormalCentered"/>
        <w:rPr>
          <w:b/>
          <w:bCs/>
          <w:noProof/>
        </w:rPr>
      </w:pPr>
      <w:r w:rsidRPr="00A7778D">
        <w:rPr>
          <w:b/>
          <w:noProof/>
        </w:rPr>
        <w:t>Toimiluvan hakeminen ESG-luokitusten antamiseen</w:t>
      </w:r>
    </w:p>
    <w:p w14:paraId="1248B3C1" w14:textId="6CA2F7D9" w:rsidR="00B04FB4" w:rsidRPr="00A7778D" w:rsidRDefault="002A7F8C" w:rsidP="002A7F8C">
      <w:pPr>
        <w:pStyle w:val="ManualNumPar1"/>
        <w:rPr>
          <w:noProof/>
        </w:rPr>
      </w:pPr>
      <w:r w:rsidRPr="00A7778D">
        <w:rPr>
          <w:noProof/>
        </w:rPr>
        <w:t>1.</w:t>
      </w:r>
      <w:r w:rsidRPr="00A7778D">
        <w:rPr>
          <w:noProof/>
        </w:rPr>
        <w:tab/>
        <w:t>Unioniin sijoittautuneiden oikeushenkilöiden, jotka haluavat antaa ESG-luokituksia unionissa, on haettava toimilupaa arvopaperimarkkinaviranomaiselta.</w:t>
      </w:r>
    </w:p>
    <w:p w14:paraId="0A24B4D4" w14:textId="4154C8AA" w:rsidR="0023336E" w:rsidRPr="00A7778D" w:rsidRDefault="002A7F8C" w:rsidP="002A7F8C">
      <w:pPr>
        <w:pStyle w:val="ManualNumPar1"/>
        <w:rPr>
          <w:noProof/>
        </w:rPr>
      </w:pPr>
      <w:r w:rsidRPr="00A7778D">
        <w:rPr>
          <w:noProof/>
        </w:rPr>
        <w:t>2.</w:t>
      </w:r>
      <w:r w:rsidRPr="00A7778D">
        <w:rPr>
          <w:noProof/>
        </w:rPr>
        <w:tab/>
        <w:t>Toimilupahakemuksessa on oltava kaikki liitteessä I luetellut tiedot, ja se on toimitettava jollakin unionin virallisella kielellä. Neuvoston asetusta N:o 1</w:t>
      </w:r>
      <w:r w:rsidRPr="00A7778D">
        <w:rPr>
          <w:rStyle w:val="FootnoteReference0"/>
          <w:noProof/>
        </w:rPr>
        <w:footnoteReference w:id="51"/>
      </w:r>
      <w:r w:rsidRPr="00A7778D">
        <w:rPr>
          <w:noProof/>
        </w:rPr>
        <w:t xml:space="preserve"> sovelletaan soveltuvin osin kaikkeen muuhun viestintään arvopaperimarkkinaviranomaisen ja ESG-luokitusten tarjoajien ja niiden henkilöstön välillä.</w:t>
      </w:r>
    </w:p>
    <w:p w14:paraId="3D39E7F5" w14:textId="27213E03" w:rsidR="00517AFF" w:rsidRPr="00A7778D" w:rsidRDefault="002A7F8C" w:rsidP="002A7F8C">
      <w:pPr>
        <w:pStyle w:val="ManualNumPar1"/>
        <w:rPr>
          <w:noProof/>
        </w:rPr>
      </w:pPr>
      <w:r w:rsidRPr="00A7778D">
        <w:rPr>
          <w:noProof/>
        </w:rPr>
        <w:t>3.</w:t>
      </w:r>
      <w:r w:rsidRPr="00A7778D">
        <w:rPr>
          <w:noProof/>
        </w:rPr>
        <w:tab/>
        <w:t>Arvopaperimarkkinaviranomainen laatii luonnoksia teknisiksi sääntelystandardeiksi, joissa täsmennetään liitteessä I luetellut tiedot.</w:t>
      </w:r>
    </w:p>
    <w:p w14:paraId="71846BA8" w14:textId="77777777" w:rsidR="00517AFF" w:rsidRPr="00A7778D" w:rsidRDefault="00517AFF" w:rsidP="00674EB9">
      <w:pPr>
        <w:rPr>
          <w:noProof/>
        </w:rPr>
      </w:pPr>
      <w:r w:rsidRPr="00A7778D">
        <w:rPr>
          <w:noProof/>
        </w:rPr>
        <w:t>Arvopaperimarkkinaviranomainen toimittaa nämä teknisten sääntelystandardien luonnokset komissiolle viimeistään XX XXXX XXXX.</w:t>
      </w:r>
    </w:p>
    <w:p w14:paraId="0022FB14" w14:textId="77777777" w:rsidR="00517AFF" w:rsidRPr="00A7778D" w:rsidRDefault="00517AFF" w:rsidP="00751C65">
      <w:pPr>
        <w:rPr>
          <w:noProof/>
        </w:rPr>
      </w:pPr>
      <w:r w:rsidRPr="00A7778D">
        <w:rPr>
          <w:noProof/>
        </w:rPr>
        <w:t>Siirretään komissiolle valta hyväksyä ensimmäisessä alakohdassa tarkoitetut tekniset sääntelystandardit asetuksen (EU) N:o 1095/2010 10–14 artiklassa säädettyä menettelyä noudattaen.</w:t>
      </w:r>
    </w:p>
    <w:p w14:paraId="5906E93C" w14:textId="20137FF9" w:rsidR="00517AFF" w:rsidRPr="00A7778D" w:rsidRDefault="002A7F8C" w:rsidP="002A7F8C">
      <w:pPr>
        <w:pStyle w:val="ManualNumPar1"/>
        <w:rPr>
          <w:noProof/>
        </w:rPr>
      </w:pPr>
      <w:r w:rsidRPr="00A7778D">
        <w:rPr>
          <w:noProof/>
        </w:rPr>
        <w:t>4.</w:t>
      </w:r>
      <w:r w:rsidRPr="00A7778D">
        <w:rPr>
          <w:noProof/>
        </w:rPr>
        <w:tab/>
        <w:t>Toimiluvan saaneen ESG-luokitusten tarjoajan on aina noudatettava alkuperäisen toimiluvan ehtoja.</w:t>
      </w:r>
    </w:p>
    <w:p w14:paraId="792E7AC3" w14:textId="0A19EFDC" w:rsidR="00517AFF" w:rsidRPr="00A7778D" w:rsidRDefault="002A7F8C" w:rsidP="002A7F8C">
      <w:pPr>
        <w:pStyle w:val="ManualNumPar1"/>
        <w:rPr>
          <w:noProof/>
        </w:rPr>
      </w:pPr>
      <w:r w:rsidRPr="00A7778D">
        <w:rPr>
          <w:noProof/>
        </w:rPr>
        <w:t>5.</w:t>
      </w:r>
      <w:r w:rsidRPr="00A7778D">
        <w:rPr>
          <w:noProof/>
        </w:rPr>
        <w:tab/>
        <w:t>ESG-luokitusten tarjoajien on ilman aiheetonta viivytystä ilmoitettava arvopaperimarkkinaviranomaiselle kaikista olennaisista muutoksista alkuperäisen toimiluvan ehtoihin, mukaan lukien sivuliikkeen avaamisesta tai sulkemisesta unionissa.</w:t>
      </w:r>
    </w:p>
    <w:p w14:paraId="07287C83" w14:textId="77777777" w:rsidR="00517AFF" w:rsidRPr="00A7778D" w:rsidRDefault="00517AFF" w:rsidP="00751C65">
      <w:pPr>
        <w:pStyle w:val="Titrearticle"/>
        <w:spacing w:line="23" w:lineRule="atLeast"/>
        <w:rPr>
          <w:noProof/>
          <w:szCs w:val="24"/>
        </w:rPr>
      </w:pPr>
      <w:r w:rsidRPr="00A7778D">
        <w:rPr>
          <w:noProof/>
        </w:rPr>
        <w:t>6 artikla</w:t>
      </w:r>
    </w:p>
    <w:p w14:paraId="373D4FD5" w14:textId="77777777" w:rsidR="00517AFF" w:rsidRPr="00A7778D" w:rsidRDefault="00517AFF" w:rsidP="00751C65">
      <w:pPr>
        <w:pStyle w:val="NormalCentered"/>
        <w:rPr>
          <w:b/>
          <w:bCs/>
          <w:noProof/>
        </w:rPr>
      </w:pPr>
      <w:r w:rsidRPr="00A7778D">
        <w:rPr>
          <w:b/>
          <w:noProof/>
        </w:rPr>
        <w:t>ESG-luokitusten tarjoajien toimilupahakemuksen käsittely arvopaperimarkkinaviranomaisessa</w:t>
      </w:r>
    </w:p>
    <w:p w14:paraId="462C7898" w14:textId="1457DF30" w:rsidR="00861FBD" w:rsidRPr="00A7778D" w:rsidRDefault="002A7F8C" w:rsidP="002A7F8C">
      <w:pPr>
        <w:pStyle w:val="ManualNumPar1"/>
        <w:rPr>
          <w:noProof/>
        </w:rPr>
      </w:pPr>
      <w:r w:rsidRPr="00A7778D">
        <w:rPr>
          <w:noProof/>
        </w:rPr>
        <w:t>1.</w:t>
      </w:r>
      <w:r w:rsidRPr="00A7778D">
        <w:rPr>
          <w:noProof/>
        </w:rPr>
        <w:tab/>
        <w:t>Arvopaperimarkkinaviranomainen arvioi 30 työpäivän kuluessa 5 artiklan 2 kohdassa tarkoitetun hakemuksen vastaanottamisesta, sisältääkö se kaikki tarvittavat tiedot. Jos hakemus ei ole täydellinen, arvopaperimarkkinaviranomainen asettaa määräajan, johon mennessä hakijan on toimitettava lisätietoja.</w:t>
      </w:r>
    </w:p>
    <w:p w14:paraId="331B2D5F" w14:textId="77D07CFD" w:rsidR="00912237" w:rsidRPr="00A7778D" w:rsidRDefault="002A7F8C" w:rsidP="002A7F8C">
      <w:pPr>
        <w:pStyle w:val="ManualNumPar1"/>
        <w:rPr>
          <w:noProof/>
        </w:rPr>
      </w:pPr>
      <w:r w:rsidRPr="00A7778D">
        <w:rPr>
          <w:noProof/>
        </w:rPr>
        <w:t>2.</w:t>
      </w:r>
      <w:r w:rsidRPr="00A7778D">
        <w:rPr>
          <w:noProof/>
        </w:rPr>
        <w:tab/>
        <w:t>Arvioituaan, onko hakemus täydellinen, arvopaperimarkkinaviranomainen ilmoittaa hakijalle arvioinnin tuloksen.</w:t>
      </w:r>
    </w:p>
    <w:p w14:paraId="34A85A4C" w14:textId="6C6CC4B8" w:rsidR="00A208A8" w:rsidRPr="00A7778D" w:rsidRDefault="002A7F8C" w:rsidP="002A7F8C">
      <w:pPr>
        <w:pStyle w:val="ManualNumPar1"/>
        <w:rPr>
          <w:noProof/>
        </w:rPr>
      </w:pPr>
      <w:r w:rsidRPr="00A7778D">
        <w:rPr>
          <w:noProof/>
        </w:rPr>
        <w:t>3.</w:t>
      </w:r>
      <w:r w:rsidRPr="00A7778D">
        <w:rPr>
          <w:noProof/>
        </w:rPr>
        <w:tab/>
        <w:t>Arvopaperimarkkinaviranomainen tekee 120 työpäivän kuluessa 2 kohdassa tarkoitetusta ilmoituksesta kaikilta osin perustellun päätöksen toimiluvan myöntämisestä tai epäämisestä.</w:t>
      </w:r>
    </w:p>
    <w:p w14:paraId="399CE5B5" w14:textId="168E4EAB" w:rsidR="00517AFF" w:rsidRPr="00A7778D" w:rsidRDefault="002A7F8C" w:rsidP="002A7F8C">
      <w:pPr>
        <w:pStyle w:val="ManualNumPar1"/>
        <w:rPr>
          <w:noProof/>
        </w:rPr>
      </w:pPr>
      <w:r w:rsidRPr="00A7778D">
        <w:rPr>
          <w:noProof/>
        </w:rPr>
        <w:t>4.</w:t>
      </w:r>
      <w:r w:rsidRPr="00A7778D">
        <w:rPr>
          <w:noProof/>
        </w:rPr>
        <w:tab/>
        <w:t>Arvopaperimarkkinaviranomainen voi pidentää 3 kohdassa tarkoitettua määräaikaa 140 työpäivään erityisesti, jos hakija</w:t>
      </w:r>
    </w:p>
    <w:p w14:paraId="53253143" w14:textId="3D5C3C9E" w:rsidR="00517AFF" w:rsidRPr="00A7778D" w:rsidRDefault="002A7F8C" w:rsidP="002A7F8C">
      <w:pPr>
        <w:pStyle w:val="Point1"/>
        <w:rPr>
          <w:noProof/>
        </w:rPr>
      </w:pPr>
      <w:r w:rsidRPr="00A7778D">
        <w:rPr>
          <w:noProof/>
        </w:rPr>
        <w:t>a)</w:t>
      </w:r>
      <w:r w:rsidRPr="00A7778D">
        <w:rPr>
          <w:noProof/>
        </w:rPr>
        <w:tab/>
        <w:t>aikoo hyväksyä ESG-luokituksia 10 artiklan mukaisesti;</w:t>
      </w:r>
    </w:p>
    <w:p w14:paraId="54DFAF61" w14:textId="4C038042" w:rsidR="00517AFF" w:rsidRPr="00A7778D" w:rsidRDefault="002A7F8C" w:rsidP="002A7F8C">
      <w:pPr>
        <w:pStyle w:val="Point1"/>
        <w:rPr>
          <w:noProof/>
        </w:rPr>
      </w:pPr>
      <w:r w:rsidRPr="00A7778D">
        <w:rPr>
          <w:noProof/>
        </w:rPr>
        <w:t>b)</w:t>
      </w:r>
      <w:r w:rsidRPr="00A7778D">
        <w:rPr>
          <w:noProof/>
        </w:rPr>
        <w:tab/>
        <w:t>aikoo käyttää ulkoistamista; tai</w:t>
      </w:r>
    </w:p>
    <w:p w14:paraId="2458067D" w14:textId="04FF2A39" w:rsidR="00517AFF" w:rsidRPr="00A7778D" w:rsidRDefault="002A7F8C" w:rsidP="002A7F8C">
      <w:pPr>
        <w:pStyle w:val="Point1"/>
        <w:rPr>
          <w:noProof/>
        </w:rPr>
      </w:pPr>
      <w:r w:rsidRPr="00A7778D">
        <w:rPr>
          <w:noProof/>
        </w:rPr>
        <w:t>c)</w:t>
      </w:r>
      <w:r w:rsidRPr="00A7778D">
        <w:rPr>
          <w:noProof/>
        </w:rPr>
        <w:tab/>
        <w:t>pyytää vapautusta säännösten noudattamisesta 20 artiklan mukaisesti.</w:t>
      </w:r>
    </w:p>
    <w:p w14:paraId="5FFDB29D" w14:textId="48913085" w:rsidR="00517AFF" w:rsidRPr="00A7778D" w:rsidRDefault="002A7F8C" w:rsidP="002A7F8C">
      <w:pPr>
        <w:pStyle w:val="ManualNumPar1"/>
        <w:rPr>
          <w:rFonts w:eastAsia="Times New Roman"/>
          <w:bCs/>
          <w:noProof/>
          <w:color w:val="333333"/>
        </w:rPr>
      </w:pPr>
      <w:r w:rsidRPr="00A7778D">
        <w:rPr>
          <w:noProof/>
        </w:rPr>
        <w:t>5.</w:t>
      </w:r>
      <w:r w:rsidRPr="00A7778D">
        <w:rPr>
          <w:noProof/>
        </w:rPr>
        <w:tab/>
        <w:t>Arvopaperimarkkinaviranomaisen 3 kohdan mukaisesti tekemä päätös tulee voimaan viidentenä työpäivänä sen tekemisestä.</w:t>
      </w:r>
    </w:p>
    <w:p w14:paraId="22BA1CA2" w14:textId="77777777" w:rsidR="00517AFF" w:rsidRPr="00A7778D" w:rsidRDefault="00517AFF" w:rsidP="00751C65">
      <w:pPr>
        <w:pStyle w:val="Titrearticle"/>
        <w:spacing w:line="23" w:lineRule="atLeast"/>
        <w:rPr>
          <w:noProof/>
          <w:szCs w:val="24"/>
        </w:rPr>
      </w:pPr>
      <w:r w:rsidRPr="00A7778D">
        <w:rPr>
          <w:noProof/>
        </w:rPr>
        <w:t>7 artikla</w:t>
      </w:r>
    </w:p>
    <w:p w14:paraId="58E94665" w14:textId="77777777" w:rsidR="00517AFF" w:rsidRPr="00A7778D" w:rsidRDefault="00B92BBA" w:rsidP="00751C65">
      <w:pPr>
        <w:pStyle w:val="NormalCentered"/>
        <w:rPr>
          <w:b/>
          <w:bCs/>
          <w:noProof/>
        </w:rPr>
      </w:pPr>
      <w:r w:rsidRPr="00A7778D">
        <w:rPr>
          <w:b/>
          <w:noProof/>
        </w:rPr>
        <w:t>Päätös ESG-luokitusten antamista koskevan toimiluvan myöntämisestä tai epäämisestä ja kyseisen päätöksen tiedoksi antaminen</w:t>
      </w:r>
    </w:p>
    <w:p w14:paraId="083E7ED7" w14:textId="53CBB2A4" w:rsidR="00B92BBA" w:rsidRPr="00A7778D" w:rsidRDefault="002A7F8C" w:rsidP="002A7F8C">
      <w:pPr>
        <w:pStyle w:val="ManualNumPar1"/>
        <w:rPr>
          <w:noProof/>
        </w:rPr>
      </w:pPr>
      <w:r w:rsidRPr="00A7778D">
        <w:rPr>
          <w:noProof/>
        </w:rPr>
        <w:t>1.</w:t>
      </w:r>
      <w:r w:rsidRPr="00A7778D">
        <w:rPr>
          <w:noProof/>
        </w:rPr>
        <w:tab/>
        <w:t>Arvopaperimarkkinaviranomainen myöntää hakijalle toimiluvan toimia ESG-luokitusten tarjoajana, jos se toteaa 6 artiklassa tarkoitetun hakemuksen tarkastelun perusteella, että hakija täyttää tässä asetuksessa säädetyt luokitusten antamista koskevat edellytykset.</w:t>
      </w:r>
    </w:p>
    <w:p w14:paraId="6094B207" w14:textId="0FB953AC" w:rsidR="00F616D9" w:rsidRPr="00A7778D" w:rsidRDefault="002A7F8C" w:rsidP="002A7F8C">
      <w:pPr>
        <w:pStyle w:val="ManualNumPar1"/>
        <w:rPr>
          <w:noProof/>
        </w:rPr>
      </w:pPr>
      <w:r w:rsidRPr="00A7778D">
        <w:rPr>
          <w:noProof/>
        </w:rPr>
        <w:t>2.</w:t>
      </w:r>
      <w:r w:rsidRPr="00A7778D">
        <w:rPr>
          <w:noProof/>
        </w:rPr>
        <w:tab/>
        <w:t xml:space="preserve">Arvopaperimarkkinaviranomainen ilmoittaa asiasta hakijalle viiden työpäivän kuluessa ensimmäisessä kohdassa tarkoitetun päätöksen tekemisestä. </w:t>
      </w:r>
    </w:p>
    <w:p w14:paraId="437EB206" w14:textId="7AC26C15" w:rsidR="00517AFF" w:rsidRPr="00A7778D" w:rsidRDefault="002A7F8C" w:rsidP="002A7F8C">
      <w:pPr>
        <w:pStyle w:val="ManualNumPar1"/>
        <w:rPr>
          <w:noProof/>
        </w:rPr>
      </w:pPr>
      <w:r w:rsidRPr="00A7778D">
        <w:rPr>
          <w:noProof/>
        </w:rPr>
        <w:t>3.</w:t>
      </w:r>
      <w:r w:rsidRPr="00A7778D">
        <w:rPr>
          <w:noProof/>
        </w:rPr>
        <w:tab/>
        <w:t>Arvopaperiviranomaisen on ilmoitettava komissiolle, Euroopan pankkiviranomaiselle ja Euroopan vakuutus- ja lisäeläkeviranomaiselle kaikista 2 kohdan nojalla tehdyistä päätöksistä.</w:t>
      </w:r>
    </w:p>
    <w:p w14:paraId="6E807734" w14:textId="51490E9D" w:rsidR="00F239C8" w:rsidRPr="00A7778D" w:rsidRDefault="002A7F8C" w:rsidP="002A7F8C">
      <w:pPr>
        <w:pStyle w:val="ManualNumPar1"/>
        <w:rPr>
          <w:noProof/>
        </w:rPr>
      </w:pPr>
      <w:r w:rsidRPr="00A7778D">
        <w:rPr>
          <w:noProof/>
        </w:rPr>
        <w:t>4.</w:t>
      </w:r>
      <w:r w:rsidRPr="00A7778D">
        <w:rPr>
          <w:noProof/>
        </w:rPr>
        <w:tab/>
        <w:t>Toimilupa on voimassa koko unionin alueella.</w:t>
      </w:r>
    </w:p>
    <w:p w14:paraId="5169FCBA" w14:textId="77777777" w:rsidR="00517AFF" w:rsidRPr="00A7778D" w:rsidRDefault="00517AFF" w:rsidP="00751C65">
      <w:pPr>
        <w:pStyle w:val="Titrearticle"/>
        <w:spacing w:line="23" w:lineRule="atLeast"/>
        <w:rPr>
          <w:noProof/>
          <w:szCs w:val="24"/>
        </w:rPr>
      </w:pPr>
      <w:r w:rsidRPr="00A7778D">
        <w:rPr>
          <w:noProof/>
        </w:rPr>
        <w:t>8 artikla</w:t>
      </w:r>
    </w:p>
    <w:p w14:paraId="6A1148B4" w14:textId="77777777" w:rsidR="00517AFF" w:rsidRPr="00A7778D" w:rsidRDefault="00517AFF" w:rsidP="00751C65">
      <w:pPr>
        <w:pStyle w:val="NormalCentered"/>
        <w:rPr>
          <w:b/>
          <w:bCs/>
          <w:noProof/>
        </w:rPr>
      </w:pPr>
      <w:r w:rsidRPr="00A7778D">
        <w:rPr>
          <w:b/>
          <w:noProof/>
        </w:rPr>
        <w:t>Toimiluvan peruuttaminen tai keskeyttäminen</w:t>
      </w:r>
    </w:p>
    <w:p w14:paraId="341F1921" w14:textId="26777ED2" w:rsidR="00517AFF" w:rsidRPr="00A7778D" w:rsidRDefault="002A7F8C" w:rsidP="002A7F8C">
      <w:pPr>
        <w:pStyle w:val="ManualNumPar1"/>
        <w:rPr>
          <w:noProof/>
        </w:rPr>
      </w:pPr>
      <w:r w:rsidRPr="00A7778D">
        <w:rPr>
          <w:noProof/>
        </w:rPr>
        <w:t>1.</w:t>
      </w:r>
      <w:r w:rsidRPr="00A7778D">
        <w:rPr>
          <w:noProof/>
        </w:rPr>
        <w:tab/>
        <w:t>Arvopaperimarkkinaviranomaisen on peruutettava tai keskeytettävä ESG-luokitusten tarjoajan toimilupa seuraavissa tapauksissa:</w:t>
      </w:r>
    </w:p>
    <w:p w14:paraId="2813C482" w14:textId="6624A269" w:rsidR="00517AFF" w:rsidRPr="00A7778D" w:rsidRDefault="002A7F8C" w:rsidP="002A7F8C">
      <w:pPr>
        <w:pStyle w:val="Point1"/>
        <w:rPr>
          <w:noProof/>
        </w:rPr>
      </w:pPr>
      <w:r w:rsidRPr="00A7778D">
        <w:rPr>
          <w:noProof/>
        </w:rPr>
        <w:t>a)</w:t>
      </w:r>
      <w:r w:rsidRPr="00A7778D">
        <w:rPr>
          <w:noProof/>
        </w:rPr>
        <w:tab/>
        <w:t>ESG-luokitusten tarjoaja on nimenomaisesti luopunut toimiluvasta tai ei ole antanut ESG-luokituksia yhdeksän kuukauden aikana ennen kyseistä peruuttamista tai keskeyttämistä;</w:t>
      </w:r>
    </w:p>
    <w:p w14:paraId="19666793" w14:textId="2F86EC51" w:rsidR="00517AFF" w:rsidRPr="00A7778D" w:rsidRDefault="002A7F8C" w:rsidP="002A7F8C">
      <w:pPr>
        <w:pStyle w:val="Point1"/>
        <w:rPr>
          <w:noProof/>
        </w:rPr>
      </w:pPr>
      <w:r w:rsidRPr="00A7778D">
        <w:rPr>
          <w:noProof/>
        </w:rPr>
        <w:t>b)</w:t>
      </w:r>
      <w:r w:rsidRPr="00A7778D">
        <w:rPr>
          <w:noProof/>
        </w:rPr>
        <w:tab/>
        <w:t>ESG-luokitusten tarjoaja on saanut toimiluvan virheellisten tietojen perusteella tai muilla sääntöjenvastaisilla keinoilla;</w:t>
      </w:r>
    </w:p>
    <w:p w14:paraId="08A03CA9" w14:textId="59E489CA" w:rsidR="00517AFF" w:rsidRPr="00A7778D" w:rsidRDefault="002A7F8C" w:rsidP="002A7F8C">
      <w:pPr>
        <w:pStyle w:val="Point1"/>
        <w:rPr>
          <w:noProof/>
        </w:rPr>
      </w:pPr>
      <w:r w:rsidRPr="00A7778D">
        <w:rPr>
          <w:noProof/>
        </w:rPr>
        <w:t>c)</w:t>
      </w:r>
      <w:r w:rsidRPr="00A7778D">
        <w:rPr>
          <w:noProof/>
        </w:rPr>
        <w:tab/>
        <w:t>ESG-luokitusten tarjoaja ei enää täytä toimiluvan myöntämiseen johtaneita edellytyksiä;</w:t>
      </w:r>
    </w:p>
    <w:p w14:paraId="0643D319" w14:textId="13706522" w:rsidR="00EC55C6" w:rsidRPr="00A7778D" w:rsidRDefault="002A7F8C" w:rsidP="002A7F8C">
      <w:pPr>
        <w:pStyle w:val="Point1"/>
        <w:rPr>
          <w:noProof/>
        </w:rPr>
      </w:pPr>
      <w:r w:rsidRPr="00A7778D">
        <w:rPr>
          <w:noProof/>
        </w:rPr>
        <w:t>d)</w:t>
      </w:r>
      <w:r w:rsidRPr="00A7778D">
        <w:rPr>
          <w:noProof/>
        </w:rPr>
        <w:tab/>
        <w:t>ESG-luokitusten tarjoaja on vakavasti tai toistuvasti rikkonut tätä asetusta.</w:t>
      </w:r>
    </w:p>
    <w:p w14:paraId="7306264B" w14:textId="4CC09712" w:rsidR="00517AFF" w:rsidRPr="00A7778D" w:rsidRDefault="002A7F8C" w:rsidP="002A7F8C">
      <w:pPr>
        <w:pStyle w:val="ManualNumPar1"/>
        <w:rPr>
          <w:noProof/>
        </w:rPr>
      </w:pPr>
      <w:r w:rsidRPr="00A7778D">
        <w:rPr>
          <w:noProof/>
        </w:rPr>
        <w:t>2.</w:t>
      </w:r>
      <w:r w:rsidRPr="00A7778D">
        <w:rPr>
          <w:noProof/>
        </w:rPr>
        <w:tab/>
        <w:t>Päätös toimiluvan peruuttamisesta tai keskeyttämisestä tulee välittömästi voimaan koko unionissa.</w:t>
      </w:r>
    </w:p>
    <w:p w14:paraId="4DF7FEA3" w14:textId="77777777" w:rsidR="008B1733" w:rsidRPr="00A7778D" w:rsidRDefault="004B74AC" w:rsidP="00751C65">
      <w:pPr>
        <w:pStyle w:val="NormalCentered"/>
        <w:rPr>
          <w:noProof/>
        </w:rPr>
      </w:pPr>
      <w:r w:rsidRPr="00A7778D">
        <w:rPr>
          <w:noProof/>
        </w:rPr>
        <w:t>2 LUKU</w:t>
      </w:r>
    </w:p>
    <w:p w14:paraId="3DF08290" w14:textId="77777777" w:rsidR="008B1733" w:rsidRPr="00A7778D" w:rsidRDefault="008B1733" w:rsidP="00751C65">
      <w:pPr>
        <w:pStyle w:val="ChapterTitle"/>
        <w:spacing w:after="120" w:line="23" w:lineRule="atLeast"/>
        <w:rPr>
          <w:rStyle w:val="boldface"/>
          <w:noProof/>
          <w:sz w:val="24"/>
        </w:rPr>
      </w:pPr>
      <w:r w:rsidRPr="00A7778D">
        <w:rPr>
          <w:rStyle w:val="boldface"/>
          <w:noProof/>
          <w:sz w:val="24"/>
        </w:rPr>
        <w:t>Kolmansien maiden ESG-luokitusten tarjoajien unionissa antamat ESG-luokitukset</w:t>
      </w:r>
    </w:p>
    <w:p w14:paraId="4ECDB5DD" w14:textId="77777777" w:rsidR="0013188C" w:rsidRPr="00A7778D" w:rsidRDefault="0013188C" w:rsidP="00751C65">
      <w:pPr>
        <w:pStyle w:val="Titrearticle"/>
        <w:spacing w:line="23" w:lineRule="atLeast"/>
        <w:rPr>
          <w:noProof/>
          <w:szCs w:val="24"/>
        </w:rPr>
      </w:pPr>
      <w:r w:rsidRPr="00A7778D">
        <w:rPr>
          <w:noProof/>
        </w:rPr>
        <w:t>9 artikla</w:t>
      </w:r>
    </w:p>
    <w:p w14:paraId="44C6BA2C" w14:textId="77777777" w:rsidR="0013188C" w:rsidRPr="00A7778D" w:rsidRDefault="0013188C" w:rsidP="00751C65">
      <w:pPr>
        <w:pStyle w:val="NormalCentered"/>
        <w:rPr>
          <w:b/>
          <w:bCs/>
          <w:noProof/>
        </w:rPr>
      </w:pPr>
      <w:r w:rsidRPr="00A7778D">
        <w:rPr>
          <w:b/>
          <w:noProof/>
        </w:rPr>
        <w:t>Vastaavuuspäätös</w:t>
      </w:r>
    </w:p>
    <w:p w14:paraId="16E1107D" w14:textId="072C6237" w:rsidR="0013188C" w:rsidRPr="00A7778D" w:rsidRDefault="002A7F8C" w:rsidP="002A7F8C">
      <w:pPr>
        <w:pStyle w:val="ManualNumPar1"/>
        <w:rPr>
          <w:noProof/>
        </w:rPr>
      </w:pPr>
      <w:r w:rsidRPr="00A7778D">
        <w:rPr>
          <w:noProof/>
        </w:rPr>
        <w:t>1.</w:t>
      </w:r>
      <w:r w:rsidRPr="00A7778D">
        <w:rPr>
          <w:noProof/>
        </w:rPr>
        <w:tab/>
        <w:t>Kolmannen maan ESG-luokitusten tarjoaja, joka haluaa antaa ESG-luokituksia unionissa, voi tehdä niin ainoastaan, jos se on sisällytetty 13 artiklassa tarkoitettuun rekisteriin ja jos kaikki seuraavat edellytykset täyttyvät:</w:t>
      </w:r>
    </w:p>
    <w:p w14:paraId="53425178" w14:textId="1EA6FC5E" w:rsidR="00C95B7A" w:rsidRPr="00A7778D" w:rsidRDefault="002A7F8C" w:rsidP="002A7F8C">
      <w:pPr>
        <w:pStyle w:val="Point1"/>
        <w:rPr>
          <w:noProof/>
        </w:rPr>
      </w:pPr>
      <w:r w:rsidRPr="00A7778D">
        <w:rPr>
          <w:noProof/>
        </w:rPr>
        <w:t>a)</w:t>
      </w:r>
      <w:r w:rsidRPr="00A7778D">
        <w:rPr>
          <w:noProof/>
        </w:rPr>
        <w:tab/>
        <w:t>kolmannen maan ESG-luokitusten tarjoaja on oikeushenkilö, joka on saanut toimiluvan tai rekisteröity ESG-luokitusten tarjoajaksi kyseisessä kolmannessa maassa ja on kyseisen kolmannen maan valvonnan alainen;</w:t>
      </w:r>
    </w:p>
    <w:p w14:paraId="323C3C11" w14:textId="58786AD3" w:rsidR="00682574" w:rsidRPr="00A7778D" w:rsidRDefault="002A7F8C" w:rsidP="002A7F8C">
      <w:pPr>
        <w:pStyle w:val="Point1"/>
        <w:rPr>
          <w:noProof/>
        </w:rPr>
      </w:pPr>
      <w:r w:rsidRPr="00A7778D">
        <w:rPr>
          <w:noProof/>
        </w:rPr>
        <w:t>b)</w:t>
      </w:r>
      <w:r w:rsidRPr="00A7778D">
        <w:rPr>
          <w:noProof/>
        </w:rPr>
        <w:tab/>
      </w:r>
      <w:r w:rsidRPr="00A7778D">
        <w:rPr>
          <w:noProof/>
        </w:rPr>
        <w:tab/>
        <w:t>kolmannen maan ESG-luokitusten tarjoaja on ilmoittanut arvopaperimarkkinaviranomaiselle haluavansa antaa ESG-luokituksia unionissa ja ilmoittanut arvopaperimarkkinaviranomaiselle sen valvonnasta kolmannessa maassa vastaavan toimivaltaisen viranomaisen nimen;</w:t>
      </w:r>
    </w:p>
    <w:p w14:paraId="4BD918FD" w14:textId="2D8B6A43" w:rsidR="0013188C" w:rsidRPr="00A7778D" w:rsidRDefault="002A7F8C" w:rsidP="002A7F8C">
      <w:pPr>
        <w:pStyle w:val="Point1"/>
        <w:rPr>
          <w:noProof/>
        </w:rPr>
      </w:pPr>
      <w:r w:rsidRPr="00A7778D">
        <w:rPr>
          <w:noProof/>
        </w:rPr>
        <w:t>c)</w:t>
      </w:r>
      <w:r w:rsidRPr="00A7778D">
        <w:rPr>
          <w:noProof/>
        </w:rPr>
        <w:tab/>
      </w:r>
      <w:r w:rsidRPr="00A7778D">
        <w:rPr>
          <w:noProof/>
        </w:rPr>
        <w:tab/>
        <w:t>komissio on hyväksynyt 2 kohdan mukaisen vastaavuuspäätöksen;</w:t>
      </w:r>
    </w:p>
    <w:p w14:paraId="62A08051" w14:textId="65BD62FD" w:rsidR="0013188C" w:rsidRPr="00A7778D" w:rsidRDefault="002A7F8C" w:rsidP="002A7F8C">
      <w:pPr>
        <w:pStyle w:val="Point1"/>
        <w:rPr>
          <w:noProof/>
        </w:rPr>
      </w:pPr>
      <w:r w:rsidRPr="00A7778D">
        <w:rPr>
          <w:noProof/>
        </w:rPr>
        <w:t>d)</w:t>
      </w:r>
      <w:r w:rsidRPr="00A7778D">
        <w:rPr>
          <w:noProof/>
        </w:rPr>
        <w:tab/>
      </w:r>
      <w:r w:rsidRPr="00A7778D">
        <w:rPr>
          <w:noProof/>
        </w:rPr>
        <w:tab/>
        <w:t>4 kohdassa tarkoitetut yhteistyöjärjestelyt ovat käytössä.</w:t>
      </w:r>
    </w:p>
    <w:p w14:paraId="42679E88" w14:textId="26F6D105" w:rsidR="0013188C" w:rsidRPr="00A7778D" w:rsidRDefault="002A7F8C" w:rsidP="002A7F8C">
      <w:pPr>
        <w:pStyle w:val="ManualNumPar1"/>
        <w:rPr>
          <w:noProof/>
        </w:rPr>
      </w:pPr>
      <w:r w:rsidRPr="00A7778D">
        <w:rPr>
          <w:noProof/>
        </w:rPr>
        <w:t>2.</w:t>
      </w:r>
      <w:r w:rsidRPr="00A7778D">
        <w:rPr>
          <w:noProof/>
        </w:rPr>
        <w:tab/>
        <w:t>Komissio voi antaa täytäntöönpanopäätöksen, jossa todetaan, että kolmannen maan oikeudellisella kehyksellä ja valvontakäytännöllä varmistetaan, että</w:t>
      </w:r>
    </w:p>
    <w:p w14:paraId="1C39B1F5" w14:textId="7E6FED7D" w:rsidR="0013188C" w:rsidRPr="00A7778D" w:rsidRDefault="002A7F8C" w:rsidP="002A7F8C">
      <w:pPr>
        <w:pStyle w:val="Point1"/>
        <w:rPr>
          <w:noProof/>
        </w:rPr>
      </w:pPr>
      <w:r w:rsidRPr="00A7778D">
        <w:rPr>
          <w:noProof/>
        </w:rPr>
        <w:t>a)</w:t>
      </w:r>
      <w:r w:rsidRPr="00A7778D">
        <w:rPr>
          <w:noProof/>
        </w:rPr>
        <w:tab/>
        <w:t xml:space="preserve">kyseisessä kolmannessa maassa toimiluvan saaneet tai rekisteröidyt ESG-luokitusten tarjoajat täyttävät sitovat vaatimukset, jotka ovat tämän asetuksen vaatimusten mukaisia; </w:t>
      </w:r>
    </w:p>
    <w:p w14:paraId="6C6CC2B7" w14:textId="4642742E" w:rsidR="00A82E5D" w:rsidRPr="00A7778D" w:rsidRDefault="002A7F8C" w:rsidP="002A7F8C">
      <w:pPr>
        <w:pStyle w:val="Point1"/>
        <w:rPr>
          <w:noProof/>
        </w:rPr>
      </w:pPr>
      <w:r w:rsidRPr="00A7778D">
        <w:rPr>
          <w:noProof/>
        </w:rPr>
        <w:t>b)</w:t>
      </w:r>
      <w:r w:rsidRPr="00A7778D">
        <w:rPr>
          <w:noProof/>
        </w:rPr>
        <w:tab/>
        <w:t>a alakohdassa tarkoitettujen sitovien vaatimusten tehokkaasta valvonnasta ja täytäntöönpanosta huolehditaan jatkuvasti kyseisessä kolmannessa maassa.</w:t>
      </w:r>
    </w:p>
    <w:p w14:paraId="2376E7F5" w14:textId="77777777" w:rsidR="00A82E5D" w:rsidRPr="00A7778D" w:rsidRDefault="00A82E5D" w:rsidP="00162B2D">
      <w:pPr>
        <w:rPr>
          <w:noProof/>
        </w:rPr>
      </w:pPr>
      <w:r w:rsidRPr="00A7778D">
        <w:rPr>
          <w:noProof/>
        </w:rPr>
        <w:t>Sovellettaessa a alakohtaa komissio ottaa huomioon, varmistetaanko kolmannen maan oikeudellisella kehyksellä ja valvontakäytännöllä marraskuussa 2021 julkaistujen ESG-luokituksia koskevien IOSCOn suositusten noudattaminen.</w:t>
      </w:r>
    </w:p>
    <w:p w14:paraId="23AD770D" w14:textId="77777777" w:rsidR="004E0735" w:rsidRPr="00A7778D" w:rsidRDefault="00A82E5D" w:rsidP="00751C65">
      <w:pPr>
        <w:rPr>
          <w:noProof/>
        </w:rPr>
      </w:pPr>
      <w:r w:rsidRPr="00A7778D">
        <w:rPr>
          <w:noProof/>
        </w:rPr>
        <w:t>Tällainen täytäntöönpanopäätös hyväksytään 47 artiklassa tarkoitettua tarkastelumenettelyä noudattaen.</w:t>
      </w:r>
    </w:p>
    <w:p w14:paraId="50BCE76B" w14:textId="02C7CE50" w:rsidR="00A82E5D" w:rsidRPr="00A7778D" w:rsidRDefault="002A7F8C" w:rsidP="002A7F8C">
      <w:pPr>
        <w:pStyle w:val="ManualNumPar1"/>
        <w:rPr>
          <w:noProof/>
        </w:rPr>
      </w:pPr>
      <w:r w:rsidRPr="00A7778D">
        <w:rPr>
          <w:noProof/>
        </w:rPr>
        <w:t>3.</w:t>
      </w:r>
      <w:r w:rsidRPr="00A7778D">
        <w:rPr>
          <w:noProof/>
        </w:rPr>
        <w:tab/>
        <w:t>Komissio voi antaa 45 artiklan mukaisesti delegoidun säädöksen, jossa täsmennetään ensimmäisen alakohdan a ja b alakohdassa tarkoitetut edellytykset. Komissio voi asettaa 2 kohdassa tarkoitetun täytäntöönpanopäätöksen soveltamisen edellytykseksi</w:t>
      </w:r>
    </w:p>
    <w:p w14:paraId="7A06C876" w14:textId="42278FE3" w:rsidR="00A82E5D" w:rsidRPr="00A7778D" w:rsidRDefault="002A7F8C" w:rsidP="002A7F8C">
      <w:pPr>
        <w:pStyle w:val="Point1"/>
        <w:rPr>
          <w:noProof/>
        </w:rPr>
      </w:pPr>
      <w:r w:rsidRPr="00A7778D">
        <w:rPr>
          <w:noProof/>
        </w:rPr>
        <w:t>a)</w:t>
      </w:r>
      <w:r w:rsidRPr="00A7778D">
        <w:rPr>
          <w:noProof/>
        </w:rPr>
        <w:tab/>
      </w:r>
      <w:r w:rsidRPr="00A7778D">
        <w:rPr>
          <w:noProof/>
        </w:rPr>
        <w:tab/>
        <w:t>sen, että kyseinen kolmas maa täyttää tosiasiallisesti ja jatkuvasti kyseisessä täytäntöönpanopäätöksessä vahvistetut edellytykset, joilla pyritään varmistamaan vastaavat valvonta- ja sääntelystandardit;</w:t>
      </w:r>
    </w:p>
    <w:p w14:paraId="714559D7" w14:textId="5A9285E5" w:rsidR="0013188C" w:rsidRPr="00A7778D" w:rsidRDefault="002A7F8C" w:rsidP="002A7F8C">
      <w:pPr>
        <w:pStyle w:val="Point1"/>
        <w:rPr>
          <w:noProof/>
        </w:rPr>
      </w:pPr>
      <w:r w:rsidRPr="00A7778D">
        <w:rPr>
          <w:noProof/>
        </w:rPr>
        <w:t>b)</w:t>
      </w:r>
      <w:r w:rsidRPr="00A7778D">
        <w:rPr>
          <w:noProof/>
        </w:rPr>
        <w:tab/>
      </w:r>
      <w:r w:rsidRPr="00A7778D">
        <w:rPr>
          <w:noProof/>
        </w:rPr>
        <w:tab/>
        <w:t xml:space="preserve">arvopaperimarkkinaviranomaisen mahdollisuuden hoitaa tehokkaasti asetuksen (EU) N:o 1095/2010 33 artiklassa tarkoitetut seurantatehtävät. </w:t>
      </w:r>
    </w:p>
    <w:p w14:paraId="0C947A6E" w14:textId="77777777" w:rsidR="0013188C" w:rsidRPr="00A7778D" w:rsidRDefault="004E0735" w:rsidP="004E0735">
      <w:pPr>
        <w:pStyle w:val="Text1"/>
        <w:tabs>
          <w:tab w:val="left" w:pos="567"/>
        </w:tabs>
        <w:spacing w:line="23" w:lineRule="atLeast"/>
        <w:ind w:left="0"/>
        <w:rPr>
          <w:noProof/>
          <w:szCs w:val="24"/>
        </w:rPr>
      </w:pPr>
      <w:r w:rsidRPr="00A7778D">
        <w:rPr>
          <w:noProof/>
        </w:rPr>
        <w:t>4.</w:t>
      </w:r>
      <w:r w:rsidRPr="00A7778D">
        <w:rPr>
          <w:noProof/>
        </w:rPr>
        <w:tab/>
        <w:t>Arvopaperimarkkinaviranomainen vahvistaa järjestelyt, joita sovelletaan yhteistyöhön sellaisten kolmansien maiden toimivaltaisten viranomaisten kanssa, joiden oikeudelliset kehykset ja valvontakäytännöt on tunnustettu vastaaviksi 2 kohdan mukaisesti. Tällaisissa järjestelyissä on määritettävä kaikki seuraavat seikat:</w:t>
      </w:r>
    </w:p>
    <w:p w14:paraId="37298209" w14:textId="5209BC88" w:rsidR="0013188C" w:rsidRPr="00A7778D" w:rsidRDefault="002A7F8C" w:rsidP="002A7F8C">
      <w:pPr>
        <w:pStyle w:val="Point1"/>
        <w:rPr>
          <w:noProof/>
        </w:rPr>
      </w:pPr>
      <w:r w:rsidRPr="00A7778D">
        <w:rPr>
          <w:noProof/>
        </w:rPr>
        <w:t>a)</w:t>
      </w:r>
      <w:r w:rsidRPr="00A7778D">
        <w:rPr>
          <w:noProof/>
        </w:rPr>
        <w:tab/>
        <w:t>arvopaperimarkkinaviranomaisen ja kyseisten kolmansien maiden toimivaltaisten viranomaisten välinen tietojenvaihtojärjestelmä, mukaan lukien pääsy kaikkiin sellaisiin arvopaperimarkkinaviranomaisen pyytämiin asiaankuuluviin tietoihin, jotka koskevat kyseisessä kolmannessa maassa toimiluvan saanutta tai rekisteröityä ESG-luokitusten tarjoajaa;</w:t>
      </w:r>
    </w:p>
    <w:p w14:paraId="4E6E7653" w14:textId="6D077468" w:rsidR="0013188C" w:rsidRPr="00A7778D" w:rsidRDefault="002A7F8C" w:rsidP="002A7F8C">
      <w:pPr>
        <w:pStyle w:val="Point1"/>
        <w:rPr>
          <w:noProof/>
        </w:rPr>
      </w:pPr>
      <w:r w:rsidRPr="00A7778D">
        <w:rPr>
          <w:noProof/>
        </w:rPr>
        <w:t>b)</w:t>
      </w:r>
      <w:r w:rsidRPr="00A7778D">
        <w:rPr>
          <w:noProof/>
        </w:rPr>
        <w:tab/>
        <w:t xml:space="preserve">mekanismi, jolla arvopaperimarkkinaviranomaiselle ilmoitetaan viipymättä, jos kolmannen maan toimivaltainen viranomainen katsoo, että kyseisessä kolmannessa maassa toimiluvan saanut tai rekisteröity ESG-luokitusten tarjoaja, jota kyseinen kolmannen maan toimivaltainen viranomainen valvoo, rikkoo toimiluvan tai rekisteröinnin ehtoja tai muuta kyseisen kolmannen maan kansallista lainsäädäntöä; </w:t>
      </w:r>
    </w:p>
    <w:p w14:paraId="7EBE2CEF" w14:textId="7DDB9C48" w:rsidR="0013188C" w:rsidRPr="00A7778D" w:rsidRDefault="002A7F8C" w:rsidP="002A7F8C">
      <w:pPr>
        <w:pStyle w:val="Point1"/>
        <w:rPr>
          <w:noProof/>
        </w:rPr>
      </w:pPr>
      <w:r w:rsidRPr="00A7778D">
        <w:rPr>
          <w:noProof/>
        </w:rPr>
        <w:t>c)</w:t>
      </w:r>
      <w:r w:rsidRPr="00A7778D">
        <w:rPr>
          <w:noProof/>
        </w:rPr>
        <w:tab/>
        <w:t>valvontatoimien koordinointia koskevat menettelyt, mukaan lukien paikalla tehtävät tarkastukset.</w:t>
      </w:r>
    </w:p>
    <w:p w14:paraId="60CEC468" w14:textId="77777777" w:rsidR="0013188C" w:rsidRPr="00A7778D" w:rsidRDefault="0013188C" w:rsidP="00674E7A">
      <w:pPr>
        <w:pStyle w:val="Titrearticle"/>
        <w:spacing w:line="23" w:lineRule="atLeast"/>
        <w:rPr>
          <w:noProof/>
          <w:szCs w:val="24"/>
        </w:rPr>
      </w:pPr>
      <w:r w:rsidRPr="00A7778D">
        <w:rPr>
          <w:noProof/>
        </w:rPr>
        <w:t>10 artikla</w:t>
      </w:r>
    </w:p>
    <w:p w14:paraId="7751C616" w14:textId="77777777" w:rsidR="0013188C" w:rsidRPr="00A7778D" w:rsidRDefault="0013188C" w:rsidP="00674E7A">
      <w:pPr>
        <w:pStyle w:val="NormalCentered"/>
        <w:rPr>
          <w:b/>
          <w:bCs/>
          <w:noProof/>
        </w:rPr>
      </w:pPr>
      <w:r w:rsidRPr="00A7778D">
        <w:rPr>
          <w:b/>
          <w:noProof/>
        </w:rPr>
        <w:t>Kolmansien maiden ESG-luokitusten tarjoajien ESG-luokitusten hyväksyminen</w:t>
      </w:r>
    </w:p>
    <w:p w14:paraId="172920F2" w14:textId="50879E95" w:rsidR="0013188C" w:rsidRPr="00A7778D" w:rsidRDefault="002A7F8C" w:rsidP="002A7F8C">
      <w:pPr>
        <w:pStyle w:val="ManualNumPar1"/>
        <w:rPr>
          <w:noProof/>
        </w:rPr>
      </w:pPr>
      <w:r w:rsidRPr="00A7778D">
        <w:rPr>
          <w:noProof/>
        </w:rPr>
        <w:t>1.</w:t>
      </w:r>
      <w:r w:rsidRPr="00A7778D">
        <w:rPr>
          <w:noProof/>
        </w:rPr>
        <w:tab/>
      </w:r>
      <w:r w:rsidRPr="00A7778D">
        <w:rPr>
          <w:rStyle w:val="ui-provider"/>
          <w:noProof/>
        </w:rPr>
        <w:t>Unionissa sijaitseva ja 7 artiklan mukaisesti toimiluvan saanut ESG-luokitusten tarjoaja voi hyväksyä samaan ryhmään kuuluvan kolmannen maan ESG-luokitusten tarjoajan antamat ESG-luokitukset edellyttäen, että kaikki seuraavat edellytykset täyttyvät</w:t>
      </w:r>
      <w:r w:rsidRPr="00A7778D">
        <w:rPr>
          <w:noProof/>
        </w:rPr>
        <w:t>:</w:t>
      </w:r>
    </w:p>
    <w:p w14:paraId="1FE1AD92" w14:textId="675F5D35" w:rsidR="001940EC" w:rsidRPr="00A7778D" w:rsidRDefault="002A7F8C" w:rsidP="002A7F8C">
      <w:pPr>
        <w:pStyle w:val="Point1"/>
        <w:rPr>
          <w:noProof/>
        </w:rPr>
      </w:pPr>
      <w:r w:rsidRPr="00A7778D">
        <w:rPr>
          <w:noProof/>
        </w:rPr>
        <w:t>a)</w:t>
      </w:r>
      <w:r w:rsidRPr="00A7778D">
        <w:rPr>
          <w:noProof/>
        </w:rPr>
        <w:tab/>
        <w:t>unionissa sijaitseva ESG-luokitusten tarjoaja on hakenut arvopaperimarkkinaviranomaiselta lupaa tällaiseen hyväksymiseen;</w:t>
      </w:r>
    </w:p>
    <w:p w14:paraId="2FCC82B9" w14:textId="69C93767" w:rsidR="0013188C" w:rsidRPr="00A7778D" w:rsidRDefault="002A7F8C" w:rsidP="002A7F8C">
      <w:pPr>
        <w:pStyle w:val="Point1"/>
        <w:rPr>
          <w:noProof/>
        </w:rPr>
      </w:pPr>
      <w:r w:rsidRPr="00A7778D">
        <w:rPr>
          <w:noProof/>
        </w:rPr>
        <w:t>b)</w:t>
      </w:r>
      <w:r w:rsidRPr="00A7778D">
        <w:rPr>
          <w:noProof/>
        </w:rPr>
        <w:tab/>
        <w:t>unionissa sijaitseva ESG-luokitusten tarjoaja on varmistanut, että hyväksyttävässä ESG-luokitusten antamisessa noudatetaan vaatimuksia, jotka ovat vähintään yhtä tiukkoja kuin tämän asetuksen vaatimukset, ja pystyy milloin tahansa osoittamaan tämän arvopaperimarkkinaviranomaiselle;</w:t>
      </w:r>
    </w:p>
    <w:p w14:paraId="53BFAE06" w14:textId="1904D76D" w:rsidR="0013188C" w:rsidRPr="00A7778D" w:rsidRDefault="002A7F8C" w:rsidP="002A7F8C">
      <w:pPr>
        <w:pStyle w:val="Point1"/>
        <w:rPr>
          <w:noProof/>
        </w:rPr>
      </w:pPr>
      <w:r w:rsidRPr="00A7778D">
        <w:rPr>
          <w:noProof/>
        </w:rPr>
        <w:t>c)</w:t>
      </w:r>
      <w:r w:rsidRPr="00A7778D">
        <w:rPr>
          <w:noProof/>
        </w:rPr>
        <w:tab/>
        <w:t xml:space="preserve">unionissa sijaitsevalla ESG-luokitusten tarjoajalla on tarvittava asiantuntemus, jotta se voi valvoa tehokkaasti kolmannen maan ESG-luokitusten tarjoajan ESG-luokitusten antamista, ja hallita asiaan liittyviä riskejä; </w:t>
      </w:r>
    </w:p>
    <w:p w14:paraId="7B840C92" w14:textId="3C54B732" w:rsidR="0013188C" w:rsidRPr="00A7778D" w:rsidRDefault="002A7F8C" w:rsidP="002A7F8C">
      <w:pPr>
        <w:pStyle w:val="Point1"/>
        <w:rPr>
          <w:noProof/>
        </w:rPr>
      </w:pPr>
      <w:r w:rsidRPr="00A7778D">
        <w:rPr>
          <w:noProof/>
        </w:rPr>
        <w:t>d)</w:t>
      </w:r>
      <w:r w:rsidRPr="00A7778D">
        <w:rPr>
          <w:noProof/>
        </w:rPr>
        <w:tab/>
        <w:t>on olemassa objektiivinen syy siihen, miksi kolmannen maan ESG-luokitusten tarjoajan on annettava ESG-luokitus ja miksi kyseinen ESG-luokitus on hyväksyttävä käytettäväksi unionissa;</w:t>
      </w:r>
    </w:p>
    <w:p w14:paraId="13E32890" w14:textId="055F83EC" w:rsidR="0013188C" w:rsidRPr="00A7778D" w:rsidRDefault="002A7F8C" w:rsidP="002A7F8C">
      <w:pPr>
        <w:pStyle w:val="Point1"/>
        <w:rPr>
          <w:noProof/>
        </w:rPr>
      </w:pPr>
      <w:r w:rsidRPr="00A7778D">
        <w:rPr>
          <w:noProof/>
        </w:rPr>
        <w:t>e)</w:t>
      </w:r>
      <w:r w:rsidRPr="00A7778D">
        <w:rPr>
          <w:noProof/>
        </w:rPr>
        <w:tab/>
        <w:t>unionissa sijaitseva ESG-luokitusten tarjoaja toimittaa arvopaperimarkkinaviranomaiselle sen pyynnöstä kaikki tarvittavat tiedot, jotta arvopaperimarkkinaviranomainen voi jatkuvasti valvoa, että kolmannen maan ESG-luokitusten tarjoaja noudattaa tätä asetusta;</w:t>
      </w:r>
    </w:p>
    <w:p w14:paraId="0C97E8F8" w14:textId="0723D999" w:rsidR="0013188C" w:rsidRPr="00A7778D" w:rsidRDefault="002A7F8C" w:rsidP="002A7F8C">
      <w:pPr>
        <w:pStyle w:val="Point1"/>
        <w:rPr>
          <w:noProof/>
        </w:rPr>
      </w:pPr>
      <w:r w:rsidRPr="00A7778D">
        <w:rPr>
          <w:noProof/>
        </w:rPr>
        <w:t>f)</w:t>
      </w:r>
      <w:r w:rsidRPr="00A7778D">
        <w:rPr>
          <w:noProof/>
        </w:rPr>
        <w:tab/>
        <w:t xml:space="preserve">jos kolmannen maan ESG-luokitusten tarjoaja on valvonnan alainen, arvopaperimarkkinaviranomaisen ja sen kolmannen maan toimivaltaisen viranomaisen, jossa ESG-luokitusten tarjoaja sijaitsee, välillä on käytössä asianmukainen yhteistyöjärjestely tehokkaan tietojenvaihdon varmistamiseksi. </w:t>
      </w:r>
    </w:p>
    <w:p w14:paraId="3AD11E9A" w14:textId="77777777" w:rsidR="0013188C" w:rsidRPr="00A7778D" w:rsidRDefault="0013188C" w:rsidP="00674E7A">
      <w:pPr>
        <w:rPr>
          <w:noProof/>
        </w:rPr>
      </w:pPr>
      <w:r w:rsidRPr="00A7778D">
        <w:rPr>
          <w:noProof/>
        </w:rPr>
        <w:t>Sovellettaessa ensimmäisen alakohdan b alakohtaa arvopaperimarkkinaviranomainen voi katsoa, että jos hyväksyttävä ESG-luokitusten antaminen vastaa IOSCOn ESG-luokituksia koskevia suosituksia, se vastaa tämän asetuksen vaatimusten noudattamista.</w:t>
      </w:r>
    </w:p>
    <w:p w14:paraId="038FCFBE" w14:textId="0A98132A" w:rsidR="0013188C" w:rsidRPr="00A7778D" w:rsidRDefault="002A7F8C" w:rsidP="002A7F8C">
      <w:pPr>
        <w:pStyle w:val="ManualNumPar1"/>
        <w:rPr>
          <w:noProof/>
        </w:rPr>
      </w:pPr>
      <w:r w:rsidRPr="00A7778D">
        <w:rPr>
          <w:noProof/>
        </w:rPr>
        <w:t>2.</w:t>
      </w:r>
      <w:r w:rsidRPr="00A7778D">
        <w:rPr>
          <w:noProof/>
        </w:rPr>
        <w:tab/>
        <w:t xml:space="preserve">ESG-luokitusten tarjoajan, joka hakee 1 kohdassa tarkoitettua hyväksyntää, on toimitettava arvopaperimarkkinaviranomaiselle kaikki tarvittavat tiedot, joiden perusteella arvopaperimarkkinaviranomainen voi varmistua siitä, että kaikki mainitussa kohdassa tarkoitetut vaatimukset täyttyvät hakuajankohtana. </w:t>
      </w:r>
    </w:p>
    <w:p w14:paraId="3F215EAD" w14:textId="201CC401" w:rsidR="0013188C" w:rsidRPr="00A7778D" w:rsidRDefault="002A7F8C" w:rsidP="002A7F8C">
      <w:pPr>
        <w:pStyle w:val="ManualNumPar1"/>
        <w:rPr>
          <w:noProof/>
        </w:rPr>
      </w:pPr>
      <w:r w:rsidRPr="00A7778D">
        <w:rPr>
          <w:noProof/>
        </w:rPr>
        <w:t>3.</w:t>
      </w:r>
      <w:r w:rsidRPr="00A7778D">
        <w:rPr>
          <w:noProof/>
        </w:rPr>
        <w:tab/>
        <w:t xml:space="preserve">Arvopaperimarkkinaviranomaisen on 90 päivän kuluessa 1 kohdassa tarkoitetun hyväksyntää koskevan hakemuksen vastaanottamisesta tutkittava hakemus ja päätettävä joko sen hyväksymisestä tai hylkäämisestä. Arvopaperimarkkinaviranomainen antaa julkisesti tiedoksi päätöksen kolmannen maan ESG-luokitusten tarjoajan hyväksymisestä. </w:t>
      </w:r>
    </w:p>
    <w:p w14:paraId="7E39E497" w14:textId="67E6E645" w:rsidR="0013188C" w:rsidRPr="00A7778D" w:rsidRDefault="002A7F8C" w:rsidP="002A7F8C">
      <w:pPr>
        <w:pStyle w:val="ManualNumPar1"/>
        <w:rPr>
          <w:noProof/>
        </w:rPr>
      </w:pPr>
      <w:r w:rsidRPr="00A7778D">
        <w:rPr>
          <w:noProof/>
        </w:rPr>
        <w:t>4.</w:t>
      </w:r>
      <w:r w:rsidRPr="00A7778D">
        <w:rPr>
          <w:noProof/>
        </w:rPr>
        <w:tab/>
        <w:t xml:space="preserve">Hyväksytyn ESG-luokituksen katsotaan olevan hyväksyjänä olevan ESG-luokitusten antajan antama ESG-luokitus. Hyväksyjänä oleva tarjoaja ei saa käyttää hyväksyntää kiertääkseen tämän asetuksen vaatimuksia. </w:t>
      </w:r>
    </w:p>
    <w:p w14:paraId="0E037B94" w14:textId="30167082" w:rsidR="0013188C" w:rsidRPr="00A7778D" w:rsidRDefault="002A7F8C" w:rsidP="002A7F8C">
      <w:pPr>
        <w:pStyle w:val="ManualNumPar1"/>
        <w:rPr>
          <w:noProof/>
        </w:rPr>
      </w:pPr>
      <w:r w:rsidRPr="00A7778D">
        <w:rPr>
          <w:noProof/>
        </w:rPr>
        <w:t>5.</w:t>
      </w:r>
      <w:r w:rsidRPr="00A7778D">
        <w:rPr>
          <w:noProof/>
        </w:rPr>
        <w:tab/>
        <w:t xml:space="preserve">ESG-luokitusten tarjoaja, joka on hyväksynyt kolmannen maan ESG-luokitusten tarjoajan antaman ESG-luokituksen, on edelleen täysin vastuussa tällaisesta ESG-luokituksesta ja tämän asetuksen mukaisten velvoitteiden noudattamisesta. </w:t>
      </w:r>
    </w:p>
    <w:p w14:paraId="36A8A705" w14:textId="4B0F96BB" w:rsidR="0013188C" w:rsidRPr="00A7778D" w:rsidRDefault="002A7F8C" w:rsidP="002A7F8C">
      <w:pPr>
        <w:pStyle w:val="ManualNumPar1"/>
        <w:rPr>
          <w:noProof/>
        </w:rPr>
      </w:pPr>
      <w:r w:rsidRPr="00A7778D">
        <w:rPr>
          <w:noProof/>
        </w:rPr>
        <w:t>6.</w:t>
      </w:r>
      <w:r w:rsidRPr="00A7778D">
        <w:rPr>
          <w:noProof/>
        </w:rPr>
        <w:tab/>
        <w:t>Jos arvopaperimarkkinaviranomaisella on perustellut syyt katsoa, että 1 kohdassa säädetyt edellytykset eivät enää täyty, sillä on toimivalta vaatia hyväksyjänä olevaa ESG-luokitusten tarjoajaa lakkauttamaan hyväksynnän.</w:t>
      </w:r>
    </w:p>
    <w:p w14:paraId="7F1C44E0" w14:textId="77777777" w:rsidR="0013188C" w:rsidRPr="00A7778D" w:rsidRDefault="0013188C" w:rsidP="00674E7A">
      <w:pPr>
        <w:pStyle w:val="Titrearticle"/>
        <w:spacing w:line="23" w:lineRule="atLeast"/>
        <w:rPr>
          <w:noProof/>
          <w:szCs w:val="24"/>
        </w:rPr>
      </w:pPr>
      <w:r w:rsidRPr="00A7778D">
        <w:rPr>
          <w:noProof/>
        </w:rPr>
        <w:t>11 artikla</w:t>
      </w:r>
    </w:p>
    <w:p w14:paraId="7A8B5250" w14:textId="77777777" w:rsidR="0013188C" w:rsidRPr="00A7778D" w:rsidRDefault="0013188C" w:rsidP="00674E7A">
      <w:pPr>
        <w:pStyle w:val="NormalCentered"/>
        <w:rPr>
          <w:b/>
          <w:bCs/>
          <w:noProof/>
        </w:rPr>
      </w:pPr>
      <w:r w:rsidRPr="00A7778D">
        <w:rPr>
          <w:b/>
          <w:noProof/>
        </w:rPr>
        <w:t>Kolmansien maiden ESG-luokitusten tarjoajien tunnustaminen</w:t>
      </w:r>
    </w:p>
    <w:p w14:paraId="4DE1BA87" w14:textId="6CBA8866" w:rsidR="00162B2D" w:rsidRPr="00A7778D" w:rsidRDefault="002A7F8C" w:rsidP="002A7F8C">
      <w:pPr>
        <w:pStyle w:val="ManualNumPar1"/>
        <w:rPr>
          <w:noProof/>
        </w:rPr>
      </w:pPr>
      <w:r w:rsidRPr="00A7778D">
        <w:rPr>
          <w:noProof/>
        </w:rPr>
        <w:t>1.</w:t>
      </w:r>
      <w:r w:rsidRPr="00A7778D">
        <w:rPr>
          <w:noProof/>
        </w:rPr>
        <w:tab/>
        <w:t>Kolmansien maiden ESG-luokitusten tarjoajat, joiden ESG-luokitustoiminnan vuotuinen nettoliikevaihto on alle 12 miljoonaa euroa kolmena peräkkäisenä vuonna, voivat antaa ESG-luokituksia säännellyille rahoitusalan yrityksille unionissa edellyttäen, että arvopaperiviranomainen on tunnustanut kyseisen kolmannen maan ESG-luokitusten tarjoajan XX ja YY kohdan mukaisesti, siihen asti, kunnes komissio on antanut 9 artiklassa tarkoitetun vastaavuuspäätöksen tai kunnes tehty vastaavuuspäätös kumotaan.</w:t>
      </w:r>
    </w:p>
    <w:p w14:paraId="67BDA36F" w14:textId="1056CB1B" w:rsidR="0013188C" w:rsidRPr="00A7778D" w:rsidRDefault="002A7F8C" w:rsidP="002A7F8C">
      <w:pPr>
        <w:pStyle w:val="ManualNumPar1"/>
        <w:rPr>
          <w:noProof/>
        </w:rPr>
      </w:pPr>
      <w:r w:rsidRPr="00A7778D">
        <w:rPr>
          <w:noProof/>
        </w:rPr>
        <w:t>2.</w:t>
      </w:r>
      <w:r w:rsidRPr="00A7778D">
        <w:rPr>
          <w:noProof/>
        </w:rPr>
        <w:tab/>
        <w:t>Kolmansien maiden ESG-luokitusten tarjoajien, jotka haluavat tulla tunnustetuiksi 1 kohdan mukaisesti, on noudatettava tässä asetuksessa vahvistettuja vaatimuksia ja haettava tunnustamista arvopaperimarkkinaviranomaiselta. ESG-luokitusten tarjoajat voivat täyttää tämän edellytyksen soveltamalla ESG-luokituksia koskevia IOSCOn suosituksia edellyttäen, että tällainen soveltaminen vastaa tässä asetuksessa vahvistettujen vaatimusten noudattamista.</w:t>
      </w:r>
    </w:p>
    <w:p w14:paraId="7133C3B8" w14:textId="77777777" w:rsidR="0013188C" w:rsidRPr="00A7778D" w:rsidRDefault="003027AB" w:rsidP="00EC7BC1">
      <w:pPr>
        <w:rPr>
          <w:noProof/>
        </w:rPr>
      </w:pPr>
      <w:r w:rsidRPr="00A7778D">
        <w:rPr>
          <w:noProof/>
        </w:rPr>
        <w:t>Sovellettaessa ensimmäistä alakohtaa arvopaperimarkkinaviranomainen voi ottaa huomioon joko riippumattoman ulkopuolisen tilintarkastajan tekemän arvioinnin tai sen kolmannen maan toimivaltaisen viranomaisen antaman todistuksen, jossa kolmannen maan ESG-luokitusten tarjoaja sijaitsee.</w:t>
      </w:r>
    </w:p>
    <w:p w14:paraId="69E86759" w14:textId="5DE75FE5" w:rsidR="0013188C" w:rsidRPr="00A7778D" w:rsidRDefault="002A7F8C" w:rsidP="002A7F8C">
      <w:pPr>
        <w:pStyle w:val="ManualNumPar1"/>
        <w:rPr>
          <w:noProof/>
        </w:rPr>
      </w:pPr>
      <w:r w:rsidRPr="00A7778D">
        <w:rPr>
          <w:noProof/>
        </w:rPr>
        <w:t>3.</w:t>
      </w:r>
      <w:r w:rsidRPr="00A7778D">
        <w:rPr>
          <w:noProof/>
        </w:rPr>
        <w:tab/>
        <w:t>Kolmansien maiden ESG-luokitusten tarjoajilla, jotka haluavat tulla tunnustetuiksi 1 kohdan mukaisesti, on oltava laillinen edustaja. Kyseisen laillisen edustajan on oltava unionissa sijaitseva oikeushenkilö, jonka kyseinen kolmannen maan ESG-luokitusten tarjoaja on nimenomaisesti nimennyt toimimaan puolestaan sen tämän asetuksen mukaisten velvoitteiden osalta, ja laillisen edustajan on tältä osin vastattava toiminnastaan arvopaperimarkkinaviranomaiselle.</w:t>
      </w:r>
    </w:p>
    <w:p w14:paraId="13D1A4C4" w14:textId="4197215A" w:rsidR="002D62CD" w:rsidRPr="00A7778D" w:rsidRDefault="002A7F8C" w:rsidP="002A7F8C">
      <w:pPr>
        <w:pStyle w:val="ManualNumPar1"/>
        <w:rPr>
          <w:noProof/>
        </w:rPr>
      </w:pPr>
      <w:r w:rsidRPr="00A7778D">
        <w:rPr>
          <w:noProof/>
        </w:rPr>
        <w:t>4.</w:t>
      </w:r>
      <w:r w:rsidRPr="00A7778D">
        <w:rPr>
          <w:noProof/>
        </w:rPr>
        <w:tab/>
        <w:t>Kolmannen maan ESG-luokitusten tarjoajan on toimitettava arvopaperimarkkinaviranomaiselle ennen 1 kohdassa tarkoitettua tunnustamista seuraavat tiedot:</w:t>
      </w:r>
    </w:p>
    <w:p w14:paraId="6CAAA81A" w14:textId="38196727" w:rsidR="002D62CD" w:rsidRPr="00A7778D" w:rsidRDefault="002A7F8C" w:rsidP="002A7F8C">
      <w:pPr>
        <w:pStyle w:val="Point1"/>
        <w:rPr>
          <w:noProof/>
        </w:rPr>
      </w:pPr>
      <w:r w:rsidRPr="00A7778D">
        <w:rPr>
          <w:noProof/>
        </w:rPr>
        <w:t>a)</w:t>
      </w:r>
      <w:r w:rsidRPr="00A7778D">
        <w:rPr>
          <w:noProof/>
        </w:rPr>
        <w:tab/>
      </w:r>
      <w:r w:rsidRPr="00A7778D">
        <w:rPr>
          <w:noProof/>
        </w:rPr>
        <w:tab/>
        <w:t>kaikki tiedot, jotka ovat tarpeen arvopaperimarkkinaviranomaisen vakuuttamiseksi siitä, että kyseinen kolmannen maan ESG-luokitusten tarjoaja on toteuttanut kaikki tarvittavat järjestelyt 2 kohdassa tarkoitettujen vaatimusten täyttämiseksi;</w:t>
      </w:r>
    </w:p>
    <w:p w14:paraId="69FFD06C" w14:textId="36AD7976" w:rsidR="002D62CD" w:rsidRPr="00A7778D" w:rsidRDefault="002A7F8C" w:rsidP="002A7F8C">
      <w:pPr>
        <w:pStyle w:val="Point1"/>
        <w:rPr>
          <w:noProof/>
        </w:rPr>
      </w:pPr>
      <w:r w:rsidRPr="00A7778D">
        <w:rPr>
          <w:noProof/>
        </w:rPr>
        <w:t>b)</w:t>
      </w:r>
      <w:r w:rsidRPr="00A7778D">
        <w:rPr>
          <w:noProof/>
        </w:rPr>
        <w:tab/>
      </w:r>
      <w:r w:rsidRPr="00A7778D">
        <w:rPr>
          <w:noProof/>
        </w:rPr>
        <w:tab/>
        <w:t>luettelo sen nykyisistä tai mahdollisista ESG-luokituksista, joita on tarkoitus antaa unionissa;</w:t>
      </w:r>
    </w:p>
    <w:p w14:paraId="15EBBD7E" w14:textId="12CF52F0" w:rsidR="0013188C" w:rsidRPr="00A7778D" w:rsidRDefault="002A7F8C" w:rsidP="002A7F8C">
      <w:pPr>
        <w:pStyle w:val="Point1"/>
        <w:rPr>
          <w:noProof/>
        </w:rPr>
      </w:pPr>
      <w:r w:rsidRPr="00A7778D">
        <w:rPr>
          <w:noProof/>
        </w:rPr>
        <w:t>c)</w:t>
      </w:r>
      <w:r w:rsidRPr="00A7778D">
        <w:rPr>
          <w:noProof/>
        </w:rPr>
        <w:tab/>
      </w:r>
      <w:r w:rsidRPr="00A7778D">
        <w:rPr>
          <w:noProof/>
        </w:rPr>
        <w:tab/>
        <w:t>tarvittaessa sen valvonnasta vastaavan kolmannen maan toimivaltaisen viranomaisen nimi ja yhteystiedot.</w:t>
      </w:r>
    </w:p>
    <w:p w14:paraId="0FD140BA" w14:textId="77777777" w:rsidR="0013188C" w:rsidRPr="00A7778D" w:rsidRDefault="0013188C" w:rsidP="00EC7BC1">
      <w:pPr>
        <w:rPr>
          <w:noProof/>
        </w:rPr>
      </w:pPr>
      <w:r w:rsidRPr="00A7778D">
        <w:rPr>
          <w:noProof/>
        </w:rPr>
        <w:t>Arvopaperimarkkinaviranomainen tarkistaa 90 työpäivän kuluessa tämän kohdan ensimmäisessä alakohdassa tarkoitetun hakemuksen vastaanottamisesta, että 2 ja 3 kohdassa säädetyt edellytykset täyttyvät.</w:t>
      </w:r>
    </w:p>
    <w:p w14:paraId="69ACCAA7" w14:textId="79176D76" w:rsidR="00F75F65" w:rsidRPr="00A7778D" w:rsidRDefault="002A7F8C" w:rsidP="002A7F8C">
      <w:pPr>
        <w:pStyle w:val="ManualNumPar1"/>
        <w:rPr>
          <w:noProof/>
        </w:rPr>
      </w:pPr>
      <w:r w:rsidRPr="00A7778D">
        <w:rPr>
          <w:noProof/>
        </w:rPr>
        <w:t>5.</w:t>
      </w:r>
      <w:r w:rsidRPr="00A7778D">
        <w:rPr>
          <w:noProof/>
        </w:rPr>
        <w:tab/>
        <w:t>Arvopaperimarkkinaviranomainen tunnustaa 1 kohdassa tarkoitetun kolmannen maan ESG-luokitusten tarjoajan edellyttäen, että kaikki seuraavat edellytykset täyttyvät:</w:t>
      </w:r>
    </w:p>
    <w:p w14:paraId="24E75385" w14:textId="24CD753D" w:rsidR="0013188C" w:rsidRPr="00A7778D" w:rsidRDefault="002A7F8C" w:rsidP="002A7F8C">
      <w:pPr>
        <w:pStyle w:val="Point1"/>
        <w:rPr>
          <w:noProof/>
        </w:rPr>
      </w:pPr>
      <w:r w:rsidRPr="00A7778D">
        <w:rPr>
          <w:noProof/>
        </w:rPr>
        <w:t>a)</w:t>
      </w:r>
      <w:r w:rsidRPr="00A7778D">
        <w:rPr>
          <w:noProof/>
        </w:rPr>
        <w:tab/>
      </w:r>
      <w:r w:rsidRPr="00A7778D">
        <w:rPr>
          <w:noProof/>
        </w:rPr>
        <w:tab/>
        <w:t>kolmannen maan ESG-luokitusten tarjoaja on noudattanut kaikkia 2, 3 ja 4 kohdassa säädettyjä edellytyksiä;</w:t>
      </w:r>
    </w:p>
    <w:p w14:paraId="597BC98A" w14:textId="16A721EE" w:rsidR="0013188C" w:rsidRPr="00A7778D" w:rsidRDefault="002A7F8C" w:rsidP="002A7F8C">
      <w:pPr>
        <w:pStyle w:val="Point1"/>
        <w:rPr>
          <w:noProof/>
        </w:rPr>
      </w:pPr>
      <w:r w:rsidRPr="00A7778D">
        <w:rPr>
          <w:noProof/>
        </w:rPr>
        <w:t>b)</w:t>
      </w:r>
      <w:r w:rsidRPr="00A7778D">
        <w:rPr>
          <w:noProof/>
        </w:rPr>
        <w:tab/>
      </w:r>
      <w:r w:rsidRPr="00A7778D">
        <w:rPr>
          <w:noProof/>
        </w:rPr>
        <w:tab/>
        <w:t>jos kolmannen maan ESG-luokitusten tarjoaja on valvonnan alainen, arvopaperimarkkinaviranomaisen on pyrittävä ottamaan käyttöön asianmukainen yhteistyöjärjestely tehokkaan tietojenvaihdon varmistamiseksi sen kolmannen maan asiaankuuluvan toimivaltaisen viranomaisen kanssa, jossa ESG-luokitusten tarjoaja sijaitsee;</w:t>
      </w:r>
    </w:p>
    <w:p w14:paraId="7CEFA41F" w14:textId="2794E879" w:rsidR="00DA7A39" w:rsidRPr="00A7778D" w:rsidRDefault="002A7F8C" w:rsidP="002A7F8C">
      <w:pPr>
        <w:pStyle w:val="ManualNumPar1"/>
        <w:rPr>
          <w:noProof/>
        </w:rPr>
      </w:pPr>
      <w:r w:rsidRPr="00A7778D">
        <w:rPr>
          <w:noProof/>
        </w:rPr>
        <w:t>6.</w:t>
      </w:r>
      <w:r w:rsidRPr="00A7778D">
        <w:rPr>
          <w:noProof/>
        </w:rPr>
        <w:tab/>
        <w:t>Tunnustusta ei myönnetä, jos sen kolmannen maan lait, asetukset tai hallinnolliset määräykset, jossa kolmannen maan ESG-luokitusten tarjoaja sijaitsee, tai tapauksen mukaan kyseisen kolmannen maan toimivaltaisen viranomaisen valvonta- ja tutkintavaltuuksien rajoitukset estävät arvopaperimarkkinaviranomaista hoitamasta tehokkaasti tämän asetuksen mukaisia valvontatehtäviään.</w:t>
      </w:r>
    </w:p>
    <w:p w14:paraId="1078362C" w14:textId="71B428FA" w:rsidR="0013188C" w:rsidRPr="00A7778D" w:rsidRDefault="002A7F8C" w:rsidP="002A7F8C">
      <w:pPr>
        <w:pStyle w:val="ManualNumPar1"/>
        <w:rPr>
          <w:noProof/>
        </w:rPr>
      </w:pPr>
      <w:r w:rsidRPr="00A7778D">
        <w:rPr>
          <w:noProof/>
        </w:rPr>
        <w:t>7.</w:t>
      </w:r>
      <w:r w:rsidRPr="00A7778D">
        <w:rPr>
          <w:noProof/>
        </w:rPr>
        <w:tab/>
        <w:t xml:space="preserve">Arvopaperimarkkinaviranomainen määrää 30 artiklan mukaisesti sakkoja, keskeyttää tai tarvittaessa peruuttaa 1 kohdan mukaisesti myönnetyn tunnustuksen voimassaolon, jos sillä on perustellut, asiakirjatodisteisiin perustuvat syyt katsoa, että ESG-luokitusten tarjoaja </w:t>
      </w:r>
    </w:p>
    <w:p w14:paraId="6EC2E1AA" w14:textId="38A01E38" w:rsidR="0013188C" w:rsidRPr="00A7778D" w:rsidRDefault="002A7F8C" w:rsidP="002A7F8C">
      <w:pPr>
        <w:pStyle w:val="Point1"/>
        <w:rPr>
          <w:noProof/>
        </w:rPr>
      </w:pPr>
      <w:r w:rsidRPr="00A7778D">
        <w:rPr>
          <w:noProof/>
        </w:rPr>
        <w:t>a)</w:t>
      </w:r>
      <w:r w:rsidRPr="00A7778D">
        <w:rPr>
          <w:noProof/>
        </w:rPr>
        <w:tab/>
        <w:t xml:space="preserve">toimii tai on toiminut tavalla, joka on selvästi sen ESG-luokitusten käyttäjien etujen vastainen tai haittaa markkinoiden asianmukaista toimintaa; </w:t>
      </w:r>
    </w:p>
    <w:p w14:paraId="455832FD" w14:textId="3F90FF54" w:rsidR="0013188C" w:rsidRPr="00A7778D" w:rsidRDefault="002A7F8C" w:rsidP="002A7F8C">
      <w:pPr>
        <w:pStyle w:val="Point1"/>
        <w:rPr>
          <w:noProof/>
        </w:rPr>
      </w:pPr>
      <w:r w:rsidRPr="00A7778D">
        <w:rPr>
          <w:noProof/>
        </w:rPr>
        <w:t>b)</w:t>
      </w:r>
      <w:r w:rsidRPr="00A7778D">
        <w:rPr>
          <w:noProof/>
        </w:rPr>
        <w:tab/>
        <w:t xml:space="preserve">on rikkonut vakavasti tässä asetuksessa säädettyjä sovellettavia vaatimuksia; </w:t>
      </w:r>
    </w:p>
    <w:p w14:paraId="63A8F40B" w14:textId="644ED6BD" w:rsidR="0013188C" w:rsidRPr="00A7778D" w:rsidRDefault="002A7F8C" w:rsidP="002A7F8C">
      <w:pPr>
        <w:pStyle w:val="Point1"/>
        <w:rPr>
          <w:noProof/>
        </w:rPr>
      </w:pPr>
      <w:r w:rsidRPr="00A7778D">
        <w:rPr>
          <w:noProof/>
        </w:rPr>
        <w:t>c)</w:t>
      </w:r>
      <w:r w:rsidRPr="00A7778D">
        <w:rPr>
          <w:noProof/>
        </w:rPr>
        <w:tab/>
        <w:t>on antanut vääriä ilmoituksia tai käyttänyt muita sääntöjenvastaisia keinoja tunnustuksen saamiseksi.</w:t>
      </w:r>
    </w:p>
    <w:p w14:paraId="63A7258E" w14:textId="70DCDE73" w:rsidR="00EC7BC1" w:rsidRPr="00A7778D" w:rsidRDefault="002A7F8C" w:rsidP="002A7F8C">
      <w:pPr>
        <w:pStyle w:val="ManualNumPar1"/>
        <w:rPr>
          <w:noProof/>
        </w:rPr>
      </w:pPr>
      <w:r w:rsidRPr="00A7778D">
        <w:rPr>
          <w:noProof/>
        </w:rPr>
        <w:t>8.</w:t>
      </w:r>
      <w:r w:rsidRPr="00A7778D">
        <w:rPr>
          <w:noProof/>
        </w:rPr>
        <w:tab/>
        <w:t xml:space="preserve">Arvopaperimarkkinaviranomainen laatii luonnoksia teknisiksi sääntelystandardeiksi, joissa määritellään 2 kohdassa tarkoitetun hakemuksen muoto ja sisältö sekä erityisesti 4 kohdassa vaadittujen tietojen esittäminen. Arvopaperimarkkinaviranomainen toimittaa ne komissiolle. </w:t>
      </w:r>
    </w:p>
    <w:p w14:paraId="1E58B771" w14:textId="77777777" w:rsidR="0013188C" w:rsidRPr="00A7778D" w:rsidRDefault="0013188C" w:rsidP="00EC7BC1">
      <w:pPr>
        <w:rPr>
          <w:noProof/>
        </w:rPr>
      </w:pPr>
      <w:r w:rsidRPr="00A7778D">
        <w:rPr>
          <w:noProof/>
        </w:rPr>
        <w:t>Siirretään komissiolle valta hyväksyä ensimmäisessä alakohdassa tarkoitetut tekniset sääntelystandardit asetuksen (EU) N:o 1095/2010 10–14 artiklassa säädettyä menettelyä noudattaen.</w:t>
      </w:r>
    </w:p>
    <w:p w14:paraId="4C823162" w14:textId="77777777" w:rsidR="0013188C" w:rsidRPr="00A7778D" w:rsidRDefault="0013188C" w:rsidP="00674E7A">
      <w:pPr>
        <w:pStyle w:val="Titrearticle"/>
        <w:spacing w:line="23" w:lineRule="atLeast"/>
        <w:rPr>
          <w:noProof/>
          <w:szCs w:val="24"/>
        </w:rPr>
      </w:pPr>
      <w:r w:rsidRPr="00A7778D">
        <w:rPr>
          <w:noProof/>
        </w:rPr>
        <w:t>12 artikla</w:t>
      </w:r>
    </w:p>
    <w:p w14:paraId="39AD5372" w14:textId="77777777" w:rsidR="0013188C" w:rsidRPr="00A7778D" w:rsidRDefault="00456A78" w:rsidP="00674E7A">
      <w:pPr>
        <w:pStyle w:val="NormalCentered"/>
        <w:rPr>
          <w:b/>
          <w:bCs/>
          <w:noProof/>
        </w:rPr>
      </w:pPr>
      <w:r w:rsidRPr="00A7778D">
        <w:rPr>
          <w:b/>
          <w:noProof/>
        </w:rPr>
        <w:t>Yhteistyöjärjestelyt</w:t>
      </w:r>
    </w:p>
    <w:p w14:paraId="496703E5" w14:textId="07555CFC" w:rsidR="001C77B7" w:rsidRPr="00A7778D" w:rsidRDefault="002A7F8C" w:rsidP="002A7F8C">
      <w:pPr>
        <w:pStyle w:val="ManualNumPar1"/>
        <w:rPr>
          <w:noProof/>
        </w:rPr>
      </w:pPr>
      <w:r w:rsidRPr="00A7778D">
        <w:rPr>
          <w:noProof/>
        </w:rPr>
        <w:t>1.</w:t>
      </w:r>
      <w:r w:rsidRPr="00A7778D">
        <w:rPr>
          <w:noProof/>
        </w:rPr>
        <w:tab/>
        <w:t>Kaikkiin 9 artiklan 4 kohdassa, 10 artiklan 1 kohdan f alakohdassa ja 11 artiklan 5 kohdan b alakohdassa tarkoitettuihin yhteistyöjärjestelyihin sovelletaan salassapidon osalta vähintään 44 artiklassa säädettyjä vastaavia takeita. Tällaisten yhteistyöjärjestelyjen puitteissa tapahtuvan tietojenvaihdon on palveltava arvopaperimarkkinaviranomaisen tai toimivaltaisen viranomaisen tehtävien hoitamista.</w:t>
      </w:r>
    </w:p>
    <w:p w14:paraId="100D4CF9" w14:textId="411CC243" w:rsidR="0013188C" w:rsidRPr="00A7778D" w:rsidRDefault="002A7F8C" w:rsidP="002A7F8C">
      <w:pPr>
        <w:pStyle w:val="ManualNumPar1"/>
        <w:rPr>
          <w:noProof/>
        </w:rPr>
      </w:pPr>
      <w:r w:rsidRPr="00A7778D">
        <w:rPr>
          <w:noProof/>
        </w:rPr>
        <w:t>2.</w:t>
      </w:r>
      <w:r w:rsidRPr="00A7778D">
        <w:rPr>
          <w:noProof/>
        </w:rPr>
        <w:tab/>
        <w:t>Arvopaperimarkkinaviranomainen soveltaa Euroopan parlamentin ja neuvoston asetusta (EU) 2018/1725</w:t>
      </w:r>
      <w:r w:rsidRPr="00A7778D">
        <w:rPr>
          <w:rStyle w:val="FootnoteReference0"/>
          <w:noProof/>
        </w:rPr>
        <w:footnoteReference w:id="52"/>
      </w:r>
      <w:r w:rsidRPr="00A7778D">
        <w:rPr>
          <w:noProof/>
        </w:rPr>
        <w:t xml:space="preserve"> henkilötietojen siirtämiseen kolmanteen maahan.</w:t>
      </w:r>
    </w:p>
    <w:p w14:paraId="694EABB2" w14:textId="77777777" w:rsidR="00FC5A23" w:rsidRPr="00A7778D" w:rsidRDefault="00764546" w:rsidP="00720AE8">
      <w:pPr>
        <w:pStyle w:val="NormalCentered"/>
        <w:rPr>
          <w:noProof/>
        </w:rPr>
      </w:pPr>
      <w:r w:rsidRPr="00A7778D">
        <w:rPr>
          <w:noProof/>
        </w:rPr>
        <w:t>3 LUKU</w:t>
      </w:r>
    </w:p>
    <w:p w14:paraId="0A1DB132" w14:textId="504F6341" w:rsidR="00FC5A23" w:rsidRPr="00A7778D" w:rsidRDefault="007721EE" w:rsidP="00720AE8">
      <w:pPr>
        <w:pStyle w:val="NormalCentered"/>
        <w:rPr>
          <w:rStyle w:val="italics"/>
          <w:b/>
          <w:bCs/>
          <w:noProof/>
          <w:szCs w:val="24"/>
        </w:rPr>
      </w:pPr>
      <w:r w:rsidRPr="00A7778D">
        <w:rPr>
          <w:rStyle w:val="italics"/>
          <w:b/>
          <w:noProof/>
        </w:rPr>
        <w:t>Rekisteri ja tietojen saatavuus</w:t>
      </w:r>
    </w:p>
    <w:p w14:paraId="3023835D" w14:textId="77777777" w:rsidR="00FC5A23" w:rsidRPr="00A7778D" w:rsidRDefault="00FC5A23" w:rsidP="00720AE8">
      <w:pPr>
        <w:pStyle w:val="Titrearticle"/>
        <w:spacing w:line="23" w:lineRule="atLeast"/>
        <w:rPr>
          <w:noProof/>
          <w:szCs w:val="24"/>
        </w:rPr>
      </w:pPr>
      <w:r w:rsidRPr="00A7778D">
        <w:rPr>
          <w:noProof/>
        </w:rPr>
        <w:t>13 artikla</w:t>
      </w:r>
    </w:p>
    <w:p w14:paraId="5D73431A" w14:textId="77B3B195" w:rsidR="00FC5A23" w:rsidRPr="00A7778D" w:rsidRDefault="00FC5A23" w:rsidP="00720AE8">
      <w:pPr>
        <w:pStyle w:val="NormalCentered"/>
        <w:rPr>
          <w:b/>
          <w:bCs/>
          <w:noProof/>
        </w:rPr>
      </w:pPr>
      <w:r w:rsidRPr="00A7778D">
        <w:rPr>
          <w:b/>
          <w:noProof/>
        </w:rPr>
        <w:t>ESG-luokitusten tarjoajien rekisteri ja tietojen saatavuus eurooppalaisesta keskitetystä yhteyspisteestä (ESAP)</w:t>
      </w:r>
    </w:p>
    <w:p w14:paraId="29E21EC1" w14:textId="3A07322D" w:rsidR="00FC5A23" w:rsidRPr="00A7778D" w:rsidRDefault="002A7F8C" w:rsidP="002A7F8C">
      <w:pPr>
        <w:pStyle w:val="ManualNumPar1"/>
        <w:rPr>
          <w:noProof/>
        </w:rPr>
      </w:pPr>
      <w:r w:rsidRPr="00A7778D">
        <w:rPr>
          <w:noProof/>
        </w:rPr>
        <w:t>1.</w:t>
      </w:r>
      <w:r w:rsidRPr="00A7778D">
        <w:rPr>
          <w:noProof/>
        </w:rPr>
        <w:tab/>
        <w:t>Arvopaperimarkkinaviranomaisen on perustettava rekisteri, joka sisältää tiedot kaikista seuraavista, ja ylläpidettävä sitä:</w:t>
      </w:r>
    </w:p>
    <w:p w14:paraId="62C29193" w14:textId="65744EFD" w:rsidR="00FC5A23" w:rsidRPr="00A7778D" w:rsidRDefault="002A7F8C" w:rsidP="002A7F8C">
      <w:pPr>
        <w:pStyle w:val="Point1"/>
        <w:rPr>
          <w:noProof/>
        </w:rPr>
      </w:pPr>
      <w:r w:rsidRPr="00A7778D">
        <w:rPr>
          <w:noProof/>
        </w:rPr>
        <w:t>a)</w:t>
      </w:r>
      <w:r w:rsidRPr="00A7778D">
        <w:rPr>
          <w:noProof/>
        </w:rPr>
        <w:tab/>
      </w:r>
      <w:r w:rsidRPr="00A7778D">
        <w:rPr>
          <w:noProof/>
        </w:rPr>
        <w:tab/>
        <w:t>7 artiklan nojalla toimiluvan saaneiden ESG-luokitusten tarjoajien henkilöllisyys;</w:t>
      </w:r>
    </w:p>
    <w:p w14:paraId="5D57AED5" w14:textId="0DCF5173" w:rsidR="00FC5A23" w:rsidRPr="00A7778D" w:rsidRDefault="002A7F8C" w:rsidP="002A7F8C">
      <w:pPr>
        <w:pStyle w:val="Point1"/>
        <w:rPr>
          <w:noProof/>
        </w:rPr>
      </w:pPr>
      <w:r w:rsidRPr="00A7778D">
        <w:rPr>
          <w:noProof/>
        </w:rPr>
        <w:t>b)</w:t>
      </w:r>
      <w:r w:rsidRPr="00A7778D">
        <w:rPr>
          <w:noProof/>
        </w:rPr>
        <w:tab/>
      </w:r>
      <w:r w:rsidRPr="00A7778D">
        <w:rPr>
          <w:noProof/>
        </w:rPr>
        <w:tab/>
        <w:t>niiden kolmansien maiden ESG-luokitusten tarjoajien henkilöllisyys, jotka täyttävät 9 artiklassa säädetyt edellytykset, ja kolmansien maiden toimivaltaiset viranomaiset, jotka vastaavat kyseisten kolmansien maiden ESG-luokitusten tarjoajien valvonnasta;</w:t>
      </w:r>
    </w:p>
    <w:p w14:paraId="07DB19F1" w14:textId="3E7446DD" w:rsidR="00FC5A23" w:rsidRPr="00A7778D" w:rsidRDefault="002A7F8C" w:rsidP="002A7F8C">
      <w:pPr>
        <w:pStyle w:val="Point1"/>
        <w:rPr>
          <w:noProof/>
        </w:rPr>
      </w:pPr>
      <w:r w:rsidRPr="00A7778D">
        <w:rPr>
          <w:noProof/>
        </w:rPr>
        <w:t>c)</w:t>
      </w:r>
      <w:r w:rsidRPr="00A7778D">
        <w:rPr>
          <w:noProof/>
        </w:rPr>
        <w:tab/>
      </w:r>
      <w:r w:rsidRPr="00A7778D">
        <w:rPr>
          <w:noProof/>
        </w:rPr>
        <w:tab/>
        <w:t>hyväksyjänä olevan ESG-luokitusten tarjoajan ja 10 artiklassa tarkoitetun hyväksytyn kolmannen maan ESG-luokitusten tarjoajan henkilöllisyys sekä tarvittaessa kolmannen maan toimivaltaiset viranomaiset, jotka vastaavat hyväksytyn kolmannen maan ESG-luokitusten tarjoajan valvonnasta;</w:t>
      </w:r>
    </w:p>
    <w:p w14:paraId="7B7EEFFD" w14:textId="7F0358D8" w:rsidR="00FC5A23" w:rsidRPr="00A7778D" w:rsidRDefault="002A7F8C" w:rsidP="002A7F8C">
      <w:pPr>
        <w:pStyle w:val="Point1"/>
        <w:rPr>
          <w:noProof/>
        </w:rPr>
      </w:pPr>
      <w:r w:rsidRPr="00A7778D">
        <w:rPr>
          <w:noProof/>
        </w:rPr>
        <w:t>d)</w:t>
      </w:r>
      <w:r w:rsidRPr="00A7778D">
        <w:rPr>
          <w:noProof/>
        </w:rPr>
        <w:tab/>
      </w:r>
      <w:r w:rsidRPr="00A7778D">
        <w:rPr>
          <w:noProof/>
        </w:rPr>
        <w:tab/>
        <w:t>niiden kolmansien maiden ESG-luokitusten tarjoajien henkilöllisyys, jotka on tunnustettu 11 artiklan mukaisesti, ja tapauksen mukaan kolmannen maan toimivaltaiset viranomaiset, jotka vastaavat kyseisten kolmansien maiden ESG-luokitusten tarjoajien valvonnasta.</w:t>
      </w:r>
    </w:p>
    <w:p w14:paraId="4FC9BB04" w14:textId="3A9847B2" w:rsidR="00FC5A23" w:rsidRPr="00A7778D" w:rsidRDefault="002A7F8C" w:rsidP="002A7F8C">
      <w:pPr>
        <w:pStyle w:val="ManualNumPar1"/>
        <w:rPr>
          <w:noProof/>
        </w:rPr>
      </w:pPr>
      <w:r w:rsidRPr="00A7778D">
        <w:rPr>
          <w:noProof/>
        </w:rPr>
        <w:t>2.</w:t>
      </w:r>
      <w:r w:rsidRPr="00A7778D">
        <w:rPr>
          <w:noProof/>
        </w:rPr>
        <w:tab/>
        <w:t>Edellä 1 kohdassa tarkoitettu rekisteri asetetaan julkisesti saataville arvopaperimarkkinaviranomaisen verkkosivustolle, ja sitä päivitetään aina tarvittaessa viipymättä.</w:t>
      </w:r>
    </w:p>
    <w:p w14:paraId="0405BB89" w14:textId="0BAB02D4" w:rsidR="003C5656" w:rsidRPr="00A7778D" w:rsidRDefault="002A7F8C" w:rsidP="002A7F8C">
      <w:pPr>
        <w:pStyle w:val="ManualNumPar1"/>
        <w:rPr>
          <w:noProof/>
        </w:rPr>
      </w:pPr>
      <w:r w:rsidRPr="00A7778D">
        <w:rPr>
          <w:noProof/>
        </w:rPr>
        <w:t>3.</w:t>
      </w:r>
      <w:r w:rsidRPr="00A7778D">
        <w:rPr>
          <w:noProof/>
        </w:rPr>
        <w:tab/>
        <w:t>Kun ESG-luokitusten tarjoaja julkistaa tietoja 18 artiklan 1 kohdan ja 21 artiklan 1 kohdan mukaisesti, kyseisen ESG-luokitusten tarjoajan on 1 päivästä tammikuuta 2028 alkaen toimitettava kyseiset tiedot samanaikaisesti tämän artiklan 6 kohdassa tarkoitetulle asianomaiselle tiedonkeruuelimelle, jotta ne ovat saatavilla Euroopan parlamentin ja neuvoston asetuksen (EU) XX/XXXX [ESAP-asetus]* mukaisesti perustetussa eurooppalaisessa keskitetyssä yhteyspisteessä.</w:t>
      </w:r>
    </w:p>
    <w:p w14:paraId="6AF822C0" w14:textId="6273B31B" w:rsidR="003C5656" w:rsidRPr="00A7778D" w:rsidRDefault="002A7F8C" w:rsidP="002A7F8C">
      <w:pPr>
        <w:pStyle w:val="ManualNumPar1"/>
        <w:rPr>
          <w:noProof/>
        </w:rPr>
      </w:pPr>
      <w:r w:rsidRPr="00A7778D">
        <w:rPr>
          <w:noProof/>
        </w:rPr>
        <w:t>4.</w:t>
      </w:r>
      <w:r w:rsidRPr="00A7778D">
        <w:rPr>
          <w:noProof/>
        </w:rPr>
        <w:tab/>
        <w:t>Tietojen on täytettävä kaikki seuraavat vaatimukset:</w:t>
      </w:r>
    </w:p>
    <w:p w14:paraId="4C5A117E" w14:textId="411BCC26" w:rsidR="003C5656" w:rsidRPr="00A7778D" w:rsidRDefault="002A7F8C" w:rsidP="002A7F8C">
      <w:pPr>
        <w:pStyle w:val="Point1"/>
        <w:rPr>
          <w:noProof/>
        </w:rPr>
      </w:pPr>
      <w:r w:rsidRPr="00A7778D">
        <w:rPr>
          <w:noProof/>
        </w:rPr>
        <w:t>a)</w:t>
      </w:r>
      <w:r w:rsidRPr="00A7778D">
        <w:rPr>
          <w:noProof/>
        </w:rPr>
        <w:tab/>
        <w:t>tiedot on laadittava asetuksen (EU) XX/XXXX [ESAP-asetus] 2 artiklan 3 alakohdassa määritellyssä tietojen poiminnan mahdollistavassa muodossa tai, jos unionin lainsäädännössä niin edellytetään, asetuksen (EU) XX/XXXX [ESAP-asetus] 2 artiklan 4 alakohdassa määritellyssä koneellisesti luettavassa muodossa;</w:t>
      </w:r>
    </w:p>
    <w:p w14:paraId="365DDE6C" w14:textId="64D7AD2F" w:rsidR="003C5656" w:rsidRPr="00A7778D" w:rsidRDefault="002A7F8C" w:rsidP="002A7F8C">
      <w:pPr>
        <w:pStyle w:val="Point1"/>
        <w:rPr>
          <w:noProof/>
        </w:rPr>
      </w:pPr>
      <w:r w:rsidRPr="00A7778D">
        <w:rPr>
          <w:noProof/>
        </w:rPr>
        <w:t>b)</w:t>
      </w:r>
      <w:r w:rsidRPr="00A7778D">
        <w:rPr>
          <w:noProof/>
        </w:rPr>
        <w:tab/>
        <w:t>tietoihin on liitettävä seuraavat metatiedot:</w:t>
      </w:r>
    </w:p>
    <w:p w14:paraId="4A2AB24C" w14:textId="11E3A257" w:rsidR="003C5656" w:rsidRPr="00A7778D" w:rsidRDefault="002A7F8C" w:rsidP="002A7F8C">
      <w:pPr>
        <w:pStyle w:val="Point2"/>
        <w:rPr>
          <w:noProof/>
        </w:rPr>
      </w:pPr>
      <w:r w:rsidRPr="00A7778D">
        <w:rPr>
          <w:noProof/>
        </w:rPr>
        <w:t>1)</w:t>
      </w:r>
      <w:r w:rsidRPr="00A7778D">
        <w:rPr>
          <w:noProof/>
        </w:rPr>
        <w:tab/>
        <w:t>tiedot toimittavan ESG-luokitusten tarjoajan kaikki nimet;</w:t>
      </w:r>
    </w:p>
    <w:p w14:paraId="6306D803" w14:textId="0972BDAF" w:rsidR="003C5656" w:rsidRPr="00A7778D" w:rsidRDefault="002A7F8C" w:rsidP="002A7F8C">
      <w:pPr>
        <w:pStyle w:val="Point2"/>
        <w:rPr>
          <w:noProof/>
        </w:rPr>
      </w:pPr>
      <w:r w:rsidRPr="00A7778D">
        <w:rPr>
          <w:noProof/>
        </w:rPr>
        <w:t>2)</w:t>
      </w:r>
      <w:r w:rsidRPr="00A7778D">
        <w:rPr>
          <w:noProof/>
        </w:rPr>
        <w:tab/>
        <w:t>asetuksen (EU) XX/XXXX [ESAP-asetus] 7 artiklan 4 kohdan mukaisesti määritetty ESG-luokitusten tarjoajan oikeushenkilötunnus;</w:t>
      </w:r>
    </w:p>
    <w:p w14:paraId="1899D318" w14:textId="6EBAA5AD" w:rsidR="003C5656" w:rsidRPr="00A7778D" w:rsidRDefault="002A7F8C" w:rsidP="002A7F8C">
      <w:pPr>
        <w:pStyle w:val="Point2"/>
        <w:rPr>
          <w:noProof/>
        </w:rPr>
      </w:pPr>
      <w:r w:rsidRPr="00A7778D">
        <w:rPr>
          <w:noProof/>
        </w:rPr>
        <w:t>3)</w:t>
      </w:r>
      <w:r w:rsidRPr="00A7778D">
        <w:rPr>
          <w:noProof/>
        </w:rPr>
        <w:tab/>
        <w:t>asetuksen (EU) XX/XXXX [ESAP-asetus] 7 artiklan 4 kohdan mukaisesti määritetty ESG-luokitusten tarjoajan koko;</w:t>
      </w:r>
    </w:p>
    <w:p w14:paraId="6043F7B0" w14:textId="7A2EC14D" w:rsidR="003C5656" w:rsidRPr="00A7778D" w:rsidRDefault="002A7F8C" w:rsidP="002A7F8C">
      <w:pPr>
        <w:pStyle w:val="Point2"/>
        <w:rPr>
          <w:noProof/>
        </w:rPr>
      </w:pPr>
      <w:r w:rsidRPr="00A7778D">
        <w:rPr>
          <w:noProof/>
        </w:rPr>
        <w:t>4)</w:t>
      </w:r>
      <w:r w:rsidRPr="00A7778D">
        <w:rPr>
          <w:noProof/>
        </w:rPr>
        <w:tab/>
        <w:t>asetuksen (EU) XX/XXXX [ESAP-asetus] 7 artiklan 4 kohdan mukaisesti luokiteltu tietojen tyyppi;</w:t>
      </w:r>
    </w:p>
    <w:p w14:paraId="2A820F14" w14:textId="0E7002F9" w:rsidR="003C5656" w:rsidRPr="00A7778D" w:rsidRDefault="002A7F8C" w:rsidP="002A7F8C">
      <w:pPr>
        <w:pStyle w:val="Point2"/>
        <w:rPr>
          <w:noProof/>
        </w:rPr>
      </w:pPr>
      <w:r w:rsidRPr="00A7778D">
        <w:rPr>
          <w:noProof/>
        </w:rPr>
        <w:t>5)</w:t>
      </w:r>
      <w:r w:rsidRPr="00A7778D">
        <w:rPr>
          <w:noProof/>
        </w:rPr>
        <w:tab/>
        <w:t xml:space="preserve">metatiedot, joissa täsmennetään, sisältävätkö tiedot henkilötietoja. </w:t>
      </w:r>
    </w:p>
    <w:p w14:paraId="5D98D7BE" w14:textId="08A3C959" w:rsidR="003C5656" w:rsidRPr="00A7778D" w:rsidRDefault="002A7F8C" w:rsidP="002A7F8C">
      <w:pPr>
        <w:pStyle w:val="ManualNumPar1"/>
        <w:rPr>
          <w:noProof/>
        </w:rPr>
      </w:pPr>
      <w:r w:rsidRPr="00A7778D">
        <w:rPr>
          <w:noProof/>
        </w:rPr>
        <w:t>5.</w:t>
      </w:r>
      <w:r w:rsidRPr="00A7778D">
        <w:rPr>
          <w:noProof/>
        </w:rPr>
        <w:tab/>
        <w:t>Sovellettaessa 1 kohdan b alakohdan ii luetelmakohtaa ESG-luokitusten tarjoajalle on hankittava asetuksen (EU) XX/XXXX [ESAP-asetus] 7 artiklan 4 kohdan mukaisesti määritetty oikeushenkilötunnus.</w:t>
      </w:r>
    </w:p>
    <w:p w14:paraId="58D080AE" w14:textId="468F75B7" w:rsidR="003C5656" w:rsidRPr="00A7778D" w:rsidRDefault="002A7F8C" w:rsidP="002A7F8C">
      <w:pPr>
        <w:pStyle w:val="ManualNumPar1"/>
        <w:rPr>
          <w:noProof/>
        </w:rPr>
      </w:pPr>
      <w:r w:rsidRPr="00A7778D">
        <w:rPr>
          <w:noProof/>
        </w:rPr>
        <w:t>6.</w:t>
      </w:r>
      <w:r w:rsidRPr="00A7778D">
        <w:rPr>
          <w:noProof/>
        </w:rPr>
        <w:tab/>
        <w:t>Sovellettaessa 1 kohdassa tarkoitettujen tietojen asettamista saataville eurooppalaiseen keskitettyyn yhteyspisteeseen asetuksen (EU) XX/XXXX [ESAP-asetus] 2 artiklan 2 kohdassa määritelty tiedonkeruuelin on arvopaperimarkkinaviranomainen.</w:t>
      </w:r>
    </w:p>
    <w:p w14:paraId="69DBB09D" w14:textId="32B78C55" w:rsidR="003C5656" w:rsidRPr="00A7778D" w:rsidRDefault="002A7F8C" w:rsidP="002A7F8C">
      <w:pPr>
        <w:pStyle w:val="ManualNumPar1"/>
        <w:rPr>
          <w:rFonts w:eastAsia="Calibri"/>
          <w:noProof/>
        </w:rPr>
      </w:pPr>
      <w:r w:rsidRPr="00A7778D">
        <w:rPr>
          <w:noProof/>
        </w:rPr>
        <w:t>7.</w:t>
      </w:r>
      <w:r w:rsidRPr="00A7778D">
        <w:rPr>
          <w:noProof/>
        </w:rPr>
        <w:tab/>
        <w:t>Edellä 1 kohdassa sekä 10 artiklan 3 kohdassa, 33 artiklan 1 kohdassa, 34 artiklassa ja 35 artiklassa tarkoitetut tiedot on asetettava saataville eurooppalaiseen keskitettyyn yhteyspisteeseen 1 päivästä tammikuuta 2028 alkaen. Tätä varten mainitun asetuksen 2 artiklan 2 alakohdassa määritelty tiedonkeruuelin on arvopaperimarkkinaviranomainen. Tiedot on laadittava asetuksen (EU) XX/XXXX [ESAP-asetus] 2 artiklan 3 alakohdassa määritellyssä tietojen poiminnan mahdollistavassa muodossa, ja niihin on sisällyttävä metatiedot ESG-luokitusten tarjoajan nimistä ja mahdollisesta kyseisen asetuksen 7 artiklan 4 kohdan mukaisesti määritellystä oikeushenkilötunnuksesta, kyseisen asetuksen 7 artiklan 4 kohdan mukaisesti luokiteltu tietojen tyyppi ja tieto siitä, sisältävätkö tiedot henkilötietoja.</w:t>
      </w:r>
    </w:p>
    <w:p w14:paraId="2C135CB7" w14:textId="349AD3AE" w:rsidR="003C5656" w:rsidRPr="00A7778D" w:rsidRDefault="002A7F8C" w:rsidP="002A7F8C">
      <w:pPr>
        <w:pStyle w:val="ManualNumPar1"/>
        <w:rPr>
          <w:noProof/>
        </w:rPr>
      </w:pPr>
      <w:r w:rsidRPr="00A7778D">
        <w:rPr>
          <w:noProof/>
        </w:rPr>
        <w:t>8.</w:t>
      </w:r>
      <w:r w:rsidRPr="00A7778D">
        <w:rPr>
          <w:noProof/>
        </w:rPr>
        <w:tab/>
        <w:t>Jotta voidaan varmistaa 3 kohdan mukaisesti toimitettujen tietojen tehokas kerääminen ja hallinnointi, arvopaperimarkkinaviranomainen laatii luonnoksia teknisiksi täytäntöönpanostandardeiksi, joissa täsmennetään</w:t>
      </w:r>
    </w:p>
    <w:p w14:paraId="7DD89E9C" w14:textId="23815B5D" w:rsidR="003C5656" w:rsidRPr="00A7778D" w:rsidRDefault="002A7F8C" w:rsidP="002A7F8C">
      <w:pPr>
        <w:pStyle w:val="Point1"/>
        <w:rPr>
          <w:noProof/>
        </w:rPr>
      </w:pPr>
      <w:r w:rsidRPr="00A7778D">
        <w:rPr>
          <w:noProof/>
        </w:rPr>
        <w:t>a)</w:t>
      </w:r>
      <w:r w:rsidRPr="00A7778D">
        <w:rPr>
          <w:noProof/>
        </w:rPr>
        <w:tab/>
        <w:t>muut tietojen ohella esitettävät metatiedot;</w:t>
      </w:r>
    </w:p>
    <w:p w14:paraId="7A49C778" w14:textId="7CAD670B" w:rsidR="003C5656" w:rsidRPr="00A7778D" w:rsidRDefault="002A7F8C" w:rsidP="002A7F8C">
      <w:pPr>
        <w:pStyle w:val="Point1"/>
        <w:rPr>
          <w:noProof/>
        </w:rPr>
      </w:pPr>
      <w:r w:rsidRPr="00A7778D">
        <w:rPr>
          <w:noProof/>
        </w:rPr>
        <w:t>b)</w:t>
      </w:r>
      <w:r w:rsidRPr="00A7778D">
        <w:rPr>
          <w:noProof/>
        </w:rPr>
        <w:tab/>
        <w:t>tietojen rakenne;</w:t>
      </w:r>
    </w:p>
    <w:p w14:paraId="7B765015" w14:textId="1C5B7BE9" w:rsidR="003C5656" w:rsidRPr="00A7778D" w:rsidRDefault="002A7F8C" w:rsidP="002A7F8C">
      <w:pPr>
        <w:pStyle w:val="Point1"/>
        <w:rPr>
          <w:noProof/>
        </w:rPr>
      </w:pPr>
      <w:r w:rsidRPr="00A7778D">
        <w:rPr>
          <w:noProof/>
        </w:rPr>
        <w:t>c)</w:t>
      </w:r>
      <w:r w:rsidRPr="00A7778D">
        <w:rPr>
          <w:noProof/>
        </w:rPr>
        <w:tab/>
        <w:t>mitkä tiedot on toimitettava koneellisesti luettavassa muodossa ja mitä koneellisesti luettavaa muotoa on käytettävä.</w:t>
      </w:r>
    </w:p>
    <w:p w14:paraId="04EB41D3" w14:textId="77777777" w:rsidR="003C5656" w:rsidRPr="00A7778D" w:rsidRDefault="003C5656" w:rsidP="003C5656">
      <w:pPr>
        <w:rPr>
          <w:noProof/>
        </w:rPr>
      </w:pPr>
      <w:r w:rsidRPr="00A7778D">
        <w:rPr>
          <w:noProof/>
        </w:rPr>
        <w:t>Ennen teknisten täytäntöönpanostandardien luonnosten laatimista arvopaperimarkkinaviranomainen tekee kustannus-hyötyanalyysin. Sovellettaessa c alakohtaa arvopaperimarkkinaviranomainen arvioi erilaisten koneellisesti luettavien muotojen etuja ja haittoja ja suorittaa asianmukaisia kenttätestejä.</w:t>
      </w:r>
    </w:p>
    <w:p w14:paraId="5048E96F" w14:textId="77777777" w:rsidR="003C5656" w:rsidRPr="00A7778D" w:rsidRDefault="003C5656" w:rsidP="003C5656">
      <w:pPr>
        <w:rPr>
          <w:noProof/>
        </w:rPr>
      </w:pPr>
      <w:r w:rsidRPr="00A7778D">
        <w:rPr>
          <w:noProof/>
        </w:rPr>
        <w:t>Arvopaperimarkkinaviranomainen toimittaa kyseiset teknisten täytäntöönpanostandardien luonnokset komissiolle.</w:t>
      </w:r>
    </w:p>
    <w:p w14:paraId="1830207E" w14:textId="77777777" w:rsidR="003C5656" w:rsidRPr="00A7778D" w:rsidRDefault="003C5656" w:rsidP="003C5656">
      <w:pPr>
        <w:rPr>
          <w:noProof/>
        </w:rPr>
      </w:pPr>
      <w:r w:rsidRPr="00A7778D">
        <w:rPr>
          <w:noProof/>
        </w:rPr>
        <w:t>Siirretään komissiolle valta hyväksyä ensimmäisessä alakohdassa tarkoitetut tekniset täytäntöönpanostandardit asetuksen (EU) N:o 1095/2010 15 artiklan mukaisesti.</w:t>
      </w:r>
    </w:p>
    <w:p w14:paraId="095B3B19" w14:textId="727C0F15" w:rsidR="003C5656" w:rsidRPr="00A7778D" w:rsidRDefault="002A7F8C" w:rsidP="002A7F8C">
      <w:pPr>
        <w:pStyle w:val="ManualNumPar1"/>
        <w:rPr>
          <w:noProof/>
        </w:rPr>
      </w:pPr>
      <w:r w:rsidRPr="00A7778D">
        <w:rPr>
          <w:noProof/>
        </w:rPr>
        <w:t>9.</w:t>
      </w:r>
      <w:r w:rsidRPr="00A7778D">
        <w:rPr>
          <w:noProof/>
        </w:rPr>
        <w:tab/>
        <w:t>Arvopaperimarkkinaviranomainen antaa tarvittaessa yhteisöille ohjeita sen varmistamiseksi, että 8 kohdan ensimmäisen alakohdan a alakohdan mukaisesti toimitetut metatiedot ovat paikkansapitäviä.</w:t>
      </w:r>
    </w:p>
    <w:p w14:paraId="091856E8" w14:textId="77777777" w:rsidR="00FC5A23" w:rsidRPr="00A7778D" w:rsidRDefault="00D6109E" w:rsidP="005F2D3A">
      <w:pPr>
        <w:shd w:val="clear" w:color="auto" w:fill="FFFFFF" w:themeFill="background1"/>
        <w:spacing w:before="360" w:line="23" w:lineRule="atLeast"/>
        <w:jc w:val="center"/>
        <w:rPr>
          <w:rFonts w:eastAsia="Times New Roman"/>
          <w:noProof/>
          <w:color w:val="333333"/>
          <w:szCs w:val="24"/>
        </w:rPr>
      </w:pPr>
      <w:r w:rsidRPr="00A7778D">
        <w:rPr>
          <w:noProof/>
          <w:color w:val="333333"/>
        </w:rPr>
        <w:t>III OSASTO</w:t>
      </w:r>
    </w:p>
    <w:p w14:paraId="05CABC94" w14:textId="77777777" w:rsidR="00587167" w:rsidRPr="00A7778D" w:rsidRDefault="008177B0" w:rsidP="00720AE8">
      <w:pPr>
        <w:pStyle w:val="ChapterTitle"/>
        <w:spacing w:after="120" w:line="23" w:lineRule="atLeast"/>
        <w:rPr>
          <w:rStyle w:val="boldface"/>
          <w:caps/>
          <w:noProof/>
          <w:sz w:val="24"/>
          <w:szCs w:val="24"/>
        </w:rPr>
      </w:pPr>
      <w:r w:rsidRPr="00A7778D">
        <w:rPr>
          <w:rStyle w:val="boldface"/>
          <w:caps/>
          <w:noProof/>
          <w:sz w:val="24"/>
        </w:rPr>
        <w:t>ESG-LUOKITUSTOIMINNAN EHEYS JA LUOTETTAVUUS</w:t>
      </w:r>
    </w:p>
    <w:p w14:paraId="4DB13961" w14:textId="77777777" w:rsidR="00587167" w:rsidRPr="00A7778D" w:rsidRDefault="00587167" w:rsidP="00720AE8">
      <w:pPr>
        <w:pStyle w:val="NormalCentered"/>
        <w:rPr>
          <w:noProof/>
        </w:rPr>
      </w:pPr>
      <w:r w:rsidRPr="00A7778D">
        <w:rPr>
          <w:noProof/>
        </w:rPr>
        <w:t>1 LUKU</w:t>
      </w:r>
    </w:p>
    <w:p w14:paraId="22F3203F" w14:textId="77777777" w:rsidR="00587167" w:rsidRPr="00A7778D" w:rsidRDefault="00587167" w:rsidP="00720AE8">
      <w:pPr>
        <w:pStyle w:val="NormalCentered"/>
        <w:rPr>
          <w:rStyle w:val="italics"/>
          <w:b/>
          <w:bCs/>
          <w:noProof/>
        </w:rPr>
      </w:pPr>
      <w:r w:rsidRPr="00A7778D">
        <w:rPr>
          <w:rStyle w:val="italics"/>
          <w:b/>
          <w:noProof/>
        </w:rPr>
        <w:t>Hallintoa koskevat organisatoriset vaatimukset, prosessit ja asiakirjat</w:t>
      </w:r>
    </w:p>
    <w:p w14:paraId="6428DAD7" w14:textId="77777777" w:rsidR="00721912" w:rsidRPr="00A7778D" w:rsidRDefault="00587167" w:rsidP="00720AE8">
      <w:pPr>
        <w:pStyle w:val="Titrearticle"/>
        <w:spacing w:line="23" w:lineRule="atLeast"/>
        <w:rPr>
          <w:noProof/>
          <w:szCs w:val="24"/>
        </w:rPr>
      </w:pPr>
      <w:r w:rsidRPr="00A7778D">
        <w:rPr>
          <w:noProof/>
        </w:rPr>
        <w:t>14 artikla</w:t>
      </w:r>
    </w:p>
    <w:p w14:paraId="0E604EAA" w14:textId="77777777" w:rsidR="00587167" w:rsidRPr="00A7778D" w:rsidRDefault="00587167" w:rsidP="00721912">
      <w:pPr>
        <w:pStyle w:val="NormalCentered"/>
        <w:rPr>
          <w:b/>
          <w:bCs/>
          <w:noProof/>
        </w:rPr>
      </w:pPr>
      <w:r w:rsidRPr="00A7778D">
        <w:rPr>
          <w:b/>
          <w:noProof/>
        </w:rPr>
        <w:t>Yleiset periaatteet</w:t>
      </w:r>
    </w:p>
    <w:p w14:paraId="1FB67A18" w14:textId="5B62A5B6" w:rsidR="004178D9" w:rsidRPr="00A7778D" w:rsidRDefault="002A7F8C" w:rsidP="002A7F8C">
      <w:pPr>
        <w:pStyle w:val="ManualNumPar1"/>
        <w:rPr>
          <w:noProof/>
        </w:rPr>
      </w:pPr>
      <w:r w:rsidRPr="00A7778D">
        <w:rPr>
          <w:noProof/>
        </w:rPr>
        <w:t>1.</w:t>
      </w:r>
      <w:r w:rsidRPr="00A7778D">
        <w:rPr>
          <w:noProof/>
        </w:rPr>
        <w:tab/>
        <w:t>ESG-luokitusten tarjoajien on varmistettava luokitustoimintansa riippumattomuus, mukaan lukien kaikista poliittisista ja taloudellisista vaikutuksista tai rajoituksista.</w:t>
      </w:r>
    </w:p>
    <w:p w14:paraId="3676B63F" w14:textId="28DDADD6" w:rsidR="005E7B7E" w:rsidRPr="00A7778D" w:rsidRDefault="002A7F8C" w:rsidP="002A7F8C">
      <w:pPr>
        <w:pStyle w:val="ManualNumPar1"/>
        <w:rPr>
          <w:noProof/>
        </w:rPr>
      </w:pPr>
      <w:r w:rsidRPr="00A7778D">
        <w:rPr>
          <w:noProof/>
        </w:rPr>
        <w:t>2.</w:t>
      </w:r>
      <w:r w:rsidRPr="00A7778D">
        <w:rPr>
          <w:noProof/>
        </w:rPr>
        <w:tab/>
        <w:t>ESG-luokitusten tarjoajilla on oltava käytössään säännöt ja menettelyt, joilla varmistetaan, että niiden ESG-luokitukset annetaan ja julkaistaan tai asetetaan saataville tämän asetuksen mukaisesti.</w:t>
      </w:r>
    </w:p>
    <w:p w14:paraId="033A6C54" w14:textId="6158DB30" w:rsidR="00035A06" w:rsidRPr="00A7778D" w:rsidRDefault="002A7F8C" w:rsidP="002A7F8C">
      <w:pPr>
        <w:pStyle w:val="ManualNumPar1"/>
        <w:rPr>
          <w:noProof/>
        </w:rPr>
      </w:pPr>
      <w:r w:rsidRPr="00A7778D">
        <w:rPr>
          <w:noProof/>
        </w:rPr>
        <w:t>3.</w:t>
      </w:r>
      <w:r w:rsidRPr="00A7778D">
        <w:rPr>
          <w:noProof/>
        </w:rPr>
        <w:tab/>
        <w:t>ESG-luokitusten tarjoajien on käytettävä järjestelmiä, resursseja ja menettelyjä, jotka ovat riittäviä ja tehokkaita niille tämän asetuksen nojalla kuuluvien velvoitteiden täyttämiseksi.</w:t>
      </w:r>
    </w:p>
    <w:p w14:paraId="735A7308" w14:textId="40BE5893" w:rsidR="000562D4" w:rsidRPr="00A7778D" w:rsidRDefault="002A7F8C" w:rsidP="002A7F8C">
      <w:pPr>
        <w:pStyle w:val="ManualNumPar1"/>
        <w:rPr>
          <w:noProof/>
        </w:rPr>
      </w:pPr>
      <w:r w:rsidRPr="00A7778D">
        <w:rPr>
          <w:noProof/>
        </w:rPr>
        <w:t>4.</w:t>
      </w:r>
      <w:r w:rsidRPr="00A7778D">
        <w:rPr>
          <w:noProof/>
        </w:rPr>
        <w:tab/>
        <w:t>ESG-luokitusten tarjoajien on otettava käyttöön ja pantava täytäntöön kirjalliset toimintaperiaatteet ja menettelyt, joilla varmistetaan, että niiden ESG-luokitukset perustuvat kaikkien niiden saatavilla olevien merkityksellisten tietojen perusteelliseen analyysiin.</w:t>
      </w:r>
    </w:p>
    <w:p w14:paraId="6FFBF3AA" w14:textId="2FA0A3F2" w:rsidR="008B2402" w:rsidRPr="00A7778D" w:rsidRDefault="002A7F8C" w:rsidP="002A7F8C">
      <w:pPr>
        <w:pStyle w:val="ManualNumPar1"/>
        <w:rPr>
          <w:noProof/>
        </w:rPr>
      </w:pPr>
      <w:r w:rsidRPr="00A7778D">
        <w:rPr>
          <w:noProof/>
        </w:rPr>
        <w:t>5.</w:t>
      </w:r>
      <w:r w:rsidRPr="00A7778D">
        <w:rPr>
          <w:noProof/>
        </w:rPr>
        <w:tab/>
        <w:t>ESG-luokitusten tarjoajien on otettava käyttöön ja pantava täytäntöön sisäiset due diligence -toimintatavat ja -menettelyt, joilla varmistetaan, että niiden liiketoiminnalliset edut eivät vaaranna niiden arviointitoiminnan riippumattomuutta tai asianmukaisuutta.</w:t>
      </w:r>
    </w:p>
    <w:p w14:paraId="2FBFB7F8" w14:textId="23DB5034" w:rsidR="008B2402" w:rsidRPr="00A7778D" w:rsidRDefault="002A7F8C" w:rsidP="002A7F8C">
      <w:pPr>
        <w:pStyle w:val="ManualNumPar1"/>
        <w:rPr>
          <w:noProof/>
        </w:rPr>
      </w:pPr>
      <w:r w:rsidRPr="00A7778D">
        <w:rPr>
          <w:noProof/>
        </w:rPr>
        <w:t>6.</w:t>
      </w:r>
      <w:r w:rsidRPr="00A7778D">
        <w:rPr>
          <w:noProof/>
        </w:rPr>
        <w:tab/>
        <w:t>ESG-luokitusten tarjoajien on otettava käyttöön ja pantava täytäntöön moitteettomat hallinto- ja kirjanpitomenettelyt, sisäisen valvonnan menetelmät sekä tietojenkäsittelyjärjestelmiä varten tarkoitetut tehokkaat valvonta- ja turvajärjestelyt.</w:t>
      </w:r>
    </w:p>
    <w:p w14:paraId="69017EA2" w14:textId="0CAB54A7" w:rsidR="0074638B" w:rsidRPr="00A7778D" w:rsidRDefault="002A7F8C" w:rsidP="002A7F8C">
      <w:pPr>
        <w:pStyle w:val="ManualNumPar1"/>
        <w:rPr>
          <w:noProof/>
        </w:rPr>
      </w:pPr>
      <w:r w:rsidRPr="00A7778D">
        <w:rPr>
          <w:noProof/>
        </w:rPr>
        <w:t>7.</w:t>
      </w:r>
      <w:r w:rsidRPr="00A7778D">
        <w:rPr>
          <w:noProof/>
        </w:rPr>
        <w:tab/>
        <w:t>ESG-luokitusten tarjoajien on käytettävä antamiaan ESG-luokituksia varten luokitusmenetelmiä, jotka ovat täsmällisiä, järjestelmällisiä, objektiivisia ja validoitavissa, ja niiden on sovellettava kyseisiä luokitusmenetelmiä jatkuvasti.</w:t>
      </w:r>
    </w:p>
    <w:p w14:paraId="7963E903" w14:textId="2CF6A1D6" w:rsidR="002C40C7" w:rsidRPr="00A7778D" w:rsidRDefault="002A7F8C" w:rsidP="002A7F8C">
      <w:pPr>
        <w:pStyle w:val="ManualNumPar1"/>
        <w:rPr>
          <w:noProof/>
        </w:rPr>
      </w:pPr>
      <w:r w:rsidRPr="00A7778D">
        <w:rPr>
          <w:noProof/>
        </w:rPr>
        <w:t>8.</w:t>
      </w:r>
      <w:r w:rsidRPr="00A7778D">
        <w:rPr>
          <w:noProof/>
        </w:rPr>
        <w:tab/>
        <w:t>ESG-luokitusten tarjoajien on tarkasteltava 6 kohdassa tarkoitettuja luokitusmenetelmiä uudelleen jatkuvasti ja vähintään kerran vuodessa.</w:t>
      </w:r>
    </w:p>
    <w:p w14:paraId="08EF01F8" w14:textId="59C9C77B" w:rsidR="00587167" w:rsidRPr="00A7778D" w:rsidRDefault="002A7F8C" w:rsidP="002A7F8C">
      <w:pPr>
        <w:pStyle w:val="ManualNumPar1"/>
        <w:rPr>
          <w:noProof/>
        </w:rPr>
      </w:pPr>
      <w:r w:rsidRPr="00A7778D">
        <w:rPr>
          <w:noProof/>
        </w:rPr>
        <w:t>9.</w:t>
      </w:r>
      <w:r w:rsidRPr="00A7778D">
        <w:rPr>
          <w:noProof/>
        </w:rPr>
        <w:tab/>
        <w:t>ESG-luokitusten tarjoajien on seurattava ja arvioitava 2 kohdassa tarkoitettujen järjestelmiensä, resurssiensa ja menettelyjensä riittävyyttä ja vaikuttavuutta vähintään kerran vuodessa ja toteutettava asianmukaiset toimenpiteet mahdollisten puutteiden korjaamiseksi.</w:t>
      </w:r>
    </w:p>
    <w:p w14:paraId="542B2D88" w14:textId="62405A01" w:rsidR="00E0684C" w:rsidRPr="00A7778D" w:rsidRDefault="002A7F8C" w:rsidP="002A7F8C">
      <w:pPr>
        <w:pStyle w:val="ManualNumPar1"/>
        <w:rPr>
          <w:noProof/>
        </w:rPr>
      </w:pPr>
      <w:r w:rsidRPr="00A7778D">
        <w:rPr>
          <w:noProof/>
        </w:rPr>
        <w:t>10.</w:t>
      </w:r>
      <w:r w:rsidRPr="00A7778D">
        <w:rPr>
          <w:noProof/>
        </w:rPr>
        <w:tab/>
        <w:t>ESG-luokitusten tarjoajien on perustettava pysyvä ja tehokas valvontatoiminto, jota niiden on ylläpidettävä ja jolla varmistetaan kaikkien ESG-luokitusten antamiseen liittyvien näkökohtien valvonta.</w:t>
      </w:r>
    </w:p>
    <w:p w14:paraId="177E9B37" w14:textId="77777777" w:rsidR="00C77112" w:rsidRPr="00A7778D" w:rsidRDefault="00E0684C" w:rsidP="00721912">
      <w:pPr>
        <w:rPr>
          <w:noProof/>
        </w:rPr>
      </w:pPr>
      <w:r w:rsidRPr="00A7778D">
        <w:rPr>
          <w:noProof/>
        </w:rPr>
        <w:t>ESG-luokitusten tarjoajien on kehitettävä ja ylläpidettävä valvontatoimintoaan koskevia vakaita menettelyjä.</w:t>
      </w:r>
    </w:p>
    <w:p w14:paraId="6F155A87" w14:textId="583AC910" w:rsidR="00FF24EC" w:rsidRPr="00A7778D" w:rsidRDefault="002A7F8C" w:rsidP="002A7F8C">
      <w:pPr>
        <w:pStyle w:val="ManualNumPar1"/>
        <w:rPr>
          <w:noProof/>
        </w:rPr>
      </w:pPr>
      <w:r w:rsidRPr="00A7778D">
        <w:rPr>
          <w:noProof/>
        </w:rPr>
        <w:t>11.</w:t>
      </w:r>
      <w:r w:rsidRPr="00A7778D">
        <w:rPr>
          <w:noProof/>
        </w:rPr>
        <w:tab/>
        <w:t>ESG-luokitusten tarjoajien on hyväksyttävä, pantava täytäntöön ja sovellettava toimenpiteitä varmistaakseen, että niiden antamat ESG-luokitukset perustuvat kaikkien niiden saatavilla olevien tietojen perusteelliseen analyysiin, jotka ovat merkityksellisiä niiden luokitusmenetelmien mukaiselle analyysille. Niiden on toteutettava kaikki tarvittavat toimenpiteet varmistaakseen, että niiden ESG-luokitusten antamisessa käytetyt tiedot ovat riittävän laadukkaita ja peräisin luotettavista lähteistä. ESG-luokitusten tarjoajien on nimenomaisesti mainittava, että niiden ESG-luokitukset ovat niiden omia lausuntoja.</w:t>
      </w:r>
    </w:p>
    <w:p w14:paraId="213EED2C" w14:textId="0F1FF65B" w:rsidR="00985B8B" w:rsidRPr="00A7778D" w:rsidRDefault="002A7F8C" w:rsidP="002A7F8C">
      <w:pPr>
        <w:pStyle w:val="ManualNumPar1"/>
        <w:rPr>
          <w:noProof/>
        </w:rPr>
      </w:pPr>
      <w:r w:rsidRPr="00A7778D">
        <w:rPr>
          <w:noProof/>
        </w:rPr>
        <w:t>12.</w:t>
      </w:r>
      <w:r w:rsidRPr="00A7778D">
        <w:rPr>
          <w:noProof/>
        </w:rPr>
        <w:tab/>
        <w:t>ESG-luokitusten tarjoajien ei tarvitse julkistaa henkistä pääomaa, henkistä omaisuutta, taitotietoa tai innovoinnin tuloksia, joita voitaisiin pitää Euroopan parlamentin ja neuvoston direktiivin (EU) 2016/943</w:t>
      </w:r>
      <w:r w:rsidRPr="00A7778D">
        <w:rPr>
          <w:rStyle w:val="FootnoteReference0"/>
          <w:noProof/>
          <w:szCs w:val="24"/>
        </w:rPr>
        <w:footnoteReference w:id="53"/>
      </w:r>
      <w:r w:rsidRPr="00A7778D">
        <w:rPr>
          <w:noProof/>
        </w:rPr>
        <w:t xml:space="preserve"> 2 artiklan 1 alakohdassa määriteltyinä liikesalaisuuksina.</w:t>
      </w:r>
    </w:p>
    <w:p w14:paraId="061D7BD7" w14:textId="39C9D5E8" w:rsidR="00CF210D" w:rsidRPr="00A7778D" w:rsidRDefault="002A7F8C" w:rsidP="002A7F8C">
      <w:pPr>
        <w:pStyle w:val="ManualNumPar1"/>
        <w:rPr>
          <w:noProof/>
        </w:rPr>
      </w:pPr>
      <w:r w:rsidRPr="00A7778D">
        <w:rPr>
          <w:noProof/>
        </w:rPr>
        <w:t>13.</w:t>
      </w:r>
      <w:r w:rsidRPr="00A7778D">
        <w:rPr>
          <w:noProof/>
        </w:rPr>
        <w:tab/>
        <w:t>ESG-luokitusten tarjoajat saavat tehdä muutoksia ESG-luokituksiinsa ainoastaan 21 artiklan nojalla julkaistujen luokitusmenetelmiensä mukaisesti.</w:t>
      </w:r>
    </w:p>
    <w:p w14:paraId="3424AC31" w14:textId="77777777" w:rsidR="008A4205" w:rsidRPr="00A7778D" w:rsidRDefault="008A4205" w:rsidP="00721912">
      <w:pPr>
        <w:pStyle w:val="Titrearticle"/>
        <w:spacing w:line="23" w:lineRule="atLeast"/>
        <w:rPr>
          <w:noProof/>
          <w:szCs w:val="24"/>
        </w:rPr>
      </w:pPr>
      <w:r w:rsidRPr="00A7778D">
        <w:rPr>
          <w:noProof/>
        </w:rPr>
        <w:t>15 artikla</w:t>
      </w:r>
    </w:p>
    <w:p w14:paraId="7DEE9968" w14:textId="77777777" w:rsidR="008A4205" w:rsidRPr="00A7778D" w:rsidRDefault="008A4205" w:rsidP="00721912">
      <w:pPr>
        <w:pStyle w:val="NormalCentered"/>
        <w:rPr>
          <w:b/>
          <w:bCs/>
          <w:noProof/>
        </w:rPr>
      </w:pPr>
      <w:r w:rsidRPr="00A7778D">
        <w:rPr>
          <w:b/>
          <w:noProof/>
        </w:rPr>
        <w:t>Liiketoiminnan ja toimintojen eriyttäminen</w:t>
      </w:r>
    </w:p>
    <w:p w14:paraId="4580212B" w14:textId="051961CE" w:rsidR="000D28F5" w:rsidRPr="00A7778D" w:rsidRDefault="002A7F8C" w:rsidP="002A7F8C">
      <w:pPr>
        <w:pStyle w:val="ManualNumPar1"/>
        <w:rPr>
          <w:noProof/>
        </w:rPr>
      </w:pPr>
      <w:r w:rsidRPr="00A7778D">
        <w:rPr>
          <w:noProof/>
        </w:rPr>
        <w:t>1.</w:t>
      </w:r>
      <w:r w:rsidRPr="00A7778D">
        <w:rPr>
          <w:noProof/>
        </w:rPr>
        <w:tab/>
        <w:t>ESG-luokitusten tarjoajat eivät saa tarjota mitään seuraavista toiminnoista:</w:t>
      </w:r>
    </w:p>
    <w:p w14:paraId="5F854829" w14:textId="1FD9E455" w:rsidR="000D28F5" w:rsidRPr="00A7778D" w:rsidRDefault="002A7F8C" w:rsidP="002A7F8C">
      <w:pPr>
        <w:pStyle w:val="Point1"/>
        <w:rPr>
          <w:noProof/>
        </w:rPr>
      </w:pPr>
      <w:r w:rsidRPr="00A7778D">
        <w:rPr>
          <w:noProof/>
        </w:rPr>
        <w:t>a)</w:t>
      </w:r>
      <w:r w:rsidRPr="00A7778D">
        <w:rPr>
          <w:noProof/>
        </w:rPr>
        <w:tab/>
        <w:t>sijoittajien tai yritysten konsultointi;</w:t>
      </w:r>
    </w:p>
    <w:p w14:paraId="172E290F" w14:textId="2D1C26C5" w:rsidR="000E26D4" w:rsidRPr="00A7778D" w:rsidRDefault="002A7F8C" w:rsidP="002A7F8C">
      <w:pPr>
        <w:pStyle w:val="Point1"/>
        <w:rPr>
          <w:noProof/>
        </w:rPr>
      </w:pPr>
      <w:r w:rsidRPr="00A7778D">
        <w:rPr>
          <w:noProof/>
        </w:rPr>
        <w:t>b)</w:t>
      </w:r>
      <w:r w:rsidRPr="00A7778D">
        <w:rPr>
          <w:noProof/>
        </w:rPr>
        <w:tab/>
        <w:t>luottoluokitusten antaminen ja myynti;</w:t>
      </w:r>
    </w:p>
    <w:p w14:paraId="60E9E7F5" w14:textId="08F1537A" w:rsidR="00526969" w:rsidRPr="00A7778D" w:rsidRDefault="002A7F8C" w:rsidP="002A7F8C">
      <w:pPr>
        <w:pStyle w:val="Point1"/>
        <w:rPr>
          <w:noProof/>
        </w:rPr>
      </w:pPr>
      <w:r w:rsidRPr="00A7778D">
        <w:rPr>
          <w:noProof/>
        </w:rPr>
        <w:t>c)</w:t>
      </w:r>
      <w:r w:rsidRPr="00A7778D">
        <w:rPr>
          <w:noProof/>
        </w:rPr>
        <w:tab/>
        <w:t>vertailuarvojen laatiminen;</w:t>
      </w:r>
    </w:p>
    <w:p w14:paraId="08749519" w14:textId="1695B945" w:rsidR="00526969" w:rsidRPr="00A7778D" w:rsidRDefault="002A7F8C" w:rsidP="002A7F8C">
      <w:pPr>
        <w:pStyle w:val="Point1"/>
        <w:rPr>
          <w:noProof/>
        </w:rPr>
      </w:pPr>
      <w:r w:rsidRPr="00A7778D">
        <w:rPr>
          <w:noProof/>
        </w:rPr>
        <w:t>d)</w:t>
      </w:r>
      <w:r w:rsidRPr="00A7778D">
        <w:rPr>
          <w:noProof/>
        </w:rPr>
        <w:tab/>
        <w:t>sijoitustoiminta;</w:t>
      </w:r>
    </w:p>
    <w:p w14:paraId="7B88938E" w14:textId="1B1BDA63" w:rsidR="00110DD2" w:rsidRPr="00A7778D" w:rsidRDefault="002A7F8C" w:rsidP="002A7F8C">
      <w:pPr>
        <w:pStyle w:val="Point1"/>
        <w:rPr>
          <w:noProof/>
        </w:rPr>
      </w:pPr>
      <w:r w:rsidRPr="00A7778D">
        <w:rPr>
          <w:noProof/>
        </w:rPr>
        <w:t>e)</w:t>
      </w:r>
      <w:r w:rsidRPr="00A7778D">
        <w:rPr>
          <w:noProof/>
        </w:rPr>
        <w:tab/>
        <w:t>auditointitoimet</w:t>
      </w:r>
    </w:p>
    <w:p w14:paraId="4191A69F" w14:textId="0A19CEB6" w:rsidR="00125BA5" w:rsidRPr="00A7778D" w:rsidRDefault="002A7F8C" w:rsidP="002A7F8C">
      <w:pPr>
        <w:pStyle w:val="Point1"/>
        <w:rPr>
          <w:noProof/>
        </w:rPr>
      </w:pPr>
      <w:r w:rsidRPr="00A7778D">
        <w:rPr>
          <w:noProof/>
        </w:rPr>
        <w:t>f)</w:t>
      </w:r>
      <w:r w:rsidRPr="00A7778D">
        <w:rPr>
          <w:noProof/>
        </w:rPr>
        <w:tab/>
        <w:t>pankki-, vakuutus- tai jälleenvakuutustoiminta.</w:t>
      </w:r>
    </w:p>
    <w:p w14:paraId="0BB1FB4E" w14:textId="685B1AA3" w:rsidR="00CE4036" w:rsidRPr="00A7778D" w:rsidRDefault="002A7F8C" w:rsidP="002A7F8C">
      <w:pPr>
        <w:pStyle w:val="ManualNumPar1"/>
        <w:rPr>
          <w:noProof/>
        </w:rPr>
      </w:pPr>
      <w:r w:rsidRPr="00A7778D">
        <w:rPr>
          <w:noProof/>
        </w:rPr>
        <w:t>2.</w:t>
      </w:r>
      <w:r w:rsidRPr="00A7778D">
        <w:rPr>
          <w:noProof/>
        </w:rPr>
        <w:tab/>
        <w:t>ESG-luokitusten tarjoajien on varmistettava, että muiden kuin 1 kohdassa tarkoitettujen palvelujen tarjoamisesta ei aiheudu eturistiriitojen riskiä niiden ESG-luokitustoiminnassa.</w:t>
      </w:r>
    </w:p>
    <w:p w14:paraId="46029522" w14:textId="77777777" w:rsidR="00587167" w:rsidRPr="00A7778D" w:rsidRDefault="00587167" w:rsidP="00721912">
      <w:pPr>
        <w:pStyle w:val="Titrearticle"/>
        <w:spacing w:line="23" w:lineRule="atLeast"/>
        <w:rPr>
          <w:noProof/>
          <w:szCs w:val="24"/>
        </w:rPr>
      </w:pPr>
      <w:r w:rsidRPr="00A7778D">
        <w:rPr>
          <w:noProof/>
        </w:rPr>
        <w:t>16 artikla</w:t>
      </w:r>
    </w:p>
    <w:p w14:paraId="6C202339" w14:textId="77777777" w:rsidR="00587167" w:rsidRPr="00A7778D" w:rsidRDefault="00587167" w:rsidP="00721912">
      <w:pPr>
        <w:pStyle w:val="NormalCentered"/>
        <w:rPr>
          <w:b/>
          <w:bCs/>
          <w:noProof/>
        </w:rPr>
      </w:pPr>
      <w:r w:rsidRPr="00A7778D">
        <w:rPr>
          <w:b/>
          <w:noProof/>
        </w:rPr>
        <w:t>Luokitusanalyytikot, työntekijät ja muut ESG-luokitusten antamiseen osallistuvat henkilöt</w:t>
      </w:r>
    </w:p>
    <w:p w14:paraId="27F434CC" w14:textId="4C54B2C5" w:rsidR="008B7F6D" w:rsidRPr="00A7778D" w:rsidRDefault="002A7F8C" w:rsidP="002A7F8C">
      <w:pPr>
        <w:pStyle w:val="ManualNumPar1"/>
        <w:rPr>
          <w:noProof/>
        </w:rPr>
      </w:pPr>
      <w:r w:rsidRPr="00A7778D">
        <w:rPr>
          <w:noProof/>
        </w:rPr>
        <w:t>1.</w:t>
      </w:r>
      <w:r w:rsidRPr="00A7778D">
        <w:rPr>
          <w:noProof/>
        </w:rPr>
        <w:tab/>
        <w:t>ESG-luokitusten tarjoajien on varmistettava, että luokitusanalyytikoilla, työntekijöillä ja muilla luonnollisilla henkilöillä, joiden palvelut ovat sen käytettävissä tai määräysvallassa ja jotka osallistuvat suoraan ESG-luokitusten antamiseen, mukaan lukien luokitusprosessiin suoraan osallistuvat analyytikot ja pisteytysten antamiseen osallistuvat henkilöt, on tarvittava tietämys ja kokemus annettujen tehtävien suorittamiseksi.</w:t>
      </w:r>
    </w:p>
    <w:p w14:paraId="5E9A4FF2" w14:textId="13C01E3C" w:rsidR="0055166F" w:rsidRPr="00A7778D" w:rsidRDefault="002A7F8C" w:rsidP="002A7F8C">
      <w:pPr>
        <w:pStyle w:val="ManualNumPar1"/>
        <w:rPr>
          <w:noProof/>
        </w:rPr>
      </w:pPr>
      <w:r w:rsidRPr="00A7778D">
        <w:rPr>
          <w:noProof/>
        </w:rPr>
        <w:t>2.</w:t>
      </w:r>
      <w:r w:rsidRPr="00A7778D">
        <w:rPr>
          <w:noProof/>
        </w:rPr>
        <w:tab/>
        <w:t>ESG-luokitusten tarjoajien on varmistettava, että 1 kohdassa tarkoitetut henkilöt eivät saa käynnistää neuvotteluja palkkioista tai maksuista eivätkä osallistua niihin minkään luokitellun yhteisön tai kenenkään sellaisen henkilön kanssa, joka on määräysvallan kautta suoraan tai välillisesti sidoksissa luokiteltavaan yhteisöön.</w:t>
      </w:r>
    </w:p>
    <w:p w14:paraId="60F9EEF3" w14:textId="2F7AC40E" w:rsidR="00095A55" w:rsidRPr="00A7778D" w:rsidRDefault="002A7F8C" w:rsidP="002A7F8C">
      <w:pPr>
        <w:pStyle w:val="ManualNumPar1"/>
        <w:rPr>
          <w:noProof/>
        </w:rPr>
      </w:pPr>
      <w:r w:rsidRPr="00A7778D">
        <w:rPr>
          <w:noProof/>
        </w:rPr>
        <w:t>3.</w:t>
      </w:r>
      <w:r w:rsidRPr="00A7778D">
        <w:rPr>
          <w:noProof/>
        </w:rPr>
        <w:tab/>
        <w:t>Edellä 1 kohdassa tarkoitetut henkilöt eivät saa ostaa tai myydä luokitellun yhteisön liikkeeseen laskemia, takaamia tai muulla tavoin tukemia rahoitusvälineitä lukuun ottamatta hajauttamiseen perustuvien yhteissijoitusjärjestelmien osuuksia, hoidetut rahastot mukaan luettuina, eivätkä osallistua tällaisiin rahoitusvälineisiin liittyviin liiketoimiin.</w:t>
      </w:r>
    </w:p>
    <w:p w14:paraId="6F50B9AA" w14:textId="29940B1B" w:rsidR="00095A55" w:rsidRPr="00A7778D" w:rsidRDefault="002A7F8C" w:rsidP="002A7F8C">
      <w:pPr>
        <w:pStyle w:val="ManualNumPar1"/>
        <w:rPr>
          <w:noProof/>
        </w:rPr>
      </w:pPr>
      <w:r w:rsidRPr="00A7778D">
        <w:rPr>
          <w:noProof/>
        </w:rPr>
        <w:t>4.</w:t>
      </w:r>
      <w:r w:rsidRPr="00A7778D">
        <w:rPr>
          <w:noProof/>
        </w:rPr>
        <w:tab/>
        <w:t>Edellä 1 kohdassa tarkoitetut henkilöt eivät saa osallistua tai muutoin vaikuttaa luokitellun yhteisön ESG-luokituksen määrittämiseen, jos kyseiset henkilöt</w:t>
      </w:r>
    </w:p>
    <w:p w14:paraId="06EFA35A" w14:textId="2E4509C1" w:rsidR="00095A55" w:rsidRPr="00A7778D" w:rsidRDefault="002A7F8C" w:rsidP="002A7F8C">
      <w:pPr>
        <w:pStyle w:val="Point1"/>
        <w:rPr>
          <w:noProof/>
        </w:rPr>
      </w:pPr>
      <w:r w:rsidRPr="00A7778D">
        <w:rPr>
          <w:noProof/>
        </w:rPr>
        <w:t>a)</w:t>
      </w:r>
      <w:r w:rsidRPr="00A7778D">
        <w:rPr>
          <w:noProof/>
        </w:rPr>
        <w:tab/>
        <w:t>omistavat luokitellun yhteisön rahoitusvälineitä, lukuun ottamatta hajauttamiseen perustuvien yhteissijoitusjärjestelmien osuuksia;</w:t>
      </w:r>
    </w:p>
    <w:p w14:paraId="325A5916" w14:textId="1FFC5491" w:rsidR="00095A55" w:rsidRPr="00A7778D" w:rsidRDefault="002A7F8C" w:rsidP="002A7F8C">
      <w:pPr>
        <w:pStyle w:val="Point1"/>
        <w:rPr>
          <w:noProof/>
        </w:rPr>
      </w:pPr>
      <w:r w:rsidRPr="00A7778D">
        <w:rPr>
          <w:noProof/>
        </w:rPr>
        <w:t>b)</w:t>
      </w:r>
      <w:r w:rsidRPr="00A7778D">
        <w:rPr>
          <w:noProof/>
        </w:rPr>
        <w:tab/>
        <w:t>omistavat sellaisia luokiteltuun yhteisöön yhteydessä olevan yhteisön rahoitusvälineitä, joiden omistaminen saattaa aiheuttaa tai joiden omistamisen saatetaan yleisesti katsoa aiheuttavan eturistiriidan, lukuun ottamatta hajauttamiseen perustuvien yhteissijoitusjärjestelmien osuuksia;</w:t>
      </w:r>
    </w:p>
    <w:p w14:paraId="4F186CF8" w14:textId="0B3233DD" w:rsidR="00095A55" w:rsidRPr="00A7778D" w:rsidRDefault="002A7F8C" w:rsidP="002A7F8C">
      <w:pPr>
        <w:pStyle w:val="Point1"/>
        <w:rPr>
          <w:noProof/>
        </w:rPr>
      </w:pPr>
      <w:r w:rsidRPr="00A7778D">
        <w:rPr>
          <w:noProof/>
        </w:rPr>
        <w:t>c)</w:t>
      </w:r>
      <w:r w:rsidRPr="00A7778D">
        <w:rPr>
          <w:noProof/>
        </w:rPr>
        <w:tab/>
        <w:t>ovat lähimenneisyydessä olleet sellaisessa työ- tai liikesuhteessa tai muussa sellaisessa suhteessa luokiteltuun yhteisöön, joka saattaa aiheuttaa tai jonka saatetaan yleisesti katsoa aiheuttavan eturistiriidan.</w:t>
      </w:r>
    </w:p>
    <w:p w14:paraId="771946F9" w14:textId="745F6853" w:rsidR="00095A55" w:rsidRPr="00A7778D" w:rsidRDefault="002A7F8C" w:rsidP="002A7F8C">
      <w:pPr>
        <w:pStyle w:val="ManualNumPar1"/>
        <w:rPr>
          <w:noProof/>
        </w:rPr>
      </w:pPr>
      <w:r w:rsidRPr="00A7778D">
        <w:rPr>
          <w:noProof/>
        </w:rPr>
        <w:t>5.</w:t>
      </w:r>
      <w:r w:rsidRPr="00A7778D">
        <w:rPr>
          <w:noProof/>
        </w:rPr>
        <w:tab/>
        <w:t>ESG-luokitusten tarjoajien on varmistettava, että 1 kohdassa tarkoitetut henkilöt</w:t>
      </w:r>
    </w:p>
    <w:p w14:paraId="1FC4B957" w14:textId="78948280" w:rsidR="00095A55" w:rsidRPr="00A7778D" w:rsidRDefault="002A7F8C" w:rsidP="002A7F8C">
      <w:pPr>
        <w:pStyle w:val="Point1"/>
        <w:rPr>
          <w:noProof/>
        </w:rPr>
      </w:pPr>
      <w:r w:rsidRPr="00A7778D">
        <w:rPr>
          <w:noProof/>
        </w:rPr>
        <w:t>a)</w:t>
      </w:r>
      <w:r w:rsidRPr="00A7778D">
        <w:rPr>
          <w:noProof/>
        </w:rPr>
        <w:tab/>
        <w:t>toteuttavat kaikki kohtuulliset toimenpiteet suojatakseen ESG-luokitusten tarjoajan hallussa olevaa omaisuutta ja sen hallussa olevia tietoja petoksilta, varkauksilta ja väärinkäytöksiltä ottaen huomioon ESG-luokitusten tarjoajan liiketoiminnan luonne, laajuus ja monimutkaisuus ja ESG-luokitustoiminnan luonne ja laajuus;</w:t>
      </w:r>
    </w:p>
    <w:p w14:paraId="5907143F" w14:textId="43E30DC8" w:rsidR="00095A55" w:rsidRPr="00A7778D" w:rsidRDefault="002A7F8C" w:rsidP="002A7F8C">
      <w:pPr>
        <w:pStyle w:val="Point1"/>
        <w:rPr>
          <w:noProof/>
        </w:rPr>
      </w:pPr>
      <w:r w:rsidRPr="00A7778D">
        <w:rPr>
          <w:noProof/>
        </w:rPr>
        <w:t>b)</w:t>
      </w:r>
      <w:r w:rsidRPr="00A7778D">
        <w:rPr>
          <w:noProof/>
        </w:rPr>
        <w:tab/>
        <w:t>eivät jaa ESG-luokitusten tarjoajalle uskottuja luottamuksellisia tietoja sellaiselle henkilölle, joka ei suoraan osallistu ESG-luokitustoiminnan harjoittamiseen, mukaan lukien luokitusanalyytikot, työntekijät ja henkilöt, jotka ovat määräysvallan kautta suoraan tai välillisesti sidoksissa ESG-luokitusten tarjoajaan, eivätkä muille luonnollisille henkilöille, joiden palvelut ovat tai ovat olleet sellaisen henkilön käytettävissä tai määräysvallassa, joka on määräysvallan kautta suoraan tai välillisesti sidoksissa ESG-luokitusten tarjoajaan;</w:t>
      </w:r>
    </w:p>
    <w:p w14:paraId="7FA0A653" w14:textId="46DA6860" w:rsidR="00095A55" w:rsidRPr="00A7778D" w:rsidRDefault="002A7F8C" w:rsidP="002A7F8C">
      <w:pPr>
        <w:pStyle w:val="Point1"/>
        <w:rPr>
          <w:noProof/>
        </w:rPr>
      </w:pPr>
      <w:r w:rsidRPr="00A7778D">
        <w:rPr>
          <w:noProof/>
        </w:rPr>
        <w:t>c)</w:t>
      </w:r>
      <w:r w:rsidRPr="00A7778D">
        <w:rPr>
          <w:noProof/>
        </w:rPr>
        <w:tab/>
        <w:t>eivät käytä tai jaa luottamuksellisia tietoja mihinkään muuhun tarkoitukseen kuin ESG-luokitustoiminnan harjoittamiseen, mukaan lukien rahoitusvälineiden kaupankäyntiin.</w:t>
      </w:r>
    </w:p>
    <w:p w14:paraId="5119BE81" w14:textId="28DD24D3" w:rsidR="00132DCF" w:rsidRPr="00A7778D" w:rsidRDefault="002A7F8C" w:rsidP="002A7F8C">
      <w:pPr>
        <w:pStyle w:val="ManualNumPar1"/>
        <w:rPr>
          <w:noProof/>
        </w:rPr>
      </w:pPr>
      <w:r w:rsidRPr="00A7778D">
        <w:rPr>
          <w:noProof/>
        </w:rPr>
        <w:t>6.</w:t>
      </w:r>
      <w:r w:rsidRPr="00A7778D">
        <w:rPr>
          <w:noProof/>
        </w:rPr>
        <w:tab/>
        <w:t>Edellä 1 kohdassa tarkoitettujen henkilöiden, jotka katsovat, että joku muu 1 kohdassa tarkoitettu henkilö on osallistunut toimintaan, jota he pitävät laittomana, on välittömästi ilmoitettava asiasta säännösten noudattamista valvovalle toimijalle. ESG-luokitusten tarjoajan on varmistettava, että tällaisesta ilmoittamisesta ei aiheudu kielteisiä seurauksia ilmoittavalle henkilölle.</w:t>
      </w:r>
    </w:p>
    <w:p w14:paraId="63AE3A8B" w14:textId="687342F8" w:rsidR="00095A55" w:rsidRPr="00A7778D" w:rsidRDefault="002A7F8C" w:rsidP="002A7F8C">
      <w:pPr>
        <w:pStyle w:val="ManualNumPar1"/>
        <w:rPr>
          <w:noProof/>
        </w:rPr>
      </w:pPr>
      <w:r w:rsidRPr="00A7778D">
        <w:rPr>
          <w:noProof/>
        </w:rPr>
        <w:t>7.</w:t>
      </w:r>
      <w:r w:rsidRPr="00A7778D">
        <w:rPr>
          <w:noProof/>
        </w:rPr>
        <w:tab/>
        <w:t>Jos luokitusanalyytikko lopettaa työsuhteensa ESG-luokitusten tarjoajan palveluksessa ja liittyy luokiteltuun yhteisöön, jonka luokitukseen hän on osallistunut, ESG-luokitusten tarjoajan on tarkasteltava luokitusanalyytikon työtä hänen lähtöään edeltävän vuoden ajalta.</w:t>
      </w:r>
    </w:p>
    <w:p w14:paraId="2E08E4FA" w14:textId="57A823D3" w:rsidR="00095A55" w:rsidRPr="00A7778D" w:rsidRDefault="002A7F8C" w:rsidP="002A7F8C">
      <w:pPr>
        <w:pStyle w:val="ManualNumPar1"/>
        <w:rPr>
          <w:noProof/>
        </w:rPr>
      </w:pPr>
      <w:r w:rsidRPr="00A7778D">
        <w:rPr>
          <w:noProof/>
        </w:rPr>
        <w:t>8.</w:t>
      </w:r>
      <w:r w:rsidRPr="00A7778D">
        <w:rPr>
          <w:noProof/>
        </w:rPr>
        <w:tab/>
        <w:t>Edellä 1 kohdassa tarkoitetut henkilöt eivät saa ottaa vastaan ylimmän johdon tehtäviä luokitellussa yhteisössä, jonka luokitukseen he ovat osallistuneet, kuuteen kuukauteen tällaisen luokituksen antamisesta.</w:t>
      </w:r>
    </w:p>
    <w:p w14:paraId="264515AD" w14:textId="77777777" w:rsidR="00587167" w:rsidRPr="00A7778D" w:rsidRDefault="00587167" w:rsidP="00721912">
      <w:pPr>
        <w:pStyle w:val="Titrearticle"/>
        <w:spacing w:line="23" w:lineRule="atLeast"/>
        <w:rPr>
          <w:noProof/>
          <w:szCs w:val="24"/>
        </w:rPr>
      </w:pPr>
      <w:r w:rsidRPr="00A7778D">
        <w:rPr>
          <w:noProof/>
        </w:rPr>
        <w:t>17 artikla</w:t>
      </w:r>
    </w:p>
    <w:p w14:paraId="435D52EF" w14:textId="77777777" w:rsidR="00587167" w:rsidRPr="00A7778D" w:rsidRDefault="00587167" w:rsidP="00721912">
      <w:pPr>
        <w:pStyle w:val="NormalCentered"/>
        <w:rPr>
          <w:b/>
          <w:bCs/>
          <w:noProof/>
        </w:rPr>
      </w:pPr>
      <w:r w:rsidRPr="00A7778D">
        <w:rPr>
          <w:b/>
          <w:noProof/>
        </w:rPr>
        <w:t>Tietojen säilyttämistä koskevat vaatimukset</w:t>
      </w:r>
    </w:p>
    <w:p w14:paraId="6E43606E" w14:textId="796CA2A2" w:rsidR="0045611A" w:rsidRPr="00A7778D" w:rsidRDefault="002A7F8C" w:rsidP="002A7F8C">
      <w:pPr>
        <w:pStyle w:val="ManualNumPar1"/>
        <w:rPr>
          <w:noProof/>
        </w:rPr>
      </w:pPr>
      <w:r w:rsidRPr="00A7778D">
        <w:rPr>
          <w:noProof/>
        </w:rPr>
        <w:t>1.</w:t>
      </w:r>
      <w:r w:rsidRPr="00A7778D">
        <w:rPr>
          <w:noProof/>
        </w:rPr>
        <w:tab/>
        <w:t>ESG-luokitusten tarjoajien on pidettävä kirjaa ESG-luokitustoiminnastaan. Kirjattujen tietojen on sisällettävä liitteessä II mainitut tiedot.</w:t>
      </w:r>
    </w:p>
    <w:p w14:paraId="29D75259" w14:textId="2F3AAF87" w:rsidR="00CB1D4F" w:rsidRPr="00A7778D" w:rsidRDefault="002A7F8C" w:rsidP="002A7F8C">
      <w:pPr>
        <w:pStyle w:val="ManualNumPar1"/>
        <w:rPr>
          <w:noProof/>
        </w:rPr>
      </w:pPr>
      <w:r w:rsidRPr="00A7778D">
        <w:rPr>
          <w:noProof/>
        </w:rPr>
        <w:t>2.</w:t>
      </w:r>
      <w:r w:rsidRPr="00A7778D">
        <w:rPr>
          <w:noProof/>
        </w:rPr>
        <w:tab/>
        <w:t>ESG-luokitusten tarjoajien on säilytettävä 1 kohdassa tarkoitetut tiedot vähintään viiden vuoden ajan ja sellaisessa muodossa, että ESG-luokituksen määrittäminen voidaan toistaa ja ymmärtää täysin.</w:t>
      </w:r>
    </w:p>
    <w:p w14:paraId="447EF9DF" w14:textId="77777777" w:rsidR="00587167" w:rsidRPr="00A7778D" w:rsidRDefault="00587167" w:rsidP="00721912">
      <w:pPr>
        <w:pStyle w:val="Titrearticle"/>
        <w:spacing w:line="23" w:lineRule="atLeast"/>
        <w:rPr>
          <w:noProof/>
          <w:szCs w:val="24"/>
        </w:rPr>
      </w:pPr>
      <w:r w:rsidRPr="00A7778D">
        <w:rPr>
          <w:noProof/>
        </w:rPr>
        <w:t>18 artikla</w:t>
      </w:r>
    </w:p>
    <w:p w14:paraId="5644BC2C" w14:textId="77777777" w:rsidR="00587167" w:rsidRPr="00A7778D" w:rsidRDefault="00587167" w:rsidP="00721912">
      <w:pPr>
        <w:pStyle w:val="NormalCentered"/>
        <w:rPr>
          <w:b/>
          <w:bCs/>
          <w:noProof/>
        </w:rPr>
      </w:pPr>
      <w:r w:rsidRPr="00A7778D">
        <w:rPr>
          <w:b/>
          <w:noProof/>
        </w:rPr>
        <w:t>Valitusten käsittelyjärjestelmä</w:t>
      </w:r>
    </w:p>
    <w:p w14:paraId="25F3CDDC" w14:textId="794034E8" w:rsidR="004954A5" w:rsidRPr="00A7778D" w:rsidRDefault="002A7F8C" w:rsidP="002A7F8C">
      <w:pPr>
        <w:pStyle w:val="ManualNumPar1"/>
        <w:rPr>
          <w:noProof/>
        </w:rPr>
      </w:pPr>
      <w:r w:rsidRPr="00A7778D">
        <w:rPr>
          <w:noProof/>
        </w:rPr>
        <w:t>1.</w:t>
      </w:r>
      <w:r w:rsidRPr="00A7778D">
        <w:rPr>
          <w:noProof/>
        </w:rPr>
        <w:tab/>
        <w:t>ESG-luokitusten tarjoajilla on oltava käytössään menettelyt tehtyjen valitusten vastaanottamista, tutkimista ja säilyttämistä varten, ja niiden on julkaistava nämä verkkosivustoillaan.</w:t>
      </w:r>
    </w:p>
    <w:p w14:paraId="152D3DA7" w14:textId="7573DF08" w:rsidR="004954A5" w:rsidRPr="00A7778D" w:rsidRDefault="002A7F8C" w:rsidP="002A7F8C">
      <w:pPr>
        <w:pStyle w:val="ManualNumPar1"/>
        <w:rPr>
          <w:noProof/>
        </w:rPr>
      </w:pPr>
      <w:r w:rsidRPr="00A7778D">
        <w:rPr>
          <w:noProof/>
        </w:rPr>
        <w:t>2.</w:t>
      </w:r>
      <w:r w:rsidRPr="00A7778D">
        <w:rPr>
          <w:noProof/>
        </w:rPr>
        <w:tab/>
        <w:t>Edellä 1 kohdassa tarkoitetuilla menettelyillä on varmistettava, että</w:t>
      </w:r>
    </w:p>
    <w:p w14:paraId="03A2E326" w14:textId="0142A9AC" w:rsidR="00C8235E" w:rsidRPr="00A7778D" w:rsidRDefault="002A7F8C" w:rsidP="002A7F8C">
      <w:pPr>
        <w:pStyle w:val="Point1"/>
        <w:rPr>
          <w:noProof/>
        </w:rPr>
      </w:pPr>
      <w:r w:rsidRPr="00A7778D">
        <w:rPr>
          <w:noProof/>
        </w:rPr>
        <w:t>a)</w:t>
      </w:r>
      <w:r w:rsidRPr="00A7778D">
        <w:rPr>
          <w:noProof/>
        </w:rPr>
        <w:tab/>
        <w:t>ESG-luokitusten tarjoaja asettaa julkisesti saataville valitusten käsittelyperiaatteet, joiden mukaisesti valituksia voidaan tehdä seuraavista aiheista:</w:t>
      </w:r>
    </w:p>
    <w:p w14:paraId="1AF0D41E" w14:textId="47437094" w:rsidR="00523D29" w:rsidRPr="00A7778D" w:rsidRDefault="002A7F8C" w:rsidP="002A7F8C">
      <w:pPr>
        <w:pStyle w:val="Point2"/>
        <w:rPr>
          <w:noProof/>
        </w:rPr>
      </w:pPr>
      <w:r w:rsidRPr="00A7778D">
        <w:rPr>
          <w:noProof/>
        </w:rPr>
        <w:t>1)</w:t>
      </w:r>
      <w:r w:rsidRPr="00A7778D">
        <w:rPr>
          <w:noProof/>
        </w:rPr>
        <w:tab/>
        <w:t>tiettyä ESG-luokitusta varten käytetyt tietolähteet;</w:t>
      </w:r>
    </w:p>
    <w:p w14:paraId="240635ED" w14:textId="7CB50310" w:rsidR="00B87F95" w:rsidRPr="00A7778D" w:rsidRDefault="002A7F8C" w:rsidP="002A7F8C">
      <w:pPr>
        <w:pStyle w:val="Point2"/>
        <w:rPr>
          <w:noProof/>
        </w:rPr>
      </w:pPr>
      <w:r w:rsidRPr="00A7778D">
        <w:rPr>
          <w:noProof/>
        </w:rPr>
        <w:t>2)</w:t>
      </w:r>
      <w:r w:rsidRPr="00A7778D">
        <w:rPr>
          <w:noProof/>
        </w:rPr>
        <w:tab/>
        <w:t>tapa, jolla luokitusmenetelmää on sovellettu tiettyyn ESG-luokitukseen;</w:t>
      </w:r>
    </w:p>
    <w:p w14:paraId="1D4F9353" w14:textId="5729E14C" w:rsidR="00C8235E" w:rsidRPr="00A7778D" w:rsidRDefault="002A7F8C" w:rsidP="002A7F8C">
      <w:pPr>
        <w:pStyle w:val="Point2"/>
        <w:rPr>
          <w:noProof/>
        </w:rPr>
      </w:pPr>
      <w:r w:rsidRPr="00A7778D">
        <w:rPr>
          <w:noProof/>
        </w:rPr>
        <w:t>3)</w:t>
      </w:r>
      <w:r w:rsidRPr="00A7778D">
        <w:rPr>
          <w:noProof/>
        </w:rPr>
        <w:tab/>
        <w:t>edustaako tietty ESG-luokitus luokiteltua yhteisöä;</w:t>
      </w:r>
    </w:p>
    <w:p w14:paraId="10D3A2E8" w14:textId="58BFF514" w:rsidR="00C8235E" w:rsidRPr="00A7778D" w:rsidRDefault="002A7F8C" w:rsidP="002A7F8C">
      <w:pPr>
        <w:pStyle w:val="Point2"/>
        <w:rPr>
          <w:noProof/>
        </w:rPr>
      </w:pPr>
      <w:r w:rsidRPr="00A7778D">
        <w:rPr>
          <w:noProof/>
        </w:rPr>
        <w:t>4)</w:t>
      </w:r>
      <w:r w:rsidRPr="00A7778D">
        <w:rPr>
          <w:noProof/>
        </w:rPr>
        <w:tab/>
        <w:t>ESG-luokituksen määrittämismenettelyyn ehdotettu muutos;</w:t>
      </w:r>
    </w:p>
    <w:p w14:paraId="221D6A43" w14:textId="0B1FA9C1" w:rsidR="00C8235E" w:rsidRPr="00A7778D" w:rsidRDefault="002A7F8C" w:rsidP="002A7F8C">
      <w:pPr>
        <w:pStyle w:val="Point2"/>
        <w:rPr>
          <w:noProof/>
        </w:rPr>
      </w:pPr>
      <w:r w:rsidRPr="00A7778D">
        <w:rPr>
          <w:noProof/>
        </w:rPr>
        <w:t>5)</w:t>
      </w:r>
      <w:r w:rsidRPr="00A7778D">
        <w:rPr>
          <w:noProof/>
        </w:rPr>
        <w:tab/>
        <w:t>muut ESG-luokitukseen liittyvät päätökset;</w:t>
      </w:r>
    </w:p>
    <w:p w14:paraId="5D8246DB" w14:textId="5037E381" w:rsidR="003F5278" w:rsidRPr="00A7778D" w:rsidRDefault="002A7F8C" w:rsidP="002A7F8C">
      <w:pPr>
        <w:pStyle w:val="Point1"/>
        <w:rPr>
          <w:noProof/>
        </w:rPr>
      </w:pPr>
      <w:r w:rsidRPr="00A7778D">
        <w:rPr>
          <w:noProof/>
        </w:rPr>
        <w:t>b)</w:t>
      </w:r>
      <w:r w:rsidRPr="00A7778D">
        <w:rPr>
          <w:noProof/>
        </w:rPr>
        <w:tab/>
        <w:t>valitukset tutkitaan oikea-aikaisesti ja oikeudenmukaisesti ja tutkimuksen tulokset ilmoitetaan valituksen tekijälle kohtuullisen ajan kuluessa, paitsi jos tällainen ilmoittaminen olisi vastoin yleisen järjestyksen tavoitteita tai Euroopan parlamentin ja neuvoston asetusta (EU) N:o 596/2014</w:t>
      </w:r>
      <w:r w:rsidRPr="00A7778D">
        <w:rPr>
          <w:rStyle w:val="FootnoteReference0"/>
          <w:noProof/>
        </w:rPr>
        <w:footnoteReference w:id="54"/>
      </w:r>
      <w:r w:rsidRPr="00A7778D">
        <w:rPr>
          <w:noProof/>
        </w:rPr>
        <w:t>;</w:t>
      </w:r>
    </w:p>
    <w:p w14:paraId="69E53A70" w14:textId="09A669DC" w:rsidR="004954A5" w:rsidRPr="00A7778D" w:rsidRDefault="002A7F8C" w:rsidP="002A7F8C">
      <w:pPr>
        <w:pStyle w:val="Point1"/>
        <w:rPr>
          <w:noProof/>
        </w:rPr>
      </w:pPr>
      <w:r w:rsidRPr="00A7778D">
        <w:rPr>
          <w:noProof/>
        </w:rPr>
        <w:t>c)</w:t>
      </w:r>
      <w:r w:rsidRPr="00A7778D">
        <w:rPr>
          <w:noProof/>
        </w:rPr>
        <w:tab/>
        <w:t>tutkimus tehdään niistä henkilöstön edustajista riippumattomasti, jotka ovat olleet osallisina valituksen syyssä.</w:t>
      </w:r>
    </w:p>
    <w:p w14:paraId="19FFD6B2" w14:textId="77777777" w:rsidR="00587167" w:rsidRPr="00A7778D" w:rsidRDefault="00587167" w:rsidP="00721912">
      <w:pPr>
        <w:pStyle w:val="Titrearticle"/>
        <w:spacing w:line="23" w:lineRule="atLeast"/>
        <w:rPr>
          <w:noProof/>
          <w:szCs w:val="24"/>
        </w:rPr>
      </w:pPr>
      <w:r w:rsidRPr="00A7778D">
        <w:rPr>
          <w:noProof/>
        </w:rPr>
        <w:t>19 artikla</w:t>
      </w:r>
    </w:p>
    <w:p w14:paraId="06DC35BF" w14:textId="77777777" w:rsidR="00587167" w:rsidRPr="00A7778D" w:rsidRDefault="00587167" w:rsidP="00721912">
      <w:pPr>
        <w:pStyle w:val="NormalCentered"/>
        <w:rPr>
          <w:b/>
          <w:bCs/>
          <w:noProof/>
        </w:rPr>
      </w:pPr>
      <w:r w:rsidRPr="00A7778D">
        <w:rPr>
          <w:b/>
          <w:noProof/>
        </w:rPr>
        <w:t>Ulkoistaminen</w:t>
      </w:r>
    </w:p>
    <w:p w14:paraId="49069403" w14:textId="4970DBA0" w:rsidR="00CB1D4F" w:rsidRPr="00A7778D" w:rsidRDefault="002A7F8C" w:rsidP="002A7F8C">
      <w:pPr>
        <w:pStyle w:val="ManualNumPar1"/>
        <w:rPr>
          <w:noProof/>
        </w:rPr>
      </w:pPr>
      <w:r w:rsidRPr="00A7778D">
        <w:rPr>
          <w:noProof/>
        </w:rPr>
        <w:t>1.</w:t>
      </w:r>
      <w:r w:rsidRPr="00A7778D">
        <w:rPr>
          <w:noProof/>
        </w:rPr>
        <w:tab/>
        <w:t>ESG-luokitusten tarjoajat eivät saa ulkoistaa tärkeitä operatiivisia toimintoja, jos ulkoistaminen heikentäisi olennaisesti ESG-luokitusten tarjoajan sisäisten valvontaperiaatteiden ja -menettelyjen laatua tai arvopaperimarkkinaviranomaisen kykyä valvoa, että ESG-luokitusten tarjoaja noudattaa tämän asetuksen mukaisia velvoitteitaan.</w:t>
      </w:r>
    </w:p>
    <w:p w14:paraId="1C6916B3" w14:textId="13D76600" w:rsidR="00682664" w:rsidRPr="00A7778D" w:rsidRDefault="002A7F8C" w:rsidP="002A7F8C">
      <w:pPr>
        <w:pStyle w:val="ManualNumPar1"/>
        <w:rPr>
          <w:noProof/>
        </w:rPr>
      </w:pPr>
      <w:r w:rsidRPr="00A7778D">
        <w:rPr>
          <w:noProof/>
        </w:rPr>
        <w:t>2.</w:t>
      </w:r>
      <w:r w:rsidRPr="00A7778D">
        <w:rPr>
          <w:noProof/>
        </w:rPr>
        <w:tab/>
        <w:t>ESG-luokitusten tarjoajat, jotka ulkoistavat tehtäviä, toimintoja tai palveluja, joilla on merkitystä ESG-luokituksen antamisen kannalta, ovat edelleen täysin vastuussa kaikkien tämän asetuksen mukaisten velvoitteiden täyttämisestä.</w:t>
      </w:r>
    </w:p>
    <w:p w14:paraId="0698A22E" w14:textId="0507B5D5" w:rsidR="00682664" w:rsidRPr="00A7778D" w:rsidRDefault="002A7F8C" w:rsidP="002A7F8C">
      <w:pPr>
        <w:pStyle w:val="ManualNumPar1"/>
        <w:rPr>
          <w:noProof/>
        </w:rPr>
      </w:pPr>
      <w:r w:rsidRPr="00A7778D">
        <w:rPr>
          <w:noProof/>
        </w:rPr>
        <w:t>3.</w:t>
      </w:r>
      <w:r w:rsidRPr="00A7778D">
        <w:rPr>
          <w:noProof/>
        </w:rPr>
        <w:tab/>
        <w:t>ESG-luokitusten tarjoajat, jotka ulkoistavat tehtäviä, palveluja tai toimintoja, joilla on merkitystä ESG-luokituksen antamisen kannalta, ovat edelleen täysin vastuussa liitteessä II tarkoitettujen tietojen julkistamisesta.</w:t>
      </w:r>
    </w:p>
    <w:p w14:paraId="28926753" w14:textId="77777777" w:rsidR="008A4205" w:rsidRPr="00A7778D" w:rsidRDefault="008A4205" w:rsidP="00721912">
      <w:pPr>
        <w:pStyle w:val="Titrearticle"/>
        <w:spacing w:line="23" w:lineRule="atLeast"/>
        <w:rPr>
          <w:noProof/>
          <w:szCs w:val="24"/>
        </w:rPr>
      </w:pPr>
      <w:r w:rsidRPr="00A7778D">
        <w:rPr>
          <w:noProof/>
        </w:rPr>
        <w:t>20 artikla</w:t>
      </w:r>
    </w:p>
    <w:p w14:paraId="13929FDD" w14:textId="77777777" w:rsidR="008A4205" w:rsidRPr="00A7778D" w:rsidRDefault="008A4205" w:rsidP="00721912">
      <w:pPr>
        <w:pStyle w:val="NormalCentered"/>
        <w:rPr>
          <w:b/>
          <w:bCs/>
          <w:noProof/>
        </w:rPr>
      </w:pPr>
      <w:r w:rsidRPr="00A7778D">
        <w:rPr>
          <w:b/>
          <w:noProof/>
        </w:rPr>
        <w:t>Hallintovaatimuksia koskevat poikkeukset</w:t>
      </w:r>
    </w:p>
    <w:p w14:paraId="7B0BAA69" w14:textId="19A5B46F" w:rsidR="008A4205" w:rsidRPr="00A7778D" w:rsidRDefault="002A7F8C" w:rsidP="002A7F8C">
      <w:pPr>
        <w:pStyle w:val="ManualNumPar1"/>
        <w:rPr>
          <w:noProof/>
        </w:rPr>
      </w:pPr>
      <w:r w:rsidRPr="00A7778D">
        <w:rPr>
          <w:noProof/>
        </w:rPr>
        <w:t>1.</w:t>
      </w:r>
      <w:r w:rsidRPr="00A7778D">
        <w:rPr>
          <w:noProof/>
        </w:rPr>
        <w:tab/>
        <w:t>Arvopaperimarkkinaviranomainen voi pyynnöstä vapauttaa ESG-luokitusten tarjoajan joidenkin 14 artiklassa säädettyjen vaatimusten noudattamisesta, jos kyseinen ESG-luokitusten tarjoaja pystyy osoittamaan, että kyseiset vaatimukset eivät ole oikeassa suhteessa sen liiketoiminnan luonteeseen, laajuuteen ja monimutkaisuuteen sekä ESG-luokitusten antamisen luonteeseen ja laajuuteen ja edellyttäen, että</w:t>
      </w:r>
    </w:p>
    <w:p w14:paraId="09958924" w14:textId="61E141C9" w:rsidR="008A4205" w:rsidRPr="00A7778D" w:rsidRDefault="002A7F8C" w:rsidP="002A7F8C">
      <w:pPr>
        <w:pStyle w:val="Point1"/>
        <w:rPr>
          <w:noProof/>
        </w:rPr>
      </w:pPr>
      <w:r w:rsidRPr="00A7778D">
        <w:rPr>
          <w:noProof/>
        </w:rPr>
        <w:t>a)</w:t>
      </w:r>
      <w:r w:rsidRPr="00A7778D">
        <w:rPr>
          <w:noProof/>
        </w:rPr>
        <w:tab/>
        <w:t>ESG-luokitusten tarjoaja on direktiivin 2013/34/EU 3 artiklassa säädettyjen kriteerien mukainen pieni tai keskisuuri yritys;</w:t>
      </w:r>
    </w:p>
    <w:p w14:paraId="48BADB75" w14:textId="7C68F739" w:rsidR="008A4205" w:rsidRPr="00A7778D" w:rsidRDefault="002A7F8C" w:rsidP="002A7F8C">
      <w:pPr>
        <w:pStyle w:val="Point1"/>
        <w:rPr>
          <w:noProof/>
        </w:rPr>
      </w:pPr>
      <w:r w:rsidRPr="00A7778D">
        <w:rPr>
          <w:noProof/>
        </w:rPr>
        <w:t>b)</w:t>
      </w:r>
      <w:r w:rsidRPr="00A7778D">
        <w:rPr>
          <w:noProof/>
        </w:rPr>
        <w:tab/>
        <w:t>ESG-luokitusten tarjoaja on toteuttanut toimenpiteet ja menettelyt ja erityisesti sisäiset valvontamekanismit, raportointijärjestelyt ja toimenpiteet, joilla varmistetaan luokitusanalyytikkojen ja ESG-luokituksia hyväksyvien henkilöiden riippumattomuus ja tämän asetuksen tosiasiallinen noudattaminen;</w:t>
      </w:r>
    </w:p>
    <w:p w14:paraId="4381E5E1" w14:textId="0A626929" w:rsidR="008A4205" w:rsidRPr="00A7778D" w:rsidRDefault="002A7F8C" w:rsidP="002A7F8C">
      <w:pPr>
        <w:pStyle w:val="Point1"/>
        <w:rPr>
          <w:noProof/>
        </w:rPr>
      </w:pPr>
      <w:r w:rsidRPr="00A7778D">
        <w:rPr>
          <w:noProof/>
        </w:rPr>
        <w:t>c)</w:t>
      </w:r>
      <w:r w:rsidRPr="00A7778D">
        <w:rPr>
          <w:noProof/>
        </w:rPr>
        <w:tab/>
        <w:t>ESG-luokitusten tarjoajan kokoa ei ole määritelty sellaiseksi, että ESG-luokitusten tarjoaja tai ESG-luokitusten tarjoajien ryhmä sillä perusteella välttyisi noudattamasta tämän asetuksen vaatimuksia.</w:t>
      </w:r>
    </w:p>
    <w:p w14:paraId="695CC26D" w14:textId="58387EB9" w:rsidR="008A4205" w:rsidRPr="00A7778D" w:rsidRDefault="002A7F8C" w:rsidP="002A7F8C">
      <w:pPr>
        <w:pStyle w:val="ManualNumPar1"/>
        <w:rPr>
          <w:noProof/>
        </w:rPr>
      </w:pPr>
      <w:r w:rsidRPr="00A7778D">
        <w:rPr>
          <w:noProof/>
        </w:rPr>
        <w:t>2.</w:t>
      </w:r>
      <w:r w:rsidRPr="00A7778D">
        <w:rPr>
          <w:noProof/>
        </w:rPr>
        <w:tab/>
        <w:t>Jos kyseessä on ESG-luokitusten tarjoajien ryhmä, arvopaperimarkkinaviranomainen varmistaa, että vähintään yhtä ryhmään kuuluvista ESG-luokitusten tarjoajista ei vapauteta tässä asetuksessa säädetyistä vaatimuksista.</w:t>
      </w:r>
    </w:p>
    <w:p w14:paraId="269BB9B3" w14:textId="77777777" w:rsidR="00587167" w:rsidRPr="00A7778D" w:rsidRDefault="00587167" w:rsidP="00AE3920">
      <w:pPr>
        <w:pStyle w:val="NormalCentered"/>
        <w:rPr>
          <w:noProof/>
        </w:rPr>
      </w:pPr>
      <w:r w:rsidRPr="00A7778D">
        <w:rPr>
          <w:noProof/>
        </w:rPr>
        <w:t>2 LUKU</w:t>
      </w:r>
    </w:p>
    <w:p w14:paraId="3F2FC34C" w14:textId="77777777" w:rsidR="00587167" w:rsidRPr="00A7778D" w:rsidRDefault="00995E92" w:rsidP="00AE3920">
      <w:pPr>
        <w:pStyle w:val="NormalCentered"/>
        <w:rPr>
          <w:rStyle w:val="italics"/>
          <w:noProof/>
        </w:rPr>
      </w:pPr>
      <w:r w:rsidRPr="00A7778D">
        <w:rPr>
          <w:rStyle w:val="italics"/>
          <w:b/>
          <w:noProof/>
        </w:rPr>
        <w:t>Läpinäkyvyysvaatimukset</w:t>
      </w:r>
    </w:p>
    <w:p w14:paraId="26640816" w14:textId="77777777" w:rsidR="004B0A68" w:rsidRPr="00A7778D" w:rsidRDefault="004B0A68" w:rsidP="00AE3920">
      <w:pPr>
        <w:pStyle w:val="Titrearticle"/>
        <w:spacing w:line="23" w:lineRule="atLeast"/>
        <w:rPr>
          <w:noProof/>
          <w:szCs w:val="24"/>
        </w:rPr>
      </w:pPr>
      <w:r w:rsidRPr="00A7778D">
        <w:rPr>
          <w:noProof/>
        </w:rPr>
        <w:t>21 artikla</w:t>
      </w:r>
    </w:p>
    <w:p w14:paraId="669706C9" w14:textId="77777777" w:rsidR="004B0A68" w:rsidRPr="00A7778D" w:rsidRDefault="001D426A" w:rsidP="00AE3920">
      <w:pPr>
        <w:pStyle w:val="NormalCentered"/>
        <w:rPr>
          <w:b/>
          <w:bCs/>
          <w:noProof/>
        </w:rPr>
      </w:pPr>
      <w:r w:rsidRPr="00A7778D">
        <w:rPr>
          <w:b/>
          <w:noProof/>
        </w:rPr>
        <w:t>ESG-luokitustoiminnassa käytettyjen menetelmien, mallien ja keskeisten luokitusoletusten julkistaminen</w:t>
      </w:r>
    </w:p>
    <w:p w14:paraId="4AEC4235" w14:textId="69D2D4BE" w:rsidR="001A3FB2" w:rsidRPr="00A7778D" w:rsidRDefault="002A7F8C" w:rsidP="002A7F8C">
      <w:pPr>
        <w:pStyle w:val="ManualNumPar1"/>
        <w:rPr>
          <w:noProof/>
        </w:rPr>
      </w:pPr>
      <w:r w:rsidRPr="00A7778D">
        <w:rPr>
          <w:noProof/>
        </w:rPr>
        <w:t>1.</w:t>
      </w:r>
      <w:r w:rsidRPr="00A7778D">
        <w:rPr>
          <w:noProof/>
        </w:rPr>
        <w:tab/>
        <w:t>ESG-luokitusten tarjoajien on julkistettava verkkosivustollaan ESG-luokitustoiminnassaan käyttämänsä menetelmät, mallit ja keskeiset luokitusoletukset, mukaan lukien liitteessä III olevassa 1 alakohdassa tarkoitetut tiedot.</w:t>
      </w:r>
    </w:p>
    <w:p w14:paraId="64B4C863" w14:textId="431DD074" w:rsidR="00131ED6" w:rsidRPr="00A7778D" w:rsidRDefault="002A7F8C" w:rsidP="002A7F8C">
      <w:pPr>
        <w:pStyle w:val="ManualNumPar1"/>
        <w:rPr>
          <w:noProof/>
        </w:rPr>
      </w:pPr>
      <w:r w:rsidRPr="00A7778D">
        <w:rPr>
          <w:noProof/>
        </w:rPr>
        <w:t>2.</w:t>
      </w:r>
      <w:r w:rsidRPr="00A7778D">
        <w:rPr>
          <w:noProof/>
        </w:rPr>
        <w:tab/>
        <w:t>Arvopaperimarkkinaviranomainen laatii luonnoksia teknisiksi sääntelystandardeiksi, joissa täsmennetään 1 kohdan mukaisesti julkistettavat seikat.</w:t>
      </w:r>
    </w:p>
    <w:p w14:paraId="067875B4" w14:textId="2F25403A" w:rsidR="00131ED6" w:rsidRPr="00A7778D" w:rsidRDefault="002A7F8C" w:rsidP="002A7F8C">
      <w:pPr>
        <w:pStyle w:val="ManualNumPar1"/>
        <w:rPr>
          <w:noProof/>
        </w:rPr>
      </w:pPr>
      <w:r w:rsidRPr="00A7778D">
        <w:rPr>
          <w:noProof/>
        </w:rPr>
        <w:t>3.</w:t>
      </w:r>
      <w:r w:rsidRPr="00A7778D">
        <w:rPr>
          <w:noProof/>
        </w:rPr>
        <w:tab/>
        <w:t>Arvopaperimarkkinaviranomainen toimittaa nämä teknisten sääntelystandardien luonnokset komissiolle viimeistään XX XXXX XXXX.</w:t>
      </w:r>
    </w:p>
    <w:p w14:paraId="564837E8" w14:textId="77777777" w:rsidR="00131ED6" w:rsidRPr="00A7778D" w:rsidRDefault="00131ED6" w:rsidP="00166F7F">
      <w:pPr>
        <w:rPr>
          <w:noProof/>
        </w:rPr>
      </w:pPr>
      <w:r w:rsidRPr="00A7778D">
        <w:rPr>
          <w:noProof/>
        </w:rPr>
        <w:t>Siirretään komissiolle valta hyväksyä ensimmäisessä alakohdassa tarkoitetut tekniset sääntelystandardit asetuksen (EU) N:o 1095/2010 10–14 artiklassa säädettyä menettelyä noudattaen.</w:t>
      </w:r>
    </w:p>
    <w:p w14:paraId="2B959DFE" w14:textId="77777777" w:rsidR="00E42B23" w:rsidRPr="00A7778D" w:rsidRDefault="00E42B23" w:rsidP="00AE3920">
      <w:pPr>
        <w:pStyle w:val="Titrearticle"/>
        <w:spacing w:line="23" w:lineRule="atLeast"/>
        <w:rPr>
          <w:noProof/>
          <w:szCs w:val="24"/>
        </w:rPr>
      </w:pPr>
      <w:r w:rsidRPr="00A7778D">
        <w:rPr>
          <w:noProof/>
        </w:rPr>
        <w:t>22 artikla</w:t>
      </w:r>
    </w:p>
    <w:p w14:paraId="25DAE388" w14:textId="77777777" w:rsidR="00E42B23" w:rsidRPr="00A7778D" w:rsidRDefault="00131ED6" w:rsidP="00AE3920">
      <w:pPr>
        <w:pStyle w:val="NormalCentered"/>
        <w:rPr>
          <w:rStyle w:val="italics"/>
          <w:b/>
          <w:bCs/>
          <w:noProof/>
        </w:rPr>
      </w:pPr>
      <w:r w:rsidRPr="00A7778D">
        <w:rPr>
          <w:rStyle w:val="italics"/>
          <w:b/>
          <w:noProof/>
        </w:rPr>
        <w:t>ESG-luokitusten ja luokiteltujen yhteisöjen julkistaminen tilaajille</w:t>
      </w:r>
    </w:p>
    <w:p w14:paraId="59578C1B" w14:textId="04BBAE95" w:rsidR="005440F0" w:rsidRPr="00A7778D" w:rsidRDefault="002A7F8C" w:rsidP="002A7F8C">
      <w:pPr>
        <w:pStyle w:val="ManualNumPar1"/>
        <w:rPr>
          <w:noProof/>
        </w:rPr>
      </w:pPr>
      <w:r w:rsidRPr="00A7778D">
        <w:rPr>
          <w:noProof/>
        </w:rPr>
        <w:t>1.</w:t>
      </w:r>
      <w:r w:rsidRPr="00A7778D">
        <w:rPr>
          <w:noProof/>
        </w:rPr>
        <w:tab/>
        <w:t>ESG-luokitusten tarjoajien on annettava vähintään liitteessä III olevassa 2 alakohdassa tarkoitetut tiedot tilaajilleen ja luokitelluille yhteisöille.</w:t>
      </w:r>
    </w:p>
    <w:p w14:paraId="0EA6CE64" w14:textId="1AAD484F" w:rsidR="00131ED6" w:rsidRPr="00A7778D" w:rsidRDefault="002A7F8C" w:rsidP="002A7F8C">
      <w:pPr>
        <w:pStyle w:val="ManualNumPar1"/>
        <w:rPr>
          <w:noProof/>
        </w:rPr>
      </w:pPr>
      <w:r w:rsidRPr="00A7778D">
        <w:rPr>
          <w:noProof/>
        </w:rPr>
        <w:t>2.</w:t>
      </w:r>
      <w:r w:rsidRPr="00A7778D">
        <w:rPr>
          <w:noProof/>
        </w:rPr>
        <w:tab/>
        <w:t>Arvopaperimarkkinaviranomainen laatii luonnoksia teknisiksi sääntelystandardeiksi, joissa täsmennetään 1 kohdan mukaisesti julkistettavat seikat.</w:t>
      </w:r>
    </w:p>
    <w:p w14:paraId="304878FE" w14:textId="307BDBD5" w:rsidR="00131ED6" w:rsidRPr="00A7778D" w:rsidRDefault="002A7F8C" w:rsidP="002A7F8C">
      <w:pPr>
        <w:pStyle w:val="ManualNumPar1"/>
        <w:rPr>
          <w:noProof/>
        </w:rPr>
      </w:pPr>
      <w:r w:rsidRPr="00A7778D">
        <w:rPr>
          <w:noProof/>
        </w:rPr>
        <w:t>3.</w:t>
      </w:r>
      <w:r w:rsidRPr="00A7778D">
        <w:rPr>
          <w:noProof/>
        </w:rPr>
        <w:tab/>
        <w:t>Arvopaperimarkkinaviranomainen toimittaa nämä teknisten sääntelystandardien luonnokset komissiolle viimeistään XX XXXX XXXX.</w:t>
      </w:r>
    </w:p>
    <w:p w14:paraId="6756779F" w14:textId="77777777" w:rsidR="00B954FD" w:rsidRPr="00A7778D" w:rsidRDefault="00131ED6" w:rsidP="00AE3920">
      <w:pPr>
        <w:rPr>
          <w:noProof/>
        </w:rPr>
      </w:pPr>
      <w:r w:rsidRPr="00A7778D">
        <w:rPr>
          <w:noProof/>
        </w:rPr>
        <w:t>Siirretään komissiolle valta hyväksyä ensimmäisessä alakohdassa tarkoitetut tekniset sääntelystandardit asetuksen (EU) N:o 1095/2010 10–14 artiklassa säädettyä menettelyä noudattaen.</w:t>
      </w:r>
    </w:p>
    <w:p w14:paraId="7B37F64F" w14:textId="77777777" w:rsidR="00452FD1" w:rsidRPr="00A7778D" w:rsidRDefault="00452FD1" w:rsidP="00AE3920">
      <w:pPr>
        <w:pStyle w:val="NormalCentered"/>
        <w:rPr>
          <w:noProof/>
        </w:rPr>
      </w:pPr>
      <w:r w:rsidRPr="00A7778D">
        <w:rPr>
          <w:noProof/>
        </w:rPr>
        <w:t>3 LUKU</w:t>
      </w:r>
    </w:p>
    <w:p w14:paraId="2CF135F4" w14:textId="77777777" w:rsidR="00452FD1" w:rsidRPr="00A7778D" w:rsidRDefault="00D80A3A" w:rsidP="00AE3920">
      <w:pPr>
        <w:pStyle w:val="NormalCentered"/>
        <w:rPr>
          <w:rStyle w:val="italics"/>
          <w:b/>
          <w:bCs/>
          <w:noProof/>
        </w:rPr>
      </w:pPr>
      <w:r w:rsidRPr="00A7778D">
        <w:rPr>
          <w:rStyle w:val="italics"/>
          <w:b/>
          <w:noProof/>
        </w:rPr>
        <w:t>Riippumattomuus ja eturistiriidat</w:t>
      </w:r>
    </w:p>
    <w:p w14:paraId="3CAF91DB" w14:textId="77777777" w:rsidR="0057253E" w:rsidRPr="00A7778D" w:rsidRDefault="0057253E" w:rsidP="00AE3920">
      <w:pPr>
        <w:pStyle w:val="Titrearticle"/>
        <w:spacing w:line="23" w:lineRule="atLeast"/>
        <w:rPr>
          <w:noProof/>
          <w:szCs w:val="24"/>
        </w:rPr>
      </w:pPr>
      <w:r w:rsidRPr="00A7778D">
        <w:rPr>
          <w:noProof/>
        </w:rPr>
        <w:t>23 artikla</w:t>
      </w:r>
    </w:p>
    <w:p w14:paraId="367B4B96" w14:textId="77777777" w:rsidR="0057253E" w:rsidRPr="00A7778D" w:rsidRDefault="0057253E" w:rsidP="00AE3920">
      <w:pPr>
        <w:pStyle w:val="NormalCentered"/>
        <w:rPr>
          <w:rStyle w:val="italics"/>
          <w:b/>
          <w:bCs/>
          <w:noProof/>
        </w:rPr>
      </w:pPr>
      <w:r w:rsidRPr="00A7778D">
        <w:rPr>
          <w:rStyle w:val="italics"/>
          <w:b/>
          <w:noProof/>
        </w:rPr>
        <w:t>Riippumattomuus ja eturistiriitojen välttäminen</w:t>
      </w:r>
    </w:p>
    <w:p w14:paraId="330F88D8" w14:textId="14021F6A" w:rsidR="00902461" w:rsidRPr="00A7778D" w:rsidRDefault="002A7F8C" w:rsidP="002A7F8C">
      <w:pPr>
        <w:pStyle w:val="ManualNumPar1"/>
        <w:rPr>
          <w:noProof/>
        </w:rPr>
      </w:pPr>
      <w:r w:rsidRPr="00A7778D">
        <w:rPr>
          <w:noProof/>
        </w:rPr>
        <w:t>1.</w:t>
      </w:r>
      <w:r w:rsidRPr="00A7778D">
        <w:rPr>
          <w:noProof/>
        </w:rPr>
        <w:tab/>
        <w:t>ESG-luokitusten tarjoajilla on oltava käytössä vakaat hallintojärjestelyt, joihin sisältyy selkeä organisaatiorakenne, jossa on määritelty yksityiskohtaisesti, läpinäkyvästi ja kattavasti tehtävät ja vastuualueet kaikille ESG-luokitusten tarjontaan osallistuville toimijoille.</w:t>
      </w:r>
    </w:p>
    <w:p w14:paraId="760187A7" w14:textId="2C31F7F4" w:rsidR="0057253E" w:rsidRPr="00A7778D" w:rsidRDefault="002A7F8C" w:rsidP="002A7F8C">
      <w:pPr>
        <w:pStyle w:val="ManualNumPar1"/>
        <w:rPr>
          <w:noProof/>
        </w:rPr>
      </w:pPr>
      <w:r w:rsidRPr="00A7778D">
        <w:rPr>
          <w:noProof/>
        </w:rPr>
        <w:t>2.</w:t>
      </w:r>
      <w:r w:rsidRPr="00A7778D">
        <w:rPr>
          <w:noProof/>
        </w:rPr>
        <w:tab/>
        <w:t>ESG-luokitusten tarjoajien on toteutettava kaikki tarvittavat toimenpiteet sen varmistamiseksi, että annettuun ESG-luokitukseen ei vaikuta mikään olemassa oleva tai mahdollinen eturistiriita tai liikesuhde, joka liittyy ESG-luokitusten tarjoajaan tai sen sidosryhmiin, johtajiin, luokitusanalyytikoihin, työntekijöihin tai muihin luonnollisiin henkilöihin, joiden tarjoamat palvelut ovat ESG-luokitusten tarjoajien käytettävissä tai määräysvallassa, taikka kehenkään niihin määräysvallan kautta suoraan tai välillisesti sidoksissa olevaan henkilöön.</w:t>
      </w:r>
    </w:p>
    <w:p w14:paraId="33BE12EC" w14:textId="2A9834E5" w:rsidR="008C67B0" w:rsidRPr="00A7778D" w:rsidRDefault="002A7F8C" w:rsidP="002A7F8C">
      <w:pPr>
        <w:pStyle w:val="ManualNumPar1"/>
        <w:rPr>
          <w:noProof/>
        </w:rPr>
      </w:pPr>
      <w:r w:rsidRPr="00A7778D">
        <w:rPr>
          <w:noProof/>
        </w:rPr>
        <w:t>3.</w:t>
      </w:r>
      <w:r w:rsidRPr="00A7778D">
        <w:rPr>
          <w:noProof/>
        </w:rPr>
        <w:tab/>
        <w:t>Jos ESG-luokitusten tarjoajaan kohdistuu eturistiriidan riski, joka johtuu kyseisen ESG-luokitusten tarjoajan omistusrakenteesta, määräysvaltaosuuksista tai toiminnoista, mistä tahansa yhteisöstä, joka omistaa ESG-luokitusten tarjoajan tai jolla on määräysvaltaa siihen, tai ESG-luokitusten tarjoajan jostakin tytäryhtiöstä, arvopaperimarkkinaviranomainen voi vaatia ESG-luokitusten tarjoajaa toteuttamaan toimenpiteitä kyseisen riskin pienentämiseksi. Tällaisiin toimenpiteisiin voi kuulua sellaisen riippumattoman valvontatoiminnon perustaminen, jossa sidosryhmät ovat edustettuina tasapainoisella tavalla, mukaan lukien ESG-luokitusten käyttäjät ja tällaisiin luokituksiin myötävaikuttavat tahot.</w:t>
      </w:r>
    </w:p>
    <w:p w14:paraId="1DE8A7F3" w14:textId="77777777" w:rsidR="008C67B0" w:rsidRPr="00A7778D" w:rsidRDefault="00FE2FC3" w:rsidP="00AE3920">
      <w:pPr>
        <w:rPr>
          <w:noProof/>
        </w:rPr>
      </w:pPr>
      <w:r w:rsidRPr="00A7778D">
        <w:rPr>
          <w:noProof/>
        </w:rPr>
        <w:t>Jos ensimmäisessä alakohdassa tarkoitettua eturistiriitaa ei voida hallita asianmukaisesti, arvopaperimarkkinaviranomainen voi vaatia ESG-luokitusten tarjoajaa lopettamaan toimet tai suhteet, jotka aiheuttavat eturistiriidan, tai vaatia ESG-luokitusten tarjoajaa lopettamaan ESG-luokitusten antamisen.</w:t>
      </w:r>
    </w:p>
    <w:p w14:paraId="017FE24F" w14:textId="69ACF0A1" w:rsidR="008C67B0" w:rsidRPr="00A7778D" w:rsidRDefault="002A7F8C" w:rsidP="002A7F8C">
      <w:pPr>
        <w:pStyle w:val="ManualNumPar1"/>
        <w:rPr>
          <w:noProof/>
        </w:rPr>
      </w:pPr>
      <w:r w:rsidRPr="00A7778D">
        <w:rPr>
          <w:noProof/>
        </w:rPr>
        <w:t>4.</w:t>
      </w:r>
      <w:r w:rsidRPr="00A7778D">
        <w:rPr>
          <w:noProof/>
        </w:rPr>
        <w:tab/>
        <w:t>ESG-luokitusten tarjoajien on ilmoitettava arvopaperimarkkinaviranomaiselle kaikki olemassa olevat tai mahdolliset eturistiriidat, mukaan lukien eturistiriidat, jotka johtuvat ESG-luokitusten tarjoajien omistuksesta tai määräysvallasta tällaisiin tarjoajiin.</w:t>
      </w:r>
    </w:p>
    <w:p w14:paraId="221999B0" w14:textId="4F617AB2" w:rsidR="008C67B0" w:rsidRPr="00A7778D" w:rsidRDefault="002A7F8C" w:rsidP="002A7F8C">
      <w:pPr>
        <w:pStyle w:val="ManualNumPar1"/>
        <w:rPr>
          <w:noProof/>
        </w:rPr>
      </w:pPr>
      <w:r w:rsidRPr="00A7778D">
        <w:rPr>
          <w:noProof/>
        </w:rPr>
        <w:t>5.</w:t>
      </w:r>
      <w:r w:rsidRPr="00A7778D">
        <w:rPr>
          <w:noProof/>
        </w:rPr>
        <w:tab/>
        <w:t>ESG-luokitusten tarjoajien on otettava käyttöön ja pantava täytäntöön toimintaperiaatteet, menettelyt ja tehokkaat organisaatiojärjestelyt eturistiriitojen tunnistamiseksi, julkistamiseksi, ehkäisemiseksi, hallitsemiseksi ja vähentämiseksi. ESG-luokitusten tarjoajien on säännöllisesti tarkasteltava ja päivitettävä näitä toimintaperiaatteita, menettelyjä ja järjestelyjä. Näillä toimintaperiaatteilla, menettelyillä ja järjestelyillä on erityisesti estettävä, hallittava ja lievennettävä eturistiriitoja, jotka johtuvat ESG-luokitusten tarjoajan omistuksesta tai määräysvallasta tällaiseen tarjoajaan tai muista omistusoikeuksista ESG-luokitusten tarjoajan ryhmässä tai jotka johtuvat muista henkilöistä, joilla on vaikutusvaltaa tai määräysvaltaa ESG-luokitusten tarjoajaan ESG-luokitusten määrittämisessä.</w:t>
      </w:r>
    </w:p>
    <w:p w14:paraId="4B29B620" w14:textId="38F2A2EF" w:rsidR="00BF1B84" w:rsidRPr="00A7778D" w:rsidRDefault="002A7F8C" w:rsidP="002A7F8C">
      <w:pPr>
        <w:pStyle w:val="ManualNumPar1"/>
        <w:rPr>
          <w:noProof/>
        </w:rPr>
      </w:pPr>
      <w:r w:rsidRPr="00A7778D">
        <w:rPr>
          <w:noProof/>
        </w:rPr>
        <w:t>6.</w:t>
      </w:r>
      <w:r w:rsidRPr="00A7778D">
        <w:rPr>
          <w:noProof/>
        </w:rPr>
        <w:tab/>
        <w:t>ESG-luokitusten tarjoajien on tarkasteltava toimintaansa mahdollisten eturistiriitojen tunnistamiseksi vähintään kerran vuodessa.</w:t>
      </w:r>
    </w:p>
    <w:p w14:paraId="1A3CD004" w14:textId="77777777" w:rsidR="00854F58" w:rsidRPr="00A7778D" w:rsidRDefault="00854F58" w:rsidP="00AE3920">
      <w:pPr>
        <w:pStyle w:val="Titrearticle"/>
        <w:spacing w:line="23" w:lineRule="atLeast"/>
        <w:rPr>
          <w:noProof/>
          <w:szCs w:val="24"/>
        </w:rPr>
      </w:pPr>
      <w:r w:rsidRPr="00A7778D">
        <w:rPr>
          <w:noProof/>
        </w:rPr>
        <w:t>24 artikla</w:t>
      </w:r>
    </w:p>
    <w:p w14:paraId="2A04F848" w14:textId="77777777" w:rsidR="00854F58" w:rsidRPr="00A7778D" w:rsidRDefault="00854F58" w:rsidP="00AE3920">
      <w:pPr>
        <w:pStyle w:val="NormalCentered"/>
        <w:rPr>
          <w:b/>
          <w:bCs/>
          <w:noProof/>
        </w:rPr>
      </w:pPr>
      <w:r w:rsidRPr="00A7778D">
        <w:rPr>
          <w:b/>
          <w:noProof/>
        </w:rPr>
        <w:t>Työntekijöistä aiheutuvien mahdollisten eturistiriitojen hallinta</w:t>
      </w:r>
    </w:p>
    <w:p w14:paraId="1BB598EE" w14:textId="35AC9591" w:rsidR="00854F58" w:rsidRPr="00A7778D" w:rsidRDefault="002A7F8C" w:rsidP="002A7F8C">
      <w:pPr>
        <w:pStyle w:val="ManualNumPar1"/>
        <w:rPr>
          <w:noProof/>
        </w:rPr>
      </w:pPr>
      <w:r w:rsidRPr="00A7778D">
        <w:rPr>
          <w:noProof/>
        </w:rPr>
        <w:t>1.</w:t>
      </w:r>
      <w:r w:rsidRPr="00A7778D">
        <w:rPr>
          <w:noProof/>
        </w:rPr>
        <w:tab/>
        <w:t>ESG-luokitusten tarjoajien on varmistettava, että niiden työntekijät ja muut luonnolliset henkilöt, joiden palvelut ovat tarjoajien käytettävissä tai määräysvallassa ja jotka osallistuvat suoraan ESG-luokituksen antamiseen, täyttävät seuraavat vaatimukset:</w:t>
      </w:r>
    </w:p>
    <w:p w14:paraId="20B8B3D6" w14:textId="71787850" w:rsidR="00854F58" w:rsidRPr="00A7778D" w:rsidRDefault="002A7F8C" w:rsidP="002A7F8C">
      <w:pPr>
        <w:pStyle w:val="Point1"/>
        <w:rPr>
          <w:noProof/>
        </w:rPr>
      </w:pPr>
      <w:r w:rsidRPr="00A7778D">
        <w:rPr>
          <w:noProof/>
        </w:rPr>
        <w:t>a)</w:t>
      </w:r>
      <w:r w:rsidRPr="00A7778D">
        <w:rPr>
          <w:noProof/>
        </w:rPr>
        <w:tab/>
        <w:t>heillä on tarvittava osaaminen tehtäviensä suorittamiseksi, ja heitä johdetaan ja valvotaan tehokkaasti;</w:t>
      </w:r>
    </w:p>
    <w:p w14:paraId="68D7D642" w14:textId="798B563E" w:rsidR="00D84072" w:rsidRPr="00A7778D" w:rsidRDefault="002A7F8C" w:rsidP="002A7F8C">
      <w:pPr>
        <w:pStyle w:val="Point1"/>
        <w:rPr>
          <w:noProof/>
        </w:rPr>
      </w:pPr>
      <w:r w:rsidRPr="00A7778D">
        <w:rPr>
          <w:noProof/>
        </w:rPr>
        <w:t>b)</w:t>
      </w:r>
      <w:r w:rsidRPr="00A7778D">
        <w:rPr>
          <w:noProof/>
        </w:rPr>
        <w:tab/>
        <w:t>heihin ei kohdistu sopimatonta vaikuttamista tai eturistiriitoja;</w:t>
      </w:r>
    </w:p>
    <w:p w14:paraId="3B4380B0" w14:textId="13D550D9" w:rsidR="00854F58" w:rsidRPr="00A7778D" w:rsidRDefault="002A7F8C" w:rsidP="002A7F8C">
      <w:pPr>
        <w:pStyle w:val="Point1"/>
        <w:rPr>
          <w:noProof/>
        </w:rPr>
      </w:pPr>
      <w:r w:rsidRPr="00A7778D">
        <w:rPr>
          <w:noProof/>
        </w:rPr>
        <w:t>c)</w:t>
      </w:r>
      <w:r w:rsidRPr="00A7778D">
        <w:rPr>
          <w:noProof/>
        </w:rPr>
        <w:tab/>
        <w:t>heille maksettavat korvaukset ja heidän suoritustensa arviointi eivät aiheuta eturistiriitoja tai muulla tavoin vaikuta ESG-luokitusten määrittämismenettelyn luotettavuuteen;</w:t>
      </w:r>
    </w:p>
    <w:p w14:paraId="27ACAA31" w14:textId="73A17368" w:rsidR="00854F58" w:rsidRPr="00A7778D" w:rsidRDefault="002A7F8C" w:rsidP="002A7F8C">
      <w:pPr>
        <w:pStyle w:val="Point1"/>
        <w:rPr>
          <w:noProof/>
        </w:rPr>
      </w:pPr>
      <w:r w:rsidRPr="00A7778D">
        <w:rPr>
          <w:noProof/>
        </w:rPr>
        <w:t>d)</w:t>
      </w:r>
      <w:r w:rsidRPr="00A7778D">
        <w:rPr>
          <w:noProof/>
        </w:rPr>
        <w:tab/>
        <w:t>heillä ei ole henkilökohtaisia etuja tai liikesuhteita, jotka vaarantaisivat kyseisen ESG-luokitusten tarjoajan toiminnan;</w:t>
      </w:r>
    </w:p>
    <w:p w14:paraId="2609F3DE" w14:textId="73433050" w:rsidR="00854F58" w:rsidRPr="00A7778D" w:rsidRDefault="002A7F8C" w:rsidP="002A7F8C">
      <w:pPr>
        <w:pStyle w:val="Point1"/>
        <w:rPr>
          <w:noProof/>
        </w:rPr>
      </w:pPr>
      <w:r w:rsidRPr="00A7778D">
        <w:rPr>
          <w:noProof/>
        </w:rPr>
        <w:t>e)</w:t>
      </w:r>
      <w:r w:rsidRPr="00A7778D">
        <w:rPr>
          <w:noProof/>
        </w:rPr>
        <w:tab/>
        <w:t>heillä ei ole lupaa osallistua ESG-luokituksen määrittämiseen tekemällä osto- tai myyntitarjouksia tai kauppoja henkilökohtaisesti tai markkinatoimijoiden puolesta, paitsi jos tällaista osallistumista nimenomaisesti edellytetään osana ESG-luokitusmenetelmiä ja jos siihen sovelletaan tässä yhteydessä annettuja erityissääntöjä;</w:t>
      </w:r>
    </w:p>
    <w:p w14:paraId="66DD4BDC" w14:textId="7D02E61F" w:rsidR="00854F58" w:rsidRPr="00A7778D" w:rsidRDefault="002A7F8C" w:rsidP="002A7F8C">
      <w:pPr>
        <w:pStyle w:val="Point1"/>
        <w:rPr>
          <w:noProof/>
        </w:rPr>
      </w:pPr>
      <w:r w:rsidRPr="00A7778D">
        <w:rPr>
          <w:noProof/>
        </w:rPr>
        <w:t>f)</w:t>
      </w:r>
      <w:r w:rsidRPr="00A7778D">
        <w:rPr>
          <w:noProof/>
        </w:rPr>
        <w:tab/>
        <w:t>heihin sovelletaan tehokkaita menettelyjä, joilla valvotaan tietojenvaihtoa muiden sellaisiin toimintoihin osallistuvien työntekijöiden kanssa, jotka voivat aiheuttaa eturistiriitojen vaaran, tai kolmansien osapuolten kanssa tilanteissa, joissa kyseiset tiedot voivat vaikuttaa ESG-luokitukseen.</w:t>
      </w:r>
    </w:p>
    <w:p w14:paraId="52B42A50" w14:textId="5437D568" w:rsidR="00842C2A" w:rsidRPr="00A7778D" w:rsidRDefault="002A7F8C" w:rsidP="002A7F8C">
      <w:pPr>
        <w:pStyle w:val="ManualNumPar1"/>
        <w:rPr>
          <w:noProof/>
        </w:rPr>
      </w:pPr>
      <w:r w:rsidRPr="00A7778D">
        <w:rPr>
          <w:noProof/>
        </w:rPr>
        <w:t>2.</w:t>
      </w:r>
      <w:r w:rsidRPr="00A7778D">
        <w:rPr>
          <w:noProof/>
        </w:rPr>
        <w:tab/>
        <w:t>ESG-luokitusten tarjoajien on omaksuttava erityiset sisäiset tarkastusmenettelyt, joilla varmistetaan ESG-luokituksen määrittävän työntekijän tai henkilön rehellisyys ja luotettavuus, mukaan luettuna ESG-luokituksen hyväksyttäminen johdolla ennen sen levittämistä.</w:t>
      </w:r>
    </w:p>
    <w:p w14:paraId="64C80E69" w14:textId="77777777" w:rsidR="001F5774" w:rsidRPr="00A7778D" w:rsidRDefault="001F5774" w:rsidP="00AE3920">
      <w:pPr>
        <w:pStyle w:val="Titrearticle"/>
        <w:spacing w:line="23" w:lineRule="atLeast"/>
        <w:rPr>
          <w:noProof/>
          <w:szCs w:val="24"/>
        </w:rPr>
      </w:pPr>
      <w:r w:rsidRPr="00A7778D">
        <w:rPr>
          <w:noProof/>
        </w:rPr>
        <w:t>25 artikla</w:t>
      </w:r>
    </w:p>
    <w:p w14:paraId="69DDB9B1" w14:textId="77777777" w:rsidR="001F5774" w:rsidRPr="00A7778D" w:rsidRDefault="001F5774" w:rsidP="00AE3920">
      <w:pPr>
        <w:pStyle w:val="NormalCentered"/>
        <w:rPr>
          <w:b/>
          <w:bCs/>
          <w:noProof/>
        </w:rPr>
      </w:pPr>
      <w:r w:rsidRPr="00A7778D">
        <w:rPr>
          <w:b/>
          <w:noProof/>
        </w:rPr>
        <w:t>ESG-luokitusten käyttäjien oikeudenmukainen, kohtuullinen, läpinäkyvä ja syrjimätön kohtelu</w:t>
      </w:r>
    </w:p>
    <w:p w14:paraId="7A29BC8D" w14:textId="25F1877A" w:rsidR="001F5774" w:rsidRPr="00A7778D" w:rsidRDefault="002A7F8C" w:rsidP="002A7F8C">
      <w:pPr>
        <w:pStyle w:val="ManualNumPar1"/>
        <w:rPr>
          <w:noProof/>
        </w:rPr>
      </w:pPr>
      <w:r w:rsidRPr="00A7778D">
        <w:rPr>
          <w:noProof/>
        </w:rPr>
        <w:t>1.</w:t>
      </w:r>
      <w:r w:rsidRPr="00A7778D">
        <w:rPr>
          <w:noProof/>
        </w:rPr>
        <w:tab/>
        <w:t>ESG-luokitusten tarjoajien on toteutettava riittävät toimenpiteet sen varmistamiseksi, että asiakkailta perittävät maksut ovat oikeudenmukaisia, kohtuullisia, läpinäkyviä ja syrjimättömiä ja perustuvat kustannuksiin.</w:t>
      </w:r>
    </w:p>
    <w:p w14:paraId="2E3353BA" w14:textId="757CE66B" w:rsidR="001F5774" w:rsidRPr="00A7778D" w:rsidRDefault="002A7F8C" w:rsidP="002A7F8C">
      <w:pPr>
        <w:pStyle w:val="ManualNumPar1"/>
        <w:rPr>
          <w:noProof/>
        </w:rPr>
      </w:pPr>
      <w:r w:rsidRPr="00A7778D">
        <w:rPr>
          <w:noProof/>
        </w:rPr>
        <w:t>2.</w:t>
      </w:r>
      <w:r w:rsidRPr="00A7778D">
        <w:rPr>
          <w:noProof/>
        </w:rPr>
        <w:tab/>
        <w:t>Sovellettaessa 1 kohtaa arvopaperimarkkinaviranomainen voi vaatia ESG-luokitusten tarjoajia toimittamaan sille asiakirjatodisteita, toteuttaa 33 artiklan mukaisia valvontatoimenpiteitä ja päättää määrätä sakkoja 34 artiklan mukaisesti, jos se toteaa, että ESG-luokitusten tarjoajien maksut eivät ole oikeudenmukaisia, kohtuullisia, läpinäkyviä ja syrjimättömiä eivätkä perustu todellisiin kustannuksiin.</w:t>
      </w:r>
    </w:p>
    <w:p w14:paraId="021FCCA2" w14:textId="77777777" w:rsidR="002A1E40" w:rsidRPr="00A7778D" w:rsidRDefault="002A1E40" w:rsidP="00AE3920">
      <w:pPr>
        <w:pStyle w:val="NormalCentered"/>
        <w:rPr>
          <w:noProof/>
        </w:rPr>
      </w:pPr>
      <w:r w:rsidRPr="00A7778D">
        <w:rPr>
          <w:noProof/>
        </w:rPr>
        <w:t>4 LUKU</w:t>
      </w:r>
    </w:p>
    <w:p w14:paraId="18FA0FF6" w14:textId="77777777" w:rsidR="002A1E40" w:rsidRPr="00A7778D" w:rsidRDefault="002A1E40" w:rsidP="00AE3920">
      <w:pPr>
        <w:pStyle w:val="NormalCentered"/>
        <w:rPr>
          <w:rStyle w:val="italics"/>
          <w:b/>
          <w:bCs/>
          <w:noProof/>
        </w:rPr>
      </w:pPr>
      <w:r w:rsidRPr="00A7778D">
        <w:rPr>
          <w:rStyle w:val="italics"/>
          <w:b/>
          <w:noProof/>
        </w:rPr>
        <w:t>Arvopaperimarkkinaviranomaisen harjoittama valvonta</w:t>
      </w:r>
    </w:p>
    <w:p w14:paraId="4C43112F" w14:textId="77777777" w:rsidR="00F3549F" w:rsidRPr="00A7778D" w:rsidRDefault="00F3549F" w:rsidP="00D30117">
      <w:pPr>
        <w:pStyle w:val="NormalCentered"/>
        <w:rPr>
          <w:noProof/>
        </w:rPr>
      </w:pPr>
      <w:r w:rsidRPr="00A7778D">
        <w:rPr>
          <w:noProof/>
        </w:rPr>
        <w:t>1 jakso</w:t>
      </w:r>
    </w:p>
    <w:p w14:paraId="43F70720" w14:textId="77777777" w:rsidR="00D30117" w:rsidRPr="00A7778D" w:rsidRDefault="00D30117" w:rsidP="00D30117">
      <w:pPr>
        <w:pStyle w:val="NormalCentered"/>
        <w:rPr>
          <w:b/>
          <w:bCs/>
          <w:noProof/>
        </w:rPr>
      </w:pPr>
      <w:r w:rsidRPr="00A7778D">
        <w:rPr>
          <w:b/>
          <w:noProof/>
        </w:rPr>
        <w:t>Yleiset periaatteet</w:t>
      </w:r>
    </w:p>
    <w:p w14:paraId="76D9224D" w14:textId="77777777" w:rsidR="00EC7BC1" w:rsidRPr="00A7778D" w:rsidRDefault="00EC7BC1" w:rsidP="00D30117">
      <w:pPr>
        <w:pStyle w:val="Titrearticle"/>
        <w:spacing w:line="23" w:lineRule="atLeast"/>
        <w:rPr>
          <w:noProof/>
          <w:szCs w:val="24"/>
        </w:rPr>
      </w:pPr>
      <w:r w:rsidRPr="00A7778D">
        <w:rPr>
          <w:noProof/>
        </w:rPr>
        <w:t xml:space="preserve">26 artikla </w:t>
      </w:r>
    </w:p>
    <w:p w14:paraId="0305CF59" w14:textId="77777777" w:rsidR="00315E45" w:rsidRPr="00A7778D" w:rsidRDefault="7E622CAA" w:rsidP="00D30117">
      <w:pPr>
        <w:pStyle w:val="NormalCentered"/>
        <w:rPr>
          <w:b/>
          <w:bCs/>
          <w:noProof/>
        </w:rPr>
      </w:pPr>
      <w:r w:rsidRPr="00A7778D">
        <w:rPr>
          <w:b/>
          <w:noProof/>
        </w:rPr>
        <w:t>Luokitusten tai menetelmien sisältöön puuttumatta jättäminen</w:t>
      </w:r>
    </w:p>
    <w:p w14:paraId="10F0480D" w14:textId="77777777" w:rsidR="00315E45" w:rsidRPr="00A7778D" w:rsidRDefault="00315E45" w:rsidP="00D30117">
      <w:pPr>
        <w:rPr>
          <w:noProof/>
        </w:rPr>
      </w:pPr>
      <w:r w:rsidRPr="00A7778D">
        <w:rPr>
          <w:noProof/>
        </w:rPr>
        <w:t>Hoitaessaan tämän asetuksen mukaisia tehtäviään arvopaperimarkkinaviranomainen, komissio tai jäsenvaltion viranomaiset eivät saa puuttua ESG-luokitusten tai -menetelmien sisältöön.</w:t>
      </w:r>
    </w:p>
    <w:p w14:paraId="6D08CF79" w14:textId="77777777" w:rsidR="00C97940" w:rsidRPr="00A7778D" w:rsidRDefault="30E567D8" w:rsidP="00D30117">
      <w:pPr>
        <w:pStyle w:val="Titrearticle"/>
        <w:spacing w:line="23" w:lineRule="atLeast"/>
        <w:rPr>
          <w:noProof/>
          <w:szCs w:val="24"/>
        </w:rPr>
      </w:pPr>
      <w:r w:rsidRPr="00A7778D">
        <w:rPr>
          <w:noProof/>
        </w:rPr>
        <w:t>27 artikla</w:t>
      </w:r>
    </w:p>
    <w:p w14:paraId="060C4102" w14:textId="77777777" w:rsidR="00C97940" w:rsidRPr="00A7778D" w:rsidRDefault="30E567D8" w:rsidP="00D30117">
      <w:pPr>
        <w:pStyle w:val="NormalCentered"/>
        <w:rPr>
          <w:b/>
          <w:bCs/>
          <w:noProof/>
        </w:rPr>
      </w:pPr>
      <w:r w:rsidRPr="00A7778D">
        <w:rPr>
          <w:b/>
          <w:noProof/>
        </w:rPr>
        <w:t>Arvopaperimarkkinaviranomainen</w:t>
      </w:r>
    </w:p>
    <w:p w14:paraId="1F269A82" w14:textId="1F17F774" w:rsidR="00C97940" w:rsidRPr="00A7778D" w:rsidRDefault="002A7F8C" w:rsidP="002A7F8C">
      <w:pPr>
        <w:pStyle w:val="ManualNumPar1"/>
        <w:rPr>
          <w:noProof/>
        </w:rPr>
      </w:pPr>
      <w:r w:rsidRPr="00A7778D">
        <w:rPr>
          <w:noProof/>
        </w:rPr>
        <w:t>1.</w:t>
      </w:r>
      <w:r w:rsidRPr="00A7778D">
        <w:rPr>
          <w:noProof/>
        </w:rPr>
        <w:tab/>
        <w:t>Asetuksen (EU) N:o 1095/2010 16 artiklan mukaisesti arvopaperimarkkinaviranomainen antaa ja päivittää ohjeita arvopaperimarkkinaviranomaisen ja toimivaltaisten viranomaisten välisestä yhteistyöstä tämän asetuksen soveltamiseksi, mukaan lukien tehtävien siirtämistä koskevat menettelyt ja yksityiskohtaiset edellytykset.</w:t>
      </w:r>
    </w:p>
    <w:p w14:paraId="27022A38" w14:textId="02D777B4" w:rsidR="00C97940" w:rsidRPr="00A7778D" w:rsidRDefault="002A7F8C" w:rsidP="002A7F8C">
      <w:pPr>
        <w:pStyle w:val="ManualNumPar1"/>
        <w:rPr>
          <w:noProof/>
        </w:rPr>
      </w:pPr>
      <w:r w:rsidRPr="00A7778D">
        <w:rPr>
          <w:noProof/>
        </w:rPr>
        <w:t>2.</w:t>
      </w:r>
      <w:r w:rsidRPr="00A7778D">
        <w:rPr>
          <w:noProof/>
        </w:rPr>
        <w:tab/>
        <w:t>Asetuksen (EU) N:o 1095/2010 16 artiklan mukaisesti arvopaperimarkkinaviranomainen esittää ja päivittää yhteistyössä Euroopan pankkiviranomaisen ja Euroopan vakuutus- ja lisäeläkeviranomaisen kanssa viimeistään XX XXXX XXXX ohjeet, jotka koskevat tämän asetuksen 10 kohdan artiklan mukaisen hyväksymisjärjestelmän soveltamista.</w:t>
      </w:r>
    </w:p>
    <w:p w14:paraId="191A7AA4" w14:textId="5C7B5778" w:rsidR="00486635" w:rsidRPr="00A7778D" w:rsidRDefault="002A7F8C" w:rsidP="002A7F8C">
      <w:pPr>
        <w:pStyle w:val="ManualNumPar1"/>
        <w:rPr>
          <w:noProof/>
        </w:rPr>
      </w:pPr>
      <w:r w:rsidRPr="00A7778D">
        <w:rPr>
          <w:noProof/>
        </w:rPr>
        <w:t>3.</w:t>
      </w:r>
      <w:r w:rsidRPr="00A7778D">
        <w:rPr>
          <w:noProof/>
        </w:rPr>
        <w:tab/>
        <w:t>Arvopaperimarkkinaviranomainen julkaisee vuosikertomuksen tämän asetuksen soveltamisesta, mukaan lukien arvopaperimarkkinaviranomaisen tämän asetuksen nojalla toteuttamista valvontatoimenpiteistä ja määräämistä seuraamuksista, myös sakoista ja uhkasakoista. Kertomukseen on sisällyttävä erityisesti tiedot ESG-luokitusten markkinoiden kehityksestä ja arvio 9, 10 ja 11 artiklassa tarkoitettujen kolmansien maiden järjestelmien soveltamisesta.</w:t>
      </w:r>
    </w:p>
    <w:p w14:paraId="27DFA651" w14:textId="77777777" w:rsidR="00486635" w:rsidRPr="00A7778D" w:rsidRDefault="7BEC128F" w:rsidP="00D30117">
      <w:pPr>
        <w:rPr>
          <w:noProof/>
        </w:rPr>
      </w:pPr>
      <w:r w:rsidRPr="00A7778D">
        <w:rPr>
          <w:noProof/>
        </w:rPr>
        <w:t>Arvopaperimarkkinaviranomainen esittää ensimmäisessä alakohdassa tarkoitetun vuosikertomuksen Euroopan parlamentille, neuvostolle ja komissiolle.</w:t>
      </w:r>
    </w:p>
    <w:p w14:paraId="49FC48DE" w14:textId="6A731862" w:rsidR="00486635" w:rsidRPr="00A7778D" w:rsidRDefault="002A7F8C" w:rsidP="002A7F8C">
      <w:pPr>
        <w:pStyle w:val="ManualNumPar1"/>
        <w:rPr>
          <w:noProof/>
        </w:rPr>
      </w:pPr>
      <w:r w:rsidRPr="00A7778D">
        <w:rPr>
          <w:noProof/>
        </w:rPr>
        <w:t>4.</w:t>
      </w:r>
      <w:r w:rsidRPr="00A7778D">
        <w:rPr>
          <w:noProof/>
        </w:rPr>
        <w:tab/>
        <w:t>Arvopaperiviranomainen tekee yhteistyötä Euroopan pankkiviranomaisen ja Euroopan vakuutus- ja lisäeläkeviranomaisen kanssa hoitaessaan tehtäviään ja kuulee Euroopan pankkiviranomaista ja Euroopan vakuutus- ja lisäeläkeviranomaista ennen ohjeiden antamista ja päivittämistä sekä teknisten sääntelystandardien luonnosten toimittamista.</w:t>
      </w:r>
    </w:p>
    <w:p w14:paraId="6E844583" w14:textId="77777777" w:rsidR="00862008" w:rsidRPr="00A7778D" w:rsidRDefault="00862008" w:rsidP="00027382">
      <w:pPr>
        <w:pStyle w:val="Titrearticle"/>
        <w:spacing w:line="23" w:lineRule="atLeast"/>
        <w:rPr>
          <w:noProof/>
          <w:szCs w:val="24"/>
        </w:rPr>
      </w:pPr>
      <w:r w:rsidRPr="00A7778D">
        <w:rPr>
          <w:noProof/>
        </w:rPr>
        <w:t>28 artikla</w:t>
      </w:r>
    </w:p>
    <w:p w14:paraId="636B9CC3" w14:textId="77777777" w:rsidR="00862008" w:rsidRPr="00A7778D" w:rsidRDefault="00862008" w:rsidP="00027382">
      <w:pPr>
        <w:pStyle w:val="NormalCentered"/>
        <w:rPr>
          <w:rStyle w:val="italics"/>
          <w:b/>
          <w:bCs/>
          <w:noProof/>
        </w:rPr>
      </w:pPr>
      <w:r w:rsidRPr="00A7778D">
        <w:rPr>
          <w:rStyle w:val="italics"/>
          <w:b/>
          <w:noProof/>
        </w:rPr>
        <w:t>Toimivaltaiset viranomaiset</w:t>
      </w:r>
    </w:p>
    <w:p w14:paraId="3269CD84" w14:textId="2509223C" w:rsidR="00027382" w:rsidRPr="00A7778D" w:rsidRDefault="002A7F8C" w:rsidP="002A7F8C">
      <w:pPr>
        <w:pStyle w:val="ManualNumPar1"/>
        <w:rPr>
          <w:noProof/>
        </w:rPr>
      </w:pPr>
      <w:r w:rsidRPr="00A7778D">
        <w:rPr>
          <w:noProof/>
        </w:rPr>
        <w:t>1.</w:t>
      </w:r>
      <w:r w:rsidRPr="00A7778D">
        <w:rPr>
          <w:noProof/>
        </w:rPr>
        <w:tab/>
        <w:t>Jokaisen jäsenvaltion on nimettävä toimivaltainen viranomainen tämän asetuksen soveltamista varten viimeistään XX XXXX XXXX.</w:t>
      </w:r>
    </w:p>
    <w:p w14:paraId="1FFE1147" w14:textId="675AE4D1" w:rsidR="00862008" w:rsidRPr="00A7778D" w:rsidRDefault="002A7F8C" w:rsidP="002A7F8C">
      <w:pPr>
        <w:pStyle w:val="ManualNumPar1"/>
        <w:rPr>
          <w:noProof/>
        </w:rPr>
      </w:pPr>
      <w:r w:rsidRPr="00A7778D">
        <w:rPr>
          <w:noProof/>
        </w:rPr>
        <w:t>2.</w:t>
      </w:r>
      <w:r w:rsidRPr="00A7778D">
        <w:rPr>
          <w:noProof/>
        </w:rPr>
        <w:tab/>
        <w:t>Toimivaltaisilla viranomaisilla on oltava tämän asetuksen soveltamiseksi asianmukainen henkilöstö, jolla on riittävät valmiudet ja asiantuntemus.</w:t>
      </w:r>
    </w:p>
    <w:p w14:paraId="70E99FD7" w14:textId="77777777" w:rsidR="00D61B65" w:rsidRPr="00A7778D" w:rsidRDefault="00D61B65" w:rsidP="00027382">
      <w:pPr>
        <w:pStyle w:val="Titrearticle"/>
        <w:spacing w:line="23" w:lineRule="atLeast"/>
        <w:rPr>
          <w:noProof/>
          <w:szCs w:val="24"/>
        </w:rPr>
      </w:pPr>
      <w:r w:rsidRPr="00A7778D">
        <w:rPr>
          <w:noProof/>
        </w:rPr>
        <w:t>29 artikla</w:t>
      </w:r>
    </w:p>
    <w:p w14:paraId="4DA5ED25" w14:textId="77777777" w:rsidR="00D61B65" w:rsidRPr="00A7778D" w:rsidRDefault="00D61B65" w:rsidP="00027382">
      <w:pPr>
        <w:pStyle w:val="NormalCentered"/>
        <w:rPr>
          <w:b/>
          <w:bCs/>
          <w:noProof/>
        </w:rPr>
      </w:pPr>
      <w:r w:rsidRPr="00A7778D">
        <w:rPr>
          <w:b/>
          <w:noProof/>
        </w:rPr>
        <w:t xml:space="preserve">30–32 artiklassa tarkoitettujen valtuuksien käyttö </w:t>
      </w:r>
    </w:p>
    <w:p w14:paraId="71878FF6" w14:textId="77777777" w:rsidR="00D61B65" w:rsidRPr="00A7778D" w:rsidRDefault="00D61B65" w:rsidP="00162B2D">
      <w:pPr>
        <w:rPr>
          <w:noProof/>
        </w:rPr>
      </w:pPr>
      <w:r w:rsidRPr="00A7778D">
        <w:rPr>
          <w:noProof/>
        </w:rPr>
        <w:t>Arvopaperimarkkinaviranomaisen tai arvopaperimarkkinaviranomaisen virkamiehen tai arvopaperimarkkinaviranomaisen valtuuttaman muun henkilön 30–32 artiklan mukaisesti saamia valtuuksia ei saa käyttää lakisääteisen salassapitovelvollisuuden piiriin kuuluvien tietojen tai asiakirjojen julkistamisen vaatimiseen.</w:t>
      </w:r>
    </w:p>
    <w:p w14:paraId="78AAC34E" w14:textId="77777777" w:rsidR="002A1E40" w:rsidRPr="00A7778D" w:rsidRDefault="002A1E40" w:rsidP="00027382">
      <w:pPr>
        <w:pStyle w:val="Titrearticle"/>
        <w:spacing w:line="23" w:lineRule="atLeast"/>
        <w:rPr>
          <w:noProof/>
          <w:szCs w:val="24"/>
        </w:rPr>
      </w:pPr>
      <w:r w:rsidRPr="00A7778D">
        <w:rPr>
          <w:noProof/>
        </w:rPr>
        <w:t>30 artikla</w:t>
      </w:r>
    </w:p>
    <w:p w14:paraId="4A1379C0" w14:textId="77777777" w:rsidR="00355E72" w:rsidRPr="00A7778D" w:rsidRDefault="319F5F9E" w:rsidP="00027382">
      <w:pPr>
        <w:pStyle w:val="NormalCentered"/>
        <w:rPr>
          <w:b/>
          <w:bCs/>
          <w:noProof/>
        </w:rPr>
      </w:pPr>
      <w:r w:rsidRPr="00A7778D">
        <w:rPr>
          <w:b/>
          <w:noProof/>
        </w:rPr>
        <w:t>Tietopyynnöt</w:t>
      </w:r>
    </w:p>
    <w:p w14:paraId="6832A2AC" w14:textId="7BC8F48E" w:rsidR="00355E72" w:rsidRPr="00A7778D" w:rsidRDefault="002A7F8C" w:rsidP="002A7F8C">
      <w:pPr>
        <w:pStyle w:val="ManualNumPar1"/>
        <w:rPr>
          <w:noProof/>
        </w:rPr>
      </w:pPr>
      <w:r w:rsidRPr="00A7778D">
        <w:rPr>
          <w:noProof/>
        </w:rPr>
        <w:t>1.</w:t>
      </w:r>
      <w:r w:rsidRPr="00A7778D">
        <w:rPr>
          <w:noProof/>
        </w:rPr>
        <w:tab/>
        <w:t>Arvopaperimarkkinaviranomainen voi pelkällä pyynnöllä tai päätöksellä vaatia ESG-luokitusten tarjoajia, ESG-luokitustoimintaan osallistuvia henkilöitä, luokiteltuja yhteisöjä, kolmansia osapuolia, joille ESG-luokituksen tarjoajat ovat ulkoistaneet operatiivisia toimintoja, sekä henkilöitä, jotka muulla tavoin läheisesti ja merkittävästi liittyvät tai ovat yhteydessä ESG-luokitusten tarjoajiin tai ESG-luokitustoimintoihin, toimittamaan kaikki tiedot, joita se tarvitsee tämän asetuksen mukaisten tehtäviensä hoitamiseksi.</w:t>
      </w:r>
    </w:p>
    <w:p w14:paraId="79979E36" w14:textId="4D6D7908" w:rsidR="00355E72" w:rsidRPr="00A7778D" w:rsidRDefault="002A7F8C" w:rsidP="002A7F8C">
      <w:pPr>
        <w:pStyle w:val="ManualNumPar1"/>
        <w:rPr>
          <w:noProof/>
        </w:rPr>
      </w:pPr>
      <w:r w:rsidRPr="00A7778D">
        <w:rPr>
          <w:noProof/>
        </w:rPr>
        <w:t>2.</w:t>
      </w:r>
      <w:r w:rsidRPr="00A7778D">
        <w:rPr>
          <w:noProof/>
        </w:rPr>
        <w:tab/>
        <w:t>Lähettäessään 1 kohdan mukaisen tietopyynnön arvopaperimarkkinaviranomaisen on</w:t>
      </w:r>
    </w:p>
    <w:p w14:paraId="489D75E0" w14:textId="38FC985A" w:rsidR="00355E72" w:rsidRPr="00A7778D" w:rsidRDefault="002A7F8C" w:rsidP="002A7F8C">
      <w:pPr>
        <w:pStyle w:val="Point1"/>
        <w:rPr>
          <w:noProof/>
        </w:rPr>
      </w:pPr>
      <w:r w:rsidRPr="00A7778D">
        <w:rPr>
          <w:noProof/>
        </w:rPr>
        <w:t>a)</w:t>
      </w:r>
      <w:r w:rsidRPr="00A7778D">
        <w:rPr>
          <w:noProof/>
        </w:rPr>
        <w:tab/>
        <w:t>viitattava tähän artiklaan pyynnön oikeusperustana;</w:t>
      </w:r>
    </w:p>
    <w:p w14:paraId="5BC000BE" w14:textId="14E1E436" w:rsidR="00355E72" w:rsidRPr="00A7778D" w:rsidRDefault="002A7F8C" w:rsidP="002A7F8C">
      <w:pPr>
        <w:pStyle w:val="Point1"/>
        <w:rPr>
          <w:noProof/>
        </w:rPr>
      </w:pPr>
      <w:r w:rsidRPr="00A7778D">
        <w:rPr>
          <w:noProof/>
        </w:rPr>
        <w:t>b)</w:t>
      </w:r>
      <w:r w:rsidRPr="00A7778D">
        <w:rPr>
          <w:noProof/>
        </w:rPr>
        <w:tab/>
        <w:t>ilmoitettava pyynnön tarkoitus;</w:t>
      </w:r>
    </w:p>
    <w:p w14:paraId="6FE96837" w14:textId="3590F3B3" w:rsidR="00355E72" w:rsidRPr="00A7778D" w:rsidRDefault="002A7F8C" w:rsidP="002A7F8C">
      <w:pPr>
        <w:pStyle w:val="Point1"/>
        <w:rPr>
          <w:noProof/>
        </w:rPr>
      </w:pPr>
      <w:r w:rsidRPr="00A7778D">
        <w:rPr>
          <w:noProof/>
        </w:rPr>
        <w:t>c)</w:t>
      </w:r>
      <w:r w:rsidRPr="00A7778D">
        <w:rPr>
          <w:noProof/>
        </w:rPr>
        <w:tab/>
        <w:t>täsmennettävä, mitä tietoja pyydetään;</w:t>
      </w:r>
    </w:p>
    <w:p w14:paraId="684FF519" w14:textId="3CB98E32" w:rsidR="00355E72" w:rsidRPr="00A7778D" w:rsidRDefault="002A7F8C" w:rsidP="002A7F8C">
      <w:pPr>
        <w:pStyle w:val="Point1"/>
        <w:rPr>
          <w:noProof/>
        </w:rPr>
      </w:pPr>
      <w:r w:rsidRPr="00A7778D">
        <w:rPr>
          <w:noProof/>
        </w:rPr>
        <w:t>d)</w:t>
      </w:r>
      <w:r w:rsidRPr="00A7778D">
        <w:rPr>
          <w:noProof/>
        </w:rPr>
        <w:tab/>
        <w:t>asetettava määräaika, jonka kuluessa tiedot on toimitettava;</w:t>
      </w:r>
    </w:p>
    <w:p w14:paraId="5E7AA84E" w14:textId="404546CA" w:rsidR="00355E72" w:rsidRPr="00A7778D" w:rsidRDefault="002A7F8C" w:rsidP="002A7F8C">
      <w:pPr>
        <w:pStyle w:val="Point1"/>
        <w:rPr>
          <w:noProof/>
        </w:rPr>
      </w:pPr>
      <w:r w:rsidRPr="00A7778D">
        <w:rPr>
          <w:noProof/>
        </w:rPr>
        <w:t>e)</w:t>
      </w:r>
      <w:r w:rsidRPr="00A7778D">
        <w:rPr>
          <w:noProof/>
        </w:rPr>
        <w:tab/>
        <w:t>ilmoitettava henkilölle, jolta näitä tietoja pyydetään, että se ei ole velvollinen antamaan tietoja, mutta jos se vastaa pyyntöön vapaaehtoisesti, annetut tiedot eivät saa olla virheellisiä tai harhaanjohtavia;</w:t>
      </w:r>
    </w:p>
    <w:p w14:paraId="2297AB94" w14:textId="219DDD73" w:rsidR="00355E72" w:rsidRPr="00A7778D" w:rsidRDefault="002A7F8C" w:rsidP="002A7F8C">
      <w:pPr>
        <w:pStyle w:val="Point1"/>
        <w:rPr>
          <w:noProof/>
        </w:rPr>
      </w:pPr>
      <w:r w:rsidRPr="00A7778D">
        <w:rPr>
          <w:noProof/>
        </w:rPr>
        <w:t>f)</w:t>
      </w:r>
      <w:r w:rsidRPr="00A7778D">
        <w:rPr>
          <w:noProof/>
        </w:rPr>
        <w:tab/>
        <w:t>ilmoitettava sakosta, josta säädetään 34 artiklassa, sen varalta, että kysymyksiin annetut vastaukset ovat virheellisiä tai harhaanjohtavia.</w:t>
      </w:r>
    </w:p>
    <w:p w14:paraId="2F9E0E2E" w14:textId="03C46D33" w:rsidR="00355E72" w:rsidRPr="00A7778D" w:rsidRDefault="002A7F8C" w:rsidP="002A7F8C">
      <w:pPr>
        <w:pStyle w:val="ManualNumPar1"/>
        <w:rPr>
          <w:noProof/>
        </w:rPr>
      </w:pPr>
      <w:r w:rsidRPr="00A7778D">
        <w:rPr>
          <w:noProof/>
        </w:rPr>
        <w:t>3.</w:t>
      </w:r>
      <w:r w:rsidRPr="00A7778D">
        <w:rPr>
          <w:noProof/>
        </w:rPr>
        <w:tab/>
        <w:t>Vaatiessaan 1 kohdan mukaisesti toimittamaan tietoja päätöksen nojalla arvopaperimarkkinaviranomaisen on</w:t>
      </w:r>
    </w:p>
    <w:p w14:paraId="5D92C424" w14:textId="54F98732" w:rsidR="00355E72" w:rsidRPr="00A7778D" w:rsidRDefault="002A7F8C" w:rsidP="002A7F8C">
      <w:pPr>
        <w:pStyle w:val="Point1"/>
        <w:rPr>
          <w:noProof/>
        </w:rPr>
      </w:pPr>
      <w:r w:rsidRPr="00A7778D">
        <w:rPr>
          <w:noProof/>
        </w:rPr>
        <w:t>a)</w:t>
      </w:r>
      <w:r w:rsidRPr="00A7778D">
        <w:rPr>
          <w:noProof/>
        </w:rPr>
        <w:tab/>
        <w:t>viitattava tähän artiklaan pyynnön oikeusperustana;</w:t>
      </w:r>
    </w:p>
    <w:p w14:paraId="627B7337" w14:textId="7FF429EE" w:rsidR="00355E72" w:rsidRPr="00A7778D" w:rsidRDefault="002A7F8C" w:rsidP="002A7F8C">
      <w:pPr>
        <w:pStyle w:val="Point1"/>
        <w:rPr>
          <w:noProof/>
        </w:rPr>
      </w:pPr>
      <w:r w:rsidRPr="00A7778D">
        <w:rPr>
          <w:noProof/>
        </w:rPr>
        <w:t>b)</w:t>
      </w:r>
      <w:r w:rsidRPr="00A7778D">
        <w:rPr>
          <w:noProof/>
        </w:rPr>
        <w:tab/>
        <w:t>ilmoitettava pyynnön tarkoitus;</w:t>
      </w:r>
    </w:p>
    <w:p w14:paraId="34FFF287" w14:textId="61F49B3C" w:rsidR="00355E72" w:rsidRPr="00A7778D" w:rsidRDefault="002A7F8C" w:rsidP="002A7F8C">
      <w:pPr>
        <w:pStyle w:val="Point1"/>
        <w:rPr>
          <w:noProof/>
        </w:rPr>
      </w:pPr>
      <w:r w:rsidRPr="00A7778D">
        <w:rPr>
          <w:noProof/>
        </w:rPr>
        <w:t>c)</w:t>
      </w:r>
      <w:r w:rsidRPr="00A7778D">
        <w:rPr>
          <w:noProof/>
        </w:rPr>
        <w:tab/>
        <w:t>täsmennettävä, mitä tietoja pyydetään;</w:t>
      </w:r>
    </w:p>
    <w:p w14:paraId="5A07EDF2" w14:textId="2A96457D" w:rsidR="00355E72" w:rsidRPr="00A7778D" w:rsidRDefault="002A7F8C" w:rsidP="002A7F8C">
      <w:pPr>
        <w:pStyle w:val="Point1"/>
        <w:rPr>
          <w:noProof/>
        </w:rPr>
      </w:pPr>
      <w:r w:rsidRPr="00A7778D">
        <w:rPr>
          <w:noProof/>
        </w:rPr>
        <w:t>d)</w:t>
      </w:r>
      <w:r w:rsidRPr="00A7778D">
        <w:rPr>
          <w:noProof/>
        </w:rPr>
        <w:tab/>
        <w:t>asetettava määräaika, jonka kuluessa tiedot on toimitettava;</w:t>
      </w:r>
    </w:p>
    <w:p w14:paraId="7D4052FF" w14:textId="371E9065" w:rsidR="00355E72" w:rsidRPr="00A7778D" w:rsidRDefault="002A7F8C" w:rsidP="002A7F8C">
      <w:pPr>
        <w:pStyle w:val="Point1"/>
        <w:rPr>
          <w:noProof/>
        </w:rPr>
      </w:pPr>
      <w:r w:rsidRPr="00A7778D">
        <w:rPr>
          <w:noProof/>
        </w:rPr>
        <w:t>e)</w:t>
      </w:r>
      <w:r w:rsidRPr="00A7778D">
        <w:rPr>
          <w:noProof/>
        </w:rPr>
        <w:tab/>
        <w:t>ilmoitettava uhkasakoista, joista 35 artiklassa säädetään sen varalta, että pyydettyjä tietoja ei toimiteta täydellisinä;</w:t>
      </w:r>
    </w:p>
    <w:p w14:paraId="27BD0B08" w14:textId="33CF69E7" w:rsidR="00355E72" w:rsidRPr="00A7778D" w:rsidRDefault="002A7F8C" w:rsidP="002A7F8C">
      <w:pPr>
        <w:pStyle w:val="Point1"/>
        <w:rPr>
          <w:noProof/>
        </w:rPr>
      </w:pPr>
      <w:r w:rsidRPr="00A7778D">
        <w:rPr>
          <w:noProof/>
        </w:rPr>
        <w:t>f)</w:t>
      </w:r>
      <w:r w:rsidRPr="00A7778D">
        <w:rPr>
          <w:noProof/>
        </w:rPr>
        <w:tab/>
        <w:t>ilmoitettava sakosta, josta säädetään 34 artiklassa, sen varalta, että kysymyksiin annetut vastaukset ovat virheellisiä tai harhaanjohtavia;</w:t>
      </w:r>
    </w:p>
    <w:p w14:paraId="1A5CF844" w14:textId="4574FB09" w:rsidR="00355E72" w:rsidRPr="00A7778D" w:rsidRDefault="002A7F8C" w:rsidP="002A7F8C">
      <w:pPr>
        <w:pStyle w:val="Point1"/>
        <w:rPr>
          <w:noProof/>
        </w:rPr>
      </w:pPr>
      <w:r w:rsidRPr="00A7778D">
        <w:rPr>
          <w:noProof/>
        </w:rPr>
        <w:t>g)</w:t>
      </w:r>
      <w:r w:rsidRPr="00A7778D">
        <w:rPr>
          <w:noProof/>
        </w:rPr>
        <w:tab/>
        <w:t>ilmoitettava oikeudesta hakea päätökseen muutosta valituslautakunnalta ja oikeudesta viedä päätös unionin tuomioistuimen käsiteltäväksi asetuksen (EU) N:o 1095/2010 60 ja 61 artiklan mukaisesti.</w:t>
      </w:r>
    </w:p>
    <w:p w14:paraId="7BAD11AE" w14:textId="7BFD74C1" w:rsidR="00355E72" w:rsidRPr="00A7778D" w:rsidRDefault="002A7F8C" w:rsidP="002A7F8C">
      <w:pPr>
        <w:pStyle w:val="ManualNumPar1"/>
        <w:rPr>
          <w:noProof/>
        </w:rPr>
      </w:pPr>
      <w:r w:rsidRPr="00A7778D">
        <w:rPr>
          <w:noProof/>
        </w:rPr>
        <w:t>4.</w:t>
      </w:r>
      <w:r w:rsidRPr="00A7778D">
        <w:rPr>
          <w:noProof/>
        </w:rPr>
        <w:tab/>
        <w:t>Edellä 1 kohdassa tarkoitetuilla henkilöillä tai niiden edustajilla sekä oikeushenkilöiden ja oikeushenkilön asemaa vailla olevien yhteenliittymien osalta henkilöillä, joilla lain tai sääntöjen mukaan on kelpoisuus edustaa niitä, on velvollisuus antaa pyydetyt tiedot. Asianmukaisesti valtuutetut lakimiehet voivat antaa pyydetyt tiedot valtuuttajan nimissä. Kyseiset valtuuttajat kantavat kuitenkin täyden vastuun, jos annetut tiedot ovat epätäydellisiä, virheellisiä tai harhaanjohtavia.</w:t>
      </w:r>
    </w:p>
    <w:p w14:paraId="398C3D44" w14:textId="4BE06E8A" w:rsidR="00355E72" w:rsidRPr="00A7778D" w:rsidRDefault="002A7F8C" w:rsidP="002A7F8C">
      <w:pPr>
        <w:pStyle w:val="ManualNumPar1"/>
        <w:rPr>
          <w:noProof/>
        </w:rPr>
      </w:pPr>
      <w:r w:rsidRPr="00A7778D">
        <w:rPr>
          <w:noProof/>
        </w:rPr>
        <w:t>5.</w:t>
      </w:r>
      <w:r w:rsidRPr="00A7778D">
        <w:rPr>
          <w:noProof/>
        </w:rPr>
        <w:tab/>
        <w:t>Arvopaperimarkkinaviranomainen toimittaa viipymättä pyyntönsä tai päätöksensä jäljennöksen sen jäsenvaltion toimivaltaiselle viranomaiselle, jossa 1 kohdassa tarkoitetuilla henkilöillä, joita tietojensaantipyyntö koskee, on kotipaikka tai johon ne ovat sijoittautuneet.</w:t>
      </w:r>
    </w:p>
    <w:p w14:paraId="541739AF" w14:textId="77777777" w:rsidR="00291E2E" w:rsidRPr="00A7778D" w:rsidRDefault="00291E2E" w:rsidP="00027382">
      <w:pPr>
        <w:pStyle w:val="Titrearticle"/>
        <w:spacing w:line="23" w:lineRule="atLeast"/>
        <w:rPr>
          <w:noProof/>
          <w:szCs w:val="24"/>
        </w:rPr>
      </w:pPr>
      <w:r w:rsidRPr="00A7778D">
        <w:rPr>
          <w:noProof/>
        </w:rPr>
        <w:t>31 artikla</w:t>
      </w:r>
    </w:p>
    <w:p w14:paraId="1A0CE291" w14:textId="77777777" w:rsidR="00587167" w:rsidRPr="00A7778D" w:rsidRDefault="00587167" w:rsidP="00027382">
      <w:pPr>
        <w:pStyle w:val="NormalCentered"/>
        <w:rPr>
          <w:b/>
          <w:bCs/>
          <w:noProof/>
        </w:rPr>
      </w:pPr>
      <w:r w:rsidRPr="00A7778D">
        <w:rPr>
          <w:b/>
          <w:noProof/>
        </w:rPr>
        <w:t>Yleiset tutkimukset</w:t>
      </w:r>
    </w:p>
    <w:p w14:paraId="7B5C8F0B" w14:textId="2FE3A93E" w:rsidR="00355E72" w:rsidRPr="00A7778D" w:rsidRDefault="002A7F8C" w:rsidP="002A7F8C">
      <w:pPr>
        <w:pStyle w:val="ManualNumPar1"/>
        <w:rPr>
          <w:noProof/>
        </w:rPr>
      </w:pPr>
      <w:r w:rsidRPr="00A7778D">
        <w:rPr>
          <w:noProof/>
        </w:rPr>
        <w:t>1.</w:t>
      </w:r>
      <w:r w:rsidRPr="00A7778D">
        <w:rPr>
          <w:noProof/>
        </w:rPr>
        <w:tab/>
        <w:t>Arvopaperimarkkinaviranomainen voi tämän asetuksen mukaisten tehtäviensä hoitamiseksi suorittaa kaikki tarvittavat 30 artiklan 1 kohdassa tarkoitettuja henkilöitä koskevat tutkimukset. Tätä varten arvopaperimarkkinaviranomaisen virkamiehille ja sen valtuuttamille muille henkilöille on annettava valtuudet</w:t>
      </w:r>
    </w:p>
    <w:p w14:paraId="28E885F2" w14:textId="5D5C1021" w:rsidR="00355E72" w:rsidRPr="00A7778D" w:rsidRDefault="002A7F8C" w:rsidP="002A7F8C">
      <w:pPr>
        <w:pStyle w:val="Point1"/>
        <w:rPr>
          <w:noProof/>
        </w:rPr>
      </w:pPr>
      <w:r w:rsidRPr="00A7778D">
        <w:rPr>
          <w:noProof/>
        </w:rPr>
        <w:t>a)</w:t>
      </w:r>
      <w:r w:rsidRPr="00A7778D">
        <w:rPr>
          <w:noProof/>
        </w:rPr>
        <w:tab/>
        <w:t>tutkia kaikki asiakirjat, tiedot, menettelyt ja muu aineisto, joilla on merkitystä sen tehtävien hoidolle, riippumatta välineestä, jolle ne on tallennettu;</w:t>
      </w:r>
    </w:p>
    <w:p w14:paraId="7B674C95" w14:textId="1BE5E3AC" w:rsidR="00355E72" w:rsidRPr="00A7778D" w:rsidRDefault="002A7F8C" w:rsidP="002A7F8C">
      <w:pPr>
        <w:pStyle w:val="Point1"/>
        <w:rPr>
          <w:noProof/>
        </w:rPr>
      </w:pPr>
      <w:r w:rsidRPr="00A7778D">
        <w:rPr>
          <w:noProof/>
        </w:rPr>
        <w:t>b)</w:t>
      </w:r>
      <w:r w:rsidRPr="00A7778D">
        <w:rPr>
          <w:noProof/>
        </w:rPr>
        <w:tab/>
        <w:t>ottaa tai hankkia oikeaksi todistettuja jäljennöksiä tai otteita tällaisista asiakirjoista, tiedoista, menettelyistä ja muusta aineistosta;</w:t>
      </w:r>
    </w:p>
    <w:p w14:paraId="44F1EEC2" w14:textId="298985FC" w:rsidR="00355E72" w:rsidRPr="00A7778D" w:rsidRDefault="002A7F8C" w:rsidP="002A7F8C">
      <w:pPr>
        <w:pStyle w:val="Point1"/>
        <w:rPr>
          <w:noProof/>
        </w:rPr>
      </w:pPr>
      <w:r w:rsidRPr="00A7778D">
        <w:rPr>
          <w:noProof/>
        </w:rPr>
        <w:t>c)</w:t>
      </w:r>
      <w:r w:rsidRPr="00A7778D">
        <w:rPr>
          <w:noProof/>
        </w:rPr>
        <w:tab/>
        <w:t>haastaa ja kutsua kuultavaksi kenet tahansa 30 artiklan 1 kohdassa tarkoitetun henkilön tai sen edustajan tai henkilöstöä pyytääkseen näiltä suullisia tai kirjallisia selvityksiä tarkastuksen kohteeseen ja tarkoitukseen liittyvistä tosiseikoista tai asiakirjoista ja tallentaa vastaukset;</w:t>
      </w:r>
    </w:p>
    <w:p w14:paraId="1061616B" w14:textId="1DDFB0AC" w:rsidR="00355E72" w:rsidRPr="00A7778D" w:rsidRDefault="002A7F8C" w:rsidP="002A7F8C">
      <w:pPr>
        <w:pStyle w:val="Point1"/>
        <w:rPr>
          <w:noProof/>
        </w:rPr>
      </w:pPr>
      <w:r w:rsidRPr="00A7778D">
        <w:rPr>
          <w:noProof/>
        </w:rPr>
        <w:t>d)</w:t>
      </w:r>
      <w:r w:rsidRPr="00A7778D">
        <w:rPr>
          <w:noProof/>
        </w:rPr>
        <w:tab/>
        <w:t>haastatella ketä tahansa muuta haastatteluun suostuvaa luonnollista henkilöä tai oikeushenkilöä tutkimuksen kohteeseen liittyvien tietojen keräämiseksi;</w:t>
      </w:r>
    </w:p>
    <w:p w14:paraId="02E310A7" w14:textId="78883ED7" w:rsidR="00355E72" w:rsidRPr="00A7778D" w:rsidRDefault="002A7F8C" w:rsidP="002A7F8C">
      <w:pPr>
        <w:pStyle w:val="Point1"/>
        <w:rPr>
          <w:noProof/>
        </w:rPr>
      </w:pPr>
      <w:r w:rsidRPr="00A7778D">
        <w:rPr>
          <w:noProof/>
        </w:rPr>
        <w:t>e)</w:t>
      </w:r>
      <w:r w:rsidRPr="00A7778D">
        <w:rPr>
          <w:noProof/>
        </w:rPr>
        <w:tab/>
        <w:t>vaatia puhelin- ja tietoliikennetietoja.</w:t>
      </w:r>
    </w:p>
    <w:p w14:paraId="5C0294C8" w14:textId="0F34D2D0" w:rsidR="00355E72" w:rsidRPr="00A7778D" w:rsidRDefault="002A7F8C" w:rsidP="002A7F8C">
      <w:pPr>
        <w:pStyle w:val="ManualNumPar1"/>
        <w:rPr>
          <w:noProof/>
        </w:rPr>
      </w:pPr>
      <w:r w:rsidRPr="00A7778D">
        <w:rPr>
          <w:noProof/>
        </w:rPr>
        <w:t>2.</w:t>
      </w:r>
      <w:r w:rsidRPr="00A7778D">
        <w:rPr>
          <w:noProof/>
        </w:rPr>
        <w:tab/>
        <w:t>Edellä 1 kohdassa tarkoitettujen tutkimusten suorittamiseksi arvopaperimarkkinaviranomaisen virkamiesten ja muiden sen valtuuttamien henkilöiden on oikeuksiaan käyttäessään esitettävä kirjallinen valtuutus, jossa määritellään tutkimuksen kohde ja tarkoitus. Lisäksi valtuutuksessa on ilmoitettava uhkasakoista, joista 35 artiklan 1 kohdassa säädetään sen varalta, että pyydettyjä asiakirjoja, tietoja, menettelyjä ja muuta aineistoa taikka vastauksia artiklassa tarkoitetuille henkilöille esitettyihin kysymyksiin ei anneta lainkaan tai niitä ei anneta täydellisinä, ja siinä on ilmoitettava myös sakoista, joista 34 artiklassa säädetään sen varalta, että artiklassa tarkoitetuille henkilöille esitettyihin kysymyksiin annetut vastaukset ovat virheellisiä tai harhaanjohtavia.</w:t>
      </w:r>
    </w:p>
    <w:p w14:paraId="6A12ACC0" w14:textId="57AFD2BF" w:rsidR="00355E72" w:rsidRPr="00A7778D" w:rsidRDefault="002A7F8C" w:rsidP="002A7F8C">
      <w:pPr>
        <w:pStyle w:val="ManualNumPar1"/>
        <w:rPr>
          <w:noProof/>
        </w:rPr>
      </w:pPr>
      <w:r w:rsidRPr="00A7778D">
        <w:rPr>
          <w:noProof/>
        </w:rPr>
        <w:t>3.</w:t>
      </w:r>
      <w:r w:rsidRPr="00A7778D">
        <w:rPr>
          <w:noProof/>
        </w:rPr>
        <w:tab/>
        <w:t>Edellä 30 artiklan 1 kohdassa tarkoitettujen henkilöiden on suostuttava arvopaperimarkkinaviranomaisen päätöksen nojalla käynnistettyihin tutkimuksiin. Päätöksessä on mainittava tutkimuksen kohde ja tarkoitus, 3 artiklassa säädetyt uhkasakot, asetuksen (EU) N:o 1095/2010 nojalla käytettävissä olevat oikeussuojakeinot sekä oikeus viedä päätös Euroopan unionin tuomioistuimen käsiteltäväksi.</w:t>
      </w:r>
    </w:p>
    <w:p w14:paraId="697A2866" w14:textId="795BF415" w:rsidR="00355E72" w:rsidRPr="00A7778D" w:rsidRDefault="002A7F8C" w:rsidP="002A7F8C">
      <w:pPr>
        <w:pStyle w:val="ManualNumPar1"/>
        <w:rPr>
          <w:noProof/>
        </w:rPr>
      </w:pPr>
      <w:r w:rsidRPr="00A7778D">
        <w:rPr>
          <w:noProof/>
        </w:rPr>
        <w:t>4.</w:t>
      </w:r>
      <w:r w:rsidRPr="00A7778D">
        <w:rPr>
          <w:noProof/>
        </w:rPr>
        <w:tab/>
        <w:t>Arvopaperimarkkinaviranomainen antaa hyvissä ajoin ennen tutkimusta tiedon tutkimuksesta ja sitä suorittamaan valtuutettujen henkilöiden henkilöllisyydestä sen jäsenvaltion toimivaltaiselle viranomaiselle, jossa tutkimus on tarkoitus suorittaa. Asianomaisen toimivaltaisen viranomaisen virkamiesten on arvopaperimarkkinaviranomaisen pyynnöstä avustettava kyseisiä valtuutettuja henkilöitä näiden tehtävien hoitamisessa. Myös asianomaisen toimivaltaisen viranomaisen virkamiehet voivat pyynnöstä osallistua tutkimuksiin.</w:t>
      </w:r>
    </w:p>
    <w:p w14:paraId="0E6CCB6A" w14:textId="5B161622" w:rsidR="00355E72" w:rsidRPr="00A7778D" w:rsidRDefault="002A7F8C" w:rsidP="002A7F8C">
      <w:pPr>
        <w:pStyle w:val="ManualNumPar1"/>
        <w:rPr>
          <w:noProof/>
        </w:rPr>
      </w:pPr>
      <w:r w:rsidRPr="00A7778D">
        <w:rPr>
          <w:noProof/>
        </w:rPr>
        <w:t>5.</w:t>
      </w:r>
      <w:r w:rsidRPr="00A7778D">
        <w:rPr>
          <w:noProof/>
        </w:rPr>
        <w:tab/>
        <w:t>Jos 1 kohdan e alakohdassa tarkoitettu puhelin- ja tietoliikennetietoja koskeva pyyntö edellyttää kansallisten sääntöjen mukaisesti oikeusviranomaisen lupaa, tällaista lupaa on pyydettävä. Lupaa voidaan pyytää myös turvaamistoimenpiteenä.</w:t>
      </w:r>
    </w:p>
    <w:p w14:paraId="7EC46CBB" w14:textId="2E2EF913" w:rsidR="00355E72" w:rsidRPr="00A7778D" w:rsidRDefault="002A7F8C" w:rsidP="002A7F8C">
      <w:pPr>
        <w:pStyle w:val="ManualNumPar1"/>
        <w:rPr>
          <w:noProof/>
        </w:rPr>
      </w:pPr>
      <w:r w:rsidRPr="00A7778D">
        <w:rPr>
          <w:noProof/>
        </w:rPr>
        <w:t>6.</w:t>
      </w:r>
      <w:r w:rsidRPr="00A7778D">
        <w:rPr>
          <w:noProof/>
        </w:rPr>
        <w:tab/>
        <w:t>Jos 5 kohdassa tarkoitettua lupaa pyydetään, kansallinen oikeusviranomainen tarkastaa, että arvopaperimarkkinaviranomaisen päätös on pätevä ja että suunnitellut pakkokeinot eivät ole tutkimusten kohteeseen nähden mielivaltaisia eivätkä liiallisia. Tarkastaessaan pakkokeinojen oikeasuhteisuutta kansallinen oikeusviranomainen voi pyytää arvopaperimarkkinaviranomaiselta yksityiskohtaisia selvityksiä erityisesti perusteista, joilla arvopaperimarkkinaviranomainen epäilee tämän asetuksen rikkomista, sekä epäillyn rikkomisen vakavuudesta ja pakkokeinojen kohteena olevan henkilön osallisuuden luonteesta. Kansallinen oikeusviranomainen ei voi kuitenkaan saattaa kyseenalaiseksi tutkimuksen tarpeellisuutta eikä vaatia, että sille toimitettaisiin arvopaperimarkkinaviranomaisen asiakirja-aineistossa olevia tietoja. Arvopaperimarkkinaviranomaisen päätöksen laillisuutta valvoo ainoastaan Euroopan unionin tuomioistuin asetuksessa (EU) N:o 1095/2010 säädettyä menettelyä noudattaen.</w:t>
      </w:r>
    </w:p>
    <w:p w14:paraId="508C5039" w14:textId="77777777" w:rsidR="00355E72" w:rsidRPr="00A7778D" w:rsidRDefault="00355E72" w:rsidP="00027382">
      <w:pPr>
        <w:pStyle w:val="Titrearticle"/>
        <w:spacing w:line="23" w:lineRule="atLeast"/>
        <w:rPr>
          <w:noProof/>
          <w:szCs w:val="24"/>
        </w:rPr>
      </w:pPr>
      <w:r w:rsidRPr="00A7778D">
        <w:rPr>
          <w:noProof/>
        </w:rPr>
        <w:t>32 artikla</w:t>
      </w:r>
    </w:p>
    <w:p w14:paraId="31EE7226" w14:textId="77777777" w:rsidR="00587167" w:rsidRPr="00A7778D" w:rsidRDefault="00587167" w:rsidP="00027382">
      <w:pPr>
        <w:pStyle w:val="NormalCentered"/>
        <w:rPr>
          <w:b/>
          <w:bCs/>
          <w:noProof/>
        </w:rPr>
      </w:pPr>
      <w:r w:rsidRPr="00A7778D">
        <w:rPr>
          <w:b/>
          <w:noProof/>
        </w:rPr>
        <w:t>Paikalla tehtävät tarkastukset</w:t>
      </w:r>
    </w:p>
    <w:p w14:paraId="239DF4AC" w14:textId="5DB61ACC" w:rsidR="00355E72" w:rsidRPr="00A7778D" w:rsidRDefault="002A7F8C" w:rsidP="002A7F8C">
      <w:pPr>
        <w:pStyle w:val="ManualNumPar1"/>
        <w:rPr>
          <w:noProof/>
        </w:rPr>
      </w:pPr>
      <w:r w:rsidRPr="00A7778D">
        <w:rPr>
          <w:noProof/>
        </w:rPr>
        <w:t>1.</w:t>
      </w:r>
      <w:r w:rsidRPr="00A7778D">
        <w:rPr>
          <w:noProof/>
        </w:rPr>
        <w:tab/>
        <w:t>Arvopaperimarkkinaviranomainen voi tämän asetuksen mukaisten tehtäviensä hoitamiseksi suorittaa 30 artiklan 1 kohdassa tarkoitettujen oikeushenkilöiden liiketiloissa kaikki tarvittavat paikalla tehtävät tarkastukset. Milloin tarkastusten moitteeton ja tehokas suorittaminen sitä edellyttää, arvopaperimarkkinaviranomainen voi suorittaa paikalla tehtävän tarkastuksen ilman ennakkoilmoitusta.</w:t>
      </w:r>
    </w:p>
    <w:p w14:paraId="7DC02E4B" w14:textId="218DF328" w:rsidR="00355E72" w:rsidRPr="00A7778D" w:rsidRDefault="002A7F8C" w:rsidP="002A7F8C">
      <w:pPr>
        <w:pStyle w:val="ManualNumPar1"/>
        <w:rPr>
          <w:noProof/>
        </w:rPr>
      </w:pPr>
      <w:r w:rsidRPr="00A7778D">
        <w:rPr>
          <w:noProof/>
        </w:rPr>
        <w:t>2.</w:t>
      </w:r>
      <w:r w:rsidRPr="00A7778D">
        <w:rPr>
          <w:noProof/>
        </w:rPr>
        <w:tab/>
        <w:t>Arvopaperimarkkinaviranomaisen virkamiehillä ja muilla henkilöillä, jotka arvopaperimarkkinaviranomainen on valtuuttanut suorittamaan paikalla tehtävän tarkastuksen, on valtuudet päästä tutkimuksen kohteena olevien oikeushenkilöiden liiketiloihin ja maa-alueille arvopaperimarkkinaviranomaisen tekemän päätöksen mukaisesti, ja heillä on kaikki 31 artiklan 1 kohdassa säädetyt valtuudet. Heillä on myös valtuudet sinetöidä kaikki liiketilat ja kirjanpito tai asiakirjat tarkastuksen ajaksi ja siinä laajuudessa kuin on tarpeen tarkastuksen suorittamiseksi.</w:t>
      </w:r>
    </w:p>
    <w:p w14:paraId="50BCDBD8" w14:textId="47765454" w:rsidR="00355E72" w:rsidRPr="00A7778D" w:rsidRDefault="002A7F8C" w:rsidP="002A7F8C">
      <w:pPr>
        <w:pStyle w:val="ManualNumPar1"/>
        <w:rPr>
          <w:noProof/>
        </w:rPr>
      </w:pPr>
      <w:r w:rsidRPr="00A7778D">
        <w:rPr>
          <w:noProof/>
        </w:rPr>
        <w:t>3.</w:t>
      </w:r>
      <w:r w:rsidRPr="00A7778D">
        <w:rPr>
          <w:noProof/>
        </w:rPr>
        <w:tab/>
        <w:t>Arvopaperimarkkinaviranomaisen virkamiesten ja muiden henkilöiden, jotka se on valtuuttanut tekemään paikalla tehtävän tarkastuksen, on valtuuksiaan käyttäessään esitettävä kirjallinen valtuutus, jossa määritetään tarkastuksen kohde ja tarkoitus sekä ilmoitetaan uhkasakoista, joista 31 artiklassa säädetään sen varalta, että asianomaiset henkilöt eivät suostu tarkastukseen. Arvopaperimarkkinaviranomainen ilmoittaa tarkastuksesta hyvissä ajoin ennen sen suorittamista sen jäsenvaltion toimivaltaiselle viranomaiselle, jonka alueella tarkastus on määrä suorittaa.</w:t>
      </w:r>
    </w:p>
    <w:p w14:paraId="784ADD2F" w14:textId="04C9A973" w:rsidR="00355E72" w:rsidRPr="00A7778D" w:rsidRDefault="002A7F8C" w:rsidP="002A7F8C">
      <w:pPr>
        <w:pStyle w:val="ManualNumPar1"/>
        <w:rPr>
          <w:noProof/>
        </w:rPr>
      </w:pPr>
      <w:r w:rsidRPr="00A7778D">
        <w:rPr>
          <w:noProof/>
        </w:rPr>
        <w:t>4.</w:t>
      </w:r>
      <w:r w:rsidRPr="00A7778D">
        <w:rPr>
          <w:noProof/>
        </w:rPr>
        <w:tab/>
        <w:t>Edellä 30 artiklan 1 kohdassa tarkoitettujen henkilöiden on suostuttava arvopaperimarkkinaviranomaisen päätöksen nojalla määrättyihin paikalla tehtäviin tarkastuksiin. Päätöksessä on yksilöitävä tarkastuksen kohde ja tarkoitus sekä päivä, jona tarkastus alkaa, ja ilmoitettava 31 artiklassa säädetyistä uhkasakoista, asetuksen (EU) N:o 1095/2010 nojalla käytettävissä olevista oikeussuojakeinoista sekä oikeudesta saattaa päätös Euroopan unionin tuomioistuimen käsiteltäväksi. Arvopaperimarkkinaviranomainen tekee kyseiset päätökset kuultuaan sen jäsenvaltion toimivaltaista viranomaista, jossa tarkastus on määrä suorittaa.</w:t>
      </w:r>
    </w:p>
    <w:p w14:paraId="6B144D9B" w14:textId="052C0508" w:rsidR="00355E72" w:rsidRPr="00A7778D" w:rsidRDefault="002A7F8C" w:rsidP="002A7F8C">
      <w:pPr>
        <w:pStyle w:val="ManualNumPar1"/>
        <w:rPr>
          <w:noProof/>
        </w:rPr>
      </w:pPr>
      <w:r w:rsidRPr="00A7778D">
        <w:rPr>
          <w:noProof/>
        </w:rPr>
        <w:t>5.</w:t>
      </w:r>
      <w:r w:rsidRPr="00A7778D">
        <w:rPr>
          <w:noProof/>
        </w:rPr>
        <w:tab/>
        <w:t>Sen jäsenvaltion toimivaltaisen viranomaisen virkamiesten ja kyseisen toimivaltaisen viranomaisen valtuuttamien tai nimeämien henkilöiden, jossa tarkastus on määrä suorittaa, on arvopaperimarkkinaviranomaisen pyynnöstä aktiivisesti avustettava arvopaperimarkkinaviranomaisen virkamiehiä ja muita arvopaperimarkkinaviranomaisen valtuuttamia henkilöitä. Tätä varten heillä on 2 kohdassa säädetyt valtuudet. Myös asianomaisen jäsenvaltion toimivaltaiset viranomaiset voivat pyynnöstä osallistua paikalla tehtäviin tarkastuksiin.</w:t>
      </w:r>
    </w:p>
    <w:p w14:paraId="04F22521" w14:textId="659E4E3A" w:rsidR="00355E72" w:rsidRPr="00A7778D" w:rsidRDefault="002A7F8C" w:rsidP="002A7F8C">
      <w:pPr>
        <w:pStyle w:val="ManualNumPar1"/>
        <w:rPr>
          <w:noProof/>
        </w:rPr>
      </w:pPr>
      <w:r w:rsidRPr="00A7778D">
        <w:rPr>
          <w:noProof/>
        </w:rPr>
        <w:t>6.</w:t>
      </w:r>
      <w:r w:rsidRPr="00A7778D">
        <w:rPr>
          <w:noProof/>
        </w:rPr>
        <w:tab/>
        <w:t>Arvopaperimarkkinaviranomainen voi myös pyytää toimivaltaisia viranomaisia suorittamaan puolestaan tässä artiklassa ja 31 artiklan 1 kohdassa säädettyjä erityisiä tutkimustehtäviä ja paikalla tehtäviä tarkastuksia. Tätä varten toimivaltaisilla viranomaisilla on samat tässä artiklassa ja 31 artiklan 1 kohdassa säädetyt valtuudet kuin arvopaperimarkkinaviranomaisella.</w:t>
      </w:r>
    </w:p>
    <w:p w14:paraId="5887132A" w14:textId="00841174" w:rsidR="00355E72" w:rsidRPr="00A7778D" w:rsidRDefault="002A7F8C" w:rsidP="002A7F8C">
      <w:pPr>
        <w:pStyle w:val="ManualNumPar1"/>
        <w:rPr>
          <w:noProof/>
        </w:rPr>
      </w:pPr>
      <w:r w:rsidRPr="00A7778D">
        <w:rPr>
          <w:noProof/>
        </w:rPr>
        <w:t>7.</w:t>
      </w:r>
      <w:r w:rsidRPr="00A7778D">
        <w:rPr>
          <w:noProof/>
        </w:rPr>
        <w:tab/>
        <w:t>Jos arvopaperimarkkinaviranomaisen virkamiehet ja muut mukana olevat henkilöt, jotka arvopaperimarkkinaviranomainen on valtuuttanut, toteavat, että henkilö vastustaa tämän artiklan nojalla määrättyä tarkastusta, asianomaisen jäsenvaltion toimivaltaisen viranomaisen on annettava heille tarvittavaa apua ja pyydettävä tarvittaessa poliisin tai vastaavan lainvalvontaviranomaisen virka-apua, jotta he voivat suorittaa paikalla tehtävän tarkastuksen.</w:t>
      </w:r>
    </w:p>
    <w:p w14:paraId="50F72A98" w14:textId="3D765ABE" w:rsidR="00355E72" w:rsidRPr="00A7778D" w:rsidRDefault="002A7F8C" w:rsidP="002A7F8C">
      <w:pPr>
        <w:pStyle w:val="ManualNumPar1"/>
        <w:rPr>
          <w:noProof/>
        </w:rPr>
      </w:pPr>
      <w:r w:rsidRPr="00A7778D">
        <w:rPr>
          <w:noProof/>
        </w:rPr>
        <w:t>8.</w:t>
      </w:r>
      <w:r w:rsidRPr="00A7778D">
        <w:rPr>
          <w:noProof/>
        </w:rPr>
        <w:tab/>
        <w:t>Jos 1 kohdassa tarkoitettu paikalla tehtävä tarkastus tai 7 kohdassa tarkoitettu virka-apu edellyttää kansallisten sääntöjen mukaan oikeusviranomaisen lupaa, tällaista lupaa on pyydettävä. Lupaa voidaan pyytää myös turvaamistoimenpiteenä.</w:t>
      </w:r>
    </w:p>
    <w:p w14:paraId="3529D81F" w14:textId="3FA87AA8" w:rsidR="00355E72" w:rsidRPr="00A7778D" w:rsidRDefault="002A7F8C" w:rsidP="002A7F8C">
      <w:pPr>
        <w:pStyle w:val="ManualNumPar1"/>
        <w:rPr>
          <w:noProof/>
        </w:rPr>
      </w:pPr>
      <w:r w:rsidRPr="00A7778D">
        <w:rPr>
          <w:noProof/>
        </w:rPr>
        <w:t>9.</w:t>
      </w:r>
      <w:r w:rsidRPr="00A7778D">
        <w:rPr>
          <w:noProof/>
        </w:rPr>
        <w:tab/>
        <w:t>Edellä 8 kohdassa tarkoitettua lupaa pyydettäessä kansallisen oikeusviranomaisen on tarkastettava, että arvopaperimarkkinaviranomaisen päätös on pätevä ja että suunnitellut pakkotoimenpiteet eivät ole tarkastuksen kohteeseen nähden mielivaltaisia eivätkä liiallisia. Tarkastaessaan pakkokeinojen oikeasuhteisuutta kansallinen oikeusviranomainen voi pyytää arvopaperimarkkinaviranomaiselta yksityiskohtaisia selvityksiä erityisesti perusteista, joilla arvopaperimarkkinaviranomainen epäilee tämän asetuksen rikkomista, sekä epäillyn rikkomisen vakavuudesta ja pakkokeinojen kohteena olevan henkilön osallisuuden luonteesta. Kansallinen oikeusviranomainen ei saa kuitenkaan tarkastella uudelleen tarkastuksen tarpeellisuutta eikä vaatia, että sille toimitetaan arvopaperimarkkinaviranomaisen asiakirja-aineistossa olevia tietoja. Arvopaperimarkkinaviranomaisen päätöksen laillisuutta valvoo ainoastaan Euroopan unionin tuomioistuin asetuksessa (EU) N:o 1095/2010 säädettyä menettelyä noudattaen.</w:t>
      </w:r>
    </w:p>
    <w:p w14:paraId="2154DB01" w14:textId="77777777" w:rsidR="007C28A8" w:rsidRPr="00A7778D" w:rsidRDefault="0013112E" w:rsidP="00027382">
      <w:pPr>
        <w:pStyle w:val="NormalCentered"/>
        <w:rPr>
          <w:noProof/>
        </w:rPr>
      </w:pPr>
      <w:r w:rsidRPr="00A7778D">
        <w:rPr>
          <w:noProof/>
        </w:rPr>
        <w:t>2 jakso</w:t>
      </w:r>
    </w:p>
    <w:p w14:paraId="4F62829D" w14:textId="77777777" w:rsidR="007C28A8" w:rsidRPr="00A7778D" w:rsidRDefault="007C28A8" w:rsidP="00027382">
      <w:pPr>
        <w:pStyle w:val="NormalCentered"/>
        <w:rPr>
          <w:b/>
          <w:bCs/>
          <w:noProof/>
        </w:rPr>
      </w:pPr>
      <w:r w:rsidRPr="00A7778D">
        <w:rPr>
          <w:b/>
          <w:noProof/>
        </w:rPr>
        <w:t>Hallinnolliset seuraamukset ja muut hallinnolliset toimenpiteet</w:t>
      </w:r>
    </w:p>
    <w:p w14:paraId="1139A54B" w14:textId="77777777" w:rsidR="007C28A8" w:rsidRPr="00A7778D" w:rsidRDefault="007C28A8" w:rsidP="00027382">
      <w:pPr>
        <w:pStyle w:val="Titrearticle"/>
        <w:spacing w:line="23" w:lineRule="atLeast"/>
        <w:rPr>
          <w:noProof/>
          <w:szCs w:val="24"/>
        </w:rPr>
      </w:pPr>
      <w:r w:rsidRPr="00A7778D">
        <w:rPr>
          <w:noProof/>
        </w:rPr>
        <w:t>33 artikla</w:t>
      </w:r>
    </w:p>
    <w:p w14:paraId="6B86E311" w14:textId="77777777" w:rsidR="007C28A8" w:rsidRPr="00A7778D" w:rsidRDefault="007C28A8" w:rsidP="00027382">
      <w:pPr>
        <w:pStyle w:val="NormalCentered"/>
        <w:rPr>
          <w:b/>
          <w:bCs/>
          <w:noProof/>
        </w:rPr>
      </w:pPr>
      <w:r w:rsidRPr="00A7778D">
        <w:rPr>
          <w:b/>
          <w:noProof/>
        </w:rPr>
        <w:t>Arvopaperimarkkinaviranomaisen valvontatoimenpiteet</w:t>
      </w:r>
    </w:p>
    <w:p w14:paraId="30C2058D" w14:textId="656A721C" w:rsidR="007C28A8" w:rsidRPr="00A7778D" w:rsidRDefault="002A7F8C" w:rsidP="002A7F8C">
      <w:pPr>
        <w:pStyle w:val="ManualNumPar1"/>
        <w:rPr>
          <w:noProof/>
        </w:rPr>
      </w:pPr>
      <w:r w:rsidRPr="00A7778D">
        <w:rPr>
          <w:noProof/>
        </w:rPr>
        <w:t>1.</w:t>
      </w:r>
      <w:r w:rsidRPr="00A7778D">
        <w:rPr>
          <w:noProof/>
        </w:rPr>
        <w:tab/>
        <w:t>Jos arvopaperimarkkinaviranomainen toteaa, että ESG-luokitusten tarjoaja ei ole noudattanut tämän asetuksen mukaisia velvoitteitaan, se toteuttaa yhden tai useamman seuraavista valvontatoimenpiteistä:</w:t>
      </w:r>
    </w:p>
    <w:p w14:paraId="1E5BCE29" w14:textId="28AF3AAB" w:rsidR="00F824FE" w:rsidRPr="00A7778D" w:rsidRDefault="002A7F8C" w:rsidP="002A7F8C">
      <w:pPr>
        <w:pStyle w:val="Point1"/>
        <w:rPr>
          <w:noProof/>
        </w:rPr>
      </w:pPr>
      <w:r w:rsidRPr="00A7778D">
        <w:rPr>
          <w:noProof/>
        </w:rPr>
        <w:t>a)</w:t>
      </w:r>
      <w:r w:rsidRPr="00A7778D">
        <w:rPr>
          <w:noProof/>
        </w:rPr>
        <w:tab/>
        <w:t>peruuttaa ESG-luokitusten tarjoajan toimiluvan;</w:t>
      </w:r>
    </w:p>
    <w:p w14:paraId="4300CFDD" w14:textId="25A79296" w:rsidR="00F824FE" w:rsidRPr="00A7778D" w:rsidRDefault="002A7F8C" w:rsidP="002A7F8C">
      <w:pPr>
        <w:pStyle w:val="Point1"/>
        <w:rPr>
          <w:noProof/>
        </w:rPr>
      </w:pPr>
      <w:r w:rsidRPr="00A7778D">
        <w:rPr>
          <w:noProof/>
        </w:rPr>
        <w:t>b)</w:t>
      </w:r>
      <w:r w:rsidRPr="00A7778D">
        <w:rPr>
          <w:noProof/>
        </w:rPr>
        <w:tab/>
        <w:t>kieltää tilapäisesti ESG-luokitusten tarjoajaa antamasta ESG-luokituksia, kunnes rikkominen on lopetettu;</w:t>
      </w:r>
    </w:p>
    <w:p w14:paraId="11332A61" w14:textId="78245A42" w:rsidR="00F824FE" w:rsidRPr="00A7778D" w:rsidRDefault="002A7F8C" w:rsidP="002A7F8C">
      <w:pPr>
        <w:pStyle w:val="Point1"/>
        <w:rPr>
          <w:noProof/>
        </w:rPr>
      </w:pPr>
      <w:r w:rsidRPr="00A7778D">
        <w:rPr>
          <w:noProof/>
        </w:rPr>
        <w:t>c)</w:t>
      </w:r>
      <w:r w:rsidRPr="00A7778D">
        <w:rPr>
          <w:noProof/>
        </w:rPr>
        <w:tab/>
        <w:t>keskeyttää ESG-luokitusten tarjoajan antamien ESG-luokitusten käytön, kunnes rikkominen on lopetettu;</w:t>
      </w:r>
    </w:p>
    <w:p w14:paraId="72ED7D96" w14:textId="25458C4E" w:rsidR="007C28A8" w:rsidRPr="00A7778D" w:rsidRDefault="002A7F8C" w:rsidP="002A7F8C">
      <w:pPr>
        <w:pStyle w:val="Point1"/>
        <w:rPr>
          <w:noProof/>
        </w:rPr>
      </w:pPr>
      <w:r w:rsidRPr="00A7778D">
        <w:rPr>
          <w:noProof/>
        </w:rPr>
        <w:t>d)</w:t>
      </w:r>
      <w:r w:rsidRPr="00A7778D">
        <w:rPr>
          <w:noProof/>
        </w:rPr>
        <w:tab/>
        <w:t>vaatii kyseistä ESG-luokitusten tarjoajaa lopettamaan rikkomisen;</w:t>
      </w:r>
    </w:p>
    <w:p w14:paraId="1BF7E618" w14:textId="4BB97836" w:rsidR="007C28A8" w:rsidRPr="00A7778D" w:rsidRDefault="002A7F8C" w:rsidP="002A7F8C">
      <w:pPr>
        <w:pStyle w:val="Point1"/>
        <w:rPr>
          <w:noProof/>
        </w:rPr>
      </w:pPr>
      <w:r w:rsidRPr="00A7778D">
        <w:rPr>
          <w:noProof/>
        </w:rPr>
        <w:t>e)</w:t>
      </w:r>
      <w:r w:rsidRPr="00A7778D">
        <w:rPr>
          <w:noProof/>
        </w:rPr>
        <w:tab/>
        <w:t>määrää sakon 34 artiklan nojalla;</w:t>
      </w:r>
    </w:p>
    <w:p w14:paraId="1042F147" w14:textId="497FED25" w:rsidR="007C28A8" w:rsidRPr="00A7778D" w:rsidRDefault="002A7F8C" w:rsidP="002A7F8C">
      <w:pPr>
        <w:pStyle w:val="Point1"/>
        <w:rPr>
          <w:noProof/>
        </w:rPr>
      </w:pPr>
      <w:r w:rsidRPr="00A7778D">
        <w:rPr>
          <w:noProof/>
        </w:rPr>
        <w:t>f)</w:t>
      </w:r>
      <w:r w:rsidRPr="00A7778D">
        <w:rPr>
          <w:noProof/>
        </w:rPr>
        <w:tab/>
        <w:t>antaa julkisia ilmoituksia.</w:t>
      </w:r>
    </w:p>
    <w:p w14:paraId="732EDA00" w14:textId="65F029C9" w:rsidR="00862065" w:rsidRPr="00A7778D" w:rsidRDefault="002A7F8C" w:rsidP="002A7F8C">
      <w:pPr>
        <w:pStyle w:val="ManualNumPar1"/>
        <w:rPr>
          <w:noProof/>
        </w:rPr>
      </w:pPr>
      <w:r w:rsidRPr="00A7778D">
        <w:rPr>
          <w:noProof/>
        </w:rPr>
        <w:t>2.</w:t>
      </w:r>
      <w:r w:rsidRPr="00A7778D">
        <w:rPr>
          <w:noProof/>
        </w:rPr>
        <w:tab/>
        <w:t>Edellä 1 kohdassa tarkoitettujen valvontatoimenpiteiden on oltava tehokkaita, oikeasuhteisia ja varoittavia.</w:t>
      </w:r>
    </w:p>
    <w:p w14:paraId="676E2E74" w14:textId="7C5F0FDA" w:rsidR="007C28A8" w:rsidRPr="00A7778D" w:rsidRDefault="002A7F8C" w:rsidP="002A7F8C">
      <w:pPr>
        <w:pStyle w:val="ManualNumPar1"/>
        <w:rPr>
          <w:noProof/>
        </w:rPr>
      </w:pPr>
      <w:r w:rsidRPr="00A7778D">
        <w:rPr>
          <w:noProof/>
        </w:rPr>
        <w:t>3.</w:t>
      </w:r>
      <w:r w:rsidRPr="00A7778D">
        <w:rPr>
          <w:noProof/>
        </w:rPr>
        <w:tab/>
        <w:t>Arvopaperimarkkinaviranomainen ottaa 1 kohdassa tarkoitettuja valvontatoimenpiteitä toteuttaessaan huomioon rikkomisen luonteen ja vakavuuden seuraavien perusteiden osalta:</w:t>
      </w:r>
    </w:p>
    <w:p w14:paraId="08F90D1B" w14:textId="3B95C97A" w:rsidR="007C28A8" w:rsidRPr="00A7778D" w:rsidRDefault="002A7F8C" w:rsidP="002A7F8C">
      <w:pPr>
        <w:pStyle w:val="Point1"/>
        <w:rPr>
          <w:noProof/>
        </w:rPr>
      </w:pPr>
      <w:r w:rsidRPr="00A7778D">
        <w:rPr>
          <w:noProof/>
        </w:rPr>
        <w:t>a)</w:t>
      </w:r>
      <w:r w:rsidRPr="00A7778D">
        <w:rPr>
          <w:noProof/>
        </w:rPr>
        <w:tab/>
        <w:t>rikkomisen kesto ja toistuvuus;</w:t>
      </w:r>
    </w:p>
    <w:p w14:paraId="55788D0A" w14:textId="1217F16E" w:rsidR="007C28A8" w:rsidRPr="00A7778D" w:rsidRDefault="002A7F8C" w:rsidP="002A7F8C">
      <w:pPr>
        <w:pStyle w:val="Point1"/>
        <w:rPr>
          <w:noProof/>
        </w:rPr>
      </w:pPr>
      <w:r w:rsidRPr="00A7778D">
        <w:rPr>
          <w:noProof/>
        </w:rPr>
        <w:t>b)</w:t>
      </w:r>
      <w:r w:rsidRPr="00A7778D">
        <w:rPr>
          <w:noProof/>
        </w:rPr>
        <w:tab/>
        <w:t>onko rikkominen aiheuttanut talousrikoksen tai helpottanut sitä tai muuten vaikuttanut siihen;</w:t>
      </w:r>
    </w:p>
    <w:p w14:paraId="0CC7965F" w14:textId="3D2D68BD" w:rsidR="007C28A8" w:rsidRPr="00A7778D" w:rsidRDefault="002A7F8C" w:rsidP="002A7F8C">
      <w:pPr>
        <w:pStyle w:val="Point1"/>
        <w:rPr>
          <w:noProof/>
        </w:rPr>
      </w:pPr>
      <w:r w:rsidRPr="00A7778D">
        <w:rPr>
          <w:noProof/>
        </w:rPr>
        <w:t>c)</w:t>
      </w:r>
      <w:r w:rsidRPr="00A7778D">
        <w:rPr>
          <w:noProof/>
        </w:rPr>
        <w:tab/>
        <w:t>onko rikkominen tapahtunut tahallisesti vai tuottamuksellisesti;</w:t>
      </w:r>
    </w:p>
    <w:p w14:paraId="5FE076E7" w14:textId="45CF4F99" w:rsidR="007C28A8" w:rsidRPr="00A7778D" w:rsidRDefault="002A7F8C" w:rsidP="002A7F8C">
      <w:pPr>
        <w:pStyle w:val="Point1"/>
        <w:rPr>
          <w:noProof/>
        </w:rPr>
      </w:pPr>
      <w:r w:rsidRPr="00A7778D">
        <w:rPr>
          <w:noProof/>
        </w:rPr>
        <w:t>d)</w:t>
      </w:r>
      <w:r w:rsidRPr="00A7778D">
        <w:rPr>
          <w:noProof/>
        </w:rPr>
        <w:tab/>
        <w:t>rikkomisesta vastuussa olevan henkilön vastuun aste;</w:t>
      </w:r>
    </w:p>
    <w:p w14:paraId="413E6531" w14:textId="7922C43D" w:rsidR="007C28A8" w:rsidRPr="00A7778D" w:rsidRDefault="002A7F8C" w:rsidP="002A7F8C">
      <w:pPr>
        <w:pStyle w:val="Point1"/>
        <w:rPr>
          <w:noProof/>
        </w:rPr>
      </w:pPr>
      <w:r w:rsidRPr="00A7778D">
        <w:rPr>
          <w:noProof/>
        </w:rPr>
        <w:t>e)</w:t>
      </w:r>
      <w:r w:rsidRPr="00A7778D">
        <w:rPr>
          <w:noProof/>
        </w:rPr>
        <w:tab/>
        <w:t>ESG-luokitusten tarjoajan taloudellinen vahvuus sen vuotuisen kokonaisnettoliikevaihdon perusteella;</w:t>
      </w:r>
    </w:p>
    <w:p w14:paraId="11BCEA83" w14:textId="468BB81B" w:rsidR="007C28A8" w:rsidRPr="00A7778D" w:rsidRDefault="002A7F8C" w:rsidP="002A7F8C">
      <w:pPr>
        <w:pStyle w:val="Point1"/>
        <w:rPr>
          <w:noProof/>
        </w:rPr>
      </w:pPr>
      <w:r w:rsidRPr="00A7778D">
        <w:rPr>
          <w:noProof/>
        </w:rPr>
        <w:t>f)</w:t>
      </w:r>
      <w:r w:rsidRPr="00A7778D">
        <w:rPr>
          <w:noProof/>
        </w:rPr>
        <w:tab/>
        <w:t>rikkomisen vaikutukset yksityissijoittajien etuihin;</w:t>
      </w:r>
    </w:p>
    <w:p w14:paraId="177D51AC" w14:textId="1B55D2FB" w:rsidR="007C28A8" w:rsidRPr="00A7778D" w:rsidRDefault="002A7F8C" w:rsidP="002A7F8C">
      <w:pPr>
        <w:pStyle w:val="Point1"/>
        <w:rPr>
          <w:noProof/>
        </w:rPr>
      </w:pPr>
      <w:r w:rsidRPr="00A7778D">
        <w:rPr>
          <w:noProof/>
        </w:rPr>
        <w:t>g)</w:t>
      </w:r>
      <w:r w:rsidRPr="00A7778D">
        <w:rPr>
          <w:noProof/>
        </w:rPr>
        <w:tab/>
        <w:t>ESG-luokitusten tarjoajan rikkomisen vuoksi saamien voittojen tai välttämien tappioiden taikka rikkomisesta kolmansille osapuolille aiheutuneiden tappioiden suuruus, jos tällaiset voitot ja tappiot ovat määritettävissä;</w:t>
      </w:r>
    </w:p>
    <w:p w14:paraId="3DB30229" w14:textId="09EB1A1F" w:rsidR="007C28A8" w:rsidRPr="00A7778D" w:rsidRDefault="002A7F8C" w:rsidP="002A7F8C">
      <w:pPr>
        <w:pStyle w:val="Point1"/>
        <w:rPr>
          <w:noProof/>
        </w:rPr>
      </w:pPr>
      <w:r w:rsidRPr="00A7778D">
        <w:rPr>
          <w:noProof/>
        </w:rPr>
        <w:t>h)</w:t>
      </w:r>
      <w:r w:rsidRPr="00A7778D">
        <w:rPr>
          <w:noProof/>
        </w:rPr>
        <w:tab/>
        <w:t>missä määrin ESG-luokitusten tarjoaja on tehnyt yhteistyötä arvopaperimarkkinaviranomaisen kanssa, sanotun kuitenkaan rajoittamatta tarvetta varmistaa, että kyseinen ESG-luokitusten tarjoaja joutuu luopumaan saamistaan voitoista tai välttämistään tappioista;</w:t>
      </w:r>
    </w:p>
    <w:p w14:paraId="1766AE19" w14:textId="6D4EFA74" w:rsidR="007C28A8" w:rsidRPr="00A7778D" w:rsidRDefault="002A7F8C" w:rsidP="002A7F8C">
      <w:pPr>
        <w:pStyle w:val="Point1"/>
        <w:rPr>
          <w:noProof/>
        </w:rPr>
      </w:pPr>
      <w:r w:rsidRPr="00A7778D">
        <w:rPr>
          <w:noProof/>
        </w:rPr>
        <w:t>i)</w:t>
      </w:r>
      <w:r w:rsidRPr="00A7778D">
        <w:rPr>
          <w:noProof/>
        </w:rPr>
        <w:tab/>
        <w:t>ESG-luokitusten tarjoajan aiemmat rikkomiset;</w:t>
      </w:r>
    </w:p>
    <w:p w14:paraId="5931A855" w14:textId="19D3CC3D" w:rsidR="007C28A8" w:rsidRPr="00A7778D" w:rsidRDefault="002A7F8C" w:rsidP="002A7F8C">
      <w:pPr>
        <w:pStyle w:val="Point1"/>
        <w:rPr>
          <w:noProof/>
        </w:rPr>
      </w:pPr>
      <w:r w:rsidRPr="00A7778D">
        <w:rPr>
          <w:noProof/>
        </w:rPr>
        <w:t>j)</w:t>
      </w:r>
      <w:r w:rsidRPr="00A7778D">
        <w:rPr>
          <w:noProof/>
        </w:rPr>
        <w:tab/>
        <w:t>ESG-luokitusten tarjoajan rikkomisen jälkeen toteuttamat toimenpiteet rikkomisen toistumisen estämiseksi.</w:t>
      </w:r>
    </w:p>
    <w:p w14:paraId="6113A802" w14:textId="5630665C" w:rsidR="007C28A8" w:rsidRPr="00A7778D" w:rsidRDefault="002A7F8C" w:rsidP="002A7F8C">
      <w:pPr>
        <w:pStyle w:val="ManualNumPar1"/>
        <w:rPr>
          <w:noProof/>
        </w:rPr>
      </w:pPr>
      <w:r w:rsidRPr="00A7778D">
        <w:rPr>
          <w:noProof/>
        </w:rPr>
        <w:t>4.</w:t>
      </w:r>
      <w:r w:rsidRPr="00A7778D">
        <w:rPr>
          <w:noProof/>
        </w:rPr>
        <w:tab/>
        <w:t>Arvopaperimarkkinaviranomainen ilmoittaa kaikista 1 kohdan nojalla toteutetuista toimista rikkomisesta vastuussa olevalle henkilölle ilman aiheetonta viivytystä. Arvopaperimarkkinaviranomaisen on julkistettava tällaiset toimet verkkosivustollaan 10 työpäivän kuluessa päivästä, jona toimi on hyväksytty.</w:t>
      </w:r>
    </w:p>
    <w:p w14:paraId="4A213A7B" w14:textId="77777777" w:rsidR="007C28A8" w:rsidRPr="00A7778D" w:rsidRDefault="007C28A8" w:rsidP="00162B2D">
      <w:pPr>
        <w:rPr>
          <w:noProof/>
        </w:rPr>
      </w:pPr>
      <w:r w:rsidRPr="00A7778D">
        <w:rPr>
          <w:noProof/>
        </w:rPr>
        <w:t>Ensimmäisessä alakohdassa tarkoitetun julkistamisen on sisällettävä kaikki seuraavat seikat:</w:t>
      </w:r>
    </w:p>
    <w:p w14:paraId="77CD4DC8" w14:textId="550FB21A" w:rsidR="007C28A8" w:rsidRPr="00A7778D" w:rsidRDefault="002A7F8C" w:rsidP="002A7F8C">
      <w:pPr>
        <w:pStyle w:val="Point1"/>
        <w:rPr>
          <w:noProof/>
        </w:rPr>
      </w:pPr>
      <w:r w:rsidRPr="00A7778D">
        <w:rPr>
          <w:noProof/>
        </w:rPr>
        <w:t>a)</w:t>
      </w:r>
      <w:r w:rsidRPr="00A7778D">
        <w:rPr>
          <w:noProof/>
        </w:rPr>
        <w:tab/>
        <w:t>maininta siitä, että ESG-luokitusten tarjoajalla on oikeus hakea muutosta päätökseen;</w:t>
      </w:r>
    </w:p>
    <w:p w14:paraId="1A2DEE57" w14:textId="5130B800" w:rsidR="007C28A8" w:rsidRPr="00A7778D" w:rsidRDefault="002A7F8C" w:rsidP="002A7F8C">
      <w:pPr>
        <w:pStyle w:val="Point1"/>
        <w:rPr>
          <w:noProof/>
        </w:rPr>
      </w:pPr>
      <w:r w:rsidRPr="00A7778D">
        <w:rPr>
          <w:noProof/>
        </w:rPr>
        <w:t>b)</w:t>
      </w:r>
      <w:r w:rsidRPr="00A7778D">
        <w:rPr>
          <w:noProof/>
        </w:rPr>
        <w:tab/>
        <w:t>tarvittaessa maininta siitä, että muutosta on haettu ja että muutoksenhaulla ei ole lykkäävää vaikutusta;</w:t>
      </w:r>
    </w:p>
    <w:p w14:paraId="6F1D3CAB" w14:textId="326E6BF7" w:rsidR="007C28A8" w:rsidRPr="00A7778D" w:rsidRDefault="002A7F8C" w:rsidP="002A7F8C">
      <w:pPr>
        <w:pStyle w:val="Point1"/>
        <w:rPr>
          <w:noProof/>
        </w:rPr>
      </w:pPr>
      <w:r w:rsidRPr="00A7778D">
        <w:rPr>
          <w:noProof/>
        </w:rPr>
        <w:t>c)</w:t>
      </w:r>
      <w:r w:rsidRPr="00A7778D">
        <w:rPr>
          <w:noProof/>
        </w:rPr>
        <w:tab/>
        <w:t>maininta siitä, että arvopaperimarkkinaviranomaisen on mahdollista keskeyttää riitautetun päätöksen soveltaminen asetuksen (EU) N:o 1095/2010 60 artiklan 3 kohdan nojalla.</w:t>
      </w:r>
    </w:p>
    <w:p w14:paraId="4FAD6DBF" w14:textId="77777777" w:rsidR="007C28A8" w:rsidRPr="00A7778D" w:rsidRDefault="007C28A8" w:rsidP="00027382">
      <w:pPr>
        <w:pStyle w:val="Titrearticle"/>
        <w:spacing w:line="23" w:lineRule="atLeast"/>
        <w:rPr>
          <w:noProof/>
          <w:szCs w:val="24"/>
        </w:rPr>
      </w:pPr>
      <w:r w:rsidRPr="00A7778D">
        <w:rPr>
          <w:noProof/>
        </w:rPr>
        <w:t>34 artikla</w:t>
      </w:r>
    </w:p>
    <w:p w14:paraId="4B581B84" w14:textId="77777777" w:rsidR="007C28A8" w:rsidRPr="00A7778D" w:rsidRDefault="007C28A8" w:rsidP="00027382">
      <w:pPr>
        <w:pStyle w:val="NormalCentered"/>
        <w:rPr>
          <w:b/>
          <w:bCs/>
          <w:noProof/>
        </w:rPr>
      </w:pPr>
      <w:r w:rsidRPr="00A7778D">
        <w:rPr>
          <w:b/>
          <w:noProof/>
        </w:rPr>
        <w:t>Sakot</w:t>
      </w:r>
    </w:p>
    <w:p w14:paraId="0E247CB6" w14:textId="0183A570" w:rsidR="007C28A8" w:rsidRPr="00A7778D" w:rsidRDefault="002A7F8C" w:rsidP="002A7F8C">
      <w:pPr>
        <w:pStyle w:val="ManualNumPar1"/>
        <w:rPr>
          <w:noProof/>
        </w:rPr>
      </w:pPr>
      <w:r w:rsidRPr="00A7778D">
        <w:rPr>
          <w:noProof/>
        </w:rPr>
        <w:t>1.</w:t>
      </w:r>
      <w:r w:rsidRPr="00A7778D">
        <w:rPr>
          <w:noProof/>
        </w:rPr>
        <w:tab/>
        <w:t>Jos arvopaperimarkkinaviranomainen toteaa, että ESG-luokitusten tarjoaja tai tapauksen mukaan sen laillinen edustaja on tahallisesti tai tuottamuksellisesti rikkonut tätä asetusta, se tekee päätöksen sakon määräämisestä. Sakon enimmäismäärä on 10 prosenttia ESG-luokitusten tarjoajan vuotuisesta kokonaisnettoliikevaihdosta laskettuna ESG-luokitusten tarjoajan ylimmän hallintoelimen hyväksymien viimeisimpien saatavilla olevien tilinpäätösten perusteella.</w:t>
      </w:r>
    </w:p>
    <w:p w14:paraId="28D0F8DB" w14:textId="791DA659" w:rsidR="007C28A8" w:rsidRPr="00A7778D" w:rsidRDefault="002A7F8C" w:rsidP="002A7F8C">
      <w:pPr>
        <w:pStyle w:val="ManualNumPar1"/>
        <w:rPr>
          <w:noProof/>
        </w:rPr>
      </w:pPr>
      <w:r w:rsidRPr="00A7778D">
        <w:rPr>
          <w:noProof/>
        </w:rPr>
        <w:t>2.</w:t>
      </w:r>
      <w:r w:rsidRPr="00A7778D">
        <w:rPr>
          <w:noProof/>
        </w:rPr>
        <w:tab/>
        <w:t>Jos ESG-luokitusten tarjoaja on emoyritys tai sellaisen emoyrityksen tytäryritys, jonka on laadittava direktiivin 2013/34/EU mukaisesti konsernitilinpäätös, asiaankuuluva vuotuinen kokonaisnettoliikevaihto on joko koko konsernin emoyrityksen ylimmän hallintoelimen hyväksymän tuoreimman käytettävissä olevan konsernitilinpäätöksen mukainen vuotuinen kokonaisliikevaihto tai vastaava tulotyyppi tilinpäätöksiin sovellettavan asiaankuuluvan unionin lainsäädännön mukaisesti.</w:t>
      </w:r>
    </w:p>
    <w:p w14:paraId="73E7BFE0" w14:textId="5D96B153" w:rsidR="007C28A8" w:rsidRPr="00A7778D" w:rsidRDefault="002A7F8C" w:rsidP="002A7F8C">
      <w:pPr>
        <w:pStyle w:val="ManualNumPar1"/>
        <w:rPr>
          <w:noProof/>
        </w:rPr>
      </w:pPr>
      <w:r w:rsidRPr="00A7778D">
        <w:rPr>
          <w:noProof/>
        </w:rPr>
        <w:t>3.</w:t>
      </w:r>
      <w:r w:rsidRPr="00A7778D">
        <w:rPr>
          <w:noProof/>
        </w:rPr>
        <w:tab/>
        <w:t>Päättäessään 1 kohdan mukaisen sakon määrästä arvopaperimarkkinaviranomainen ottaa huomioon 33 artiklan 3 kohdassa esitetyt perusteet.</w:t>
      </w:r>
    </w:p>
    <w:p w14:paraId="1CB8D7CF" w14:textId="54C9D254" w:rsidR="007C28A8" w:rsidRPr="00A7778D" w:rsidRDefault="002A7F8C" w:rsidP="002A7F8C">
      <w:pPr>
        <w:pStyle w:val="ManualNumPar1"/>
        <w:rPr>
          <w:noProof/>
        </w:rPr>
      </w:pPr>
      <w:r w:rsidRPr="00A7778D">
        <w:rPr>
          <w:noProof/>
        </w:rPr>
        <w:t>4.</w:t>
      </w:r>
      <w:r w:rsidRPr="00A7778D">
        <w:rPr>
          <w:noProof/>
        </w:rPr>
        <w:tab/>
        <w:t>Jos ESG-luokitusten tarjoaja on suoraan tai välillisesti hyötynyt rikkomisesta taloudellisesti, sakon määrän on oltava vähintään yhtä suuri kuin kyseinen hyöty, sen estämättä, mitä 3 kohdassa säädetään.</w:t>
      </w:r>
    </w:p>
    <w:p w14:paraId="7A3BD52C" w14:textId="27326E9A" w:rsidR="007C28A8" w:rsidRPr="00A7778D" w:rsidRDefault="002A7F8C" w:rsidP="002A7F8C">
      <w:pPr>
        <w:pStyle w:val="ManualNumPar1"/>
        <w:rPr>
          <w:noProof/>
        </w:rPr>
      </w:pPr>
      <w:r w:rsidRPr="00A7778D">
        <w:rPr>
          <w:noProof/>
        </w:rPr>
        <w:t>5.</w:t>
      </w:r>
      <w:r w:rsidRPr="00A7778D">
        <w:rPr>
          <w:noProof/>
        </w:rPr>
        <w:tab/>
        <w:t>Jos ESG-luokitusten tarjoajan teko tai laiminlyönti muodostaa useamman kuin yhden tämän asetuksen rikkomisista, sovelletaan ainoastaan 2 kohdan mukaisesti laskettua korkeampaa ja yhteen näistä rikkomisista liittyvää sakkoa.</w:t>
      </w:r>
    </w:p>
    <w:p w14:paraId="646DE2EE" w14:textId="77777777" w:rsidR="007C28A8" w:rsidRPr="00A7778D" w:rsidRDefault="007C28A8" w:rsidP="00027382">
      <w:pPr>
        <w:pStyle w:val="Titrearticle"/>
        <w:spacing w:line="23" w:lineRule="atLeast"/>
        <w:rPr>
          <w:noProof/>
          <w:szCs w:val="24"/>
        </w:rPr>
      </w:pPr>
      <w:r w:rsidRPr="00A7778D">
        <w:rPr>
          <w:noProof/>
        </w:rPr>
        <w:t>35 artikla</w:t>
      </w:r>
    </w:p>
    <w:p w14:paraId="66A7BEAB" w14:textId="77777777" w:rsidR="007C28A8" w:rsidRPr="00A7778D" w:rsidRDefault="007C28A8" w:rsidP="00027382">
      <w:pPr>
        <w:pStyle w:val="NormalCentered"/>
        <w:rPr>
          <w:b/>
          <w:bCs/>
          <w:noProof/>
        </w:rPr>
      </w:pPr>
      <w:r w:rsidRPr="00A7778D">
        <w:rPr>
          <w:b/>
          <w:noProof/>
        </w:rPr>
        <w:t>Uhkasakot</w:t>
      </w:r>
    </w:p>
    <w:p w14:paraId="4C4A89C6" w14:textId="017601DF" w:rsidR="007C28A8" w:rsidRPr="00A7778D" w:rsidRDefault="002A7F8C" w:rsidP="002A7F8C">
      <w:pPr>
        <w:pStyle w:val="ManualNumPar1"/>
        <w:rPr>
          <w:noProof/>
        </w:rPr>
      </w:pPr>
      <w:r w:rsidRPr="00A7778D">
        <w:rPr>
          <w:noProof/>
        </w:rPr>
        <w:t>1.</w:t>
      </w:r>
      <w:r w:rsidRPr="00A7778D">
        <w:rPr>
          <w:noProof/>
        </w:rPr>
        <w:tab/>
        <w:t>Arvopaperimarkkinaviranomainen määrää päätöksellä uhkasakkoja pakottaakseen</w:t>
      </w:r>
    </w:p>
    <w:p w14:paraId="62946118" w14:textId="6ECB1F20" w:rsidR="007C28A8" w:rsidRPr="00A7778D" w:rsidRDefault="002A7F8C" w:rsidP="002A7F8C">
      <w:pPr>
        <w:pStyle w:val="Point1"/>
        <w:rPr>
          <w:noProof/>
        </w:rPr>
      </w:pPr>
      <w:r w:rsidRPr="00A7778D">
        <w:rPr>
          <w:noProof/>
        </w:rPr>
        <w:t>a)</w:t>
      </w:r>
      <w:r w:rsidRPr="00A7778D">
        <w:rPr>
          <w:noProof/>
        </w:rPr>
        <w:tab/>
        <w:t>ESG-luokitusten tarjoajan lopettamaan rikkomisen 33 artiklan nojalla tehdyn päätöksen mukaisesti;</w:t>
      </w:r>
    </w:p>
    <w:p w14:paraId="715DD2B2" w14:textId="0076F614" w:rsidR="007C28A8" w:rsidRPr="00A7778D" w:rsidRDefault="002A7F8C" w:rsidP="002A7F8C">
      <w:pPr>
        <w:pStyle w:val="Point1"/>
        <w:rPr>
          <w:noProof/>
        </w:rPr>
      </w:pPr>
      <w:r w:rsidRPr="00A7778D">
        <w:rPr>
          <w:noProof/>
        </w:rPr>
        <w:t>b)</w:t>
      </w:r>
      <w:r w:rsidRPr="00A7778D">
        <w:rPr>
          <w:noProof/>
        </w:rPr>
        <w:tab/>
        <w:t>30 artiklan 1 kohdassa tarkoitetut henkilöt</w:t>
      </w:r>
    </w:p>
    <w:p w14:paraId="3768F5F8" w14:textId="45F91A69" w:rsidR="007C28A8" w:rsidRPr="00A7778D" w:rsidRDefault="002A7F8C" w:rsidP="002A7F8C">
      <w:pPr>
        <w:pStyle w:val="Point2"/>
        <w:rPr>
          <w:noProof/>
        </w:rPr>
      </w:pPr>
      <w:r w:rsidRPr="00A7778D">
        <w:rPr>
          <w:noProof/>
        </w:rPr>
        <w:t>1)</w:t>
      </w:r>
      <w:r w:rsidRPr="00A7778D">
        <w:rPr>
          <w:noProof/>
        </w:rPr>
        <w:tab/>
        <w:t>toimittamaan täydellisinä tiedot, joita on pyydetty 30 artiklan nojalla tehdyllä päätöksellä;</w:t>
      </w:r>
    </w:p>
    <w:p w14:paraId="50B0F5F2" w14:textId="42DD7C5F" w:rsidR="007C28A8" w:rsidRPr="00A7778D" w:rsidRDefault="002A7F8C" w:rsidP="002A7F8C">
      <w:pPr>
        <w:pStyle w:val="Point2"/>
        <w:rPr>
          <w:noProof/>
        </w:rPr>
      </w:pPr>
      <w:r w:rsidRPr="00A7778D">
        <w:rPr>
          <w:noProof/>
        </w:rPr>
        <w:t>2)</w:t>
      </w:r>
      <w:r w:rsidRPr="00A7778D">
        <w:rPr>
          <w:noProof/>
        </w:rPr>
        <w:tab/>
        <w:t>suostumaan tutkimukseen ja erityisesti toimittamaan täydelliset asiakirjat, tiedot, menettelyt tai muun pyydetyn aineiston ja täydentämään ja oikaisemaan muita tietoja, jotka on toimitettu 30 artiklan nojalla tehdyllä päätöksellä käynnistetyssä tutkimuksessa;</w:t>
      </w:r>
    </w:p>
    <w:p w14:paraId="2FD8305D" w14:textId="6ED6D605" w:rsidR="007C28A8" w:rsidRPr="00A7778D" w:rsidRDefault="002A7F8C" w:rsidP="002A7F8C">
      <w:pPr>
        <w:pStyle w:val="Point2"/>
        <w:rPr>
          <w:noProof/>
        </w:rPr>
      </w:pPr>
      <w:r w:rsidRPr="00A7778D">
        <w:rPr>
          <w:noProof/>
        </w:rPr>
        <w:t>3)</w:t>
      </w:r>
      <w:r w:rsidRPr="00A7778D">
        <w:rPr>
          <w:noProof/>
        </w:rPr>
        <w:tab/>
        <w:t>suostumaan 32 artiklan nojalla tehdyllä päätöksellä määrättyyn paikalla tehtävään tarkastukseen.</w:t>
      </w:r>
    </w:p>
    <w:p w14:paraId="13C42566" w14:textId="6492CD32" w:rsidR="00FD7661" w:rsidRPr="00A7778D" w:rsidRDefault="002A7F8C" w:rsidP="002A7F8C">
      <w:pPr>
        <w:pStyle w:val="ManualNumPar1"/>
        <w:rPr>
          <w:noProof/>
        </w:rPr>
      </w:pPr>
      <w:r w:rsidRPr="00A7778D">
        <w:rPr>
          <w:noProof/>
        </w:rPr>
        <w:t>2.</w:t>
      </w:r>
      <w:r w:rsidRPr="00A7778D">
        <w:rPr>
          <w:noProof/>
        </w:rPr>
        <w:tab/>
        <w:t>Uhkasakon on oltava tehokas ja oikeasuhteinen. Arvopaperimarkkinaviranomainen määrää uhkasakon maksettavaksi päivittäin, kunnes ESG-luokitusten tarjoaja tai kyseessä oleva henkilö noudattaa 1 kohdassa tarkoitettua päätöstä.</w:t>
      </w:r>
    </w:p>
    <w:p w14:paraId="66DB63B6" w14:textId="11181964" w:rsidR="007C28A8" w:rsidRPr="00A7778D" w:rsidRDefault="002A7F8C" w:rsidP="002A7F8C">
      <w:pPr>
        <w:pStyle w:val="ManualNumPar1"/>
        <w:rPr>
          <w:noProof/>
        </w:rPr>
      </w:pPr>
      <w:r w:rsidRPr="00A7778D">
        <w:rPr>
          <w:noProof/>
        </w:rPr>
        <w:t>3.</w:t>
      </w:r>
      <w:r w:rsidRPr="00A7778D">
        <w:rPr>
          <w:noProof/>
        </w:rPr>
        <w:tab/>
        <w:t>Sen estämättä, mitä 2 kohdassa säädetään, uhkasakkojen määrä on kolme prosenttia edeltävän tilikauden keskimääräisestä päiväliikevaihdosta tai, luonnollisten henkilöiden ollessa kyseessä, kaksi prosenttia edellisen kalenterivuoden keskimääräisestä päivätulosta. Se lasketaan uhkasakon määräämisestä tehdyssä päätöksessä määrätystä päivästä alkaen.</w:t>
      </w:r>
    </w:p>
    <w:p w14:paraId="098D3D06" w14:textId="47E0AB4A" w:rsidR="007C28A8" w:rsidRPr="00A7778D" w:rsidRDefault="002A7F8C" w:rsidP="002A7F8C">
      <w:pPr>
        <w:pStyle w:val="ManualNumPar1"/>
        <w:rPr>
          <w:noProof/>
        </w:rPr>
      </w:pPr>
      <w:r w:rsidRPr="00A7778D">
        <w:rPr>
          <w:noProof/>
        </w:rPr>
        <w:t>4.</w:t>
      </w:r>
      <w:r w:rsidRPr="00A7778D">
        <w:rPr>
          <w:noProof/>
        </w:rPr>
        <w:tab/>
        <w:t>Uhkasakko määrätään enintään kuuden kuukauden ajaksi arvopaperimarkkinaviranomaisen päätöksen tiedoksi antamisesta. Tämän ajanjakson päätyttyä arvopaperimarkkinaviranomainen tarkastelee toimenpidettä uudelleen.</w:t>
      </w:r>
    </w:p>
    <w:p w14:paraId="0A6AC4FB" w14:textId="77777777" w:rsidR="007C28A8" w:rsidRPr="00A7778D" w:rsidRDefault="007C28A8" w:rsidP="00027382">
      <w:pPr>
        <w:pStyle w:val="Titrearticle"/>
        <w:spacing w:line="23" w:lineRule="atLeast"/>
        <w:rPr>
          <w:noProof/>
          <w:szCs w:val="24"/>
        </w:rPr>
      </w:pPr>
      <w:r w:rsidRPr="00A7778D">
        <w:rPr>
          <w:noProof/>
        </w:rPr>
        <w:t>36 artikla</w:t>
      </w:r>
    </w:p>
    <w:p w14:paraId="3D1394B2" w14:textId="77777777" w:rsidR="007C28A8" w:rsidRPr="00A7778D" w:rsidRDefault="007C28A8" w:rsidP="00027382">
      <w:pPr>
        <w:pStyle w:val="NormalCentered"/>
        <w:rPr>
          <w:b/>
          <w:bCs/>
          <w:noProof/>
        </w:rPr>
      </w:pPr>
      <w:r w:rsidRPr="00A7778D">
        <w:rPr>
          <w:b/>
          <w:noProof/>
        </w:rPr>
        <w:t>Sakkojen ja uhkasakkojen julkistaminen, luonne, täytäntöönpano ja kohdentaminen</w:t>
      </w:r>
    </w:p>
    <w:p w14:paraId="333C3D64" w14:textId="5298B83C" w:rsidR="007C28A8" w:rsidRPr="00A7778D" w:rsidRDefault="002A7F8C" w:rsidP="002A7F8C">
      <w:pPr>
        <w:pStyle w:val="ManualNumPar1"/>
        <w:rPr>
          <w:noProof/>
        </w:rPr>
      </w:pPr>
      <w:r w:rsidRPr="00A7778D">
        <w:rPr>
          <w:noProof/>
        </w:rPr>
        <w:t>1.</w:t>
      </w:r>
      <w:r w:rsidRPr="00A7778D">
        <w:rPr>
          <w:noProof/>
        </w:rPr>
        <w:tab/>
        <w:t>Arvopaperimarkkinaviranomainen julkistaa jokaisen sakon ja uhkasakon, jonka se on määrännyt 34 ja 35 artiklan mukaisesti, paitsi jos julkistaminen vaarantaisi vakavasti unionin finanssimarkkinat tai aiheuttaisi kohtuutonta haittaa asianosaisille. Tällainen julkistaminen ei saa sisältää Euroopan parlamentin ja neuvoston asetuksessa (EU) 2018/1725</w:t>
      </w:r>
      <w:r w:rsidRPr="00A7778D">
        <w:rPr>
          <w:rStyle w:val="FootnoteReference0"/>
          <w:noProof/>
          <w:szCs w:val="24"/>
        </w:rPr>
        <w:footnoteReference w:id="55"/>
      </w:r>
      <w:r w:rsidRPr="00A7778D">
        <w:rPr>
          <w:noProof/>
        </w:rPr>
        <w:t xml:space="preserve"> tarkoitettuja henkilötietoja.</w:t>
      </w:r>
    </w:p>
    <w:p w14:paraId="290BFF2B" w14:textId="7BCF1655" w:rsidR="007C28A8" w:rsidRPr="00A7778D" w:rsidRDefault="002A7F8C" w:rsidP="002A7F8C">
      <w:pPr>
        <w:pStyle w:val="ManualNumPar1"/>
        <w:rPr>
          <w:noProof/>
        </w:rPr>
      </w:pPr>
      <w:r w:rsidRPr="00A7778D">
        <w:rPr>
          <w:noProof/>
        </w:rPr>
        <w:t>2.</w:t>
      </w:r>
      <w:r w:rsidRPr="00A7778D">
        <w:rPr>
          <w:noProof/>
        </w:rPr>
        <w:tab/>
        <w:t>Edellä olevien 34 ja 35 artiklan mukaisesti määrätyt sakot ja uhkasakot ovat luonteeltaan hallinnollisia.</w:t>
      </w:r>
    </w:p>
    <w:p w14:paraId="4C48E64B" w14:textId="615E5AD2" w:rsidR="007C28A8" w:rsidRPr="00A7778D" w:rsidRDefault="002A7F8C" w:rsidP="002A7F8C">
      <w:pPr>
        <w:pStyle w:val="ManualNumPar1"/>
        <w:rPr>
          <w:noProof/>
        </w:rPr>
      </w:pPr>
      <w:r w:rsidRPr="00A7778D">
        <w:rPr>
          <w:noProof/>
        </w:rPr>
        <w:t>3.</w:t>
      </w:r>
      <w:r w:rsidRPr="00A7778D">
        <w:rPr>
          <w:noProof/>
        </w:rPr>
        <w:tab/>
        <w:t>Edellä olevien 34 ja 35 artiklan mukaisesti määrätyt sakot ja uhkasakot ovat täytäntöönpanokelpoisia.</w:t>
      </w:r>
    </w:p>
    <w:p w14:paraId="23B7A4A3" w14:textId="77777777" w:rsidR="007C28A8" w:rsidRPr="00A7778D" w:rsidRDefault="007C28A8" w:rsidP="00162B2D">
      <w:pPr>
        <w:rPr>
          <w:noProof/>
        </w:rPr>
      </w:pPr>
      <w:r w:rsidRPr="00A7778D">
        <w:rPr>
          <w:noProof/>
        </w:rPr>
        <w:t>Sakkojen ja uhkasakkojen täytäntöönpanoon sovelletaan siinä jäsenvaltiossa tai kolmannessa maassa voimassa olevia menettelysääntöjä, jonka alueella täytäntöönpano tapahtuu.</w:t>
      </w:r>
    </w:p>
    <w:p w14:paraId="5733CF70" w14:textId="3F9F67D0" w:rsidR="007C28A8" w:rsidRPr="00A7778D" w:rsidRDefault="002A7F8C" w:rsidP="002A7F8C">
      <w:pPr>
        <w:pStyle w:val="ManualNumPar1"/>
        <w:rPr>
          <w:noProof/>
        </w:rPr>
      </w:pPr>
      <w:r w:rsidRPr="00A7778D">
        <w:rPr>
          <w:noProof/>
        </w:rPr>
        <w:t>4.</w:t>
      </w:r>
      <w:r w:rsidRPr="00A7778D">
        <w:rPr>
          <w:noProof/>
        </w:rPr>
        <w:tab/>
        <w:t>Sakot ja uhkasakot kohdennetaan Euroopan unionin yleiseen talousarvioon.</w:t>
      </w:r>
    </w:p>
    <w:p w14:paraId="79A9EDCD" w14:textId="77777777" w:rsidR="007C28A8" w:rsidRPr="00A7778D" w:rsidRDefault="007C28A8" w:rsidP="00CD2A5D">
      <w:pPr>
        <w:pStyle w:val="NormalCentered"/>
        <w:rPr>
          <w:noProof/>
        </w:rPr>
      </w:pPr>
      <w:r w:rsidRPr="00A7778D">
        <w:rPr>
          <w:noProof/>
        </w:rPr>
        <w:t>3 jakso</w:t>
      </w:r>
    </w:p>
    <w:p w14:paraId="0714C3D1" w14:textId="77777777" w:rsidR="007C28A8" w:rsidRPr="00A7778D" w:rsidRDefault="007C28A8" w:rsidP="00027382">
      <w:pPr>
        <w:pStyle w:val="NormalCentered"/>
        <w:rPr>
          <w:b/>
          <w:bCs/>
          <w:noProof/>
        </w:rPr>
      </w:pPr>
      <w:r w:rsidRPr="00A7778D">
        <w:rPr>
          <w:b/>
          <w:noProof/>
        </w:rPr>
        <w:t>Menettelyt ja muutoksenhaku</w:t>
      </w:r>
    </w:p>
    <w:p w14:paraId="42A8E398" w14:textId="77777777" w:rsidR="007C28A8" w:rsidRPr="00A7778D" w:rsidRDefault="007C28A8" w:rsidP="00CD2A5D">
      <w:pPr>
        <w:pStyle w:val="Titrearticle"/>
        <w:spacing w:line="23" w:lineRule="atLeast"/>
        <w:rPr>
          <w:noProof/>
          <w:szCs w:val="24"/>
        </w:rPr>
      </w:pPr>
      <w:r w:rsidRPr="00A7778D">
        <w:rPr>
          <w:noProof/>
        </w:rPr>
        <w:t>37 artikla</w:t>
      </w:r>
    </w:p>
    <w:p w14:paraId="643020AC" w14:textId="77777777" w:rsidR="007C28A8" w:rsidRPr="00A7778D" w:rsidRDefault="007C28A8" w:rsidP="00CD2A5D">
      <w:pPr>
        <w:pStyle w:val="NormalCentered"/>
        <w:rPr>
          <w:b/>
          <w:bCs/>
          <w:noProof/>
        </w:rPr>
      </w:pPr>
      <w:r w:rsidRPr="00A7778D">
        <w:rPr>
          <w:b/>
          <w:noProof/>
        </w:rPr>
        <w:t>Menettelysäännöt valvontatoimenpiteiden toteuttamiseksi ja sakkojen määräämiseksi</w:t>
      </w:r>
    </w:p>
    <w:p w14:paraId="25625A40" w14:textId="71575D33" w:rsidR="007C28A8" w:rsidRPr="00A7778D" w:rsidRDefault="002A7F8C" w:rsidP="002A7F8C">
      <w:pPr>
        <w:pStyle w:val="ManualNumPar1"/>
        <w:rPr>
          <w:noProof/>
        </w:rPr>
      </w:pPr>
      <w:r w:rsidRPr="00A7778D">
        <w:rPr>
          <w:noProof/>
        </w:rPr>
        <w:t>1.</w:t>
      </w:r>
      <w:r w:rsidRPr="00A7778D">
        <w:rPr>
          <w:noProof/>
        </w:rPr>
        <w:tab/>
        <w:t>Jos arvopaperimarkkinaviranomainen toteaa, että tämän asetuksen mahdollisesta rikkomisesta on vakavia viitteitä, arvopaperimarkkinaviranomainen nimittää arvopaperimarkkinaviranomaisen riippumattoman tutkivan virkamiehen tutkimaan asiaa. Nimetty virkamies ei saa olla tai ole saanut olla suoraan tai välillisesti osallisena niiden ESG-luokitusten valvonnassa, joihin rikkominen liittyy, ja hänen on tehtäviään suorittaessaan oltava arvopaperimarkkinaviranomaisen hallintoneuvostosta riippumaton.</w:t>
      </w:r>
    </w:p>
    <w:p w14:paraId="492D1514" w14:textId="43E989C7" w:rsidR="007C28A8" w:rsidRPr="00A7778D" w:rsidRDefault="002A7F8C" w:rsidP="002A7F8C">
      <w:pPr>
        <w:pStyle w:val="ManualNumPar1"/>
        <w:rPr>
          <w:noProof/>
        </w:rPr>
      </w:pPr>
      <w:r w:rsidRPr="00A7778D">
        <w:rPr>
          <w:noProof/>
        </w:rPr>
        <w:t>2.</w:t>
      </w:r>
      <w:r w:rsidRPr="00A7778D">
        <w:rPr>
          <w:noProof/>
        </w:rPr>
        <w:tab/>
        <w:t>Edellä 1 kohdassa tarkoitettu tutkiva virkamies tutkii väitetyt rikkomiset, ottaa huomioon tutkimuksen kohteena olevien henkilöiden esittämät huomiot ja esittää havainnoistaan täydellisen asiakirja-aineiston arvopaperimarkkinaviranomaisen hallintoneuvostolle.</w:t>
      </w:r>
    </w:p>
    <w:p w14:paraId="618E7336" w14:textId="004DCE21" w:rsidR="007C28A8" w:rsidRPr="00A7778D" w:rsidRDefault="002A7F8C" w:rsidP="002A7F8C">
      <w:pPr>
        <w:pStyle w:val="ManualNumPar1"/>
        <w:rPr>
          <w:noProof/>
        </w:rPr>
      </w:pPr>
      <w:r w:rsidRPr="00A7778D">
        <w:rPr>
          <w:noProof/>
        </w:rPr>
        <w:t>3.</w:t>
      </w:r>
      <w:r w:rsidRPr="00A7778D">
        <w:rPr>
          <w:noProof/>
        </w:rPr>
        <w:tab/>
        <w:t>Tutkivalla virkamiehellä on valtuus pyytää tietoja 30 artiklan mukaisesti sekä valtuus suorittaa tutkimuksia ja paikalla tehtäviä tarkastuksia 31 ja 32 artiklan mukaisesti.</w:t>
      </w:r>
    </w:p>
    <w:p w14:paraId="30E6BB61" w14:textId="0E5C26EB" w:rsidR="007C28A8" w:rsidRPr="00A7778D" w:rsidRDefault="002A7F8C" w:rsidP="002A7F8C">
      <w:pPr>
        <w:pStyle w:val="ManualNumPar1"/>
        <w:rPr>
          <w:noProof/>
        </w:rPr>
      </w:pPr>
      <w:r w:rsidRPr="00A7778D">
        <w:rPr>
          <w:noProof/>
        </w:rPr>
        <w:t>4.</w:t>
      </w:r>
      <w:r w:rsidRPr="00A7778D">
        <w:rPr>
          <w:noProof/>
        </w:rPr>
        <w:tab/>
        <w:t>Tutkivalla virkamiehellä on tehtäviä hoitaessaan oikeus tutustua kaikkiin arvopaperimarkkinaviranomaisen valvontatoimiensa yhteydessä keräämiin asiakirjoihin ja tietoihin.</w:t>
      </w:r>
    </w:p>
    <w:p w14:paraId="1EAF4D22" w14:textId="6C30272F" w:rsidR="007C28A8" w:rsidRPr="00A7778D" w:rsidRDefault="002A7F8C" w:rsidP="002A7F8C">
      <w:pPr>
        <w:pStyle w:val="ManualNumPar1"/>
        <w:rPr>
          <w:noProof/>
        </w:rPr>
      </w:pPr>
      <w:r w:rsidRPr="00A7778D">
        <w:rPr>
          <w:noProof/>
        </w:rPr>
        <w:t>5.</w:t>
      </w:r>
      <w:r w:rsidRPr="00A7778D">
        <w:rPr>
          <w:noProof/>
        </w:rPr>
        <w:tab/>
        <w:t>Tämän artiklan nojalla suoritettavien tutkimusten aikana on kaikilta osin kunnioitettava tutkimuksen kohteena olevien henkilöiden puolustautumisoikeuksia.</w:t>
      </w:r>
    </w:p>
    <w:p w14:paraId="462EE379" w14:textId="470D818F" w:rsidR="007C28A8" w:rsidRPr="00A7778D" w:rsidRDefault="002A7F8C" w:rsidP="002A7F8C">
      <w:pPr>
        <w:pStyle w:val="ManualNumPar1"/>
        <w:rPr>
          <w:noProof/>
        </w:rPr>
      </w:pPr>
      <w:r w:rsidRPr="00A7778D">
        <w:rPr>
          <w:noProof/>
        </w:rPr>
        <w:t>6.</w:t>
      </w:r>
      <w:r w:rsidRPr="00A7778D">
        <w:rPr>
          <w:noProof/>
        </w:rPr>
        <w:tab/>
        <w:t>Toimittaessaan havaintonsa sisältävän asiakirja-aineiston arvopaperimarkkinaviranomaisen hallintoneuvostolle tutkiva virkamies ilmoittaa tästä tutkimuksen kohteena oleville henkilöille.</w:t>
      </w:r>
    </w:p>
    <w:p w14:paraId="0FD975CC" w14:textId="79121DC8" w:rsidR="007C28A8" w:rsidRPr="00A7778D" w:rsidRDefault="002A7F8C" w:rsidP="002A7F8C">
      <w:pPr>
        <w:pStyle w:val="ManualNumPar1"/>
        <w:rPr>
          <w:noProof/>
        </w:rPr>
      </w:pPr>
      <w:r w:rsidRPr="00A7778D">
        <w:rPr>
          <w:noProof/>
        </w:rPr>
        <w:t>7.</w:t>
      </w:r>
      <w:r w:rsidRPr="00A7778D">
        <w:rPr>
          <w:noProof/>
        </w:rPr>
        <w:tab/>
        <w:t>Tutkivan virkamiehen havainnot sisältävän asiakirja-aineiston perusteella ja kuultuaan 38 artiklan mukaisesti asianomaisia henkilöitä, jos nämä ovat sitä pyytäneet, arvopaperimarkkinaviranomaisen hallintoneuvosto arvioi, onko yksi tai useampi tutkimuksen kohteena oleva henkilö syyllistynyt yhteen tai useampaan kyseiseen rikkomiseen, ja jos se toteaa, että tällaisiin rikkomisiin on syyllistytty, se toteuttaa valvontatoimenpiteen 33 artiklan mukaisesti ja määrää sakon 34 artiklan mukaisesti.</w:t>
      </w:r>
    </w:p>
    <w:p w14:paraId="2488C89C" w14:textId="2097C29F" w:rsidR="007C28A8" w:rsidRPr="00A7778D" w:rsidRDefault="002A7F8C" w:rsidP="002A7F8C">
      <w:pPr>
        <w:pStyle w:val="ManualNumPar1"/>
        <w:rPr>
          <w:noProof/>
        </w:rPr>
      </w:pPr>
      <w:r w:rsidRPr="00A7778D">
        <w:rPr>
          <w:noProof/>
        </w:rPr>
        <w:t>8.</w:t>
      </w:r>
      <w:r w:rsidRPr="00A7778D">
        <w:rPr>
          <w:noProof/>
        </w:rPr>
        <w:tab/>
        <w:t>Tutkiva virkamies ei osallistu asian käsittelyyn arvopaperimarkkinaviranomaisen hallintoneuvostossa eikä puutu muullakaan tavalla arvopaperimarkkinaviranomaisen hallintoneuvoston päätöksentekoprosessiin.</w:t>
      </w:r>
    </w:p>
    <w:p w14:paraId="2E84D6AC" w14:textId="2312BADF" w:rsidR="00FC43B4" w:rsidRPr="00A7778D" w:rsidRDefault="002A7F8C" w:rsidP="002A7F8C">
      <w:pPr>
        <w:pStyle w:val="ManualNumPar1"/>
        <w:rPr>
          <w:noProof/>
        </w:rPr>
      </w:pPr>
      <w:r w:rsidRPr="00A7778D">
        <w:rPr>
          <w:noProof/>
        </w:rPr>
        <w:t>9.</w:t>
      </w:r>
      <w:r w:rsidRPr="00A7778D">
        <w:rPr>
          <w:noProof/>
        </w:rPr>
        <w:tab/>
        <w:t>Komissio täydentää tätä asetusta antamalla menettelysääntöjä sakkojen tai uhkasakkojen määräämistä koskevan arvopaperimarkkinaviranomaisen oikeuden käytöstä, mukaan luettuina puolustautumisoikeuksia koskevat säännökset, väliaikaiset säännökset ja sakkojen tai uhkasakkojen perimistä koskevat säännökset, sekä antaa yksityiskohtaiset säännöt seuraamusten määräämisen ja täytäntöönpanon vanhentumisajoista.</w:t>
      </w:r>
    </w:p>
    <w:p w14:paraId="392C61B2" w14:textId="77777777" w:rsidR="00C1274D" w:rsidRPr="00A7778D" w:rsidRDefault="00C1274D" w:rsidP="00162B2D">
      <w:pPr>
        <w:rPr>
          <w:noProof/>
        </w:rPr>
      </w:pPr>
      <w:r w:rsidRPr="00A7778D">
        <w:rPr>
          <w:noProof/>
        </w:rPr>
        <w:t>Ensimmäisessä alakohdassa tarkoitetut säännöt hyväksytään delegoiduilla säädöksillä 45 artiklan mukaisesti.</w:t>
      </w:r>
    </w:p>
    <w:p w14:paraId="76ACC200" w14:textId="038BBE5D" w:rsidR="007C28A8" w:rsidRPr="00A7778D" w:rsidRDefault="002A7F8C" w:rsidP="002A7F8C">
      <w:pPr>
        <w:pStyle w:val="ManualNumPar1"/>
        <w:rPr>
          <w:noProof/>
        </w:rPr>
      </w:pPr>
      <w:r w:rsidRPr="00A7778D">
        <w:rPr>
          <w:noProof/>
        </w:rPr>
        <w:t>10.</w:t>
      </w:r>
      <w:r w:rsidRPr="00A7778D">
        <w:rPr>
          <w:noProof/>
        </w:rPr>
        <w:tab/>
        <w:t>Arvopaperimarkkinaviranomainen antaa asian asianomaisten kansallisten viranomaisten käsiteltäväksi syytetoimia varten, jos se tämän asetuksen mukaisia tehtäviä hoitaessaan havaitsee vakavia viitteitä sellaisten tosiseikkojen mahdollisesta olemassaolosta, jotka saattavat täyttää rikoksen tunnusmerkistön. Arvopaperimarkkinaviranomainen pidättäytyy määräämästä sakkoja tai uhkasakkoja tapauksissa, joissa aiempi samanlaisen tosiseikan tai olennaisilta osiltaan samanlaisten tosiseikkojen perusteella annettu vapauttava tai langettava päätös on tullut lainvoimaiseksi kansallisen oikeuden mukaisen rikosoikeudellisen menettelyn seurauksena.</w:t>
      </w:r>
    </w:p>
    <w:p w14:paraId="5C9B801F" w14:textId="77777777" w:rsidR="007C28A8" w:rsidRPr="00A7778D" w:rsidRDefault="007C28A8" w:rsidP="00CD2A5D">
      <w:pPr>
        <w:pStyle w:val="Titrearticle"/>
        <w:spacing w:line="23" w:lineRule="atLeast"/>
        <w:rPr>
          <w:noProof/>
          <w:szCs w:val="24"/>
        </w:rPr>
      </w:pPr>
      <w:r w:rsidRPr="00A7778D">
        <w:rPr>
          <w:noProof/>
        </w:rPr>
        <w:t>38 artikla</w:t>
      </w:r>
    </w:p>
    <w:p w14:paraId="548F047F" w14:textId="77777777" w:rsidR="007C28A8" w:rsidRPr="00A7778D" w:rsidRDefault="007C28A8" w:rsidP="00CD2A5D">
      <w:pPr>
        <w:pStyle w:val="NormalCentered"/>
        <w:rPr>
          <w:b/>
          <w:bCs/>
          <w:noProof/>
        </w:rPr>
      </w:pPr>
      <w:r w:rsidRPr="00A7778D">
        <w:rPr>
          <w:b/>
          <w:noProof/>
        </w:rPr>
        <w:t>Tutkimuksen kohteena olevien henkilöiden kuuleminen</w:t>
      </w:r>
    </w:p>
    <w:p w14:paraId="0DAC50CF" w14:textId="44F8456A" w:rsidR="007C28A8" w:rsidRPr="00A7778D" w:rsidRDefault="002A7F8C" w:rsidP="002A7F8C">
      <w:pPr>
        <w:pStyle w:val="ManualNumPar1"/>
        <w:rPr>
          <w:noProof/>
        </w:rPr>
      </w:pPr>
      <w:r w:rsidRPr="00A7778D">
        <w:rPr>
          <w:noProof/>
        </w:rPr>
        <w:t>1.</w:t>
      </w:r>
      <w:r w:rsidRPr="00A7778D">
        <w:rPr>
          <w:noProof/>
        </w:rPr>
        <w:tab/>
        <w:t>Ennen kuin arvopaperimarkkinaviranomainen antaa 33, 34 ja 35 artiklan nojalla päätöksen, se antaa menettelyn kohteena oleville henkilöille tilaisuuden esittää huomautuksensa sen toteamista seikoista. Arvopaperimarkkinaviranomainen perustaa päätöksensä ainoastaan niihin todettuihin seikkoihin, joista ne henkilöt, joita menettely koskee, ovat voineet esittää huomautuksensa.</w:t>
      </w:r>
    </w:p>
    <w:p w14:paraId="26A4D26B" w14:textId="77777777" w:rsidR="007C28A8" w:rsidRPr="00A7778D" w:rsidRDefault="007C28A8" w:rsidP="00CD2A5D">
      <w:pPr>
        <w:rPr>
          <w:noProof/>
        </w:rPr>
      </w:pPr>
      <w:r w:rsidRPr="00A7778D">
        <w:rPr>
          <w:noProof/>
        </w:rPr>
        <w:t>Ensimmäistä alakohtaa ei sovelleta, jos tarvitaan 33 artiklan nojalla kiireellisiä toimia estämään merkittävän ja välittömän vahingon aiheutuminen rahoitusjärjestelmälle. Siinä tapauksessa arvopaperimarkkinaviranomainen voi tehdä välipäätöksen, ja se antaa asianomaisille henkilöille tilaisuuden tulla kuulluksi mahdollisimman pian sen jälkeen, kun se on tehnyt päätöksensä.</w:t>
      </w:r>
    </w:p>
    <w:p w14:paraId="1C2915B6" w14:textId="6C4C44CC" w:rsidR="007C28A8" w:rsidRPr="00A7778D" w:rsidRDefault="002A7F8C" w:rsidP="002A7F8C">
      <w:pPr>
        <w:pStyle w:val="ManualNumPar1"/>
        <w:rPr>
          <w:noProof/>
        </w:rPr>
      </w:pPr>
      <w:r w:rsidRPr="00A7778D">
        <w:rPr>
          <w:noProof/>
        </w:rPr>
        <w:t>2.</w:t>
      </w:r>
      <w:r w:rsidRPr="00A7778D">
        <w:rPr>
          <w:noProof/>
        </w:rPr>
        <w:tab/>
        <w:t>Tutkimuksissa on kaikilta osin kunnioitettava niiden henkilöiden puolustautumisoikeuksia, joita menettely koskee. Henkilöillä on oikeus tutustua arvopaperimarkkinaviranomaisen asiakirja-aineistoon, jollei muiden henkilöiden liikesalaisuuksien suojelemiseen liittyvistä oikeutetuista eduista muuta johdu. Oikeus tutustua asiakirja-aineistoon ei ulotu luottamuksellisiin tietoihin eikä arvopaperimarkkinaviranomaisen sisäisiin valmisteleviin asiakirjoihin.</w:t>
      </w:r>
    </w:p>
    <w:p w14:paraId="6F329B7D" w14:textId="77777777" w:rsidR="007C28A8" w:rsidRPr="00A7778D" w:rsidRDefault="007C28A8" w:rsidP="00CD2A5D">
      <w:pPr>
        <w:pStyle w:val="Titrearticle"/>
        <w:spacing w:line="23" w:lineRule="atLeast"/>
        <w:rPr>
          <w:noProof/>
          <w:szCs w:val="24"/>
        </w:rPr>
      </w:pPr>
      <w:r w:rsidRPr="00A7778D">
        <w:rPr>
          <w:noProof/>
        </w:rPr>
        <w:t>39 artikla</w:t>
      </w:r>
    </w:p>
    <w:p w14:paraId="03840958" w14:textId="77777777" w:rsidR="007C28A8" w:rsidRPr="00A7778D" w:rsidRDefault="007C28A8" w:rsidP="00CD2A5D">
      <w:pPr>
        <w:pStyle w:val="NormalCentered"/>
        <w:rPr>
          <w:b/>
          <w:bCs/>
          <w:noProof/>
        </w:rPr>
      </w:pPr>
      <w:r w:rsidRPr="00A7778D">
        <w:rPr>
          <w:b/>
          <w:noProof/>
        </w:rPr>
        <w:t>Muutoksenhaku unionin tuomioistuimessa</w:t>
      </w:r>
    </w:p>
    <w:p w14:paraId="7B671D0D" w14:textId="77777777" w:rsidR="007C28A8" w:rsidRPr="00A7778D" w:rsidRDefault="007C28A8" w:rsidP="00166F7F">
      <w:pPr>
        <w:rPr>
          <w:noProof/>
        </w:rPr>
      </w:pPr>
      <w:r w:rsidRPr="00A7778D">
        <w:rPr>
          <w:noProof/>
        </w:rPr>
        <w:t>Unionin tuomioistuimella on täysi harkintavalta tutkiessaan valitukset päätöksistä, joilla arvopaperimarkkinaviranomainen on määrännyt sakon tai uhkasakon. Se voi kumota sakon tai uhkasakon tai alentaa tai korottaa sitä.</w:t>
      </w:r>
    </w:p>
    <w:p w14:paraId="3DD282BE" w14:textId="77777777" w:rsidR="007C28A8" w:rsidRPr="00A7778D" w:rsidRDefault="007C28A8" w:rsidP="00CD2A5D">
      <w:pPr>
        <w:pStyle w:val="NormalCentered"/>
        <w:rPr>
          <w:noProof/>
        </w:rPr>
      </w:pPr>
      <w:r w:rsidRPr="00A7778D">
        <w:rPr>
          <w:noProof/>
        </w:rPr>
        <w:t>4 jakso</w:t>
      </w:r>
    </w:p>
    <w:p w14:paraId="4FEE9926" w14:textId="77777777" w:rsidR="007C28A8" w:rsidRPr="00A7778D" w:rsidRDefault="007C28A8" w:rsidP="00CD2A5D">
      <w:pPr>
        <w:pStyle w:val="NormalCentered"/>
        <w:rPr>
          <w:b/>
          <w:bCs/>
          <w:noProof/>
        </w:rPr>
      </w:pPr>
      <w:r w:rsidRPr="00A7778D">
        <w:rPr>
          <w:b/>
          <w:noProof/>
        </w:rPr>
        <w:t>Maksut ja tehtävien siirtäminen</w:t>
      </w:r>
    </w:p>
    <w:p w14:paraId="0F7636C0" w14:textId="77777777" w:rsidR="007C28A8" w:rsidRPr="00A7778D" w:rsidRDefault="007C28A8" w:rsidP="00CD2A5D">
      <w:pPr>
        <w:pStyle w:val="Titrearticle"/>
        <w:spacing w:line="23" w:lineRule="atLeast"/>
        <w:rPr>
          <w:noProof/>
          <w:szCs w:val="24"/>
        </w:rPr>
      </w:pPr>
      <w:r w:rsidRPr="00A7778D">
        <w:rPr>
          <w:noProof/>
        </w:rPr>
        <w:t>40 artikla</w:t>
      </w:r>
    </w:p>
    <w:p w14:paraId="451F2576" w14:textId="77777777" w:rsidR="007C28A8" w:rsidRPr="00A7778D" w:rsidRDefault="007C28A8" w:rsidP="00CD2A5D">
      <w:pPr>
        <w:pStyle w:val="NormalCentered"/>
        <w:rPr>
          <w:b/>
          <w:bCs/>
          <w:noProof/>
        </w:rPr>
      </w:pPr>
      <w:r w:rsidRPr="00A7778D">
        <w:rPr>
          <w:b/>
          <w:noProof/>
        </w:rPr>
        <w:t>Valvontamaksut</w:t>
      </w:r>
    </w:p>
    <w:p w14:paraId="56ED052B" w14:textId="182205FC" w:rsidR="007C28A8" w:rsidRPr="00A7778D" w:rsidRDefault="002A7F8C" w:rsidP="002A7F8C">
      <w:pPr>
        <w:pStyle w:val="ManualNumPar1"/>
        <w:rPr>
          <w:noProof/>
        </w:rPr>
      </w:pPr>
      <w:r w:rsidRPr="00A7778D">
        <w:rPr>
          <w:noProof/>
        </w:rPr>
        <w:t>1.</w:t>
      </w:r>
      <w:r w:rsidRPr="00A7778D">
        <w:rPr>
          <w:noProof/>
        </w:rPr>
        <w:tab/>
        <w:t>Arvopaperimarkkinaviranomainen veloittaa ESG-luokitusten tarjoajilta maksut tämän asetuksen mukaisesti ja 2 kohdan nojalla annettujen delegoitujen säädösten mukaisesti. Maksuilla on katettava kokonaan ESG-luokitusten tarjoajien valvonnasta arvopaperimarkkinaviranomaiselle aiheutuvat menot sekä korvattava mahdolliset kustannukset, joita toimivaltaisille viranomaisille voi aiheutua tämän asetuksen mukaisten tehtävien hoitamisesta ja erityisesti 41 artiklan mukaisesta tehtävien siirtämisestä.</w:t>
      </w:r>
    </w:p>
    <w:p w14:paraId="5DEC32A3" w14:textId="04D27012" w:rsidR="007C28A8" w:rsidRPr="00A7778D" w:rsidRDefault="002A7F8C" w:rsidP="002A7F8C">
      <w:pPr>
        <w:pStyle w:val="ManualNumPar1"/>
        <w:rPr>
          <w:noProof/>
        </w:rPr>
      </w:pPr>
      <w:r w:rsidRPr="00A7778D">
        <w:rPr>
          <w:noProof/>
        </w:rPr>
        <w:t>2.</w:t>
      </w:r>
      <w:r w:rsidRPr="00A7778D">
        <w:rPr>
          <w:noProof/>
        </w:rPr>
        <w:tab/>
        <w:t>Yksilöllisen maksun määrän on oltava oikeassa suhteessa asianomaisen ESG-luokitusten tarjoajan vuotuiseen nettoliikevaihtoon.</w:t>
      </w:r>
    </w:p>
    <w:p w14:paraId="495F8642" w14:textId="77777777" w:rsidR="007C28A8" w:rsidRPr="00A7778D" w:rsidRDefault="007C28A8" w:rsidP="00162B2D">
      <w:pPr>
        <w:rPr>
          <w:noProof/>
        </w:rPr>
      </w:pPr>
      <w:r w:rsidRPr="00A7778D">
        <w:rPr>
          <w:noProof/>
        </w:rPr>
        <w:t>Komissio antaa viimeistään XX XXXX XXXX 45 artiklan mukaisesti delegoituja säädöksiä, joilla täydennetään tätä asetusta määrittämällä maksujen tyyppi, maksujen kohteet, maksujen määrä, maksutapa ja tarvittaessa tapa, jolla arvopaperimarkkinaviranomainen korvaa toimivaltaisille viranomaisille kustannukset, joita niille on voinut aiheutua tämän asetuksen mukaisten tehtävien hoitamisesta, erityisesti 41 artiklassa tarkoitetusta tehtävien siirtämisestä.</w:t>
      </w:r>
    </w:p>
    <w:p w14:paraId="70AE7328" w14:textId="6BDBCE28" w:rsidR="00770C17" w:rsidRPr="00A7778D" w:rsidRDefault="00770C17" w:rsidP="00CD2A5D">
      <w:pPr>
        <w:pStyle w:val="NormalCentered"/>
        <w:rPr>
          <w:noProof/>
        </w:rPr>
      </w:pPr>
      <w:r w:rsidRPr="00A7778D">
        <w:rPr>
          <w:noProof/>
        </w:rPr>
        <w:t>5 LUKU</w:t>
      </w:r>
    </w:p>
    <w:p w14:paraId="6F84B5EC" w14:textId="77777777" w:rsidR="00770C17" w:rsidRPr="00A7778D" w:rsidRDefault="00770C17" w:rsidP="00EC435D">
      <w:pPr>
        <w:pStyle w:val="title-division-1"/>
        <w:shd w:val="clear" w:color="auto" w:fill="FFFFFF" w:themeFill="background1"/>
        <w:spacing w:before="120" w:beforeAutospacing="0" w:after="120" w:afterAutospacing="0" w:line="23" w:lineRule="atLeast"/>
        <w:jc w:val="center"/>
        <w:rPr>
          <w:b/>
          <w:bCs/>
          <w:noProof/>
          <w:color w:val="333333"/>
        </w:rPr>
      </w:pPr>
      <w:r w:rsidRPr="00A7778D">
        <w:rPr>
          <w:b/>
          <w:noProof/>
          <w:color w:val="333333"/>
        </w:rPr>
        <w:t>Arvopaperimarkkinaviranomaisen ja kansallisten toimivaltaisten viranomaisten välinen yhteistyö</w:t>
      </w:r>
    </w:p>
    <w:p w14:paraId="51440A41" w14:textId="77777777" w:rsidR="00407263" w:rsidRPr="00A7778D" w:rsidRDefault="00407263" w:rsidP="00CD2A5D">
      <w:pPr>
        <w:pStyle w:val="Titrearticle"/>
        <w:spacing w:line="23" w:lineRule="atLeast"/>
        <w:rPr>
          <w:noProof/>
          <w:szCs w:val="24"/>
        </w:rPr>
      </w:pPr>
      <w:r w:rsidRPr="00A7778D">
        <w:rPr>
          <w:noProof/>
        </w:rPr>
        <w:t>41 artikla</w:t>
      </w:r>
    </w:p>
    <w:p w14:paraId="3A4A52A1" w14:textId="77777777" w:rsidR="00407263" w:rsidRPr="00A7778D" w:rsidRDefault="00407263" w:rsidP="00CD2A5D">
      <w:pPr>
        <w:pStyle w:val="NormalCentered"/>
        <w:rPr>
          <w:b/>
          <w:bCs/>
          <w:noProof/>
        </w:rPr>
      </w:pPr>
      <w:r w:rsidRPr="00A7778D">
        <w:rPr>
          <w:b/>
          <w:noProof/>
        </w:rPr>
        <w:t>Arvopaperimarkkinaviranomaisen suorittama tehtävien siirtäminen toimivaltaisille viranomaisille</w:t>
      </w:r>
    </w:p>
    <w:p w14:paraId="5050BD5C" w14:textId="378F057D" w:rsidR="00407263" w:rsidRPr="00A7778D" w:rsidRDefault="002A7F8C" w:rsidP="002A7F8C">
      <w:pPr>
        <w:pStyle w:val="ManualNumPar1"/>
        <w:rPr>
          <w:noProof/>
        </w:rPr>
      </w:pPr>
      <w:r w:rsidRPr="00A7778D">
        <w:rPr>
          <w:noProof/>
        </w:rPr>
        <w:t>1.</w:t>
      </w:r>
      <w:r w:rsidRPr="00A7778D">
        <w:rPr>
          <w:noProof/>
        </w:rPr>
        <w:tab/>
        <w:t>Jos valvontatehtävän asianmukainen suorittaminen sitä edellyttää, arvopaperimarkkinaviranomainen voi siirtää määrättyjä valvontatehtäviä jäsenvaltion toimivaltaiselle viranomaiselle asetuksen (EU) N:o 1095/2010 16 artiklan nojalla antamiensa ohjeiden mukaisesti. Kyseisiin määrättyihin valvontatehtäviin voi erityisesti kuulua valtuus esittää 30 artiklan mukaisia tietopyyntöjä sekä suorittaa 31 artiklan ja 32 artiklan mukaisia tutkimuksia ja paikalla tehtäviä tarkastuksia.</w:t>
      </w:r>
    </w:p>
    <w:p w14:paraId="447D4837" w14:textId="4E79F3E9" w:rsidR="00407263" w:rsidRPr="00A7778D" w:rsidRDefault="002A7F8C" w:rsidP="002A7F8C">
      <w:pPr>
        <w:pStyle w:val="ManualNumPar1"/>
        <w:rPr>
          <w:noProof/>
        </w:rPr>
      </w:pPr>
      <w:r w:rsidRPr="00A7778D">
        <w:rPr>
          <w:noProof/>
        </w:rPr>
        <w:t>2.</w:t>
      </w:r>
      <w:r w:rsidRPr="00A7778D">
        <w:rPr>
          <w:noProof/>
        </w:rPr>
        <w:tab/>
        <w:t>Ennen kuin arvopaperimarkkinaviranomainen siirtää tehtävän 1 kohdan nojalla, se kuulee asianomaista toimivaltaista viranomaista seuraavista seikoista:</w:t>
      </w:r>
    </w:p>
    <w:p w14:paraId="15483F00" w14:textId="227DC84D" w:rsidR="00407263" w:rsidRPr="00A7778D" w:rsidRDefault="002A7F8C" w:rsidP="002A7F8C">
      <w:pPr>
        <w:pStyle w:val="Point1"/>
        <w:rPr>
          <w:noProof/>
        </w:rPr>
      </w:pPr>
      <w:r w:rsidRPr="00A7778D">
        <w:rPr>
          <w:noProof/>
        </w:rPr>
        <w:t>a)</w:t>
      </w:r>
      <w:r w:rsidRPr="00A7778D">
        <w:rPr>
          <w:noProof/>
        </w:rPr>
        <w:tab/>
        <w:t>siirrettävän tehtävän laajuus;</w:t>
      </w:r>
    </w:p>
    <w:p w14:paraId="0FA58E63" w14:textId="1C3E70E5" w:rsidR="00407263" w:rsidRPr="00A7778D" w:rsidRDefault="002A7F8C" w:rsidP="002A7F8C">
      <w:pPr>
        <w:pStyle w:val="Point1"/>
        <w:rPr>
          <w:noProof/>
        </w:rPr>
      </w:pPr>
      <w:r w:rsidRPr="00A7778D">
        <w:rPr>
          <w:noProof/>
        </w:rPr>
        <w:t>b)</w:t>
      </w:r>
      <w:r w:rsidRPr="00A7778D">
        <w:rPr>
          <w:noProof/>
        </w:rPr>
        <w:tab/>
        <w:t>tehtävän suorittamisen aikataulu;</w:t>
      </w:r>
    </w:p>
    <w:p w14:paraId="5D5425F5" w14:textId="6310F2C6" w:rsidR="00407263" w:rsidRPr="00A7778D" w:rsidRDefault="002A7F8C" w:rsidP="002A7F8C">
      <w:pPr>
        <w:pStyle w:val="Point1"/>
        <w:rPr>
          <w:noProof/>
        </w:rPr>
      </w:pPr>
      <w:r w:rsidRPr="00A7778D">
        <w:rPr>
          <w:noProof/>
        </w:rPr>
        <w:t>c)</w:t>
      </w:r>
      <w:r w:rsidRPr="00A7778D">
        <w:rPr>
          <w:noProof/>
        </w:rPr>
        <w:tab/>
        <w:t>tarvittavat tiedot, jotka arvopaperimarkkinaviranomainen toimittaa ja jotka toimitetaan arvopaperimarkkinaviranomaiselle.</w:t>
      </w:r>
    </w:p>
    <w:p w14:paraId="0041187A" w14:textId="64D1E37C" w:rsidR="00407263" w:rsidRPr="00A7778D" w:rsidRDefault="002A7F8C" w:rsidP="002A7F8C">
      <w:pPr>
        <w:pStyle w:val="ManualNumPar1"/>
        <w:rPr>
          <w:noProof/>
        </w:rPr>
      </w:pPr>
      <w:r w:rsidRPr="00A7778D">
        <w:rPr>
          <w:noProof/>
        </w:rPr>
        <w:t>3.</w:t>
      </w:r>
      <w:r w:rsidRPr="00A7778D">
        <w:rPr>
          <w:noProof/>
        </w:rPr>
        <w:tab/>
        <w:t>Arvopaperimarkkinaviranomainen korvaa siirrettyjen tehtävien hoitamisesta toimivaltaiselle viranomaiselle aiheutuneet kustannukset 45 artiklan nojalla annetun delegoidun säädöksen mukaisesti.</w:t>
      </w:r>
    </w:p>
    <w:p w14:paraId="5C54A615" w14:textId="7EA0405B" w:rsidR="00407263" w:rsidRPr="00A7778D" w:rsidRDefault="002A7F8C" w:rsidP="002A7F8C">
      <w:pPr>
        <w:pStyle w:val="ManualNumPar1"/>
        <w:rPr>
          <w:noProof/>
        </w:rPr>
      </w:pPr>
      <w:r w:rsidRPr="00A7778D">
        <w:rPr>
          <w:noProof/>
        </w:rPr>
        <w:t>4.</w:t>
      </w:r>
      <w:r w:rsidRPr="00A7778D">
        <w:rPr>
          <w:noProof/>
        </w:rPr>
        <w:tab/>
        <w:t>Arvopaperimarkkinaviranomainen tarkastelee 1 kohdan nojalla tehtyä tehtävien siirtämistä uudelleen asianmukaisin väliajoin. Arvopaperimarkkinaviranomainen voi milloin tahansa peruuttaa tehtävien siirtämisen.</w:t>
      </w:r>
    </w:p>
    <w:p w14:paraId="36746273" w14:textId="27D056D7" w:rsidR="00770C17" w:rsidRPr="00A7778D" w:rsidRDefault="002A7F8C" w:rsidP="002A7F8C">
      <w:pPr>
        <w:pStyle w:val="ManualNumPar1"/>
        <w:rPr>
          <w:noProof/>
        </w:rPr>
      </w:pPr>
      <w:r w:rsidRPr="00A7778D">
        <w:rPr>
          <w:noProof/>
        </w:rPr>
        <w:t>5.</w:t>
      </w:r>
      <w:r w:rsidRPr="00A7778D">
        <w:rPr>
          <w:noProof/>
        </w:rPr>
        <w:tab/>
        <w:t>Tehtävien siirtäminen ei vaikuta arvopaperimarkkinaviranomaisen vastuuseen eikä rajoita arvopaperimarkkinaviranomaisen mahdollisuuksia harjoittaa ja valvoa siirrettyä toimintaa. Arvopaperimarkkinaviranomainen ei saa siirtää valvontatehtäviä, mukaan lukien toimilupapäätökset, lopulliset arvioinnit ja rikkomisia koskevat seurantapäätökset.</w:t>
      </w:r>
    </w:p>
    <w:p w14:paraId="29F1B071" w14:textId="77777777" w:rsidR="00770C17" w:rsidRPr="00A7778D" w:rsidRDefault="00336A49" w:rsidP="00CD2A5D">
      <w:pPr>
        <w:pStyle w:val="Titrearticle"/>
        <w:spacing w:line="23" w:lineRule="atLeast"/>
        <w:rPr>
          <w:noProof/>
          <w:szCs w:val="24"/>
        </w:rPr>
      </w:pPr>
      <w:r w:rsidRPr="00A7778D">
        <w:rPr>
          <w:noProof/>
        </w:rPr>
        <w:t>42 artikla</w:t>
      </w:r>
    </w:p>
    <w:p w14:paraId="380AB0A6" w14:textId="77777777" w:rsidR="00770C17" w:rsidRPr="00A7778D" w:rsidRDefault="00336A49" w:rsidP="00CD2A5D">
      <w:pPr>
        <w:pStyle w:val="NormalCentered"/>
        <w:rPr>
          <w:b/>
          <w:bCs/>
          <w:noProof/>
        </w:rPr>
      </w:pPr>
      <w:r w:rsidRPr="00A7778D">
        <w:rPr>
          <w:b/>
          <w:noProof/>
        </w:rPr>
        <w:t>Tietojenvaihto</w:t>
      </w:r>
    </w:p>
    <w:p w14:paraId="0D27A2BB" w14:textId="77777777" w:rsidR="00770C17" w:rsidRPr="00A7778D" w:rsidRDefault="00770C17" w:rsidP="00162B2D">
      <w:pPr>
        <w:rPr>
          <w:noProof/>
        </w:rPr>
      </w:pPr>
      <w:r w:rsidRPr="00A7778D">
        <w:rPr>
          <w:noProof/>
        </w:rPr>
        <w:t>Arvopaperimarkkinaviranomaisen ja toimivaltaisten viranomaisten on ilman aiheetonta viivytystä annettava toisilleen tiedot, jotka ovat tarpeen niiden tämän asetuksen mukaisten tehtävien hoitamiseksi.</w:t>
      </w:r>
    </w:p>
    <w:p w14:paraId="449A8BEB" w14:textId="77777777" w:rsidR="00770C17" w:rsidRPr="00A7778D" w:rsidRDefault="00F675F1" w:rsidP="00CD2A5D">
      <w:pPr>
        <w:pStyle w:val="Titrearticle"/>
        <w:spacing w:line="23" w:lineRule="atLeast"/>
        <w:rPr>
          <w:noProof/>
          <w:szCs w:val="24"/>
        </w:rPr>
      </w:pPr>
      <w:r w:rsidRPr="00A7778D">
        <w:rPr>
          <w:noProof/>
        </w:rPr>
        <w:t>43 artikla</w:t>
      </w:r>
    </w:p>
    <w:p w14:paraId="77F681BF" w14:textId="77777777" w:rsidR="00770C17" w:rsidRPr="00A7778D" w:rsidRDefault="00770C17" w:rsidP="00CD2A5D">
      <w:pPr>
        <w:pStyle w:val="NormalCentered"/>
        <w:rPr>
          <w:b/>
          <w:bCs/>
          <w:noProof/>
        </w:rPr>
      </w:pPr>
      <w:r w:rsidRPr="00A7778D">
        <w:rPr>
          <w:b/>
          <w:noProof/>
        </w:rPr>
        <w:t>Toimivaltaisten viranomaisten ilmoitukset ja keskeyttämispyynnöt</w:t>
      </w:r>
    </w:p>
    <w:p w14:paraId="46DC7240" w14:textId="777392B6" w:rsidR="00770C17" w:rsidRPr="00A7778D" w:rsidRDefault="002A7F8C" w:rsidP="002A7F8C">
      <w:pPr>
        <w:pStyle w:val="ManualNumPar1"/>
        <w:rPr>
          <w:noProof/>
        </w:rPr>
      </w:pPr>
      <w:r w:rsidRPr="00A7778D">
        <w:rPr>
          <w:noProof/>
        </w:rPr>
        <w:t>1.</w:t>
      </w:r>
      <w:r w:rsidRPr="00A7778D">
        <w:rPr>
          <w:noProof/>
        </w:rPr>
        <w:tab/>
        <w:t>Jäsenvaltion toimivaltaisen viranomaisen, joka toteaa, että tämän asetuksen rikkomiseen liittyviä tekoja toteutetaan tai on toteutettu sen tai toisen jäsenvaltion alueella, on ilmoitettava asiasta arvopaperimarkkinaviranomaiselle. Jos toimivaltainen viranomainen katsoo tämän aiheelliseksi tutkintatarkoituksia varten, se voi ehdottaa arvopaperimarkkinaviranomaiselle, että tämä arvioisi tarvetta käyttää 30 artiklan mukaisia valtuuksia kyseisiin toimiin osallistuvan ESG-luokitusten tarjoajan suhteen.</w:t>
      </w:r>
    </w:p>
    <w:p w14:paraId="1217D074" w14:textId="24E4C558" w:rsidR="00770C17" w:rsidRPr="00A7778D" w:rsidRDefault="002A7F8C" w:rsidP="002A7F8C">
      <w:pPr>
        <w:pStyle w:val="ManualNumPar1"/>
        <w:rPr>
          <w:noProof/>
        </w:rPr>
      </w:pPr>
      <w:r w:rsidRPr="00A7778D">
        <w:rPr>
          <w:noProof/>
        </w:rPr>
        <w:t>2.</w:t>
      </w:r>
      <w:r w:rsidRPr="00A7778D">
        <w:rPr>
          <w:noProof/>
        </w:rPr>
        <w:tab/>
        <w:t>Arvopaperimarkkinaviranomaisen on toteutettava aiheelliset toimenpiteet. Arvopaperimarkkinaviranomaisen on annettava ilmoituksen tehneelle toimivaltaiselle viranomaiselle tieto näiden toimenpiteiden lopputuloksesta ja mahdollisuuksien mukaan myös merkittävistä välivaiheista.</w:t>
      </w:r>
    </w:p>
    <w:p w14:paraId="36A4A564" w14:textId="447DB064" w:rsidR="00770C17" w:rsidRPr="00A7778D" w:rsidRDefault="002A7F8C" w:rsidP="002A7F8C">
      <w:pPr>
        <w:pStyle w:val="ManualNumPar1"/>
        <w:rPr>
          <w:noProof/>
        </w:rPr>
      </w:pPr>
      <w:r w:rsidRPr="00A7778D">
        <w:rPr>
          <w:noProof/>
        </w:rPr>
        <w:t>3.</w:t>
      </w:r>
      <w:r w:rsidRPr="00A7778D">
        <w:rPr>
          <w:noProof/>
        </w:rPr>
        <w:tab/>
        <w:t>Ilmoituksen tehnyt jäsenvaltion toimivaltainen viranomainen, joka katsoo, että 13 artiklassa tarkoitettuun rekisteriin merkitty ESG-luokitusten tarjoaja, jonka ESG-luokituksia käytetään kyseisen jäsenvaltion alueella, on rikkonut tätä asetusta tavalla, joka vaikuttaa merkittävästi sijoittajansuojaan tai rahoitusjärjestelmän vakauteen kyseisessä jäsenvaltiossa, voi pyytää arvopaperimarkkinaviranomaista keskeyttämään kyseisen ESG-luokitusten tarjoajan ESG-luokitusten antamisen. Ilmoituksen tehneen toimivaltaisen viranomaisen on esitettävä arvopaperimarkkinaviranomaiselle kaikki pyyntönsä perustelut.</w:t>
      </w:r>
    </w:p>
    <w:p w14:paraId="6569D075" w14:textId="5130496D" w:rsidR="00770C17" w:rsidRPr="00A7778D" w:rsidRDefault="002A7F8C" w:rsidP="002A7F8C">
      <w:pPr>
        <w:pStyle w:val="ManualNumPar1"/>
        <w:rPr>
          <w:noProof/>
        </w:rPr>
      </w:pPr>
      <w:r w:rsidRPr="00A7778D">
        <w:rPr>
          <w:noProof/>
        </w:rPr>
        <w:t>4.</w:t>
      </w:r>
      <w:r w:rsidRPr="00A7778D">
        <w:rPr>
          <w:noProof/>
        </w:rPr>
        <w:tab/>
        <w:t>Jos arvopaperimarkkinaviranomainen katsoo, että 3 kohdassa tarkoitettu pyyntö ei ole perusteltu, sen on ilmoitettava asiasta kirjallisesti ilmoituksen tehneelle toimivaltaiselle viranomaiselle ja perusteltava lausuntonsa. Jos arvopaperimarkkinaviranomainen katsoo, että pyyntö on aiheellinen, sen on toteutettava asianmukaiset toimenpiteet asian ratkaisemiseksi.</w:t>
      </w:r>
    </w:p>
    <w:p w14:paraId="276EFE42" w14:textId="77777777" w:rsidR="00770C17" w:rsidRPr="00A7778D" w:rsidRDefault="00770C17" w:rsidP="00CD2A5D">
      <w:pPr>
        <w:pStyle w:val="Titrearticle"/>
        <w:spacing w:line="23" w:lineRule="atLeast"/>
        <w:rPr>
          <w:noProof/>
          <w:szCs w:val="24"/>
        </w:rPr>
      </w:pPr>
      <w:r w:rsidRPr="00A7778D">
        <w:rPr>
          <w:noProof/>
        </w:rPr>
        <w:t>44 artikla</w:t>
      </w:r>
    </w:p>
    <w:p w14:paraId="681CF713" w14:textId="77777777" w:rsidR="00770C17" w:rsidRPr="00A7778D" w:rsidRDefault="00770C17" w:rsidP="00CD2A5D">
      <w:pPr>
        <w:pStyle w:val="NormalCentered"/>
        <w:rPr>
          <w:b/>
          <w:bCs/>
          <w:noProof/>
        </w:rPr>
      </w:pPr>
      <w:r w:rsidRPr="00A7778D">
        <w:rPr>
          <w:b/>
          <w:noProof/>
        </w:rPr>
        <w:t>Salassapitovelvollisuus</w:t>
      </w:r>
    </w:p>
    <w:p w14:paraId="3A3F9095" w14:textId="2A170BE6" w:rsidR="00770C17" w:rsidRPr="00A7778D" w:rsidRDefault="002A7F8C" w:rsidP="002A7F8C">
      <w:pPr>
        <w:pStyle w:val="ManualNumPar1"/>
        <w:rPr>
          <w:noProof/>
        </w:rPr>
      </w:pPr>
      <w:r w:rsidRPr="00A7778D">
        <w:rPr>
          <w:noProof/>
        </w:rPr>
        <w:t>1.</w:t>
      </w:r>
      <w:r w:rsidRPr="00A7778D">
        <w:rPr>
          <w:noProof/>
        </w:rPr>
        <w:tab/>
        <w:t>Salassapitovelvollisuutta sovelletaan arvopaperimarkkinaviranomaiseen, toimivaltaisiin viranomaisiin sekä kaikkiin, jotka työskentelevät tai ovat työskennelleet arvopaperimarkkinaviranomaisen, toimivaltaisten viranomaisten tai sellaisten henkilöiden palveluksessa, joille arvopaperimarkkinaviranomainen on siirtänyt tehtäviä, mukaan luettuina sellaiset tarkastajat ja asiantuntijat, joiden kanssa arvopaperimarkkinaviranomainen on tehnyt sopimuksen.</w:t>
      </w:r>
    </w:p>
    <w:p w14:paraId="339A878F" w14:textId="77777777" w:rsidR="00120147" w:rsidRPr="00A7778D" w:rsidRDefault="00DC09A6" w:rsidP="00EC435D">
      <w:pPr>
        <w:pStyle w:val="NormalWeb"/>
        <w:spacing w:before="120" w:beforeAutospacing="0" w:after="120" w:afterAutospacing="0" w:line="23" w:lineRule="atLeast"/>
        <w:jc w:val="both"/>
        <w:rPr>
          <w:noProof/>
        </w:rPr>
      </w:pPr>
      <w:r w:rsidRPr="00A7778D">
        <w:rPr>
          <w:noProof/>
        </w:rPr>
        <w:t>2.</w:t>
      </w:r>
      <w:r w:rsidRPr="00A7778D">
        <w:rPr>
          <w:noProof/>
        </w:rPr>
        <w:tab/>
        <w:t>Kaikkia arvopaperimarkkinaviranomaisen, toimivaltaisten viranomaisten, Euroopan pankkiviranomaisen, Euroopan vakuutus- ja lisäeläkeviranomaisen ja Euroopan järjestelmäriskikomitean välillä tämän asetuksen nojalla vaihdettuja tietoja on pidettävä luottamuksellisina, paitsi jos:</w:t>
      </w:r>
    </w:p>
    <w:p w14:paraId="4A4F5436" w14:textId="40C6EA4B" w:rsidR="00120147" w:rsidRPr="00A7778D" w:rsidRDefault="002A7F8C" w:rsidP="002A7F8C">
      <w:pPr>
        <w:pStyle w:val="Point1"/>
        <w:rPr>
          <w:noProof/>
        </w:rPr>
      </w:pPr>
      <w:r w:rsidRPr="00A7778D">
        <w:rPr>
          <w:noProof/>
        </w:rPr>
        <w:t>a)</w:t>
      </w:r>
      <w:r w:rsidRPr="00A7778D">
        <w:rPr>
          <w:noProof/>
        </w:rPr>
        <w:tab/>
        <w:t>arvopaperimarkkinaviranomainen tai toimivaltainen viranomainen tai muu asianomainen viranomainen tai elin ilmoittaa tietoja toimittaessaan, että kyseiset tiedot saa julkistaa;</w:t>
      </w:r>
    </w:p>
    <w:p w14:paraId="605E7E99" w14:textId="7615E389" w:rsidR="00120147" w:rsidRPr="00A7778D" w:rsidRDefault="002A7F8C" w:rsidP="002A7F8C">
      <w:pPr>
        <w:pStyle w:val="Point1"/>
        <w:rPr>
          <w:noProof/>
        </w:rPr>
      </w:pPr>
      <w:r w:rsidRPr="00A7778D">
        <w:rPr>
          <w:noProof/>
        </w:rPr>
        <w:t>b)</w:t>
      </w:r>
      <w:r w:rsidRPr="00A7778D">
        <w:rPr>
          <w:noProof/>
        </w:rPr>
        <w:tab/>
        <w:t>tietojen julkistaminen on tarpeen oikeudenkäyntiä varten;</w:t>
      </w:r>
    </w:p>
    <w:p w14:paraId="242B8B66" w14:textId="0BFCA36A" w:rsidR="00DC09A6" w:rsidRPr="00A7778D" w:rsidRDefault="002A7F8C" w:rsidP="002A7F8C">
      <w:pPr>
        <w:pStyle w:val="Point1"/>
        <w:rPr>
          <w:noProof/>
        </w:rPr>
      </w:pPr>
      <w:r w:rsidRPr="00A7778D">
        <w:rPr>
          <w:noProof/>
        </w:rPr>
        <w:t>c)</w:t>
      </w:r>
      <w:r w:rsidRPr="00A7778D">
        <w:rPr>
          <w:noProof/>
        </w:rPr>
        <w:tab/>
        <w:t>julkistettuja tietoja käytetään tiivistelmässä tai koosteessa, josta yksittäisiä finanssimarkkinoiden toimijoita ei voida tunnistaa.</w:t>
      </w:r>
    </w:p>
    <w:p w14:paraId="358F9D66" w14:textId="77777777" w:rsidR="00587167" w:rsidRPr="00A7778D" w:rsidRDefault="00587167" w:rsidP="00CD2A5D">
      <w:pPr>
        <w:shd w:val="clear" w:color="auto" w:fill="FFFFFF" w:themeFill="background1"/>
        <w:spacing w:before="360" w:line="23" w:lineRule="atLeast"/>
        <w:jc w:val="center"/>
        <w:rPr>
          <w:rFonts w:eastAsia="Times New Roman"/>
          <w:noProof/>
          <w:color w:val="333333"/>
          <w:szCs w:val="24"/>
        </w:rPr>
      </w:pPr>
      <w:r w:rsidRPr="00A7778D">
        <w:rPr>
          <w:noProof/>
          <w:color w:val="333333"/>
        </w:rPr>
        <w:t>IV OSASTO</w:t>
      </w:r>
    </w:p>
    <w:p w14:paraId="6196279F" w14:textId="77777777" w:rsidR="00587167" w:rsidRPr="00A7778D" w:rsidRDefault="00587167" w:rsidP="00CD2A5D">
      <w:pPr>
        <w:pStyle w:val="ChapterTitle"/>
        <w:spacing w:after="120" w:line="23" w:lineRule="atLeast"/>
        <w:rPr>
          <w:rStyle w:val="boldface"/>
          <w:caps/>
          <w:noProof/>
          <w:sz w:val="24"/>
          <w:szCs w:val="24"/>
        </w:rPr>
      </w:pPr>
      <w:r w:rsidRPr="00A7778D">
        <w:rPr>
          <w:rStyle w:val="boldface"/>
          <w:caps/>
          <w:noProof/>
          <w:sz w:val="24"/>
        </w:rPr>
        <w:t>DELEGOIDUT SÄÄDÖKSET JA TÄYTÄNTÖÖNPANOSÄÄDÖKSET</w:t>
      </w:r>
    </w:p>
    <w:p w14:paraId="587AE93C" w14:textId="77777777" w:rsidR="00587167" w:rsidRPr="00A7778D" w:rsidRDefault="00587167" w:rsidP="00CD2A5D">
      <w:pPr>
        <w:pStyle w:val="Titrearticle"/>
        <w:spacing w:line="23" w:lineRule="atLeast"/>
        <w:rPr>
          <w:noProof/>
          <w:szCs w:val="24"/>
        </w:rPr>
      </w:pPr>
      <w:r w:rsidRPr="00A7778D">
        <w:rPr>
          <w:noProof/>
        </w:rPr>
        <w:t>45 artikla</w:t>
      </w:r>
    </w:p>
    <w:p w14:paraId="7E5280E7" w14:textId="77777777" w:rsidR="00587167" w:rsidRPr="00A7778D" w:rsidRDefault="00587167" w:rsidP="00CD2A5D">
      <w:pPr>
        <w:pStyle w:val="NormalCentered"/>
        <w:rPr>
          <w:b/>
          <w:bCs/>
          <w:noProof/>
        </w:rPr>
      </w:pPr>
      <w:r w:rsidRPr="00A7778D">
        <w:rPr>
          <w:b/>
          <w:noProof/>
        </w:rPr>
        <w:t>Säädösvallan siirron käyttäminen ja peruuttaminen sekä delegoitujen säädösten vastustaminen</w:t>
      </w:r>
    </w:p>
    <w:p w14:paraId="3E282384" w14:textId="66FCD177" w:rsidR="009F55D8" w:rsidRPr="00A7778D" w:rsidRDefault="002A7F8C" w:rsidP="002A7F8C">
      <w:pPr>
        <w:pStyle w:val="ManualNumPar1"/>
        <w:rPr>
          <w:noProof/>
        </w:rPr>
      </w:pPr>
      <w:r w:rsidRPr="00A7778D">
        <w:rPr>
          <w:noProof/>
        </w:rPr>
        <w:t>1.</w:t>
      </w:r>
      <w:r w:rsidRPr="00A7778D">
        <w:rPr>
          <w:noProof/>
        </w:rPr>
        <w:tab/>
        <w:t xml:space="preserve">Komissiolle siirrettyä valtaa antaa delegoituja säädöksiä koskevat tässä artiklassa säädetyt edellytykset. </w:t>
      </w:r>
    </w:p>
    <w:p w14:paraId="24E753B3" w14:textId="47F6ED5D" w:rsidR="0038439E" w:rsidRPr="00A7778D" w:rsidRDefault="002A7F8C" w:rsidP="002A7F8C">
      <w:pPr>
        <w:pStyle w:val="ManualNumPar1"/>
        <w:rPr>
          <w:noProof/>
        </w:rPr>
      </w:pPr>
      <w:r w:rsidRPr="00A7778D">
        <w:rPr>
          <w:noProof/>
        </w:rPr>
        <w:t>2.</w:t>
      </w:r>
      <w:r w:rsidRPr="00A7778D">
        <w:rPr>
          <w:noProof/>
        </w:rPr>
        <w:tab/>
        <w:t>Siirretään komissiolle</w:t>
      </w:r>
      <w:r w:rsidRPr="00A7778D">
        <w:rPr>
          <w:i/>
          <w:noProof/>
        </w:rPr>
        <w:t xml:space="preserve"> </w:t>
      </w:r>
      <w:r w:rsidRPr="00A7778D">
        <w:rPr>
          <w:noProof/>
        </w:rPr>
        <w:t>[</w:t>
      </w:r>
      <w:r w:rsidRPr="00A7778D">
        <w:rPr>
          <w:i/>
          <w:noProof/>
        </w:rPr>
        <w:t>[...] päivästä [...]kuuta [....]; julkaisutoimisto lisää voimaantulopäivän</w:t>
      </w:r>
      <w:r w:rsidRPr="00A7778D">
        <w:rPr>
          <w:noProof/>
        </w:rPr>
        <w:t>] määräämättömäksi ajaksi 5, 21, 22 ja 40 artiklassa tarkoitettu valta antaa delegoituja säädöksiä.</w:t>
      </w:r>
    </w:p>
    <w:p w14:paraId="5982BE36" w14:textId="2DFC6D39" w:rsidR="0038439E" w:rsidRPr="00A7778D" w:rsidRDefault="002A7F8C" w:rsidP="002A7F8C">
      <w:pPr>
        <w:pStyle w:val="ManualNumPar1"/>
        <w:rPr>
          <w:noProof/>
        </w:rPr>
      </w:pPr>
      <w:r w:rsidRPr="00A7778D">
        <w:rPr>
          <w:noProof/>
        </w:rPr>
        <w:t>3.</w:t>
      </w:r>
      <w:r w:rsidRPr="00A7778D">
        <w:rPr>
          <w:noProof/>
        </w:rPr>
        <w:tab/>
        <w:t xml:space="preserve">Euroopan parlamentti tai neuvosto voi milloin tahansa peruuttaa 5, 21, 22 ja 40 artiklassa tarkoitetun säädösvallan siirron. Peruuttamispäätöksellä lopetetaan tuossa päätöksessä mainittu säädösvallan siirto. Peruuttaminen tulee voimaan sitä päivää seuraavana päivänä, jona sitä koskeva päätös julkaistaan </w:t>
      </w:r>
      <w:r w:rsidRPr="00A7778D">
        <w:rPr>
          <w:i/>
          <w:noProof/>
        </w:rPr>
        <w:t>Euroopan unionin virallisessa</w:t>
      </w:r>
      <w:r w:rsidRPr="00A7778D">
        <w:rPr>
          <w:noProof/>
        </w:rPr>
        <w:t xml:space="preserve"> lehdessä, tai jonakin myöhempänä, kyseisessä päätöksessä mainittuna päivänä. Peruuttamispäätös ei vaikuta jo voimassa olevien delegoitujen säädösten pätevyyteen.</w:t>
      </w:r>
    </w:p>
    <w:p w14:paraId="07C802B3" w14:textId="0E1DF2E8" w:rsidR="00262384" w:rsidRPr="00A7778D" w:rsidRDefault="002A7F8C" w:rsidP="002A7F8C">
      <w:pPr>
        <w:pStyle w:val="ManualNumPar1"/>
        <w:rPr>
          <w:noProof/>
        </w:rPr>
      </w:pPr>
      <w:r w:rsidRPr="00A7778D">
        <w:rPr>
          <w:noProof/>
        </w:rPr>
        <w:t>4.</w:t>
      </w:r>
      <w:r w:rsidRPr="00A7778D">
        <w:rPr>
          <w:noProof/>
        </w:rPr>
        <w:tab/>
        <w:t>Ennen kuin komissio hyväksyy delegoidun säädöksen, se kuulee kunkin jäsenvaltion nimeämiä asiantuntijoita paremmasta lainsäädännöstä 13 päivänä huhtikuuta 2016 tehdyssä toimielinten välisessä sopimuksessa vahvistettujen periaatteiden mukaisesti.</w:t>
      </w:r>
    </w:p>
    <w:p w14:paraId="1F1C41C7" w14:textId="15FC60E5" w:rsidR="00262384" w:rsidRPr="00A7778D" w:rsidRDefault="002A7F8C" w:rsidP="002A7F8C">
      <w:pPr>
        <w:pStyle w:val="ManualNumPar1"/>
        <w:rPr>
          <w:noProof/>
        </w:rPr>
      </w:pPr>
      <w:r w:rsidRPr="00A7778D">
        <w:rPr>
          <w:noProof/>
        </w:rPr>
        <w:t>5.</w:t>
      </w:r>
      <w:r w:rsidRPr="00A7778D">
        <w:rPr>
          <w:noProof/>
        </w:rPr>
        <w:tab/>
        <w:t>Heti kun komissio on antanut delegoidun säädöksen, komissio antaa sen tiedoksi yhtäaikaisesti Euroopan parlamentille ja neuvostolle.</w:t>
      </w:r>
    </w:p>
    <w:p w14:paraId="1A144457" w14:textId="6A3BDF8F" w:rsidR="00262384" w:rsidRPr="00A7778D" w:rsidRDefault="002A7F8C" w:rsidP="002A7F8C">
      <w:pPr>
        <w:pStyle w:val="ManualNumPar1"/>
        <w:rPr>
          <w:noProof/>
        </w:rPr>
      </w:pPr>
      <w:r w:rsidRPr="00A7778D">
        <w:rPr>
          <w:noProof/>
        </w:rPr>
        <w:t>6.</w:t>
      </w:r>
      <w:r w:rsidRPr="00A7778D">
        <w:rPr>
          <w:noProof/>
        </w:rPr>
        <w:tab/>
        <w:t>Edellä olevien 7, 33, 34 ja 40 artiklan nojalla annettu delegoitu säädös tulee voimaan ainoastaan, jos Euroopan parlamentti tai neuvosto ei ole kahden kuukauden kuluessa siitä, kun asianomainen säädös on annettu tiedoksi Euroopan parlamentille ja neuvostolle, ilmaissut vastustavansa sitä tai jos sekä Euroopan parlamentti että neuvosto ovat ennen mainitun määräajan päättymistä ilmoittaneet komissiolle, että ne eivät vastusta säädöstä. Euroopan parlamentin tai neuvoston aloitteesta tätä määräaikaa jatketaan [kahdella kuukaudella].</w:t>
      </w:r>
    </w:p>
    <w:p w14:paraId="168E774E" w14:textId="0CD88A3C" w:rsidR="008F3729" w:rsidRPr="00A7778D" w:rsidRDefault="002A7F8C" w:rsidP="002A7F8C">
      <w:pPr>
        <w:pStyle w:val="ManualNumPar1"/>
        <w:rPr>
          <w:noProof/>
        </w:rPr>
      </w:pPr>
      <w:r w:rsidRPr="00A7778D">
        <w:rPr>
          <w:noProof/>
        </w:rPr>
        <w:t>7.</w:t>
      </w:r>
      <w:r w:rsidRPr="00A7778D">
        <w:rPr>
          <w:noProof/>
        </w:rPr>
        <w:tab/>
        <w:t xml:space="preserve">Jos Euroopan parlamentti tai neuvosto ei ole 6 kohdassa tarkoitetun määräajan päättyessä vastustanut delegoitua säädöstä, se julkaistaan </w:t>
      </w:r>
      <w:r w:rsidRPr="00A7778D">
        <w:rPr>
          <w:i/>
          <w:noProof/>
        </w:rPr>
        <w:t>Euroopan unionin virallisessa lehdessä</w:t>
      </w:r>
      <w:r w:rsidRPr="00A7778D">
        <w:rPr>
          <w:noProof/>
        </w:rPr>
        <w:t xml:space="preserve"> ja tulee voimaan siinä mainittuna päivänä. Delegoitu säädös voidaan julkaista </w:t>
      </w:r>
      <w:r w:rsidRPr="00A7778D">
        <w:rPr>
          <w:i/>
          <w:noProof/>
        </w:rPr>
        <w:t>Euroopan unionin virallisessa lehdessä</w:t>
      </w:r>
      <w:r w:rsidRPr="00A7778D">
        <w:rPr>
          <w:noProof/>
        </w:rPr>
        <w:t>, ja se voi tulla voimaan ennen mainitun määräajan päättymistä, jos sekä Euroopan parlamentti että neuvosto ovat ilmoittaneet komissiolle, etteivät ne aio vastustaa säädöstä.</w:t>
      </w:r>
    </w:p>
    <w:p w14:paraId="72839990" w14:textId="6C8030AF" w:rsidR="008F3729" w:rsidRPr="00A7778D" w:rsidRDefault="002A7F8C" w:rsidP="002A7F8C">
      <w:pPr>
        <w:pStyle w:val="ManualNumPar1"/>
        <w:rPr>
          <w:noProof/>
        </w:rPr>
      </w:pPr>
      <w:r w:rsidRPr="00A7778D">
        <w:rPr>
          <w:noProof/>
        </w:rPr>
        <w:t>8.</w:t>
      </w:r>
      <w:r w:rsidRPr="00A7778D">
        <w:rPr>
          <w:noProof/>
        </w:rPr>
        <w:tab/>
        <w:t>Jos joko Euroopan parlamentti tai neuvosto vastustaa delegoitua säädöstä 1 kohdassa tarkoitetun määräajan kuluessa, se ei tule voimaan. Säädöstä vastustava toimielin esittää Euroopan unionin toiminnasta tehdyn sopimuksen 296 artiklan mukaisesti syyt, miksi se vastustaa delegoitua säädöstä.</w:t>
      </w:r>
    </w:p>
    <w:p w14:paraId="3DA72C4A" w14:textId="77777777" w:rsidR="004E1613" w:rsidRPr="00A7778D" w:rsidRDefault="004E1613" w:rsidP="00CD2A5D">
      <w:pPr>
        <w:pStyle w:val="Titrearticle"/>
        <w:spacing w:line="23" w:lineRule="atLeast"/>
        <w:rPr>
          <w:noProof/>
          <w:szCs w:val="24"/>
        </w:rPr>
      </w:pPr>
      <w:r w:rsidRPr="00A7778D">
        <w:rPr>
          <w:noProof/>
        </w:rPr>
        <w:t>46 artikla</w:t>
      </w:r>
    </w:p>
    <w:p w14:paraId="515AD9D7" w14:textId="77777777" w:rsidR="004E1613" w:rsidRPr="00A7778D" w:rsidRDefault="004E1613" w:rsidP="00CD2A5D">
      <w:pPr>
        <w:pStyle w:val="NormalCentered"/>
        <w:rPr>
          <w:b/>
          <w:bCs/>
          <w:noProof/>
        </w:rPr>
      </w:pPr>
      <w:r w:rsidRPr="00A7778D">
        <w:rPr>
          <w:b/>
          <w:noProof/>
        </w:rPr>
        <w:t>Muutokset liitteisiin</w:t>
      </w:r>
    </w:p>
    <w:p w14:paraId="2563E779" w14:textId="77777777" w:rsidR="004E1613" w:rsidRPr="00A7778D" w:rsidRDefault="006A39BB" w:rsidP="00CD2A5D">
      <w:pPr>
        <w:rPr>
          <w:noProof/>
        </w:rPr>
      </w:pPr>
      <w:r w:rsidRPr="00A7778D">
        <w:rPr>
          <w:noProof/>
        </w:rPr>
        <w:t>Ottaakseen huomioon finanssimarkkinoilla erityisesti kestävän kehityksen osalta ja myös kansainvälisellä tasolla tapahtuneen kehityksen komissio voi hyväksyä delegoiduilla säädöksillä 45 artiklan mukaisesti toimenpiteitä, joilla muutetaan liitteitä.</w:t>
      </w:r>
    </w:p>
    <w:p w14:paraId="04B3C2AF" w14:textId="77777777" w:rsidR="00587167" w:rsidRPr="00A7778D" w:rsidRDefault="00587167" w:rsidP="00CD2A5D">
      <w:pPr>
        <w:pStyle w:val="Titrearticle"/>
        <w:spacing w:line="23" w:lineRule="atLeast"/>
        <w:rPr>
          <w:noProof/>
          <w:szCs w:val="24"/>
        </w:rPr>
      </w:pPr>
      <w:r w:rsidRPr="00A7778D">
        <w:rPr>
          <w:noProof/>
        </w:rPr>
        <w:t>47 artikla</w:t>
      </w:r>
    </w:p>
    <w:p w14:paraId="7F40701D" w14:textId="77777777" w:rsidR="00587167" w:rsidRPr="00A7778D" w:rsidRDefault="00587167" w:rsidP="00CD2A5D">
      <w:pPr>
        <w:pStyle w:val="NormalCentered"/>
        <w:rPr>
          <w:b/>
          <w:bCs/>
          <w:noProof/>
        </w:rPr>
      </w:pPr>
      <w:r w:rsidRPr="00A7778D">
        <w:rPr>
          <w:b/>
          <w:noProof/>
        </w:rPr>
        <w:t>Komiteamenettely</w:t>
      </w:r>
    </w:p>
    <w:p w14:paraId="6619FFBE" w14:textId="59F6CF6B" w:rsidR="009F55D8" w:rsidRPr="00A7778D" w:rsidRDefault="002A7F8C" w:rsidP="002A7F8C">
      <w:pPr>
        <w:pStyle w:val="ManualNumPar1"/>
        <w:rPr>
          <w:noProof/>
        </w:rPr>
      </w:pPr>
      <w:r w:rsidRPr="00A7778D">
        <w:rPr>
          <w:noProof/>
        </w:rPr>
        <w:t>1.</w:t>
      </w:r>
      <w:r w:rsidRPr="00A7778D">
        <w:rPr>
          <w:noProof/>
        </w:rPr>
        <w:tab/>
        <w:t>Komissiota avustaa komission päätöksellä 2001/528/EY</w:t>
      </w:r>
      <w:r w:rsidRPr="00A7778D">
        <w:rPr>
          <w:rStyle w:val="FootnoteReference0"/>
          <w:noProof/>
        </w:rPr>
        <w:footnoteReference w:id="56"/>
      </w:r>
      <w:r w:rsidRPr="00A7778D">
        <w:rPr>
          <w:noProof/>
        </w:rPr>
        <w:t xml:space="preserve"> perustettu Euroopan arvopaperikomitea. Tämä komitea on Euroopan parlamentin ja neuvoston asetuksessa (EU) N:o 182/2011</w:t>
      </w:r>
      <w:r w:rsidRPr="00A7778D">
        <w:rPr>
          <w:rStyle w:val="FootnoteReference0"/>
          <w:noProof/>
        </w:rPr>
        <w:footnoteReference w:id="57"/>
      </w:r>
      <w:r w:rsidRPr="00A7778D">
        <w:rPr>
          <w:noProof/>
        </w:rPr>
        <w:t xml:space="preserve"> tarkoitettu komitea.</w:t>
      </w:r>
    </w:p>
    <w:p w14:paraId="0E751BEE" w14:textId="6DD33074" w:rsidR="009F55D8" w:rsidRPr="00A7778D" w:rsidRDefault="002A7F8C" w:rsidP="002A7F8C">
      <w:pPr>
        <w:pStyle w:val="ManualNumPar1"/>
        <w:rPr>
          <w:noProof/>
          <w:color w:val="333333"/>
        </w:rPr>
      </w:pPr>
      <w:r w:rsidRPr="00A7778D">
        <w:rPr>
          <w:noProof/>
        </w:rPr>
        <w:t>2.</w:t>
      </w:r>
      <w:r w:rsidRPr="00A7778D">
        <w:rPr>
          <w:noProof/>
        </w:rPr>
        <w:tab/>
        <w:t>Kun viitataan tähän kohtaan, sovelletaan asetuksen (EU) N:o 182/2011 5 artiklaa.</w:t>
      </w:r>
    </w:p>
    <w:p w14:paraId="3DBD2F43" w14:textId="77777777" w:rsidR="00587167" w:rsidRPr="00A7778D" w:rsidRDefault="00587167" w:rsidP="000E731D">
      <w:pPr>
        <w:shd w:val="clear" w:color="auto" w:fill="FFFFFF" w:themeFill="background1"/>
        <w:spacing w:before="360" w:line="23" w:lineRule="atLeast"/>
        <w:jc w:val="center"/>
        <w:rPr>
          <w:rFonts w:eastAsia="Times New Roman"/>
          <w:noProof/>
          <w:color w:val="333333"/>
          <w:szCs w:val="24"/>
        </w:rPr>
      </w:pPr>
      <w:r w:rsidRPr="00A7778D">
        <w:rPr>
          <w:noProof/>
          <w:color w:val="333333"/>
        </w:rPr>
        <w:t>V OSASTO</w:t>
      </w:r>
    </w:p>
    <w:p w14:paraId="1DCAE0DA" w14:textId="77777777" w:rsidR="00587167" w:rsidRPr="00A7778D" w:rsidRDefault="00587167" w:rsidP="000E731D">
      <w:pPr>
        <w:pStyle w:val="ChapterTitle"/>
        <w:spacing w:after="120" w:line="23" w:lineRule="atLeast"/>
        <w:rPr>
          <w:rStyle w:val="boldface"/>
          <w:caps/>
          <w:noProof/>
          <w:sz w:val="24"/>
          <w:szCs w:val="24"/>
        </w:rPr>
      </w:pPr>
      <w:r w:rsidRPr="00A7778D">
        <w:rPr>
          <w:rStyle w:val="boldface"/>
          <w:caps/>
          <w:noProof/>
          <w:sz w:val="24"/>
        </w:rPr>
        <w:t>SIIRTYMÄ- JA LOPPUSÄÄNNÖKSET</w:t>
      </w:r>
    </w:p>
    <w:p w14:paraId="0B20D7ED" w14:textId="77777777" w:rsidR="00587167" w:rsidRPr="00A7778D" w:rsidRDefault="00587167" w:rsidP="000E731D">
      <w:pPr>
        <w:pStyle w:val="Titrearticle"/>
        <w:spacing w:line="23" w:lineRule="atLeast"/>
        <w:rPr>
          <w:noProof/>
          <w:szCs w:val="24"/>
        </w:rPr>
      </w:pPr>
      <w:r w:rsidRPr="00A7778D">
        <w:rPr>
          <w:noProof/>
        </w:rPr>
        <w:t>48 artikla</w:t>
      </w:r>
    </w:p>
    <w:p w14:paraId="06085294" w14:textId="77777777" w:rsidR="00587167" w:rsidRPr="00A7778D" w:rsidRDefault="00243F05" w:rsidP="000E731D">
      <w:pPr>
        <w:pStyle w:val="NormalCentered"/>
        <w:rPr>
          <w:b/>
          <w:bCs/>
          <w:noProof/>
        </w:rPr>
      </w:pPr>
      <w:r w:rsidRPr="00A7778D">
        <w:rPr>
          <w:b/>
          <w:noProof/>
        </w:rPr>
        <w:t>Siirtymäsäännökset</w:t>
      </w:r>
    </w:p>
    <w:p w14:paraId="0854A314" w14:textId="68ED2C8E" w:rsidR="008168DE" w:rsidRPr="00A7778D" w:rsidRDefault="002A7F8C" w:rsidP="002A7F8C">
      <w:pPr>
        <w:pStyle w:val="ManualNumPar1"/>
        <w:rPr>
          <w:noProof/>
          <w:color w:val="333333"/>
        </w:rPr>
      </w:pPr>
      <w:r w:rsidRPr="00A7778D">
        <w:rPr>
          <w:noProof/>
        </w:rPr>
        <w:t>1.</w:t>
      </w:r>
      <w:r w:rsidRPr="00A7778D">
        <w:rPr>
          <w:noProof/>
        </w:rPr>
        <w:tab/>
        <w:t>ESG-luokitusten tarjoajien, jotka tarjosivat palvelujaan tämän asetuksen voimaantulopäivänä, on ilmoitettava arvopaperimarkkinaviranomaiselle kolmen kuukauden kuluessa, jos ne haluavat jatkaa palvelujensa tarjoamista, ja haettava toimilupaa 5 artiklan mukaisesti. Tällöin niiden on haettava toimilupaa kuuden kuukauden kuluessa tämän asetuksen soveltamispäivästä.</w:t>
      </w:r>
    </w:p>
    <w:p w14:paraId="3200E94B" w14:textId="703CD611" w:rsidR="00FA73C7" w:rsidRPr="00A7778D" w:rsidRDefault="002A7F8C" w:rsidP="002A7F8C">
      <w:pPr>
        <w:pStyle w:val="ManualNumPar1"/>
        <w:rPr>
          <w:noProof/>
          <w:color w:val="333333"/>
        </w:rPr>
      </w:pPr>
      <w:r w:rsidRPr="00A7778D">
        <w:rPr>
          <w:noProof/>
        </w:rPr>
        <w:t>2.</w:t>
      </w:r>
      <w:r w:rsidRPr="00A7778D">
        <w:rPr>
          <w:noProof/>
        </w:rPr>
        <w:tab/>
        <w:t xml:space="preserve">Poiketen siitä, mitä ensimmäisessä kohdassa säädetään, </w:t>
      </w:r>
      <w:r w:rsidRPr="00A7778D">
        <w:rPr>
          <w:rStyle w:val="FootnoteReference0"/>
          <w:noProof/>
          <w:vertAlign w:val="baseline"/>
        </w:rPr>
        <w:t>direktiivin 2013/34/EU</w:t>
      </w:r>
      <w:r w:rsidRPr="00A7778D">
        <w:rPr>
          <w:noProof/>
        </w:rPr>
        <w:t xml:space="preserve"> 3 artiklan mukaisesti pieniksi ja keskisuuriksi yrityksiksi luokiteltujen ESG-luokitusten tarjoajien on haettava toimilupaa 24 kuukauden kuluessa tämän asetuksen soveltamispäivästä.</w:t>
      </w:r>
    </w:p>
    <w:p w14:paraId="6802B078" w14:textId="122D55AF" w:rsidR="00EA5EC1" w:rsidRPr="00A7778D" w:rsidRDefault="002A7F8C" w:rsidP="002A7F8C">
      <w:pPr>
        <w:pStyle w:val="ManualNumPar1"/>
        <w:rPr>
          <w:noProof/>
          <w:color w:val="333333"/>
        </w:rPr>
      </w:pPr>
      <w:r w:rsidRPr="00A7778D">
        <w:rPr>
          <w:noProof/>
        </w:rPr>
        <w:t>3.</w:t>
      </w:r>
      <w:r w:rsidRPr="00A7778D">
        <w:rPr>
          <w:noProof/>
        </w:rPr>
        <w:tab/>
        <w:t xml:space="preserve">ESG-luokitusten tarjoajien, jotka on luokiteltu </w:t>
      </w:r>
      <w:r w:rsidRPr="00A7778D">
        <w:rPr>
          <w:rStyle w:val="FootnoteReference0"/>
          <w:noProof/>
          <w:vertAlign w:val="baseline"/>
        </w:rPr>
        <w:t>direktiivin 2013/34/EU</w:t>
      </w:r>
      <w:r w:rsidRPr="00A7778D">
        <w:rPr>
          <w:noProof/>
        </w:rPr>
        <w:t xml:space="preserve"> 3 artiklan mukaisiksi pieniksi ja keskisuuriksi yrityksiksi ja jotka tulevat markkinoille [</w:t>
      </w:r>
      <w:r w:rsidRPr="00A7778D">
        <w:rPr>
          <w:i/>
          <w:noProof/>
        </w:rPr>
        <w:t>lisätään soveltamispäivä</w:t>
      </w:r>
      <w:r w:rsidRPr="00A7778D">
        <w:rPr>
          <w:noProof/>
        </w:rPr>
        <w:t>] jälkeen, on ilmoitettava asiasta arvopaperimarkkinaviranomaiselle ennen palvelujen tarjoamisen aloittamista ja haettava toimilupaa 12 kuukauden kuluessa kyseisestä ilmoituksesta.</w:t>
      </w:r>
    </w:p>
    <w:p w14:paraId="4A38DDB6" w14:textId="77777777" w:rsidR="00587167" w:rsidRPr="00A7778D" w:rsidRDefault="00587167" w:rsidP="000E731D">
      <w:pPr>
        <w:pStyle w:val="Titrearticle"/>
        <w:spacing w:line="23" w:lineRule="atLeast"/>
        <w:rPr>
          <w:noProof/>
          <w:szCs w:val="24"/>
        </w:rPr>
      </w:pPr>
      <w:r w:rsidRPr="00A7778D">
        <w:rPr>
          <w:noProof/>
        </w:rPr>
        <w:t>49 artikla</w:t>
      </w:r>
    </w:p>
    <w:p w14:paraId="029E5B19" w14:textId="77777777" w:rsidR="00587167" w:rsidRPr="00A7778D" w:rsidRDefault="00587167" w:rsidP="000E731D">
      <w:pPr>
        <w:pStyle w:val="NormalCentered"/>
        <w:rPr>
          <w:b/>
          <w:bCs/>
          <w:noProof/>
        </w:rPr>
      </w:pPr>
      <w:r w:rsidRPr="00A7778D">
        <w:rPr>
          <w:b/>
          <w:noProof/>
        </w:rPr>
        <w:t>Arviointi</w:t>
      </w:r>
    </w:p>
    <w:p w14:paraId="1019889B" w14:textId="45596966" w:rsidR="00B51A54" w:rsidRPr="00A7778D" w:rsidRDefault="002A7F8C" w:rsidP="002A7F8C">
      <w:pPr>
        <w:pStyle w:val="ManualNumPar1"/>
        <w:rPr>
          <w:noProof/>
        </w:rPr>
      </w:pPr>
      <w:r w:rsidRPr="00A7778D">
        <w:rPr>
          <w:noProof/>
        </w:rPr>
        <w:t>1.</w:t>
      </w:r>
      <w:r w:rsidRPr="00A7778D">
        <w:rPr>
          <w:noProof/>
        </w:rPr>
        <w:tab/>
        <w:t>Komissio arvioi tämän asetuksen soveltamista viimeistään [</w:t>
      </w:r>
      <w:r w:rsidRPr="00A7778D">
        <w:rPr>
          <w:i/>
          <w:noProof/>
        </w:rPr>
        <w:t>viiden vuoden kuluttua tämän asetuksen voimaantulosta</w:t>
      </w:r>
      <w:r w:rsidRPr="00A7778D">
        <w:rPr>
          <w:noProof/>
        </w:rPr>
        <w:t xml:space="preserve">]. </w:t>
      </w:r>
    </w:p>
    <w:p w14:paraId="3E9A5078" w14:textId="5BE3985F" w:rsidR="00B51A54" w:rsidRPr="00A7778D" w:rsidRDefault="002A7F8C" w:rsidP="002A7F8C">
      <w:pPr>
        <w:pStyle w:val="ManualNumPar1"/>
        <w:rPr>
          <w:noProof/>
        </w:rPr>
      </w:pPr>
      <w:r w:rsidRPr="00A7778D">
        <w:rPr>
          <w:noProof/>
        </w:rPr>
        <w:t>2.</w:t>
      </w:r>
      <w:r w:rsidRPr="00A7778D">
        <w:rPr>
          <w:noProof/>
        </w:rPr>
        <w:tab/>
        <w:t>Komissio esittää Euroopan parlamentille ja neuvostolle kertomuksen arvioinnin tärkeimmistä tuloksista. Arviointia tehdessään komissio ottaa huomioon markkinoiden kehityksen ja käytettävissään olevan asiaankuuluvan näytön.</w:t>
      </w:r>
    </w:p>
    <w:p w14:paraId="410DD1E0" w14:textId="0C8816E9" w:rsidR="00B51A54" w:rsidRPr="00A7778D" w:rsidRDefault="002A7F8C" w:rsidP="002A7F8C">
      <w:pPr>
        <w:pStyle w:val="ManualNumPar1"/>
        <w:rPr>
          <w:noProof/>
        </w:rPr>
      </w:pPr>
      <w:r w:rsidRPr="00A7778D">
        <w:rPr>
          <w:noProof/>
        </w:rPr>
        <w:t>3.</w:t>
      </w:r>
      <w:r w:rsidRPr="00A7778D">
        <w:rPr>
          <w:noProof/>
        </w:rPr>
        <w:tab/>
        <w:t>Jos komissio katsoo sen aiheelliseksi, kertomukseen on liitettävä lainsäädäntöehdotus tämän asetuksen asiaankuuluvien säännösten muuttamiseksi.</w:t>
      </w:r>
    </w:p>
    <w:p w14:paraId="4A3966C0" w14:textId="77777777" w:rsidR="009F6106" w:rsidRPr="00A7778D" w:rsidRDefault="009F6106" w:rsidP="000E731D">
      <w:pPr>
        <w:pStyle w:val="Titrearticle"/>
        <w:spacing w:line="23" w:lineRule="atLeast"/>
        <w:rPr>
          <w:noProof/>
          <w:szCs w:val="24"/>
        </w:rPr>
      </w:pPr>
      <w:r w:rsidRPr="00A7778D">
        <w:rPr>
          <w:noProof/>
        </w:rPr>
        <w:t>50 artikla</w:t>
      </w:r>
    </w:p>
    <w:p w14:paraId="1727AE91" w14:textId="77777777" w:rsidR="00587167" w:rsidRPr="00A7778D" w:rsidRDefault="00587167" w:rsidP="000E731D">
      <w:pPr>
        <w:pStyle w:val="NormalCentered"/>
        <w:rPr>
          <w:b/>
          <w:bCs/>
          <w:noProof/>
        </w:rPr>
      </w:pPr>
      <w:r w:rsidRPr="00A7778D">
        <w:rPr>
          <w:b/>
          <w:noProof/>
        </w:rPr>
        <w:t>Voimaantulo ja soveltaminen</w:t>
      </w:r>
    </w:p>
    <w:p w14:paraId="6860A9D8" w14:textId="77777777" w:rsidR="00587167" w:rsidRPr="00A7778D" w:rsidRDefault="00587167" w:rsidP="00EC435D">
      <w:pPr>
        <w:spacing w:line="23" w:lineRule="atLeast"/>
        <w:rPr>
          <w:noProof/>
          <w:szCs w:val="24"/>
        </w:rPr>
      </w:pPr>
      <w:r w:rsidRPr="00A7778D">
        <w:rPr>
          <w:noProof/>
        </w:rPr>
        <w:t xml:space="preserve">Tämä asetus tulee voimaan kahdentenakymmenentenä päivänä siitä päivästä, jona se julkaistaan </w:t>
      </w:r>
      <w:r w:rsidRPr="00A7778D">
        <w:rPr>
          <w:i/>
          <w:noProof/>
        </w:rPr>
        <w:t>Euroopan unionin virallisessa lehdessä</w:t>
      </w:r>
      <w:r w:rsidRPr="00A7778D">
        <w:rPr>
          <w:noProof/>
        </w:rPr>
        <w:t>.</w:t>
      </w:r>
    </w:p>
    <w:p w14:paraId="5F60B402" w14:textId="77777777" w:rsidR="009F6106" w:rsidRPr="00A7778D" w:rsidRDefault="009F6106" w:rsidP="00EC435D">
      <w:pPr>
        <w:spacing w:line="23" w:lineRule="atLeast"/>
        <w:rPr>
          <w:noProof/>
          <w:szCs w:val="24"/>
        </w:rPr>
      </w:pPr>
      <w:r w:rsidRPr="00A7778D">
        <w:rPr>
          <w:noProof/>
        </w:rPr>
        <w:t>Sitä sovelletaan [</w:t>
      </w:r>
      <w:r w:rsidRPr="00A7778D">
        <w:rPr>
          <w:i/>
          <w:noProof/>
        </w:rPr>
        <w:t>6 kuukauden kuluttua tämän asetuksen voimaantulosta</w:t>
      </w:r>
      <w:r w:rsidRPr="00A7778D">
        <w:rPr>
          <w:noProof/>
        </w:rPr>
        <w:t>]</w:t>
      </w:r>
      <w:r w:rsidRPr="00A7778D">
        <w:rPr>
          <w:i/>
          <w:noProof/>
        </w:rPr>
        <w:t>.</w:t>
      </w:r>
    </w:p>
    <w:p w14:paraId="1BE6AA30" w14:textId="77777777" w:rsidR="00587167" w:rsidRPr="00A7778D" w:rsidRDefault="00587167" w:rsidP="00EC435D">
      <w:pPr>
        <w:pStyle w:val="Applicationdirecte"/>
        <w:spacing w:before="120" w:line="23" w:lineRule="atLeast"/>
        <w:rPr>
          <w:noProof/>
          <w:szCs w:val="24"/>
        </w:rPr>
      </w:pPr>
      <w:r w:rsidRPr="00A7778D">
        <w:rPr>
          <w:noProof/>
        </w:rPr>
        <w:t>Tämä asetus on kaikilta osiltaan velvoittava, ja sitä sovelletaan sellaisenaan kaikissa jäsenvaltioissa.</w:t>
      </w:r>
    </w:p>
    <w:p w14:paraId="7B1BB7C5" w14:textId="2BB44DD4" w:rsidR="00587167" w:rsidRPr="00A7778D" w:rsidRDefault="00BD64D1" w:rsidP="001C6A2C">
      <w:pPr>
        <w:pStyle w:val="Fait"/>
        <w:rPr>
          <w:noProof/>
        </w:rPr>
      </w:pPr>
      <w:r w:rsidRPr="00BD64D1">
        <w:t>Tehty Strasbourgissa</w:t>
      </w:r>
    </w:p>
    <w:p w14:paraId="7165F394" w14:textId="77777777" w:rsidR="00587167" w:rsidRPr="00A7778D" w:rsidRDefault="00587167" w:rsidP="001C6A2C">
      <w:pPr>
        <w:pStyle w:val="Institutionquisigne"/>
        <w:rPr>
          <w:noProof/>
        </w:rPr>
      </w:pPr>
      <w:r w:rsidRPr="00A7778D">
        <w:rPr>
          <w:noProof/>
        </w:rPr>
        <w:t>Euroopan parlamentin puolesta</w:t>
      </w:r>
      <w:r w:rsidRPr="00A7778D">
        <w:rPr>
          <w:noProof/>
        </w:rPr>
        <w:tab/>
        <w:t>Neuvoston puolesta</w:t>
      </w:r>
    </w:p>
    <w:p w14:paraId="6F3E6E12" w14:textId="77777777" w:rsidR="00243F05" w:rsidRPr="00A7778D" w:rsidRDefault="00587167" w:rsidP="006A39BB">
      <w:pPr>
        <w:pStyle w:val="Personnequisigne"/>
        <w:spacing w:before="120" w:after="120" w:line="23" w:lineRule="atLeast"/>
        <w:rPr>
          <w:noProof/>
          <w:szCs w:val="24"/>
        </w:rPr>
      </w:pPr>
      <w:r w:rsidRPr="00A7778D">
        <w:rPr>
          <w:noProof/>
        </w:rPr>
        <w:t>Puhemies</w:t>
      </w:r>
      <w:r w:rsidRPr="00A7778D">
        <w:rPr>
          <w:noProof/>
        </w:rPr>
        <w:tab/>
        <w:t xml:space="preserve">Puheenjohtaja </w:t>
      </w:r>
      <w:bookmarkEnd w:id="0"/>
    </w:p>
    <w:p w14:paraId="4911ABBD" w14:textId="77777777" w:rsidR="009F50E4" w:rsidRPr="00A7778D" w:rsidRDefault="009F50E4" w:rsidP="009F50E4">
      <w:pPr>
        <w:rPr>
          <w:noProof/>
        </w:rPr>
        <w:sectPr w:rsidR="009F50E4" w:rsidRPr="00A7778D" w:rsidSect="00084EF2">
          <w:pgSz w:w="11907" w:h="16839"/>
          <w:pgMar w:top="1134" w:right="1417" w:bottom="1134" w:left="1417" w:header="709" w:footer="709" w:gutter="0"/>
          <w:cols w:space="708"/>
          <w:docGrid w:linePitch="360"/>
        </w:sectPr>
      </w:pPr>
    </w:p>
    <w:p w14:paraId="45F64D99" w14:textId="77777777" w:rsidR="009F50E4" w:rsidRPr="00A7778D" w:rsidRDefault="009F50E4" w:rsidP="009F50E4">
      <w:pPr>
        <w:pStyle w:val="Fichefinanciretitre"/>
        <w:rPr>
          <w:noProof/>
        </w:rPr>
      </w:pPr>
      <w:bookmarkStart w:id="4" w:name="_TocB7751C055C4744A28A002AAF436526DF"/>
      <w:r w:rsidRPr="00A7778D">
        <w:rPr>
          <w:noProof/>
        </w:rPr>
        <w:t>SÄÄDÖSEHDOTUKSEEN LIITTYVÄ RAHOITUSSELVITYS</w:t>
      </w:r>
      <w:bookmarkEnd w:id="4"/>
    </w:p>
    <w:p w14:paraId="150BBB8E" w14:textId="77777777" w:rsidR="00FA1843" w:rsidRPr="00A7778D" w:rsidRDefault="00FA1843" w:rsidP="00FA1843">
      <w:pPr>
        <w:pStyle w:val="ManualHeading1"/>
        <w:rPr>
          <w:noProof/>
        </w:rPr>
      </w:pPr>
      <w:r w:rsidRPr="00A7778D">
        <w:rPr>
          <w:noProof/>
        </w:rPr>
        <w:t>1.</w:t>
      </w:r>
      <w:r w:rsidRPr="00A7778D">
        <w:rPr>
          <w:noProof/>
        </w:rPr>
        <w:tab/>
        <w:t>PERUSTIEDOT EHDOTUKSESTA/ALOITTEESTA</w:t>
      </w:r>
    </w:p>
    <w:p w14:paraId="7E26E94F" w14:textId="77777777" w:rsidR="00FA1843" w:rsidRPr="00A7778D" w:rsidRDefault="00FA1843" w:rsidP="00FA1843">
      <w:pPr>
        <w:pStyle w:val="ManualHeading2"/>
        <w:rPr>
          <w:noProof/>
        </w:rPr>
      </w:pPr>
      <w:r w:rsidRPr="00A7778D">
        <w:rPr>
          <w:noProof/>
        </w:rPr>
        <w:t>1.1.</w:t>
      </w:r>
      <w:r w:rsidRPr="00A7778D">
        <w:rPr>
          <w:noProof/>
        </w:rPr>
        <w:tab/>
        <w:t>Ehdotuksen/aloitteen nimi</w:t>
      </w:r>
    </w:p>
    <w:p w14:paraId="35D17AC7" w14:textId="77777777" w:rsidR="00FA1843" w:rsidRPr="00A7778D" w:rsidRDefault="00FA1843" w:rsidP="00FA1843">
      <w:pPr>
        <w:pStyle w:val="ManualHeading2"/>
        <w:rPr>
          <w:noProof/>
        </w:rPr>
      </w:pPr>
      <w:r w:rsidRPr="00A7778D">
        <w:rPr>
          <w:noProof/>
        </w:rPr>
        <w:t>1.2.</w:t>
      </w:r>
      <w:r w:rsidRPr="00A7778D">
        <w:rPr>
          <w:noProof/>
        </w:rPr>
        <w:tab/>
        <w:t>Toimintalohko(t)</w:t>
      </w:r>
    </w:p>
    <w:p w14:paraId="40600088" w14:textId="77777777" w:rsidR="00FA1843" w:rsidRPr="00A7778D" w:rsidRDefault="00FA1843" w:rsidP="00FA1843">
      <w:pPr>
        <w:pStyle w:val="ManualHeading2"/>
        <w:rPr>
          <w:noProof/>
        </w:rPr>
      </w:pPr>
      <w:r w:rsidRPr="00A7778D">
        <w:rPr>
          <w:noProof/>
        </w:rPr>
        <w:t>1.3.</w:t>
      </w:r>
      <w:r w:rsidRPr="00A7778D">
        <w:rPr>
          <w:noProof/>
        </w:rPr>
        <w:tab/>
        <w:t>Ehdotus/aloite liittyy</w:t>
      </w:r>
    </w:p>
    <w:p w14:paraId="3E012BE3" w14:textId="77777777" w:rsidR="00FA1843" w:rsidRPr="00A7778D" w:rsidRDefault="00FA1843" w:rsidP="00FA1843">
      <w:pPr>
        <w:pStyle w:val="ManualHeading2"/>
        <w:rPr>
          <w:noProof/>
        </w:rPr>
      </w:pPr>
      <w:r w:rsidRPr="00A7778D">
        <w:rPr>
          <w:noProof/>
        </w:rPr>
        <w:t>1.4.</w:t>
      </w:r>
      <w:r w:rsidRPr="00A7778D">
        <w:rPr>
          <w:noProof/>
        </w:rPr>
        <w:tab/>
        <w:t>Tavoite (Tavoitteet)</w:t>
      </w:r>
    </w:p>
    <w:p w14:paraId="4DFD6C12" w14:textId="77777777" w:rsidR="00FA1843" w:rsidRPr="00A7778D" w:rsidRDefault="00FA1843" w:rsidP="00FA1843">
      <w:pPr>
        <w:pStyle w:val="ManualHeading3"/>
        <w:rPr>
          <w:noProof/>
        </w:rPr>
      </w:pPr>
      <w:r w:rsidRPr="00A7778D">
        <w:rPr>
          <w:noProof/>
        </w:rPr>
        <w:t>1.4.1.</w:t>
      </w:r>
      <w:r w:rsidRPr="00A7778D">
        <w:rPr>
          <w:noProof/>
        </w:rPr>
        <w:tab/>
        <w:t>Yleistavoite (Yleistavoitteet)</w:t>
      </w:r>
    </w:p>
    <w:p w14:paraId="0E27C8C2" w14:textId="77777777" w:rsidR="00FA1843" w:rsidRPr="00A7778D" w:rsidRDefault="00FA1843" w:rsidP="00FA1843">
      <w:pPr>
        <w:pStyle w:val="ManualHeading3"/>
        <w:rPr>
          <w:noProof/>
        </w:rPr>
      </w:pPr>
      <w:r w:rsidRPr="00A7778D">
        <w:rPr>
          <w:noProof/>
        </w:rPr>
        <w:t>1.4.2.</w:t>
      </w:r>
      <w:r w:rsidRPr="00A7778D">
        <w:rPr>
          <w:noProof/>
        </w:rPr>
        <w:tab/>
        <w:t>Erityistavoite (Erityistavoitteet)</w:t>
      </w:r>
    </w:p>
    <w:p w14:paraId="274D6244" w14:textId="77777777" w:rsidR="00FA1843" w:rsidRPr="00A7778D" w:rsidRDefault="00FA1843" w:rsidP="00FA1843">
      <w:pPr>
        <w:pStyle w:val="ManualHeading3"/>
        <w:rPr>
          <w:noProof/>
        </w:rPr>
      </w:pPr>
      <w:r w:rsidRPr="00A7778D">
        <w:rPr>
          <w:noProof/>
        </w:rPr>
        <w:t>1.4.3.</w:t>
      </w:r>
      <w:r w:rsidRPr="00A7778D">
        <w:rPr>
          <w:noProof/>
        </w:rPr>
        <w:tab/>
        <w:t>Odotettavissa olevat tulokset ja vaikutukset</w:t>
      </w:r>
    </w:p>
    <w:p w14:paraId="5EBF8F7C" w14:textId="77777777" w:rsidR="00FA1843" w:rsidRPr="00A7778D" w:rsidRDefault="00FA1843" w:rsidP="00FA1843">
      <w:pPr>
        <w:pStyle w:val="ManualHeading3"/>
        <w:rPr>
          <w:noProof/>
        </w:rPr>
      </w:pPr>
      <w:r w:rsidRPr="00A7778D">
        <w:rPr>
          <w:noProof/>
        </w:rPr>
        <w:t>1.4.4.</w:t>
      </w:r>
      <w:r w:rsidRPr="00A7778D">
        <w:rPr>
          <w:noProof/>
        </w:rPr>
        <w:tab/>
        <w:t>Tulosindikaattorit</w:t>
      </w:r>
    </w:p>
    <w:p w14:paraId="75F07E81" w14:textId="77777777" w:rsidR="00FA1843" w:rsidRPr="00A7778D" w:rsidRDefault="00FA1843" w:rsidP="00FA1843">
      <w:pPr>
        <w:pStyle w:val="ManualHeading2"/>
        <w:rPr>
          <w:noProof/>
        </w:rPr>
      </w:pPr>
      <w:r w:rsidRPr="00A7778D">
        <w:rPr>
          <w:noProof/>
        </w:rPr>
        <w:t>1.5.</w:t>
      </w:r>
      <w:r w:rsidRPr="00A7778D">
        <w:rPr>
          <w:noProof/>
        </w:rPr>
        <w:tab/>
        <w:t>Ehdotuksen/aloitteen perustelut</w:t>
      </w:r>
    </w:p>
    <w:p w14:paraId="263221BC" w14:textId="77777777" w:rsidR="00FA1843" w:rsidRPr="00A7778D" w:rsidRDefault="00FA1843" w:rsidP="00FA1843">
      <w:pPr>
        <w:pStyle w:val="ManualHeading3"/>
        <w:rPr>
          <w:noProof/>
        </w:rPr>
      </w:pPr>
      <w:r w:rsidRPr="00A7778D">
        <w:rPr>
          <w:noProof/>
        </w:rPr>
        <w:t>1.5.1.</w:t>
      </w:r>
      <w:r w:rsidRPr="00A7778D">
        <w:rPr>
          <w:noProof/>
        </w:rPr>
        <w:tab/>
        <w:t>Tarpeet, joihin ehdotuksella/aloitteella vastataan lyhyellä tai pitkällä aikavälillä sekä aloitteen yksityiskohtainen toteutusaikataulu</w:t>
      </w:r>
    </w:p>
    <w:p w14:paraId="6C450156" w14:textId="77777777" w:rsidR="00FA1843" w:rsidRPr="00A7778D" w:rsidRDefault="00FA1843" w:rsidP="00FA1843">
      <w:pPr>
        <w:pStyle w:val="ManualHeading3"/>
        <w:rPr>
          <w:noProof/>
        </w:rPr>
      </w:pPr>
      <w:r w:rsidRPr="00A7778D">
        <w:rPr>
          <w:noProof/>
        </w:rPr>
        <w:t>1.5.2.</w:t>
      </w:r>
      <w:r w:rsidRPr="00A7778D">
        <w:rPr>
          <w:noProof/>
        </w:rPr>
        <w:tab/>
        <w:t>EU:n osallistumisesta saatava lisäarvo (joka voi olla seurausta eri tekijöistä, kuten koordinoinnin paranemisesta, oikeusvarmuudesta tai toiminnan vaikuttavuuden tai täydentävyyden paranemisesta). EU:n osallistumisesta saatavalla lisäarvolla tarkoitetaan tässä kohdassa arvoa, jonka EU:n osallistuminen tuottaa sen arvon lisäksi, joka olisi saatu aikaan pelkillä jäsenvaltioiden toimilla.</w:t>
      </w:r>
    </w:p>
    <w:p w14:paraId="2E512A7E" w14:textId="77777777" w:rsidR="00FA1843" w:rsidRPr="00A7778D" w:rsidRDefault="00FA1843" w:rsidP="00FA1843">
      <w:pPr>
        <w:pStyle w:val="ManualHeading3"/>
        <w:rPr>
          <w:noProof/>
        </w:rPr>
      </w:pPr>
      <w:r w:rsidRPr="00A7778D">
        <w:rPr>
          <w:noProof/>
        </w:rPr>
        <w:t>1.5.3.</w:t>
      </w:r>
      <w:r w:rsidRPr="00A7778D">
        <w:rPr>
          <w:noProof/>
        </w:rPr>
        <w:tab/>
        <w:t>Vastaavista toimista saadut kokemukset</w:t>
      </w:r>
    </w:p>
    <w:p w14:paraId="7AD7ED20" w14:textId="77777777" w:rsidR="00FA1843" w:rsidRPr="00A7778D" w:rsidRDefault="00FA1843" w:rsidP="00FA1843">
      <w:pPr>
        <w:pStyle w:val="ManualHeading3"/>
        <w:rPr>
          <w:noProof/>
        </w:rPr>
      </w:pPr>
      <w:r w:rsidRPr="00A7778D">
        <w:rPr>
          <w:noProof/>
        </w:rPr>
        <w:t>1.5.4.</w:t>
      </w:r>
      <w:r w:rsidRPr="00A7778D">
        <w:rPr>
          <w:noProof/>
        </w:rPr>
        <w:tab/>
        <w:t>Yhteensopivuus monivuotisen rahoituskehyksen kanssa ja mahdolliset synergiaedut suhteessa muihin kyseeseen tuleviin välineisiin</w:t>
      </w:r>
    </w:p>
    <w:p w14:paraId="48B0DE29" w14:textId="77777777" w:rsidR="00FA1843" w:rsidRPr="00A7778D" w:rsidRDefault="00FA1843" w:rsidP="00FA1843">
      <w:pPr>
        <w:pStyle w:val="ManualHeading3"/>
        <w:rPr>
          <w:noProof/>
        </w:rPr>
      </w:pPr>
      <w:r w:rsidRPr="00A7778D">
        <w:rPr>
          <w:noProof/>
        </w:rPr>
        <w:t>1.5.5.</w:t>
      </w:r>
      <w:r w:rsidRPr="00A7778D">
        <w:rPr>
          <w:noProof/>
        </w:rPr>
        <w:tab/>
        <w:t>Arvio käytettävissä olevista rahoitusvaihtoehdoista, mukaan lukien mahdollisuudet määrärahojen uudelleenkohdentamiseen</w:t>
      </w:r>
    </w:p>
    <w:p w14:paraId="44479659" w14:textId="77777777" w:rsidR="00FA1843" w:rsidRPr="00A7778D" w:rsidRDefault="00FA1843" w:rsidP="00FA1843">
      <w:pPr>
        <w:pStyle w:val="ManualHeading2"/>
        <w:rPr>
          <w:noProof/>
        </w:rPr>
      </w:pPr>
      <w:r w:rsidRPr="00A7778D">
        <w:rPr>
          <w:noProof/>
        </w:rPr>
        <w:t>1.6.</w:t>
      </w:r>
      <w:r w:rsidRPr="00A7778D">
        <w:rPr>
          <w:noProof/>
        </w:rPr>
        <w:tab/>
        <w:t>Ehdotetun toimen/aloitteen kesto ja rahoitusvaikutukset</w:t>
      </w:r>
    </w:p>
    <w:p w14:paraId="095FAACE" w14:textId="77777777" w:rsidR="00FA1843" w:rsidRPr="00A7778D" w:rsidRDefault="00FA1843" w:rsidP="00FA1843">
      <w:pPr>
        <w:pStyle w:val="ManualHeading2"/>
        <w:rPr>
          <w:noProof/>
        </w:rPr>
      </w:pPr>
      <w:r w:rsidRPr="00A7778D">
        <w:rPr>
          <w:noProof/>
        </w:rPr>
        <w:t>1.7.</w:t>
      </w:r>
      <w:r w:rsidRPr="00A7778D">
        <w:rPr>
          <w:noProof/>
        </w:rPr>
        <w:tab/>
        <w:t>Suunniteltu talousarvion toteuttamistapa / Suunnitellut talousarvion toteuttamistavat</w:t>
      </w:r>
    </w:p>
    <w:p w14:paraId="3628457A" w14:textId="77777777" w:rsidR="00FA1843" w:rsidRPr="00A7778D" w:rsidRDefault="00FA1843" w:rsidP="00FA1843">
      <w:pPr>
        <w:pStyle w:val="ManualHeading1"/>
        <w:rPr>
          <w:noProof/>
        </w:rPr>
      </w:pPr>
      <w:r w:rsidRPr="00A7778D">
        <w:rPr>
          <w:noProof/>
        </w:rPr>
        <w:t>2.</w:t>
      </w:r>
      <w:r w:rsidRPr="00A7778D">
        <w:rPr>
          <w:noProof/>
        </w:rPr>
        <w:tab/>
        <w:t>HALLINNOINTI</w:t>
      </w:r>
    </w:p>
    <w:p w14:paraId="41FE2C57" w14:textId="77777777" w:rsidR="00FA1843" w:rsidRPr="00A7778D" w:rsidRDefault="00FA1843" w:rsidP="00FA1843">
      <w:pPr>
        <w:pStyle w:val="ManualHeading2"/>
        <w:rPr>
          <w:noProof/>
        </w:rPr>
      </w:pPr>
      <w:r w:rsidRPr="00A7778D">
        <w:rPr>
          <w:noProof/>
        </w:rPr>
        <w:t>2.1.</w:t>
      </w:r>
      <w:r w:rsidRPr="00A7778D">
        <w:rPr>
          <w:noProof/>
        </w:rPr>
        <w:tab/>
        <w:t>Seuranta- ja raportointisäännöt</w:t>
      </w:r>
    </w:p>
    <w:p w14:paraId="4EF7E956" w14:textId="77777777" w:rsidR="00FA1843" w:rsidRPr="00A7778D" w:rsidRDefault="00FA1843" w:rsidP="00FA1843">
      <w:pPr>
        <w:pStyle w:val="ManualHeading2"/>
        <w:rPr>
          <w:noProof/>
        </w:rPr>
      </w:pPr>
      <w:r w:rsidRPr="00A7778D">
        <w:rPr>
          <w:noProof/>
        </w:rPr>
        <w:t>2.2.</w:t>
      </w:r>
      <w:r w:rsidRPr="00A7778D">
        <w:rPr>
          <w:noProof/>
        </w:rPr>
        <w:tab/>
        <w:t>Hallinnointi- ja valvontajärjestelmä(t)</w:t>
      </w:r>
    </w:p>
    <w:p w14:paraId="17BF5905" w14:textId="77777777" w:rsidR="00FA1843" w:rsidRPr="00A7778D" w:rsidRDefault="00FA1843" w:rsidP="00FA1843">
      <w:pPr>
        <w:pStyle w:val="ManualHeading3"/>
        <w:rPr>
          <w:noProof/>
        </w:rPr>
      </w:pPr>
      <w:r w:rsidRPr="00A7778D">
        <w:rPr>
          <w:noProof/>
        </w:rPr>
        <w:t>2.2.1.</w:t>
      </w:r>
      <w:r w:rsidRPr="00A7778D">
        <w:rPr>
          <w:noProof/>
        </w:rPr>
        <w:tab/>
        <w:t>Perustelut ehdotetu(i)lle hallinnointitavalle(/-tavoille), rahoituksen toteutusmekanismille(/-mekanismeille), maksujärjestelyille sekä valvontastrategialle</w:t>
      </w:r>
    </w:p>
    <w:p w14:paraId="22C6C0F4" w14:textId="77777777" w:rsidR="00FA1843" w:rsidRPr="00A7778D" w:rsidRDefault="00FA1843" w:rsidP="00FA1843">
      <w:pPr>
        <w:pStyle w:val="ManualHeading3"/>
        <w:rPr>
          <w:noProof/>
        </w:rPr>
      </w:pPr>
      <w:r w:rsidRPr="00A7778D">
        <w:rPr>
          <w:noProof/>
        </w:rPr>
        <w:t>2.2.2.</w:t>
      </w:r>
      <w:r w:rsidRPr="00A7778D">
        <w:rPr>
          <w:noProof/>
        </w:rPr>
        <w:tab/>
        <w:t>Tiedot todetuista riskeistä ja niiden vähentämiseksi käyttöön otetuista sisäisistä valvontajärjestelmistä</w:t>
      </w:r>
    </w:p>
    <w:p w14:paraId="3DE50398" w14:textId="77777777" w:rsidR="00FA1843" w:rsidRPr="00A7778D" w:rsidRDefault="00FA1843" w:rsidP="00FA1843">
      <w:pPr>
        <w:pStyle w:val="ManualHeading3"/>
        <w:rPr>
          <w:noProof/>
        </w:rPr>
      </w:pPr>
      <w:r w:rsidRPr="00A7778D">
        <w:rPr>
          <w:noProof/>
        </w:rPr>
        <w:t>2.2.3.</w:t>
      </w:r>
      <w:r w:rsidRPr="00A7778D">
        <w:rPr>
          <w:noProof/>
        </w:rPr>
        <w:tab/>
        <w:t>Valvonnan kustannustehokkuutta (valvontakustannusten suhde hallinnoitujen varojen arvoon) koskevat arviot ja perustelut sekä arviot maksujen suoritusajankohdan ja toimen päättämisajankohdan odotetuista virheriskitasoista</w:t>
      </w:r>
    </w:p>
    <w:p w14:paraId="15C7A57A" w14:textId="77777777" w:rsidR="00FA1843" w:rsidRPr="00A7778D" w:rsidRDefault="00FA1843" w:rsidP="00FA1843">
      <w:pPr>
        <w:pStyle w:val="ManualHeading2"/>
        <w:rPr>
          <w:noProof/>
        </w:rPr>
      </w:pPr>
      <w:r w:rsidRPr="00A7778D">
        <w:rPr>
          <w:noProof/>
        </w:rPr>
        <w:t>2.3.</w:t>
      </w:r>
      <w:r w:rsidRPr="00A7778D">
        <w:rPr>
          <w:noProof/>
        </w:rPr>
        <w:tab/>
        <w:t>Toimenpiteet petosten ja sääntöjenvastaisuuksien ehkäisemiseksi</w:t>
      </w:r>
    </w:p>
    <w:p w14:paraId="27240932" w14:textId="77777777" w:rsidR="00FA1843" w:rsidRPr="00A7778D" w:rsidRDefault="00FA1843" w:rsidP="00FA1843">
      <w:pPr>
        <w:pStyle w:val="ManualHeading1"/>
        <w:rPr>
          <w:noProof/>
        </w:rPr>
      </w:pPr>
      <w:r w:rsidRPr="00A7778D">
        <w:rPr>
          <w:noProof/>
        </w:rPr>
        <w:t>3.</w:t>
      </w:r>
      <w:r w:rsidRPr="00A7778D">
        <w:rPr>
          <w:noProof/>
        </w:rPr>
        <w:tab/>
        <w:t>EHDOTUKSEN/ALOITTEEN ARVIOIDUT RAHOITUSVAIKUTUKSET</w:t>
      </w:r>
    </w:p>
    <w:p w14:paraId="2C818EC5" w14:textId="77777777" w:rsidR="00FA1843" w:rsidRPr="00A7778D" w:rsidRDefault="00FA1843" w:rsidP="00FA1843">
      <w:pPr>
        <w:pStyle w:val="ManualHeading2"/>
        <w:rPr>
          <w:noProof/>
        </w:rPr>
      </w:pPr>
      <w:r w:rsidRPr="00A7778D">
        <w:rPr>
          <w:noProof/>
        </w:rPr>
        <w:t>3.1.</w:t>
      </w:r>
      <w:r w:rsidRPr="00A7778D">
        <w:rPr>
          <w:noProof/>
        </w:rPr>
        <w:tab/>
        <w:t>Kyseeseen tulevat monivuotisen rahoituskehyksen otsakkeet ja menopuolen budjettikohdat</w:t>
      </w:r>
    </w:p>
    <w:p w14:paraId="014ED99C" w14:textId="77777777" w:rsidR="00FA1843" w:rsidRPr="00A7778D" w:rsidRDefault="00FA1843" w:rsidP="00FA1843">
      <w:pPr>
        <w:pStyle w:val="ManualHeading2"/>
        <w:rPr>
          <w:noProof/>
        </w:rPr>
      </w:pPr>
      <w:r w:rsidRPr="00A7778D">
        <w:rPr>
          <w:noProof/>
        </w:rPr>
        <w:t>3.2.</w:t>
      </w:r>
      <w:r w:rsidRPr="00A7778D">
        <w:rPr>
          <w:noProof/>
        </w:rPr>
        <w:tab/>
        <w:t>Arvioidut vaikutukset määrärahoihin</w:t>
      </w:r>
    </w:p>
    <w:p w14:paraId="48FEF86F" w14:textId="77777777" w:rsidR="00FA1843" w:rsidRPr="00A7778D" w:rsidRDefault="00FA1843" w:rsidP="00FA1843">
      <w:pPr>
        <w:pStyle w:val="ManualHeading3"/>
        <w:rPr>
          <w:noProof/>
        </w:rPr>
      </w:pPr>
      <w:r w:rsidRPr="00A7778D">
        <w:rPr>
          <w:noProof/>
        </w:rPr>
        <w:t>3.2.1.</w:t>
      </w:r>
      <w:r w:rsidRPr="00A7778D">
        <w:rPr>
          <w:noProof/>
        </w:rPr>
        <w:tab/>
        <w:t>Yhteenveto arvioiduista vaikutuksista toimintamäärärahoihin</w:t>
      </w:r>
    </w:p>
    <w:p w14:paraId="788D8E18" w14:textId="77777777" w:rsidR="00FA1843" w:rsidRPr="00A7778D" w:rsidRDefault="00FA1843" w:rsidP="00FA1843">
      <w:pPr>
        <w:pStyle w:val="ManualHeading3"/>
        <w:rPr>
          <w:noProof/>
        </w:rPr>
      </w:pPr>
      <w:r w:rsidRPr="00A7778D">
        <w:rPr>
          <w:noProof/>
        </w:rPr>
        <w:t>3.2.2.</w:t>
      </w:r>
      <w:r w:rsidRPr="00A7778D">
        <w:rPr>
          <w:noProof/>
        </w:rPr>
        <w:tab/>
        <w:t>Arvioidut toimintamäärärahoista rahoitetut tuotokset</w:t>
      </w:r>
    </w:p>
    <w:p w14:paraId="699116DE" w14:textId="77777777" w:rsidR="00FA1843" w:rsidRPr="00A7778D" w:rsidRDefault="00FA1843" w:rsidP="00FA1843">
      <w:pPr>
        <w:pStyle w:val="ManualHeading3"/>
        <w:rPr>
          <w:noProof/>
        </w:rPr>
      </w:pPr>
      <w:r w:rsidRPr="00A7778D">
        <w:rPr>
          <w:noProof/>
        </w:rPr>
        <w:t>3.2.3.</w:t>
      </w:r>
      <w:r w:rsidRPr="00A7778D">
        <w:rPr>
          <w:noProof/>
        </w:rPr>
        <w:tab/>
        <w:t>Yhteenveto arvioiduista vaikutuksista hallintomäärärahoihin</w:t>
      </w:r>
    </w:p>
    <w:p w14:paraId="7E272F11" w14:textId="77777777" w:rsidR="00FA1843" w:rsidRPr="00A7778D" w:rsidRDefault="00FA1843" w:rsidP="00FA1843">
      <w:pPr>
        <w:pStyle w:val="ManualHeading3"/>
        <w:rPr>
          <w:noProof/>
        </w:rPr>
      </w:pPr>
      <w:r w:rsidRPr="00A7778D">
        <w:rPr>
          <w:noProof/>
        </w:rPr>
        <w:t>3.2.3.1.</w:t>
      </w:r>
      <w:r w:rsidRPr="00A7778D">
        <w:rPr>
          <w:noProof/>
        </w:rPr>
        <w:tab/>
        <w:t>Henkilöresurssien arvioitu tarve</w:t>
      </w:r>
    </w:p>
    <w:p w14:paraId="40459902" w14:textId="77777777" w:rsidR="00FA1843" w:rsidRPr="00A7778D" w:rsidRDefault="00FA1843" w:rsidP="00FA1843">
      <w:pPr>
        <w:pStyle w:val="ManualHeading3"/>
        <w:rPr>
          <w:noProof/>
        </w:rPr>
      </w:pPr>
      <w:r w:rsidRPr="00A7778D">
        <w:rPr>
          <w:noProof/>
        </w:rPr>
        <w:t>3.2.4.</w:t>
      </w:r>
      <w:r w:rsidRPr="00A7778D">
        <w:rPr>
          <w:noProof/>
        </w:rPr>
        <w:tab/>
        <w:t>Yhteensopivuus nykyisen monivuotisen rahoituskehyksen kanssa</w:t>
      </w:r>
    </w:p>
    <w:p w14:paraId="490BC90D" w14:textId="77777777" w:rsidR="00FA1843" w:rsidRPr="00A7778D" w:rsidRDefault="00FA1843" w:rsidP="00FA1843">
      <w:pPr>
        <w:pStyle w:val="ManualHeading3"/>
        <w:rPr>
          <w:noProof/>
        </w:rPr>
      </w:pPr>
      <w:r w:rsidRPr="00A7778D">
        <w:rPr>
          <w:noProof/>
        </w:rPr>
        <w:t>3.2.5.</w:t>
      </w:r>
      <w:r w:rsidRPr="00A7778D">
        <w:rPr>
          <w:noProof/>
        </w:rPr>
        <w:tab/>
        <w:t>Ulkopuolisten tahojen rahoitusosuudet</w:t>
      </w:r>
    </w:p>
    <w:p w14:paraId="642CE411" w14:textId="77777777" w:rsidR="00FA1843" w:rsidRPr="00A7778D" w:rsidRDefault="00FA1843" w:rsidP="00FA1843">
      <w:pPr>
        <w:pStyle w:val="ManualHeading2"/>
        <w:rPr>
          <w:noProof/>
        </w:rPr>
      </w:pPr>
      <w:r w:rsidRPr="00A7778D">
        <w:rPr>
          <w:noProof/>
        </w:rPr>
        <w:t>3.3.</w:t>
      </w:r>
      <w:r w:rsidRPr="00A7778D">
        <w:rPr>
          <w:noProof/>
        </w:rPr>
        <w:tab/>
        <w:t>Arvioidut vaikutukset tuloihin</w:t>
      </w:r>
    </w:p>
    <w:p w14:paraId="2936530B" w14:textId="77777777" w:rsidR="00FA1843" w:rsidRPr="00A7778D" w:rsidRDefault="00FA1843" w:rsidP="00FA1843">
      <w:pPr>
        <w:rPr>
          <w:noProof/>
        </w:rPr>
        <w:sectPr w:rsidR="00FA1843" w:rsidRPr="00A7778D" w:rsidSect="00084EF2">
          <w:pgSz w:w="11907" w:h="16840" w:code="9"/>
          <w:pgMar w:top="1134" w:right="1418" w:bottom="1134" w:left="1418" w:header="709" w:footer="709" w:gutter="0"/>
          <w:cols w:space="720"/>
          <w:docGrid w:linePitch="360"/>
        </w:sectPr>
      </w:pPr>
    </w:p>
    <w:p w14:paraId="241C91EF" w14:textId="4844A559" w:rsidR="00FA1843" w:rsidRPr="00A7778D" w:rsidRDefault="002A7F8C" w:rsidP="002A7F8C">
      <w:pPr>
        <w:pStyle w:val="ManualHeading1"/>
        <w:rPr>
          <w:bCs/>
          <w:noProof/>
          <w:szCs w:val="24"/>
        </w:rPr>
      </w:pPr>
      <w:bookmarkStart w:id="5" w:name="_Toc514938659"/>
      <w:bookmarkStart w:id="6" w:name="_Toc520485418"/>
      <w:r w:rsidRPr="00A7778D">
        <w:rPr>
          <w:noProof/>
        </w:rPr>
        <w:t>1.</w:t>
      </w:r>
      <w:r w:rsidRPr="00A7778D">
        <w:rPr>
          <w:noProof/>
        </w:rPr>
        <w:tab/>
        <w:t>PERUSTIEDOT EHDOTUKSESTA/ALOITTEESTA</w:t>
      </w:r>
      <w:bookmarkEnd w:id="5"/>
      <w:bookmarkEnd w:id="6"/>
      <w:r w:rsidRPr="00A7778D">
        <w:rPr>
          <w:noProof/>
        </w:rPr>
        <w:t xml:space="preserve"> </w:t>
      </w:r>
    </w:p>
    <w:p w14:paraId="7717357E" w14:textId="1BC0A347" w:rsidR="00FA1843" w:rsidRPr="00A7778D" w:rsidRDefault="002A7F8C" w:rsidP="002A7F8C">
      <w:pPr>
        <w:pStyle w:val="ManualHeading2"/>
        <w:rPr>
          <w:bCs/>
          <w:noProof/>
          <w:szCs w:val="24"/>
        </w:rPr>
      </w:pPr>
      <w:bookmarkStart w:id="7" w:name="_Toc514938660"/>
      <w:bookmarkStart w:id="8" w:name="_Toc520485419"/>
      <w:r w:rsidRPr="00A7778D">
        <w:rPr>
          <w:noProof/>
        </w:rPr>
        <w:t>1.1.</w:t>
      </w:r>
      <w:r w:rsidRPr="00A7778D">
        <w:rPr>
          <w:noProof/>
        </w:rPr>
        <w:tab/>
        <w:t>Ehdotuksen/aloitteen nimi</w:t>
      </w:r>
      <w:bookmarkEnd w:id="7"/>
      <w:bookmarkEnd w:id="8"/>
    </w:p>
    <w:p w14:paraId="506C2167"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Ehdotus [Euroopan parlamentin ja neuvoston] asetukseksi ympäristöön, yhteiskuntaan ja hyvään hallintotapaan (ESG) liittyvän luokitustoiminnan läpinäkyvyydestä ja eheydestä.</w:t>
      </w:r>
    </w:p>
    <w:p w14:paraId="5F4A455B" w14:textId="2FD50F81" w:rsidR="00FA1843" w:rsidRPr="00A7778D" w:rsidRDefault="002A7F8C" w:rsidP="002A7F8C">
      <w:pPr>
        <w:pStyle w:val="ManualHeading2"/>
        <w:rPr>
          <w:bCs/>
          <w:noProof/>
          <w:szCs w:val="24"/>
        </w:rPr>
      </w:pPr>
      <w:bookmarkStart w:id="9" w:name="_Toc514938661"/>
      <w:bookmarkStart w:id="10" w:name="_Toc520485420"/>
      <w:r w:rsidRPr="00A7778D">
        <w:rPr>
          <w:noProof/>
        </w:rPr>
        <w:t>1.2.</w:t>
      </w:r>
      <w:r w:rsidRPr="00A7778D">
        <w:rPr>
          <w:noProof/>
        </w:rPr>
        <w:tab/>
        <w:t>Toimintalohko(t)</w:t>
      </w:r>
      <w:bookmarkEnd w:id="9"/>
      <w:bookmarkEnd w:id="10"/>
    </w:p>
    <w:p w14:paraId="3F53A533"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color w:val="000000"/>
          <w:shd w:val="clear" w:color="auto" w:fill="FFFFFF"/>
        </w:rPr>
        <w:t>Toimintalohko: Rahoitusvakaus, rahoituspalvelut ja pääomamarkkinaunioni</w:t>
      </w:r>
    </w:p>
    <w:p w14:paraId="06F57A03"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p>
    <w:p w14:paraId="12566876" w14:textId="5DA5770D" w:rsidR="00FA1843" w:rsidRPr="00A7778D" w:rsidRDefault="002A7F8C" w:rsidP="002A7F8C">
      <w:pPr>
        <w:pStyle w:val="ManualHeading2"/>
        <w:rPr>
          <w:bCs/>
          <w:noProof/>
          <w:szCs w:val="24"/>
        </w:rPr>
      </w:pPr>
      <w:bookmarkStart w:id="11" w:name="_Toc514938662"/>
      <w:bookmarkStart w:id="12" w:name="_Toc520485421"/>
      <w:r w:rsidRPr="00A7778D">
        <w:rPr>
          <w:noProof/>
        </w:rPr>
        <w:t>1.3.</w:t>
      </w:r>
      <w:r w:rsidRPr="00A7778D">
        <w:rPr>
          <w:noProof/>
        </w:rPr>
        <w:tab/>
        <w:t>Ehdotus liittyy</w:t>
      </w:r>
      <w:bookmarkEnd w:id="11"/>
      <w:bookmarkEnd w:id="12"/>
      <w:r w:rsidRPr="00A7778D">
        <w:rPr>
          <w:noProof/>
        </w:rPr>
        <w:t xml:space="preserve"> </w:t>
      </w:r>
    </w:p>
    <w:p w14:paraId="17F22028" w14:textId="77777777" w:rsidR="00FA1843" w:rsidRPr="00A7778D" w:rsidRDefault="00FA1843" w:rsidP="00FA1843">
      <w:pPr>
        <w:pStyle w:val="Text1"/>
        <w:rPr>
          <w:b/>
          <w:noProof/>
        </w:rPr>
      </w:pPr>
      <w:r w:rsidRPr="00A7778D">
        <w:rPr>
          <w:noProof/>
        </w:rPr>
        <w:sym w:font="Wingdings" w:char="F0FE"/>
      </w:r>
      <w:r w:rsidRPr="00A7778D">
        <w:rPr>
          <w:b/>
          <w:i/>
          <w:noProof/>
        </w:rPr>
        <w:t xml:space="preserve"> </w:t>
      </w:r>
      <w:r w:rsidRPr="00A7778D">
        <w:rPr>
          <w:b/>
          <w:noProof/>
        </w:rPr>
        <w:t xml:space="preserve">uuteen toimeen </w:t>
      </w:r>
    </w:p>
    <w:p w14:paraId="3EC8553B" w14:textId="77777777" w:rsidR="00FA1843" w:rsidRPr="00A7778D" w:rsidRDefault="00FA1843" w:rsidP="00FA1843">
      <w:pPr>
        <w:pStyle w:val="Text1"/>
        <w:rPr>
          <w:noProof/>
          <w:sz w:val="22"/>
        </w:rPr>
      </w:pPr>
      <w:r w:rsidRPr="00A7778D">
        <w:rPr>
          <w:noProof/>
        </w:rPr>
        <w:sym w:font="Wingdings" w:char="F0A8"/>
      </w:r>
      <w:r w:rsidRPr="00A7778D">
        <w:rPr>
          <w:i/>
          <w:noProof/>
        </w:rPr>
        <w:t xml:space="preserve"> </w:t>
      </w:r>
      <w:r w:rsidRPr="00A7778D">
        <w:rPr>
          <w:b/>
          <w:noProof/>
        </w:rPr>
        <w:t>uuteen toimeen, joka perustuu pilottihankkeeseen tai valmistelutoimeen</w:t>
      </w:r>
      <w:r w:rsidRPr="00A7778D">
        <w:rPr>
          <w:rStyle w:val="FootnoteReference0"/>
          <w:b/>
          <w:noProof/>
        </w:rPr>
        <w:footnoteReference w:id="58"/>
      </w:r>
      <w:r w:rsidRPr="00A7778D">
        <w:rPr>
          <w:noProof/>
          <w:sz w:val="22"/>
        </w:rPr>
        <w:t xml:space="preserve"> </w:t>
      </w:r>
    </w:p>
    <w:p w14:paraId="267A82D7" w14:textId="77777777" w:rsidR="00FA1843" w:rsidRPr="00A7778D" w:rsidRDefault="00FA1843" w:rsidP="00FA1843">
      <w:pPr>
        <w:pStyle w:val="Text1"/>
        <w:rPr>
          <w:noProof/>
        </w:rPr>
      </w:pPr>
      <w:r w:rsidRPr="00A7778D">
        <w:rPr>
          <w:noProof/>
        </w:rPr>
        <w:sym w:font="Wingdings" w:char="F0A8"/>
      </w:r>
      <w:r w:rsidRPr="00A7778D">
        <w:rPr>
          <w:i/>
          <w:noProof/>
        </w:rPr>
        <w:t xml:space="preserve"> </w:t>
      </w:r>
      <w:r w:rsidRPr="00A7778D">
        <w:rPr>
          <w:b/>
          <w:noProof/>
        </w:rPr>
        <w:t>käynnissä olevan toimen jatkamiseen</w:t>
      </w:r>
      <w:r w:rsidRPr="00A7778D">
        <w:rPr>
          <w:noProof/>
        </w:rPr>
        <w:t xml:space="preserve"> </w:t>
      </w:r>
    </w:p>
    <w:p w14:paraId="44FA33BE" w14:textId="77777777" w:rsidR="00FA1843" w:rsidRPr="00A7778D" w:rsidRDefault="00FA1843" w:rsidP="00FA1843">
      <w:pPr>
        <w:pStyle w:val="Text1"/>
        <w:rPr>
          <w:noProof/>
        </w:rPr>
      </w:pPr>
      <w:r w:rsidRPr="00A7778D">
        <w:rPr>
          <w:noProof/>
        </w:rPr>
        <w:sym w:font="Wingdings" w:char="F0A8"/>
      </w:r>
      <w:r w:rsidRPr="00A7778D">
        <w:rPr>
          <w:i/>
          <w:noProof/>
        </w:rPr>
        <w:t xml:space="preserve"> </w:t>
      </w:r>
      <w:r w:rsidRPr="00A7778D">
        <w:rPr>
          <w:b/>
          <w:bCs/>
          <w:noProof/>
        </w:rPr>
        <w:t>yhden tai useamman toimen sulauttamiseen tai uudelleen suuntaamiseen johonkin toiseen/uuteen toimeen</w:t>
      </w:r>
      <w:r w:rsidRPr="00A7778D">
        <w:rPr>
          <w:noProof/>
        </w:rPr>
        <w:t xml:space="preserve"> </w:t>
      </w:r>
    </w:p>
    <w:p w14:paraId="4D9FDE5C" w14:textId="32756B63" w:rsidR="00FA1843" w:rsidRPr="00A7778D" w:rsidRDefault="002A7F8C" w:rsidP="002A7F8C">
      <w:pPr>
        <w:pStyle w:val="ManualHeading2"/>
        <w:rPr>
          <w:bCs/>
          <w:noProof/>
          <w:szCs w:val="24"/>
        </w:rPr>
      </w:pPr>
      <w:bookmarkStart w:id="13" w:name="_Toc514938663"/>
      <w:bookmarkStart w:id="14" w:name="_Toc520485422"/>
      <w:r w:rsidRPr="00A7778D">
        <w:rPr>
          <w:noProof/>
        </w:rPr>
        <w:t>1.4.</w:t>
      </w:r>
      <w:r w:rsidRPr="00A7778D">
        <w:rPr>
          <w:noProof/>
        </w:rPr>
        <w:tab/>
        <w:t>Tavoite (Tavoitteet)</w:t>
      </w:r>
      <w:bookmarkEnd w:id="13"/>
      <w:bookmarkEnd w:id="14"/>
    </w:p>
    <w:p w14:paraId="09223D33" w14:textId="6AB164D0" w:rsidR="00FA1843" w:rsidRPr="00A7778D" w:rsidRDefault="002A7F8C" w:rsidP="002A7F8C">
      <w:pPr>
        <w:pStyle w:val="ManualHeading3"/>
        <w:rPr>
          <w:bCs/>
          <w:noProof/>
          <w:szCs w:val="24"/>
        </w:rPr>
      </w:pPr>
      <w:bookmarkStart w:id="15" w:name="_Toc514938664"/>
      <w:bookmarkStart w:id="16" w:name="_Toc520485423"/>
      <w:r w:rsidRPr="00A7778D">
        <w:rPr>
          <w:noProof/>
        </w:rPr>
        <w:t>1.4.1.</w:t>
      </w:r>
      <w:r w:rsidRPr="00A7778D">
        <w:rPr>
          <w:noProof/>
        </w:rPr>
        <w:tab/>
        <w:t>Yleistavoite (Yleistavoitteet)</w:t>
      </w:r>
      <w:bookmarkEnd w:id="15"/>
      <w:bookmarkEnd w:id="16"/>
      <w:r w:rsidRPr="00A7778D">
        <w:rPr>
          <w:noProof/>
        </w:rPr>
        <w:t xml:space="preserve"> </w:t>
      </w:r>
    </w:p>
    <w:p w14:paraId="019295D6"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 xml:space="preserve">Tämän aloitteen yleisenä tavoitteena on helpottaa sisämarkkinoiden tarjoamien mahdollisuuksien parempaa hyödyntämistä ja edistää siirtymistä täysin kestävään ja osallistavaan talous- ja rahoitusjärjestelmään Euroopan vihreän kehityksen ohjelman ja YK:n kestävän kehityksen tavoitteiden mukaisesti. Tämä voidaan saavuttaa parantamalla sijoittajien kykyä tehdä tietoon perustuvia päätöksiä sijoitusten kestävyydestä ja auttamalla yrityksiä ymmärtämään toimintansa kestävyyttä. </w:t>
      </w:r>
    </w:p>
    <w:p w14:paraId="6F8AF114"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Koska ESG-luokituksia ja niiden perustana olevia tietoja käytetään sijoituspäätöksissä ja pääoman kohdentamisessa, aloitteen tavoitteena on – sääntelemällä ESG-luokitusten tarjoajia – parantaa ESG-luokitusten laatua ja avoimuutta, jotta sijoittajat ja luokitellut yritykset voivat tehdä paremmin tietoon perustuvia päätöksiä ESG-riskien hallinnasta sekä sijoitustensa ja toimiensa vaikutuksista. Samalla on ratkaisevan tärkeää edistää luottamusta ESG-luokitusten tarjoajien toimintaan varmistamalla, että markkinat toimivat asianmukaisesti ja ESG-luokitusten tarjoajat ehkäisevät ja hallitsevat eturistiriitoja.</w:t>
      </w:r>
    </w:p>
    <w:p w14:paraId="404F9144" w14:textId="714E7A29" w:rsidR="00FA1843" w:rsidRPr="00A7778D" w:rsidRDefault="002A7F8C" w:rsidP="002A7F8C">
      <w:pPr>
        <w:pStyle w:val="ManualHeading3"/>
        <w:rPr>
          <w:bCs/>
          <w:noProof/>
          <w:szCs w:val="24"/>
        </w:rPr>
      </w:pPr>
      <w:bookmarkStart w:id="17" w:name="_Toc514938665"/>
      <w:bookmarkStart w:id="18" w:name="_Toc520485424"/>
      <w:r w:rsidRPr="00A7778D">
        <w:rPr>
          <w:noProof/>
        </w:rPr>
        <w:t>1.4.2.</w:t>
      </w:r>
      <w:r w:rsidRPr="00A7778D">
        <w:rPr>
          <w:noProof/>
        </w:rPr>
        <w:tab/>
        <w:t>Erityistavoite (Erityistavoitteet)</w:t>
      </w:r>
      <w:bookmarkEnd w:id="17"/>
      <w:bookmarkEnd w:id="18"/>
      <w:r w:rsidRPr="00A7778D">
        <w:rPr>
          <w:noProof/>
        </w:rPr>
        <w:t xml:space="preserve"> </w:t>
      </w:r>
    </w:p>
    <w:p w14:paraId="4784AC9A"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 xml:space="preserve">Aloitteeseen liittyy kaksi erityistavoitetta: </w:t>
      </w:r>
    </w:p>
    <w:p w14:paraId="47DE740D"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 selkeytetään ESG-luokitusten ominaisuuksia (eli mitä luokitukset tarkoittavat ja mihin tavoitteisiin niillä pyritään), niihin liittyviä menetelmiä ja niiden kehittämisessä käytettyjä tietolähteitä tai arvioita.</w:t>
      </w:r>
    </w:p>
    <w:p w14:paraId="3C16E3F9"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 selkeytetään ESG-luokitusten tarjoajien toimintaa ja varmistetaan eturistiriitojen riskien ehkäiseminen ja lieventäminen ESG-luokitusten tarjoajien tasolla.</w:t>
      </w:r>
    </w:p>
    <w:p w14:paraId="5534ABB6" w14:textId="7B0B0868" w:rsidR="00FA1843" w:rsidRPr="00A7778D" w:rsidRDefault="002A7F8C" w:rsidP="002A7F8C">
      <w:pPr>
        <w:pStyle w:val="ManualHeading3"/>
        <w:rPr>
          <w:bCs/>
          <w:noProof/>
          <w:szCs w:val="24"/>
        </w:rPr>
      </w:pPr>
      <w:bookmarkStart w:id="19" w:name="_Toc514938666"/>
      <w:bookmarkStart w:id="20" w:name="_Toc520485425"/>
      <w:r w:rsidRPr="00A7778D">
        <w:rPr>
          <w:noProof/>
        </w:rPr>
        <w:t>1.4.3.</w:t>
      </w:r>
      <w:r w:rsidRPr="00A7778D">
        <w:rPr>
          <w:noProof/>
        </w:rPr>
        <w:tab/>
        <w:t>Odotettavissa olevat tulokset ja vaikutukset</w:t>
      </w:r>
      <w:bookmarkEnd w:id="19"/>
      <w:bookmarkEnd w:id="20"/>
    </w:p>
    <w:p w14:paraId="60AC404E" w14:textId="77777777" w:rsidR="00FA1843" w:rsidRPr="00A7778D" w:rsidRDefault="00FA1843" w:rsidP="00FA1843">
      <w:pPr>
        <w:pStyle w:val="Text1"/>
        <w:rPr>
          <w:i/>
          <w:noProof/>
          <w:sz w:val="20"/>
        </w:rPr>
      </w:pPr>
      <w:r w:rsidRPr="00A7778D">
        <w:rPr>
          <w:i/>
          <w:noProof/>
          <w:sz w:val="20"/>
        </w:rPr>
        <w:t>Selvitys siitä, miten ehdotuksella/aloitteella on tarkoitus vaikuttaa edunsaajien/kohderyhmän tilanteeseen</w:t>
      </w:r>
    </w:p>
    <w:p w14:paraId="4B2BCC59"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bookmarkStart w:id="21" w:name="_Toc514938667"/>
      <w:bookmarkStart w:id="22" w:name="_Toc520485426"/>
      <w:r w:rsidRPr="00A7778D">
        <w:rPr>
          <w:noProof/>
        </w:rPr>
        <w:t>Ehdotuksen tarkoituksena on lisätä ESG-luokitusten tarjoajien toiminnan avoimuutta ja selkeyttä. Tämän pitäisi hyödyttää kyseisten luokitusten käyttäjiä mutta myös luokiteltuja yrityksiä ja muita asianomaisia sidosryhmiä. Se edistää EU:n vihreän kehityksen ohjelman ja kestävän rahoituksen strategian tavoitteita.</w:t>
      </w:r>
    </w:p>
    <w:p w14:paraId="6A4B4E44"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Ehdotuksella on merkittäviä suoria ja välillisiä taloudellisia vaikutuksia asianomaisiin osapuoliin. Ensinnäkin ESG-luokitusten tarjoajiin sovelletaan julkistamisvaatimuksia ja muita toiminnallisia vaatimuksia, mistä aiheutuu kustannuksia. Lisäksi ESG-luokituksen käyttäjät ja luokitellut yhteisöt hyötyvät ESG-luokitusominaisuuksia ja ESG-luokitusten tarjoajien toimintaa koskevasta avoimuudesta. Vaikutukset kohdistuvat myös viranomaisiin (arvopaperimarkkinaviranomainen), erityisesti ESG-luokitusten tarjoajien valvonnan käyttöönottoon, vaikka ne olisivatkin nykyisen rakenteensa puitteissa.</w:t>
      </w:r>
    </w:p>
    <w:p w14:paraId="66068208" w14:textId="084931E0" w:rsidR="00FA1843" w:rsidRPr="00A7778D" w:rsidRDefault="002A7F8C" w:rsidP="002A7F8C">
      <w:pPr>
        <w:pStyle w:val="ManualHeading3"/>
        <w:rPr>
          <w:bCs/>
          <w:noProof/>
          <w:szCs w:val="24"/>
        </w:rPr>
      </w:pPr>
      <w:r w:rsidRPr="00A7778D">
        <w:rPr>
          <w:noProof/>
        </w:rPr>
        <w:t>1.4.4.</w:t>
      </w:r>
      <w:r w:rsidRPr="00A7778D">
        <w:rPr>
          <w:noProof/>
        </w:rPr>
        <w:tab/>
        <w:t>Tulosindikaattorit</w:t>
      </w:r>
      <w:bookmarkEnd w:id="21"/>
      <w:bookmarkEnd w:id="22"/>
      <w:r w:rsidRPr="00A7778D">
        <w:rPr>
          <w:noProof/>
        </w:rPr>
        <w:t xml:space="preserve"> </w:t>
      </w:r>
    </w:p>
    <w:p w14:paraId="22B76C5D" w14:textId="77777777" w:rsidR="00FA1843" w:rsidRPr="00A7778D" w:rsidRDefault="00FA1843" w:rsidP="00FA1843">
      <w:pPr>
        <w:pStyle w:val="Text1"/>
        <w:rPr>
          <w:i/>
          <w:noProof/>
          <w:sz w:val="20"/>
        </w:rPr>
      </w:pPr>
      <w:r w:rsidRPr="00A7778D">
        <w:rPr>
          <w:i/>
          <w:noProof/>
          <w:sz w:val="20"/>
        </w:rPr>
        <w:t>Selvitys siitä, millaisin indikaattorein ehdotuksen/aloitteen etenemistä ja tuloksia seurataan.</w:t>
      </w:r>
    </w:p>
    <w:p w14:paraId="71C4DE22"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A7778D">
        <w:rPr>
          <w:noProof/>
          <w:color w:val="000000"/>
          <w:shd w:val="clear" w:color="auto" w:fill="FFFFFF"/>
        </w:rPr>
        <w:t>Ehdotusta varten on määritetty seuraavat tulosindikaattorit:</w:t>
      </w:r>
    </w:p>
    <w:p w14:paraId="288AC0F4"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A7778D">
        <w:rPr>
          <w:noProof/>
          <w:color w:val="000000"/>
          <w:shd w:val="clear" w:color="auto" w:fill="FFFFFF"/>
        </w:rPr>
        <w:t>Tavoite 1:</w:t>
      </w:r>
    </w:p>
    <w:p w14:paraId="6E191B31"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A7778D">
        <w:rPr>
          <w:noProof/>
          <w:color w:val="000000"/>
          <w:shd w:val="clear" w:color="auto" w:fill="FFFFFF"/>
        </w:rPr>
        <w:t>-</w:t>
      </w:r>
      <w:r w:rsidRPr="00A7778D">
        <w:rPr>
          <w:noProof/>
        </w:rPr>
        <w:tab/>
      </w:r>
      <w:r w:rsidRPr="00A7778D">
        <w:rPr>
          <w:noProof/>
          <w:color w:val="000000"/>
          <w:shd w:val="clear" w:color="auto" w:fill="FFFFFF"/>
        </w:rPr>
        <w:t>saatavilla olevien ESG-luokitusten lukumäärä;;</w:t>
      </w:r>
    </w:p>
    <w:p w14:paraId="54351CBD"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A7778D">
        <w:rPr>
          <w:noProof/>
          <w:color w:val="000000"/>
          <w:shd w:val="clear" w:color="auto" w:fill="FFFFFF"/>
        </w:rPr>
        <w:t>-</w:t>
      </w:r>
      <w:r w:rsidRPr="00A7778D">
        <w:rPr>
          <w:noProof/>
        </w:rPr>
        <w:tab/>
      </w:r>
      <w:r w:rsidRPr="00A7778D">
        <w:rPr>
          <w:noProof/>
          <w:color w:val="000000"/>
          <w:shd w:val="clear" w:color="auto" w:fill="FFFFFF"/>
        </w:rPr>
        <w:t>niiden ESG-luokitusten lukumäärä, joihin liittyy taloudellisia riskejä ja/tai vaikutustavoitteita;</w:t>
      </w:r>
    </w:p>
    <w:p w14:paraId="149C54E8"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A7778D">
        <w:rPr>
          <w:noProof/>
          <w:color w:val="000000"/>
          <w:shd w:val="clear" w:color="auto" w:fill="FFFFFF"/>
        </w:rPr>
        <w:t>-</w:t>
      </w:r>
      <w:r w:rsidRPr="00A7778D">
        <w:rPr>
          <w:noProof/>
        </w:rPr>
        <w:tab/>
      </w:r>
      <w:r w:rsidRPr="00A7778D">
        <w:rPr>
          <w:noProof/>
          <w:color w:val="000000"/>
          <w:shd w:val="clear" w:color="auto" w:fill="FFFFFF"/>
        </w:rPr>
        <w:t>tiedot, jotka ESG-luokituksen tarjoajat ovat asettaneet yleisön saataville verkossa, erityisesti mahdollisten kirjasten/tiedotteiden laatiminen;</w:t>
      </w:r>
    </w:p>
    <w:p w14:paraId="4C71FE61"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A7778D">
        <w:rPr>
          <w:noProof/>
          <w:color w:val="000000"/>
          <w:shd w:val="clear" w:color="auto" w:fill="FFFFFF"/>
        </w:rPr>
        <w:t>-</w:t>
      </w:r>
      <w:r w:rsidRPr="00A7778D">
        <w:rPr>
          <w:noProof/>
        </w:rPr>
        <w:tab/>
      </w:r>
      <w:r w:rsidRPr="00A7778D">
        <w:rPr>
          <w:noProof/>
          <w:color w:val="000000"/>
          <w:shd w:val="clear" w:color="auto" w:fill="FFFFFF"/>
        </w:rPr>
        <w:t>se, missä määrin ESG-luokitukset/-pisteet, joilla mitataan samoja rakenteita, vaihtelevat eri luokituslaitosten välillä, ja erityisesti, supistuvatko erot ajan mittaan;</w:t>
      </w:r>
    </w:p>
    <w:p w14:paraId="4C38AE9F"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rPr>
      </w:pPr>
      <w:r w:rsidRPr="00A7778D">
        <w:rPr>
          <w:noProof/>
          <w:color w:val="000000"/>
          <w:shd w:val="clear" w:color="auto" w:fill="FFFFFF"/>
        </w:rPr>
        <w:t>-</w:t>
      </w:r>
      <w:r w:rsidRPr="00A7778D">
        <w:rPr>
          <w:noProof/>
        </w:rPr>
        <w:tab/>
      </w:r>
      <w:r w:rsidRPr="00A7778D">
        <w:rPr>
          <w:noProof/>
          <w:color w:val="000000"/>
          <w:shd w:val="clear" w:color="auto" w:fill="FFFFFF"/>
        </w:rPr>
        <w:t>onko ESG-luokitusten vastaavuus samankaltaisten tavoitteiden kanssa lisääntynyt.</w:t>
      </w:r>
    </w:p>
    <w:p w14:paraId="358FEC5E"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A7778D">
        <w:rPr>
          <w:noProof/>
          <w:color w:val="000000"/>
          <w:shd w:val="clear" w:color="auto" w:fill="FFFFFF"/>
        </w:rPr>
        <w:t>Tavoite 2:</w:t>
      </w:r>
    </w:p>
    <w:p w14:paraId="6D6BAD7C"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A7778D">
        <w:rPr>
          <w:noProof/>
          <w:color w:val="000000"/>
          <w:shd w:val="clear" w:color="auto" w:fill="FFFFFF"/>
        </w:rPr>
        <w:t>-</w:t>
      </w:r>
      <w:r w:rsidRPr="00A7778D">
        <w:rPr>
          <w:noProof/>
        </w:rPr>
        <w:tab/>
      </w:r>
      <w:r w:rsidRPr="00A7778D">
        <w:rPr>
          <w:noProof/>
          <w:color w:val="000000"/>
          <w:shd w:val="clear" w:color="auto" w:fill="FFFFFF"/>
        </w:rPr>
        <w:t>ESG-luokitusten käytön lisääntyminen käyttäjien ja liikkeeseenlaskijoiden keskuudessa;</w:t>
      </w:r>
    </w:p>
    <w:p w14:paraId="56EB57FF"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A7778D">
        <w:rPr>
          <w:noProof/>
          <w:color w:val="000000"/>
          <w:shd w:val="clear" w:color="auto" w:fill="FFFFFF"/>
        </w:rPr>
        <w:t>-</w:t>
      </w:r>
      <w:r w:rsidRPr="00A7778D">
        <w:rPr>
          <w:noProof/>
        </w:rPr>
        <w:tab/>
      </w:r>
      <w:r w:rsidRPr="00A7778D">
        <w:rPr>
          <w:noProof/>
          <w:color w:val="000000"/>
          <w:shd w:val="clear" w:color="auto" w:fill="FFFFFF"/>
        </w:rPr>
        <w:t>ESG-investointien määrä ja markkinaosuus ESG-luokituksen perusteella;</w:t>
      </w:r>
    </w:p>
    <w:p w14:paraId="1D9BA57C"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rPr>
      </w:pPr>
      <w:r w:rsidRPr="00A7778D">
        <w:rPr>
          <w:noProof/>
          <w:color w:val="000000"/>
          <w:shd w:val="clear" w:color="auto" w:fill="FFFFFF"/>
        </w:rPr>
        <w:t>-</w:t>
      </w:r>
      <w:r w:rsidRPr="00A7778D">
        <w:rPr>
          <w:noProof/>
        </w:rPr>
        <w:tab/>
      </w:r>
      <w:r w:rsidRPr="00A7778D">
        <w:rPr>
          <w:noProof/>
          <w:color w:val="000000"/>
          <w:shd w:val="clear" w:color="auto" w:fill="FFFFFF"/>
        </w:rPr>
        <w:t>ESG-luokitukseen liittyvien skandaalien määrä.</w:t>
      </w:r>
    </w:p>
    <w:p w14:paraId="77284356" w14:textId="43FE27C9" w:rsidR="00FA1843" w:rsidRPr="00A7778D" w:rsidRDefault="002A7F8C" w:rsidP="002A7F8C">
      <w:pPr>
        <w:pStyle w:val="ManualHeading2"/>
        <w:rPr>
          <w:bCs/>
          <w:noProof/>
          <w:szCs w:val="24"/>
        </w:rPr>
      </w:pPr>
      <w:bookmarkStart w:id="23" w:name="_Toc514938668"/>
      <w:bookmarkStart w:id="24" w:name="_Toc520485427"/>
      <w:r w:rsidRPr="00A7778D">
        <w:rPr>
          <w:noProof/>
        </w:rPr>
        <w:t>1.5.</w:t>
      </w:r>
      <w:r w:rsidRPr="00A7778D">
        <w:rPr>
          <w:noProof/>
        </w:rPr>
        <w:tab/>
        <w:t>Ehdotuksen/aloitteen perustelut</w:t>
      </w:r>
      <w:bookmarkEnd w:id="23"/>
      <w:bookmarkEnd w:id="24"/>
      <w:r w:rsidRPr="00A7778D">
        <w:rPr>
          <w:noProof/>
        </w:rPr>
        <w:t xml:space="preserve"> </w:t>
      </w:r>
    </w:p>
    <w:p w14:paraId="5EAC2A69" w14:textId="1F6A16EC" w:rsidR="00FA1843" w:rsidRPr="00A7778D" w:rsidRDefault="002A7F8C" w:rsidP="002A7F8C">
      <w:pPr>
        <w:pStyle w:val="ManualHeading3"/>
        <w:rPr>
          <w:noProof/>
        </w:rPr>
      </w:pPr>
      <w:bookmarkStart w:id="25" w:name="_Toc514938669"/>
      <w:bookmarkStart w:id="26" w:name="_Toc520485428"/>
      <w:r w:rsidRPr="00A7778D">
        <w:rPr>
          <w:noProof/>
        </w:rPr>
        <w:t>1.5.1.</w:t>
      </w:r>
      <w:r w:rsidRPr="00A7778D">
        <w:rPr>
          <w:noProof/>
        </w:rPr>
        <w:tab/>
        <w:t>Tarpeet, joihin ehdotuksella/aloitteella vastataan lyhyellä tai pitkällä aikavälillä sekä aloitteen yksityiskohtainen toteutusaikataulu</w:t>
      </w:r>
      <w:bookmarkEnd w:id="25"/>
      <w:bookmarkEnd w:id="26"/>
    </w:p>
    <w:p w14:paraId="0DE3D4D7"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A7778D">
        <w:rPr>
          <w:noProof/>
          <w:color w:val="000000"/>
          <w:shd w:val="clear" w:color="auto" w:fill="FFFFFF"/>
        </w:rPr>
        <w:t xml:space="preserve">Tämä ehdotus on olennainen osa heinäkuussa 2021 hyväksyttyä Euroopan komission uudistettua kestävän rahoituksen strategiaa. ESG-luokitukset mahdollistavat erityisesti EU:n kestävän rahoituksen markkinoiden moitteettoman toiminnan, sillä ne tarjoavat kriittisiä tietolähteitä sijoittajien ja rahoituslaitosten sijoitusstrategioita, riskinhallintaa ja julkistamisvelvoitteita varten. Niitä käyttävät myös yritykset, jotka pyrkivät ymmärtämään paremmin omaan tai kumppaneidensa toimintaan liittyviä kestävyysriskejä ja -mahdollisuuksia ja vertaavat näitä muihin vastaaviin yrityksiin. </w:t>
      </w:r>
    </w:p>
    <w:p w14:paraId="7868F5A6"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color w:val="000000"/>
          <w:shd w:val="clear" w:color="auto" w:fill="FFFFFF"/>
        </w:rPr>
      </w:pPr>
      <w:r w:rsidRPr="00A7778D">
        <w:rPr>
          <w:noProof/>
          <w:color w:val="000000"/>
          <w:shd w:val="clear" w:color="auto" w:fill="FFFFFF"/>
        </w:rPr>
        <w:t>Tällä ehdotuksella pyritään helpottamaan sisämarkkinoiden ja pääomamarkkinaunionin tarjoamien mahdollisuuksien hyödyntämistä ja edistämään siirtymistä täysin kestävään ja osallistavaan talous- ja rahoitusjärjestelmään Euroopan vihreän kehityksen ohjelman ja YK:n kestävän kehityksen tavoitteiden mukaisesti.</w:t>
      </w:r>
    </w:p>
    <w:p w14:paraId="6DA4CE53" w14:textId="77777777" w:rsidR="00FA1843" w:rsidRPr="00A7778D" w:rsidRDefault="00FA1843" w:rsidP="00FA1843">
      <w:pPr>
        <w:pStyle w:val="Text1"/>
        <w:pBdr>
          <w:top w:val="single" w:sz="4" w:space="1" w:color="auto"/>
          <w:left w:val="single" w:sz="4" w:space="1" w:color="auto"/>
          <w:bottom w:val="single" w:sz="4" w:space="1" w:color="auto"/>
          <w:right w:val="single" w:sz="4" w:space="1" w:color="auto"/>
        </w:pBdr>
        <w:rPr>
          <w:noProof/>
        </w:rPr>
      </w:pPr>
      <w:r w:rsidRPr="00A7778D">
        <w:rPr>
          <w:noProof/>
        </w:rPr>
        <w:t>ESG-luokitusten nykyisillä markkinoilla on puutteita eivätkä ne toimi asianmukaisesti, koska käyttäjien ja luokiteltujen yhteisöjen ESG-luokituksia koskevia tarpeita ei täytetä ja luottamus luokituksiin heikkenee. Ongelmaan liittyy useita eri ulottuvuuksia, erityisesti i) ESG-luokitusten ominaisuuksien, menetelmien ja tietolähteiden avoimuuden puute ja ii) ESG-luokitusten tarjoajien toiminnan epäselvyys. Sen vuoksi ESG-luokitukset eivät palvele tarkoitustaan eivätkä anna käyttäjille, sijoittajille ja luokitelluille yhteisöille riittävästi mahdollisuuksia tehdä tietoon perustuvia päätöksiä ESG-riskeistä, -vaikutuksista ja -mahdollisuuksista.</w:t>
      </w:r>
    </w:p>
    <w:p w14:paraId="668C2B14" w14:textId="5C220015" w:rsidR="00FA1843" w:rsidRPr="00A7778D" w:rsidRDefault="002A7F8C" w:rsidP="002A7F8C">
      <w:pPr>
        <w:pStyle w:val="ManualHeading3"/>
        <w:rPr>
          <w:bCs/>
          <w:noProof/>
          <w:szCs w:val="24"/>
        </w:rPr>
      </w:pPr>
      <w:bookmarkStart w:id="27" w:name="_Toc514938670"/>
      <w:bookmarkStart w:id="28" w:name="_Toc520485429"/>
      <w:r w:rsidRPr="00A7778D">
        <w:rPr>
          <w:noProof/>
        </w:rPr>
        <w:t>1.5.2.</w:t>
      </w:r>
      <w:r w:rsidRPr="00A7778D">
        <w:rPr>
          <w:noProof/>
        </w:rPr>
        <w:tab/>
        <w:t>EU:n osallistumisesta saatava lisäarvo (joka voi olla seurausta eri tekijöistä, kuten koordinoinnin paranemisesta, oikeusvarmuudesta tai toiminnan vaikuttavuuden tai täydentävyyden paranemisesta). EU:n osallistumisesta saatavalla lisäarvolla tarkoitetaan tässä kohdassa arvoa, jonka EU:n osallistuminen tuottaa sen arvon lisäksi, joka olisi saatu aikaan pelkillä jäsenvaltioiden toimilla.</w:t>
      </w:r>
      <w:bookmarkEnd w:id="27"/>
      <w:bookmarkEnd w:id="28"/>
    </w:p>
    <w:p w14:paraId="2A5D91E2"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rFonts w:cstheme="minorHAnsi"/>
          <w:noProof/>
          <w:color w:val="000000"/>
        </w:rPr>
      </w:pPr>
      <w:r w:rsidRPr="00A7778D">
        <w:rPr>
          <w:noProof/>
          <w:color w:val="000000"/>
        </w:rPr>
        <w:t>ESG-luokitusten tarjoajiin ei tällä hetkellä sovelleta mitään EU:n sääntelykehystä. Jäsenvaltiot eivät sääntele ESG-luokitusten tarjoajien toimintaa eivätkä edellytyksiä, joiden mukaisesti ne tarjoavat tuotteita ja palveluita.</w:t>
      </w:r>
    </w:p>
    <w:p w14:paraId="62B248FE"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color w:val="000000"/>
          <w:bdr w:val="none" w:sz="0" w:space="0" w:color="auto" w:frame="1"/>
          <w:shd w:val="clear" w:color="auto" w:fill="FFFFFF"/>
        </w:rPr>
      </w:pPr>
      <w:r w:rsidRPr="00A7778D">
        <w:rPr>
          <w:noProof/>
          <w:color w:val="000000"/>
        </w:rPr>
        <w:t xml:space="preserve">Jäsenvaltiot eivät voi riittävällä tavalla saavuttaa tämän aloitteen tavoitetta eli selkeyttää ESG-luokitusten ominaisuuksia ja ESG-luokitusten tarjoajien toimintaa. EU:n tason toimet ovat tarpeen EU:n pääomamarkkinoiden moitteettoman toiminnan varmistamiseksi sekä </w:t>
      </w:r>
      <w:r w:rsidRPr="00A7778D">
        <w:rPr>
          <w:noProof/>
          <w:color w:val="000000"/>
          <w:bdr w:val="none" w:sz="0" w:space="0" w:color="auto" w:frame="1"/>
          <w:shd w:val="clear" w:color="auto" w:fill="FFFFFF"/>
        </w:rPr>
        <w:t>edistämään siirtymistä täysin kestävään ja osallistavaan talous- ja rahoitusjärjestelmään Euroopan vihreän kehityksen ohjelman ja YK:n kestävän kehityksen tavoitteiden mukaisesti.</w:t>
      </w:r>
    </w:p>
    <w:p w14:paraId="6CA71375"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color w:val="000000"/>
          <w:bdr w:val="none" w:sz="0" w:space="0" w:color="auto" w:frame="1"/>
          <w:shd w:val="clear" w:color="auto" w:fill="FFFFFF"/>
        </w:rPr>
      </w:pPr>
      <w:r w:rsidRPr="00A7778D">
        <w:rPr>
          <w:noProof/>
          <w:color w:val="000000"/>
        </w:rPr>
        <w:t>Koska kestävään sijoittamiseen ja ESG-luokituksiin kiinnitetään yhä enemmän huomiota eri lainkäyttöalueilla ympäri maailmaa, on tärkeää, että EU tekee yhteistyötä kumppaneidensa kanssa johdonmukaisen ja kattavan yhdenmukaistetun lähestymistavan pohjalta</w:t>
      </w:r>
      <w:r w:rsidRPr="00A7778D">
        <w:rPr>
          <w:noProof/>
          <w:color w:val="000000"/>
          <w:bdr w:val="none" w:sz="0" w:space="0" w:color="auto" w:frame="1"/>
          <w:shd w:val="clear" w:color="auto" w:fill="FFFFFF"/>
        </w:rPr>
        <w:t>.</w:t>
      </w:r>
    </w:p>
    <w:p w14:paraId="60A271E1"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Vaikka jäsenvaltiot voisivat yksin toteuttaa toimia ESG-luokitusten luotettavuuden ja vertailtavuuden parantamiseksi, tällaiset toimenpiteet ovat todennäköisesti hyvin erilaisia eri jäsenvaltioissa, mikä voisi aiheuttaa eroja avoimuuden tasoissa, esteitä markkinatoimijoiden kannalta ja haasteita yli rajojen toimiville tahoille (kuten tapahtuu erityisesti näillä markkinoilla, joilla on käyttäjiä useissa jäsenvaltioissa), sekä rajoittaa luokitusten vertailtavuutta. Tämä aiheuttaisi ongelmia ja sekaannusta sekä luokitelluille yrityksille että luokitusten käyttäjille ja voisi viime kädessä johtaa sijoittajien epätasaiseen suojaan eri jäsenvaltioissa.</w:t>
      </w:r>
    </w:p>
    <w:p w14:paraId="52F7A0AD" w14:textId="38E24947" w:rsidR="00FA1843" w:rsidRPr="00A7778D" w:rsidRDefault="002A7F8C" w:rsidP="002A7F8C">
      <w:pPr>
        <w:pStyle w:val="ManualHeading3"/>
        <w:rPr>
          <w:noProof/>
        </w:rPr>
      </w:pPr>
      <w:bookmarkStart w:id="29" w:name="_Toc514938671"/>
      <w:bookmarkStart w:id="30" w:name="_Toc520485430"/>
      <w:r w:rsidRPr="00A7778D">
        <w:rPr>
          <w:noProof/>
        </w:rPr>
        <w:t>1.5.3.</w:t>
      </w:r>
      <w:r w:rsidRPr="00A7778D">
        <w:rPr>
          <w:noProof/>
        </w:rPr>
        <w:tab/>
        <w:t>Vastaavista toimista saadut kokemukset</w:t>
      </w:r>
      <w:bookmarkEnd w:id="29"/>
      <w:bookmarkEnd w:id="30"/>
    </w:p>
    <w:p w14:paraId="00DBE1D2"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 xml:space="preserve">Kun otetaan huomioon luottoluokituslaitosten valvonnasta saadut kokemukset ja se, että ESG-luokitukset eivät tällä hetkellä ole yhtä tärkeitä järjestelmän kannalta kuin luottoluokitukset, ne edellyttävät alhaisempaa valvontaintensiteettiä kuin mitä arvopaperimarkkinaviranomainen tällä hetkellä käyttää luottoluokituslaitoksiin.  Sen vuoksi kokoaikavastaavien määrä on luottoluokituslaitoksille aiheutuviin valvontakustannuksiin verrattuna vähentynyt yli 50 prosenttia kun oletetaan, että ESG-luokituksen tarjoajat tarvitsevat alhaisempaa valvontaintensiteettiä kuin arvopaperimarkkinaviranomainen tällä hetkellä käyttää luottoluokituslaitoksiin. </w:t>
      </w:r>
    </w:p>
    <w:p w14:paraId="0E72E805"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ESG-luokitusten merkitys taloudellisessa ekosysteemissä ja niiden käyttö sääntelytarkoituksiin kasvaa kuitenkin lähitulevaisuudessa, joten myös valvontatehtävien voimakkuus kasvaa.</w:t>
      </w:r>
    </w:p>
    <w:p w14:paraId="693BBA2B"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 xml:space="preserve">Arvopaperimarkkinaviranomainen on tällä hetkellä rekisteröinyt tai sertifioinut 29 luottoluokituslaitosta, mutta ESG-luokitusten tarjoajia toimii EU:ssa 59. </w:t>
      </w:r>
    </w:p>
    <w:p w14:paraId="3361EB5C"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Luottoluokituslaitosten rekisteröinnistä saatujen kokemusten perusteella arvioidaan tällä hetkellä, että yhden yhteisön rekisteröinti vaatii 0,5 kokoaikavastaavaa työntekijää kuuden kuukauden ajan yhteisön koosta riippumatta. Kokemus on myös osoittanut, että on epätodennäköistä, että yhteisön rekisteröinti saataisiin päätökseen nopeammin kuin kuudessa kuukaudessa.</w:t>
      </w:r>
    </w:p>
    <w:p w14:paraId="4E8F0196"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Uusien markkinoiden sääntelystä ja uusista palveluntarjoajista (kuten luottoluokituslaitoksista tai vertailuarvojen hallinnoijista) saadut kokemukset osoittavat, että ensimmäisinä vuosina tärkein työ on luvan myöntäminen olemassa oleville yhteisöille ja niiden rekisteröiminen. Rekisteröinnin ja toimilupien myöntämisen lisäksi tarvitaan kuitenkin henkilöstöä edellisinä vuosina luvan saaneiden ja rekisteröityjen laitosten valvontaan.</w:t>
      </w:r>
    </w:p>
    <w:p w14:paraId="5F3CB72D"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 xml:space="preserve">Vertailun vuoksi voidaan todeta, että arvopaperimarkkinaviranomaisella on 37 väliaikaista toimihenkilöä ja 14 sopimussuhteista toimihenkilöä (yhteensä 51), jotka on osoitettu luottoluokituslaitosten osatoimialaan vuodeksi 2023. Tähän sisältyvät ydinhenkilöstö ja keskitetyt palvelut.  Arvopaperimarkkinaviranomaisen tehtäväksi annettiin luottoluokituslaitosten suora valvonta vuonna 2011. Viimeisten 12 vuoden aikana saadut kokemukset osoittavat, että yhteisöjen suora valvonta edellyttää kokenutta työvoimaa, ja luottoluokituslaitosten valvonnan osalta väliaikaisten toimihenkilöiden määrä on paljon suurempi kuin sopimussuhteisten toimihenkilöiden määrä.  </w:t>
      </w:r>
    </w:p>
    <w:p w14:paraId="374C1177"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p>
    <w:p w14:paraId="7C46CD15"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p>
    <w:p w14:paraId="43368A14" w14:textId="5D30EC33" w:rsidR="00FA1843" w:rsidRPr="00A7778D" w:rsidRDefault="002A7F8C" w:rsidP="002A7F8C">
      <w:pPr>
        <w:pStyle w:val="ManualHeading3"/>
        <w:rPr>
          <w:noProof/>
        </w:rPr>
      </w:pPr>
      <w:bookmarkStart w:id="31" w:name="_Toc514938672"/>
      <w:bookmarkStart w:id="32" w:name="_Toc520485431"/>
      <w:r w:rsidRPr="00A7778D">
        <w:rPr>
          <w:noProof/>
        </w:rPr>
        <w:t>1.5.4.</w:t>
      </w:r>
      <w:r w:rsidRPr="00A7778D">
        <w:rPr>
          <w:noProof/>
        </w:rPr>
        <w:tab/>
        <w:t>Yhteensopivuus monivuotisen rahoituskehyksen kanssa ja mahdolliset synergiaedut suhteessa muihin kyseeseen tuleviin välineisiin</w:t>
      </w:r>
      <w:bookmarkEnd w:id="31"/>
      <w:bookmarkEnd w:id="32"/>
    </w:p>
    <w:p w14:paraId="1E5BE707"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color w:val="000000"/>
          <w:bdr w:val="none" w:sz="0" w:space="0" w:color="auto" w:frame="1"/>
          <w:shd w:val="clear" w:color="auto" w:fill="FFFFFF"/>
        </w:rPr>
      </w:pPr>
      <w:r w:rsidRPr="00A7778D">
        <w:rPr>
          <w:noProof/>
          <w:color w:val="000000"/>
          <w:bdr w:val="none" w:sz="0" w:space="0" w:color="auto" w:frame="1"/>
          <w:shd w:val="clear" w:color="auto" w:fill="FFFFFF"/>
        </w:rPr>
        <w:t>Komissio on yhtä lailla sitoutunut toteuttamaan EU:n talouden vihreän siirtymän, kuten joulukuussa 2019 annetussa Euroopan vihreän kehityksen ohjelmaa koskevassa tiedonannossa ja kestävään talouteen siirtymisen rahoitusstrategiassa esitetään.</w:t>
      </w:r>
    </w:p>
    <w:p w14:paraId="46BAAF24"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color w:val="000000"/>
          <w:bdr w:val="none" w:sz="0" w:space="0" w:color="auto" w:frame="1"/>
          <w:shd w:val="clear" w:color="auto" w:fill="FFFFFF"/>
        </w:rPr>
      </w:pPr>
      <w:r w:rsidRPr="00A7778D">
        <w:rPr>
          <w:noProof/>
          <w:color w:val="000000"/>
          <w:bdr w:val="none" w:sz="0" w:space="0" w:color="auto" w:frame="1"/>
          <w:shd w:val="clear" w:color="auto" w:fill="FFFFFF"/>
        </w:rPr>
        <w:t>ESG-luokitusta koskeva ehdotus edistää tätä toimintaohjelmaa, sillä se parantaa merkittävien finanssimarkkinoiden toimijoiden toiminnan avoimuutta, mikä auttaa myös kanavoimaan yksityisiä investointeja kestäviin hankkeisiin ja toimintoihin.</w:t>
      </w:r>
    </w:p>
    <w:p w14:paraId="02DDC961"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color w:val="000000"/>
          <w:shd w:val="clear" w:color="auto" w:fill="FFFFFF"/>
        </w:rPr>
        <w:t>Tämä lainsäädäntöehdotus on täysin monivuotisen rahoituskehyksen mukainen.</w:t>
      </w:r>
    </w:p>
    <w:p w14:paraId="118344CA" w14:textId="35B0DD92" w:rsidR="00FA1843" w:rsidRPr="00A7778D" w:rsidRDefault="002A7F8C" w:rsidP="002A7F8C">
      <w:pPr>
        <w:pStyle w:val="ManualHeading3"/>
        <w:rPr>
          <w:noProof/>
        </w:rPr>
      </w:pPr>
      <w:bookmarkStart w:id="33" w:name="_Toc514938673"/>
      <w:bookmarkStart w:id="34" w:name="_Toc520485432"/>
      <w:r w:rsidRPr="00A7778D">
        <w:rPr>
          <w:noProof/>
        </w:rPr>
        <w:t>1.5.5.</w:t>
      </w:r>
      <w:r w:rsidRPr="00A7778D">
        <w:rPr>
          <w:noProof/>
        </w:rPr>
        <w:tab/>
        <w:t>Arvio käytettävissä olevista rahoitusvaihtoehdoista, mukaan lukien mahdollisuudet määrärahojen uudelleenkohdentamiseen</w:t>
      </w:r>
      <w:bookmarkEnd w:id="33"/>
      <w:bookmarkEnd w:id="34"/>
    </w:p>
    <w:p w14:paraId="73F2B5D9" w14:textId="6D2229D4" w:rsidR="00FA1843" w:rsidRPr="00A7778D" w:rsidRDefault="00FA1843" w:rsidP="00FA1843">
      <w:pPr>
        <w:pBdr>
          <w:top w:val="single" w:sz="4" w:space="1" w:color="auto"/>
          <w:left w:val="single" w:sz="4" w:space="4" w:color="auto"/>
          <w:bottom w:val="single" w:sz="4" w:space="1" w:color="auto"/>
          <w:right w:val="single" w:sz="4" w:space="4" w:color="auto"/>
        </w:pBdr>
        <w:ind w:left="850"/>
        <w:rPr>
          <w:noProof/>
        </w:rPr>
      </w:pPr>
      <w:r w:rsidRPr="00A7778D">
        <w:rPr>
          <w:noProof/>
        </w:rPr>
        <w:t>Arvopaperimarkkinaviranomaisen tehtäväksi annettaisiin toimilupien myöntäminen ja alan jatkuva valvonta, mikä edellyttäisi lisäresursseja. Kustannusten vuotuisen kokonaiskasvun arvioidaan olevan noin 3,7–3,8 miljoonaa euroa. Näitä kustannuksia ei kateta EU:n talousarviosta, koska ehdotus antaa arvopaperimarkkinaviranomaiselle mahdollisuuden periä ESG-luokitusten tarjoajilta toimilupa- ja valvontamaksuja</w:t>
      </w:r>
      <w:r w:rsidRPr="00A7778D">
        <w:rPr>
          <w:rStyle w:val="FootnoteReference0"/>
          <w:noProof/>
        </w:rPr>
        <w:footnoteReference w:id="59"/>
      </w:r>
      <w:r w:rsidRPr="00A7778D">
        <w:rPr>
          <w:noProof/>
        </w:rPr>
        <w:t xml:space="preserve"> kaikkien valvontakustannusten kattamiseksi. Samanlaista käytäntöä sovelletaan muilla aloilla, joilla arvopaperimarkkinaviranomainen vastaa tiettyjen yhteisöjen (esimerkiksi luottoluokituslaitosten) valvonnasta.</w:t>
      </w:r>
    </w:p>
    <w:p w14:paraId="41374D14" w14:textId="0FA12FBB" w:rsidR="00FA1843" w:rsidRPr="00A7778D" w:rsidRDefault="00FA1843" w:rsidP="002A7F8C">
      <w:pPr>
        <w:pStyle w:val="ManualHeading2"/>
        <w:rPr>
          <w:bCs/>
          <w:noProof/>
          <w:szCs w:val="24"/>
        </w:rPr>
      </w:pPr>
      <w:r w:rsidRPr="00A7778D">
        <w:rPr>
          <w:noProof/>
        </w:rPr>
        <w:br w:type="page"/>
      </w:r>
      <w:bookmarkStart w:id="35" w:name="_Toc514938674"/>
      <w:bookmarkStart w:id="36" w:name="_Toc520485433"/>
      <w:r w:rsidRPr="00A7778D">
        <w:rPr>
          <w:noProof/>
        </w:rPr>
        <w:t>1.6.</w:t>
      </w:r>
      <w:r w:rsidRPr="00A7778D">
        <w:rPr>
          <w:noProof/>
        </w:rPr>
        <w:tab/>
        <w:t>Ehdotetun toimen/aloitteen kesto ja rahoitusvaikutukset</w:t>
      </w:r>
      <w:bookmarkEnd w:id="35"/>
      <w:bookmarkEnd w:id="36"/>
    </w:p>
    <w:p w14:paraId="0194CCDD" w14:textId="77777777" w:rsidR="00FA1843" w:rsidRPr="00A7778D" w:rsidRDefault="00FA1843" w:rsidP="00FA1843">
      <w:pPr>
        <w:pStyle w:val="Text1"/>
        <w:rPr>
          <w:noProof/>
        </w:rPr>
      </w:pPr>
      <w:r w:rsidRPr="00A7778D">
        <w:rPr>
          <w:noProof/>
        </w:rPr>
        <w:sym w:font="Wingdings" w:char="F0A8"/>
      </w:r>
      <w:r w:rsidRPr="00A7778D">
        <w:rPr>
          <w:b/>
          <w:i/>
          <w:noProof/>
        </w:rPr>
        <w:t xml:space="preserve"> </w:t>
      </w:r>
      <w:r w:rsidRPr="00A7778D">
        <w:rPr>
          <w:b/>
          <w:noProof/>
        </w:rPr>
        <w:t xml:space="preserve">kesto on rajattu </w:t>
      </w:r>
    </w:p>
    <w:p w14:paraId="4483F089" w14:textId="77777777" w:rsidR="00FA1843" w:rsidRPr="00A7778D" w:rsidRDefault="00FA1843" w:rsidP="00580A58">
      <w:pPr>
        <w:pStyle w:val="ListDash2"/>
        <w:numPr>
          <w:ilvl w:val="0"/>
          <w:numId w:val="22"/>
        </w:numPr>
        <w:rPr>
          <w:noProof/>
        </w:rPr>
      </w:pPr>
      <w:r w:rsidRPr="00A7778D">
        <w:rPr>
          <w:noProof/>
        </w:rPr>
        <w:sym w:font="Wingdings" w:char="F0A8"/>
      </w:r>
      <w:r w:rsidRPr="00A7778D">
        <w:rPr>
          <w:noProof/>
        </w:rPr>
        <w:tab/>
        <w:t xml:space="preserve">toiminta alkaa [PP/KK]VVVV ja päättyy [PP/KK]VVVV. </w:t>
      </w:r>
    </w:p>
    <w:p w14:paraId="14AF7EBB" w14:textId="77777777" w:rsidR="00FA1843" w:rsidRPr="00A7778D" w:rsidRDefault="00FA1843" w:rsidP="00580A58">
      <w:pPr>
        <w:pStyle w:val="ListDash2"/>
        <w:numPr>
          <w:ilvl w:val="0"/>
          <w:numId w:val="22"/>
        </w:numPr>
        <w:rPr>
          <w:noProof/>
        </w:rPr>
      </w:pPr>
      <w:r w:rsidRPr="00A7778D">
        <w:rPr>
          <w:noProof/>
        </w:rPr>
        <w:sym w:font="Wingdings" w:char="F0A8"/>
      </w:r>
      <w:r w:rsidRPr="00A7778D">
        <w:rPr>
          <w:noProof/>
        </w:rPr>
        <w:tab/>
        <w:t>rahoitusvaikutukset koskevat vuosia VVVV–VVVV.</w:t>
      </w:r>
    </w:p>
    <w:p w14:paraId="2B9D8B66" w14:textId="77777777" w:rsidR="00FA1843" w:rsidRPr="00A7778D" w:rsidRDefault="00FA1843" w:rsidP="00FA1843">
      <w:pPr>
        <w:pStyle w:val="Text1"/>
        <w:rPr>
          <w:noProof/>
        </w:rPr>
      </w:pPr>
      <w:r w:rsidRPr="00A7778D">
        <w:rPr>
          <w:noProof/>
        </w:rPr>
        <w:sym w:font="Wingdings" w:char="F0FE"/>
      </w:r>
      <w:r w:rsidRPr="00A7778D">
        <w:rPr>
          <w:b/>
          <w:i/>
          <w:noProof/>
        </w:rPr>
        <w:t xml:space="preserve"> </w:t>
      </w:r>
      <w:r w:rsidRPr="00A7778D">
        <w:rPr>
          <w:b/>
          <w:noProof/>
        </w:rPr>
        <w:t>kestoa ei ole rajattu</w:t>
      </w:r>
    </w:p>
    <w:p w14:paraId="55F99C20" w14:textId="77777777" w:rsidR="00FA1843" w:rsidRPr="00A7778D" w:rsidRDefault="00FA1843" w:rsidP="00580A58">
      <w:pPr>
        <w:pStyle w:val="ListDash1"/>
        <w:numPr>
          <w:ilvl w:val="0"/>
          <w:numId w:val="21"/>
        </w:numPr>
        <w:rPr>
          <w:noProof/>
        </w:rPr>
      </w:pPr>
      <w:r w:rsidRPr="00A7778D">
        <w:rPr>
          <w:noProof/>
        </w:rPr>
        <w:t>Käynnistysvaihe alkaa vuonna 2022 ja päättyy vuonna 2024,</w:t>
      </w:r>
    </w:p>
    <w:p w14:paraId="63E749D2" w14:textId="77777777" w:rsidR="00FA1843" w:rsidRPr="00A7778D" w:rsidRDefault="00FA1843" w:rsidP="00580A58">
      <w:pPr>
        <w:pStyle w:val="ListDash1"/>
        <w:numPr>
          <w:ilvl w:val="0"/>
          <w:numId w:val="21"/>
        </w:numPr>
        <w:rPr>
          <w:noProof/>
        </w:rPr>
      </w:pPr>
      <w:r w:rsidRPr="00A7778D">
        <w:rPr>
          <w:noProof/>
        </w:rPr>
        <w:t>minkä jälkeen toteutus täydessä laajuudessa.</w:t>
      </w:r>
    </w:p>
    <w:p w14:paraId="3B07E118" w14:textId="22FE44C6" w:rsidR="00FA1843" w:rsidRPr="00A7778D" w:rsidRDefault="002A7F8C" w:rsidP="002A7F8C">
      <w:pPr>
        <w:pStyle w:val="ManualHeading2"/>
        <w:rPr>
          <w:bCs/>
          <w:noProof/>
          <w:szCs w:val="24"/>
        </w:rPr>
      </w:pPr>
      <w:bookmarkStart w:id="37" w:name="_Toc514938675"/>
      <w:bookmarkStart w:id="38" w:name="_Toc520485434"/>
      <w:r w:rsidRPr="00A7778D">
        <w:rPr>
          <w:noProof/>
        </w:rPr>
        <w:t>1.7.</w:t>
      </w:r>
      <w:r w:rsidRPr="00A7778D">
        <w:rPr>
          <w:noProof/>
        </w:rPr>
        <w:tab/>
        <w:t>Suunniteltu talousarvion toteuttamistapa / Suunnitellut talousarvion toteuttamistavat</w:t>
      </w:r>
      <w:r w:rsidRPr="00A7778D">
        <w:rPr>
          <w:rStyle w:val="FootnoteReference0"/>
          <w:noProof/>
        </w:rPr>
        <w:footnoteReference w:id="60"/>
      </w:r>
      <w:r w:rsidRPr="00A7778D">
        <w:rPr>
          <w:rStyle w:val="FootnoteReference0"/>
          <w:noProof/>
        </w:rPr>
        <w:t xml:space="preserve"> </w:t>
      </w:r>
      <w:bookmarkEnd w:id="37"/>
      <w:bookmarkEnd w:id="38"/>
      <w:r w:rsidRPr="00A7778D">
        <w:rPr>
          <w:rStyle w:val="FootnoteReference0"/>
          <w:noProof/>
        </w:rPr>
        <w:t xml:space="preserve"> </w:t>
      </w:r>
    </w:p>
    <w:p w14:paraId="38532D76" w14:textId="77777777" w:rsidR="00FA1843" w:rsidRPr="00A7778D" w:rsidRDefault="00FA1843" w:rsidP="00FA1843">
      <w:pPr>
        <w:pStyle w:val="Text1"/>
        <w:rPr>
          <w:noProof/>
        </w:rPr>
      </w:pPr>
      <w:r w:rsidRPr="00A7778D">
        <w:rPr>
          <w:noProof/>
        </w:rPr>
        <w:sym w:font="Wingdings" w:char="F0A8"/>
      </w:r>
      <w:r w:rsidRPr="00A7778D">
        <w:rPr>
          <w:i/>
          <w:noProof/>
        </w:rPr>
        <w:t xml:space="preserve"> </w:t>
      </w:r>
      <w:r w:rsidRPr="00A7778D">
        <w:rPr>
          <w:b/>
          <w:bCs/>
          <w:noProof/>
        </w:rPr>
        <w:t>Suora hallinnointi</w:t>
      </w:r>
      <w:r w:rsidRPr="00A7778D">
        <w:rPr>
          <w:noProof/>
        </w:rPr>
        <w:t>, jonka komissio toteuttaa käyttämällä</w:t>
      </w:r>
    </w:p>
    <w:p w14:paraId="6A03D63D" w14:textId="77777777" w:rsidR="00FA1843" w:rsidRPr="00A7778D" w:rsidRDefault="00FA1843" w:rsidP="00580A58">
      <w:pPr>
        <w:pStyle w:val="ListDash2"/>
        <w:numPr>
          <w:ilvl w:val="0"/>
          <w:numId w:val="22"/>
        </w:numPr>
        <w:rPr>
          <w:noProof/>
        </w:rPr>
      </w:pPr>
      <w:r w:rsidRPr="00A7778D">
        <w:rPr>
          <w:noProof/>
        </w:rPr>
        <w:sym w:font="Wingdings" w:char="F0A8"/>
      </w:r>
      <w:r w:rsidRPr="00A7778D">
        <w:rPr>
          <w:noProof/>
        </w:rPr>
        <w:tab/>
        <w:t xml:space="preserve">toimeenpanovirastoja </w:t>
      </w:r>
    </w:p>
    <w:p w14:paraId="303EE237" w14:textId="77777777" w:rsidR="00FA1843" w:rsidRPr="00A7778D" w:rsidRDefault="00FA1843" w:rsidP="00FA1843">
      <w:pPr>
        <w:pStyle w:val="Text1"/>
        <w:rPr>
          <w:noProof/>
        </w:rPr>
      </w:pPr>
      <w:r w:rsidRPr="00A7778D">
        <w:rPr>
          <w:noProof/>
        </w:rPr>
        <w:sym w:font="Wingdings" w:char="F0A8"/>
      </w:r>
      <w:r w:rsidRPr="00A7778D">
        <w:rPr>
          <w:b/>
          <w:i/>
          <w:noProof/>
        </w:rPr>
        <w:t xml:space="preserve"> </w:t>
      </w:r>
      <w:r w:rsidRPr="00A7778D">
        <w:rPr>
          <w:b/>
          <w:noProof/>
        </w:rPr>
        <w:t>Hallinnointi yhteistyössä</w:t>
      </w:r>
      <w:r w:rsidRPr="00A7778D">
        <w:rPr>
          <w:noProof/>
        </w:rPr>
        <w:t xml:space="preserve"> jäsenvaltioiden kanssa </w:t>
      </w:r>
    </w:p>
    <w:p w14:paraId="77791BB6" w14:textId="77777777" w:rsidR="00FA1843" w:rsidRPr="00A7778D" w:rsidRDefault="00FA1843" w:rsidP="00FA1843">
      <w:pPr>
        <w:pStyle w:val="Text1"/>
        <w:rPr>
          <w:noProof/>
        </w:rPr>
      </w:pPr>
      <w:r w:rsidRPr="00A7778D">
        <w:rPr>
          <w:noProof/>
        </w:rPr>
        <w:sym w:font="Wingdings" w:char="F0FE"/>
      </w:r>
      <w:r w:rsidRPr="00A7778D">
        <w:rPr>
          <w:i/>
          <w:noProof/>
        </w:rPr>
        <w:t xml:space="preserve"> </w:t>
      </w:r>
      <w:r w:rsidRPr="00A7778D">
        <w:rPr>
          <w:b/>
          <w:noProof/>
        </w:rPr>
        <w:t>Välillinen hallinnointi</w:t>
      </w:r>
      <w:r w:rsidRPr="00A7778D">
        <w:rPr>
          <w:noProof/>
        </w:rPr>
        <w:t>, jossa täytäntöönpanotehtäviä on siirretty</w:t>
      </w:r>
    </w:p>
    <w:p w14:paraId="7C291D1C" w14:textId="77777777" w:rsidR="00FA1843" w:rsidRPr="00A7778D" w:rsidRDefault="00FA1843" w:rsidP="00FA1843">
      <w:pPr>
        <w:pStyle w:val="Text1"/>
        <w:rPr>
          <w:noProof/>
        </w:rPr>
      </w:pPr>
      <w:r w:rsidRPr="00A7778D">
        <w:rPr>
          <w:noProof/>
        </w:rPr>
        <w:sym w:font="Wingdings" w:char="F0A8"/>
      </w:r>
      <w:r w:rsidRPr="00A7778D">
        <w:rPr>
          <w:noProof/>
        </w:rPr>
        <w:t xml:space="preserve"> kansainvälisille järjestöille ja niiden erityisjärjestöille (tarkennettava)</w:t>
      </w:r>
    </w:p>
    <w:p w14:paraId="504EAF16" w14:textId="77777777" w:rsidR="00FA1843" w:rsidRPr="00A7778D" w:rsidRDefault="00FA1843" w:rsidP="00FA1843">
      <w:pPr>
        <w:pStyle w:val="Text1"/>
        <w:rPr>
          <w:noProof/>
        </w:rPr>
      </w:pPr>
      <w:r w:rsidRPr="00A7778D">
        <w:rPr>
          <w:noProof/>
        </w:rPr>
        <w:sym w:font="Wingdings" w:char="F0A8"/>
      </w:r>
      <w:r w:rsidRPr="00A7778D">
        <w:rPr>
          <w:noProof/>
        </w:rPr>
        <w:t xml:space="preserve"> Euroopan investointipankille tai Euroopan investointirahastolle</w:t>
      </w:r>
    </w:p>
    <w:p w14:paraId="759FB8D4" w14:textId="77777777" w:rsidR="00FA1843" w:rsidRPr="00A7778D" w:rsidRDefault="00FA1843" w:rsidP="00FA1843">
      <w:pPr>
        <w:pStyle w:val="Text1"/>
        <w:rPr>
          <w:noProof/>
        </w:rPr>
      </w:pPr>
      <w:r w:rsidRPr="00A7778D">
        <w:rPr>
          <w:noProof/>
        </w:rPr>
        <w:sym w:font="Wingdings" w:char="F0FE"/>
      </w:r>
      <w:r w:rsidRPr="00A7778D">
        <w:rPr>
          <w:noProof/>
        </w:rPr>
        <w:t xml:space="preserve"> varainhoitoasetuksen 70 ja 71 artiklassa tarkoitetuille elimille;</w:t>
      </w:r>
    </w:p>
    <w:p w14:paraId="0B82950E" w14:textId="77777777" w:rsidR="00FA1843" w:rsidRPr="00A7778D" w:rsidRDefault="00FA1843" w:rsidP="00FA1843">
      <w:pPr>
        <w:pStyle w:val="Text1"/>
        <w:rPr>
          <w:noProof/>
        </w:rPr>
      </w:pPr>
      <w:r w:rsidRPr="00A7778D">
        <w:rPr>
          <w:noProof/>
        </w:rPr>
        <w:sym w:font="Wingdings" w:char="F0A8"/>
      </w:r>
      <w:r w:rsidRPr="00A7778D">
        <w:rPr>
          <w:noProof/>
        </w:rPr>
        <w:t xml:space="preserve"> julkisoikeudellisille yhteisöille</w:t>
      </w:r>
    </w:p>
    <w:p w14:paraId="2B9CED43" w14:textId="77777777" w:rsidR="00FA1843" w:rsidRPr="00A7778D" w:rsidRDefault="00FA1843" w:rsidP="00FA1843">
      <w:pPr>
        <w:pStyle w:val="Text1"/>
        <w:rPr>
          <w:noProof/>
        </w:rPr>
      </w:pPr>
      <w:r w:rsidRPr="00A7778D">
        <w:rPr>
          <w:noProof/>
        </w:rPr>
        <w:sym w:font="Wingdings" w:char="F0A8"/>
      </w:r>
      <w:r w:rsidRPr="00A7778D">
        <w:rPr>
          <w:noProof/>
        </w:rPr>
        <w:t xml:space="preserve"> sellaisille julkisen palvelun tehtäviä hoitaville yksityisoikeudellisille elimille, jotka antavat riittävät rahoitustakuut</w:t>
      </w:r>
    </w:p>
    <w:p w14:paraId="3E46FF81" w14:textId="77777777" w:rsidR="00FA1843" w:rsidRPr="00A7778D" w:rsidRDefault="00FA1843" w:rsidP="00FA1843">
      <w:pPr>
        <w:pStyle w:val="Text1"/>
        <w:rPr>
          <w:noProof/>
        </w:rPr>
      </w:pPr>
      <w:r w:rsidRPr="00A7778D">
        <w:rPr>
          <w:noProof/>
        </w:rPr>
        <w:sym w:font="Wingdings" w:char="F0A8"/>
      </w:r>
      <w:r w:rsidRPr="00A7778D">
        <w:rPr>
          <w:noProof/>
        </w:rPr>
        <w:t xml:space="preserve"> sellaisille jäsenvaltion yksityisoikeuden mukaisille elimille, joille on annettu tehtäväksi julkisen ja yksityisen sektorin kumppanuuden täytäntöönpano ja jotka antavat riittävät rahoitustakuut;</w:t>
      </w:r>
    </w:p>
    <w:p w14:paraId="44C4BB60" w14:textId="77777777" w:rsidR="00FA1843" w:rsidRPr="00A7778D" w:rsidRDefault="00FA1843" w:rsidP="00FA1843">
      <w:pPr>
        <w:pStyle w:val="Text1"/>
        <w:rPr>
          <w:noProof/>
        </w:rPr>
      </w:pPr>
      <w:r w:rsidRPr="00A7778D">
        <w:rPr>
          <w:noProof/>
        </w:rPr>
        <w:sym w:font="Wingdings" w:char="F0A8"/>
      </w:r>
      <w:r w:rsidRPr="00A7778D">
        <w:rPr>
          <w:noProof/>
        </w:rPr>
        <w:t xml:space="preserve"> henkilöille, joille on annettu tehtäväksi toteuttaa SEU-sopimuksen V osaston mukaisia yhteisen ulko- ja turvallisuuspolitiikan erityistoimia ja jotka nimetään asiaa koskevassa perussäädöksessä.</w:t>
      </w:r>
    </w:p>
    <w:p w14:paraId="4A551E9A" w14:textId="77777777" w:rsidR="00FA1843" w:rsidRPr="00A7778D" w:rsidRDefault="00FA1843" w:rsidP="00FA1843">
      <w:pPr>
        <w:rPr>
          <w:noProof/>
        </w:rPr>
      </w:pPr>
      <w:r w:rsidRPr="00A7778D">
        <w:rPr>
          <w:noProof/>
        </w:rPr>
        <w:t>Huomautukset</w:t>
      </w:r>
    </w:p>
    <w:p w14:paraId="3E83D3C9" w14:textId="7F2B7119" w:rsidR="00FA1843" w:rsidRPr="00A7778D" w:rsidRDefault="008C33A3" w:rsidP="00FA1843">
      <w:pPr>
        <w:pBdr>
          <w:top w:val="single" w:sz="4" w:space="1" w:color="auto"/>
          <w:left w:val="single" w:sz="4" w:space="4" w:color="auto"/>
          <w:bottom w:val="single" w:sz="4" w:space="1" w:color="auto"/>
          <w:right w:val="single" w:sz="4" w:space="4" w:color="auto"/>
        </w:pBdr>
        <w:rPr>
          <w:noProof/>
        </w:rPr>
      </w:pPr>
      <w:r w:rsidRPr="00A7778D">
        <w:rPr>
          <w:noProof/>
        </w:rPr>
        <w:t>Ei sovelleta</w:t>
      </w:r>
    </w:p>
    <w:p w14:paraId="626097B1" w14:textId="77777777" w:rsidR="00FA1843" w:rsidRPr="00A7778D" w:rsidRDefault="00FA1843" w:rsidP="00FA1843">
      <w:pPr>
        <w:rPr>
          <w:noProof/>
        </w:rPr>
      </w:pPr>
      <w:r w:rsidRPr="00A7778D">
        <w:rPr>
          <w:noProof/>
        </w:rPr>
        <w:t xml:space="preserve"> </w:t>
      </w:r>
    </w:p>
    <w:p w14:paraId="2EA83AB1" w14:textId="77777777" w:rsidR="00FA1843" w:rsidRPr="00A7778D" w:rsidRDefault="00FA1843" w:rsidP="00FA1843">
      <w:pPr>
        <w:rPr>
          <w:noProof/>
        </w:rPr>
        <w:sectPr w:rsidR="00FA1843" w:rsidRPr="00A7778D" w:rsidSect="00084EF2">
          <w:pgSz w:w="11906" w:h="16838" w:code="9"/>
          <w:pgMar w:top="794" w:right="907" w:bottom="851" w:left="1361" w:header="510" w:footer="454" w:gutter="0"/>
          <w:cols w:space="720"/>
          <w:docGrid w:linePitch="326"/>
        </w:sectPr>
      </w:pPr>
    </w:p>
    <w:p w14:paraId="06E06688" w14:textId="0D522265" w:rsidR="00FA1843" w:rsidRPr="00A7778D" w:rsidRDefault="002A7F8C" w:rsidP="002A7F8C">
      <w:pPr>
        <w:pStyle w:val="ManualHeading1"/>
        <w:rPr>
          <w:bCs/>
          <w:noProof/>
          <w:szCs w:val="24"/>
        </w:rPr>
      </w:pPr>
      <w:bookmarkStart w:id="39" w:name="_Toc514938676"/>
      <w:bookmarkStart w:id="40" w:name="_Toc520485435"/>
      <w:r w:rsidRPr="00A7778D">
        <w:rPr>
          <w:noProof/>
        </w:rPr>
        <w:t>2.</w:t>
      </w:r>
      <w:r w:rsidRPr="00A7778D">
        <w:rPr>
          <w:noProof/>
        </w:rPr>
        <w:tab/>
        <w:t>HALLINNOINTI</w:t>
      </w:r>
      <w:bookmarkEnd w:id="39"/>
      <w:bookmarkEnd w:id="40"/>
      <w:r w:rsidRPr="00A7778D">
        <w:rPr>
          <w:noProof/>
        </w:rPr>
        <w:t xml:space="preserve"> </w:t>
      </w:r>
    </w:p>
    <w:p w14:paraId="69CA14CB" w14:textId="65C68E68" w:rsidR="00FA1843" w:rsidRPr="00A7778D" w:rsidRDefault="002A7F8C" w:rsidP="002A7F8C">
      <w:pPr>
        <w:pStyle w:val="ManualHeading2"/>
        <w:rPr>
          <w:bCs/>
          <w:noProof/>
          <w:szCs w:val="24"/>
        </w:rPr>
      </w:pPr>
      <w:bookmarkStart w:id="41" w:name="_Toc514938677"/>
      <w:bookmarkStart w:id="42" w:name="_Toc520485436"/>
      <w:r w:rsidRPr="00A7778D">
        <w:rPr>
          <w:noProof/>
        </w:rPr>
        <w:t>2.1.</w:t>
      </w:r>
      <w:r w:rsidRPr="00A7778D">
        <w:rPr>
          <w:noProof/>
        </w:rPr>
        <w:tab/>
        <w:t>Seuranta- ja raportointisäännöt</w:t>
      </w:r>
      <w:bookmarkEnd w:id="41"/>
      <w:bookmarkEnd w:id="42"/>
      <w:r w:rsidRPr="00A7778D">
        <w:rPr>
          <w:noProof/>
        </w:rPr>
        <w:t xml:space="preserve"> </w:t>
      </w:r>
    </w:p>
    <w:p w14:paraId="088CA217" w14:textId="77777777" w:rsidR="00FA1843" w:rsidRPr="00A7778D" w:rsidRDefault="00FA1843" w:rsidP="00FA1843">
      <w:pPr>
        <w:pStyle w:val="Text1"/>
        <w:rPr>
          <w:i/>
          <w:noProof/>
          <w:sz w:val="20"/>
        </w:rPr>
      </w:pPr>
      <w:r w:rsidRPr="00A7778D">
        <w:rPr>
          <w:i/>
          <w:noProof/>
          <w:sz w:val="20"/>
        </w:rPr>
        <w:t>Ilmoitetaan sovellettavat aikavälit ja edellytykset.</w:t>
      </w:r>
    </w:p>
    <w:p w14:paraId="163306E1"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color w:val="000000"/>
          <w:shd w:val="clear" w:color="auto" w:fill="FFFFFF"/>
        </w:rPr>
        <w:t>Olemassa olevien järjestelyjen mukaisesti Euroopan valvontaviranomaiset laativat säännölliset raportit toiminnastaan (mukaan luettuna sisäinen raportointi ylemmälle johdolle, raportointi hallintoelimille ja vuosikertomuksen laatiminen), ja tilintarkastustuomioistuin ja komission sisäisen tarkastuksen pääosasto tarkastavat valvontaviranomaisten resurssien käytön. Ehdotukseen sisältyvien toimien seuranta ja niistä raportointi täyttävät jo voimassa olevat vaatimukset, samoin kuin tästä ehdotuksesta mahdollisesti johtuvat uudet vaatimukset.</w:t>
      </w:r>
    </w:p>
    <w:p w14:paraId="3E9B93E5" w14:textId="7C7D161F" w:rsidR="00FA1843" w:rsidRPr="00A7778D" w:rsidRDefault="002A7F8C" w:rsidP="002A7F8C">
      <w:pPr>
        <w:pStyle w:val="ManualHeading2"/>
        <w:rPr>
          <w:bCs/>
          <w:noProof/>
          <w:szCs w:val="24"/>
        </w:rPr>
      </w:pPr>
      <w:bookmarkStart w:id="43" w:name="_Toc514938678"/>
      <w:bookmarkStart w:id="44" w:name="_Toc520485437"/>
      <w:r w:rsidRPr="00A7778D">
        <w:rPr>
          <w:noProof/>
        </w:rPr>
        <w:t>2.2.</w:t>
      </w:r>
      <w:r w:rsidRPr="00A7778D">
        <w:rPr>
          <w:noProof/>
        </w:rPr>
        <w:tab/>
        <w:t>Hallinnointi- ja valvontajärjestelmä(t)</w:t>
      </w:r>
      <w:bookmarkEnd w:id="43"/>
      <w:bookmarkEnd w:id="44"/>
      <w:r w:rsidRPr="00A7778D">
        <w:rPr>
          <w:noProof/>
        </w:rPr>
        <w:t xml:space="preserve"> </w:t>
      </w:r>
    </w:p>
    <w:p w14:paraId="71858DD5" w14:textId="2B6FD64D" w:rsidR="00FA1843" w:rsidRPr="00A7778D" w:rsidRDefault="002A7F8C" w:rsidP="002A7F8C">
      <w:pPr>
        <w:pStyle w:val="ManualHeading3"/>
        <w:rPr>
          <w:noProof/>
        </w:rPr>
      </w:pPr>
      <w:bookmarkStart w:id="45" w:name="_Toc514938679"/>
      <w:bookmarkStart w:id="46" w:name="_Toc520485438"/>
      <w:r w:rsidRPr="00A7778D">
        <w:rPr>
          <w:noProof/>
        </w:rPr>
        <w:t>2.2.1.</w:t>
      </w:r>
      <w:r w:rsidRPr="00A7778D">
        <w:rPr>
          <w:noProof/>
        </w:rPr>
        <w:tab/>
        <w:t>Perustelut ehdotetu(i)lle hallinnointitavalle(/-tavoille), rahoituksen toteutusmekanismille(/-mekanismeille), maksujärjestelyille sekä valvontastrategialle</w:t>
      </w:r>
      <w:bookmarkEnd w:id="45"/>
      <w:bookmarkEnd w:id="46"/>
    </w:p>
    <w:p w14:paraId="2B9F15D2"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Hallinnointi tapahtuu välillisesti Euroopan valvontaviranomaisten kautta. Rahoitusmekanismi pantaisiin täytäntöön lupa- ja valvontamaksujen avulla, joita arvopaperimarkkinaviranomainen voi periä ESG-luokitusten tarjoajilta.</w:t>
      </w:r>
    </w:p>
    <w:p w14:paraId="1114F36E" w14:textId="53B03F0E" w:rsidR="00FA1843" w:rsidRPr="00A7778D" w:rsidRDefault="002A7F8C" w:rsidP="002A7F8C">
      <w:pPr>
        <w:pStyle w:val="ManualHeading3"/>
        <w:rPr>
          <w:noProof/>
        </w:rPr>
      </w:pPr>
      <w:bookmarkStart w:id="47" w:name="_Toc514938680"/>
      <w:bookmarkStart w:id="48" w:name="_Toc520485439"/>
      <w:r w:rsidRPr="00A7778D">
        <w:rPr>
          <w:noProof/>
        </w:rPr>
        <w:t>2.2.2.</w:t>
      </w:r>
      <w:r w:rsidRPr="00A7778D">
        <w:rPr>
          <w:noProof/>
        </w:rPr>
        <w:tab/>
        <w:t>Tiedot todetuista riskeistä ja niiden vähentämiseksi käyttöön otetuista sisäisistä valvontajärjestelmistä</w:t>
      </w:r>
      <w:bookmarkEnd w:id="47"/>
      <w:bookmarkEnd w:id="48"/>
    </w:p>
    <w:p w14:paraId="6BCB8A24"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Tähän ehdotukseen liittyvien määrärahojen säännönmukaiseen, taloudelliseen, tehokkaaseen ja tulokselliseen käyttöön ei ennakoida sisältyvän merkittäviä uusia riskejä, joita nykyinen sisäisen valvonnan kehys ei kattaisi. Uusi haaste saattaa kuitenkin aiheutua siitä, että maksut peritään oikea-aikaisesti ESG-luokituksen tarjoajilta.</w:t>
      </w:r>
    </w:p>
    <w:p w14:paraId="7A7F7658" w14:textId="35C4A30F" w:rsidR="00FA1843" w:rsidRPr="00A7778D" w:rsidRDefault="002A7F8C" w:rsidP="002A7F8C">
      <w:pPr>
        <w:pStyle w:val="ManualHeading3"/>
        <w:rPr>
          <w:noProof/>
        </w:rPr>
      </w:pPr>
      <w:bookmarkStart w:id="49" w:name="_Toc514938681"/>
      <w:bookmarkStart w:id="50" w:name="_Toc520485440"/>
      <w:r w:rsidRPr="00A7778D">
        <w:rPr>
          <w:noProof/>
        </w:rPr>
        <w:t>2.2.3.</w:t>
      </w:r>
      <w:r w:rsidRPr="00A7778D">
        <w:rPr>
          <w:noProof/>
        </w:rPr>
        <w:tab/>
        <w:t>Valvonnan kustannustehokkuutta (valvontakustannusten suhde hallinnoitujen varojen arvoon) koskevat arviot ja perustelut sekä arviot maksujen suoritusajankohdan ja toimen päättämisajankohdan odotetuista virheriskitasoista</w:t>
      </w:r>
      <w:bookmarkEnd w:id="49"/>
      <w:bookmarkEnd w:id="50"/>
      <w:r w:rsidRPr="00A7778D">
        <w:rPr>
          <w:noProof/>
        </w:rPr>
        <w:t xml:space="preserve"> </w:t>
      </w:r>
    </w:p>
    <w:p w14:paraId="06EC0422"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Euroopan valvontaviranomaisista annetuissa asetuksissa säädetyt hallinnointi- ja valvontajärjestelmät ovat jo käytössä. Euroopan valvontaviranomaiset tekevät tiivistä yhteistyötä komission sisäisen tarkastuksen pääosaston kanssa sen varmistamiseksi, että kaikilla sisäisen valvontakehyksen aloilla täytetään asianmukaiset vaatimukset. Näitä järjestelyjä sovelletaan myös Euroopan valvontaviranomaisten tämän ehdotuksen mukaisiin tehtäviin. Lisäksi Euroopan parlamentti myöntää jokaisena varainhoitovuonna neuvoston suosituksesta kullekin Euroopan valvontaviranomaiselle vastuuvapauden tämän talousarvion toteuttamisesta.</w:t>
      </w:r>
    </w:p>
    <w:p w14:paraId="27675110" w14:textId="77777777" w:rsidR="00FA1843" w:rsidRPr="00A7778D" w:rsidRDefault="00FA1843" w:rsidP="00FA1843">
      <w:pPr>
        <w:pStyle w:val="Text1"/>
        <w:rPr>
          <w:noProof/>
        </w:rPr>
      </w:pPr>
    </w:p>
    <w:p w14:paraId="419D9BF1" w14:textId="77777777" w:rsidR="00FA1843" w:rsidRPr="00A7778D" w:rsidRDefault="00FA1843" w:rsidP="00FA1843">
      <w:pPr>
        <w:spacing w:before="0" w:after="200" w:line="276" w:lineRule="auto"/>
        <w:jc w:val="left"/>
        <w:rPr>
          <w:rFonts w:eastAsiaTheme="majorEastAsia"/>
          <w:b/>
          <w:bCs/>
          <w:noProof/>
          <w:szCs w:val="26"/>
        </w:rPr>
      </w:pPr>
      <w:bookmarkStart w:id="51" w:name="_Toc514938682"/>
      <w:r w:rsidRPr="00A7778D">
        <w:rPr>
          <w:noProof/>
        </w:rPr>
        <w:br w:type="page"/>
      </w:r>
    </w:p>
    <w:p w14:paraId="5674512E" w14:textId="7AD418B4" w:rsidR="00FA1843" w:rsidRPr="00A7778D" w:rsidRDefault="002A7F8C" w:rsidP="002A7F8C">
      <w:pPr>
        <w:pStyle w:val="ManualHeading2"/>
        <w:rPr>
          <w:bCs/>
          <w:noProof/>
          <w:szCs w:val="24"/>
        </w:rPr>
      </w:pPr>
      <w:bookmarkStart w:id="52" w:name="_Toc520485441"/>
      <w:r w:rsidRPr="00A7778D">
        <w:rPr>
          <w:noProof/>
        </w:rPr>
        <w:t>2.3.</w:t>
      </w:r>
      <w:r w:rsidRPr="00A7778D">
        <w:rPr>
          <w:noProof/>
        </w:rPr>
        <w:tab/>
        <w:t>Toimenpiteet petosten ja sääntöjenvastaisuuksien ehkäisemiseksi</w:t>
      </w:r>
      <w:bookmarkEnd w:id="51"/>
      <w:bookmarkEnd w:id="52"/>
      <w:r w:rsidRPr="00A7778D">
        <w:rPr>
          <w:noProof/>
        </w:rPr>
        <w:t xml:space="preserve"> </w:t>
      </w:r>
    </w:p>
    <w:p w14:paraId="475B2960" w14:textId="77777777" w:rsidR="00FA1843" w:rsidRPr="00A7778D" w:rsidRDefault="00FA1843" w:rsidP="00FA1843">
      <w:pPr>
        <w:pStyle w:val="Text1"/>
        <w:rPr>
          <w:i/>
          <w:noProof/>
          <w:sz w:val="20"/>
        </w:rPr>
      </w:pPr>
      <w:r w:rsidRPr="00A7778D">
        <w:rPr>
          <w:i/>
          <w:noProof/>
          <w:sz w:val="20"/>
        </w:rPr>
        <w:t>Ilmoitetaan käytössä olevat ja suunnitellut ehkäisy- ja suojatoimenpiteet, esimerkiksi petostentorjuntastrategian pohjalta</w:t>
      </w:r>
    </w:p>
    <w:p w14:paraId="0F4F35A6"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r w:rsidRPr="00A7778D">
        <w:rPr>
          <w:noProof/>
        </w:rPr>
        <w:t>Petosten, lahjonnan ja muun laittoman toiminnan torjumiseksi Euroopan valvontaviranomaisiin sovelletaan rajoituksetta Euroopan petostentorjuntaviraston (OLAF) tutkimuksista 11 päivänä syyskuuta 2013 annetun Euroopan parlamentin ja neuvoston asetuksen (EU, Euratom) N:o 883/2013 säännöksiä. Euroopan valvontaviranomaisilla on niiden tarkoituksiin suunniteltu petostentorjuntastrategia ja sen perusteella laadittu toimintasuunnitelma. Euroopan valvontaviranomaisten petostentorjuntaa koskevissa tehostetuissa toimissa noudatetaan varainhoitoasetuksen sääntöjä ja ohjeita (petostentorjuntatoimet osana moitteetonta varainhoitoa), OLAFin petostenehkäisypolitiikkaa, komission petostentorjuntastrategiassa (KOM(2011) 376) vahvistettuja sääntöjä sekä EU:n virastoja koskevassa yhteisessä lähestymistavassa (heinäkuu 2012) ja siihen liittyvässä etenemissuunnitelmassa vahvistettuja sääntöjä. Lisäksi Euroopan valvontaviranomaisten perustamisasetuksissa sekä Euroopan valvontaviranomaisten varainhoitoasetuksissa vahvistetaan säännökset, jotka koskevat Euroopan valvontaviranomaisten talousarvioita ja sovellettavia varainhoitosääntöjä, myös sääntöjä petosten ja sääntöjenvastaisuuksien torjumiseksi.</w:t>
      </w:r>
    </w:p>
    <w:p w14:paraId="6CC9D8C0" w14:textId="3925D11D" w:rsidR="00FA1843" w:rsidRPr="00A7778D" w:rsidRDefault="002A7F8C" w:rsidP="002A7F8C">
      <w:pPr>
        <w:pStyle w:val="ManualHeading1"/>
        <w:rPr>
          <w:bCs/>
          <w:noProof/>
          <w:szCs w:val="24"/>
        </w:rPr>
      </w:pPr>
      <w:bookmarkStart w:id="53" w:name="_Toc514938683"/>
      <w:bookmarkStart w:id="54" w:name="_Toc520485442"/>
      <w:r w:rsidRPr="00A7778D">
        <w:rPr>
          <w:noProof/>
        </w:rPr>
        <w:t>3.</w:t>
      </w:r>
      <w:r w:rsidRPr="00A7778D">
        <w:rPr>
          <w:noProof/>
        </w:rPr>
        <w:tab/>
        <w:t>EHDOTUKSEN/ALOITTEEN ARVIOIDUT RAHOITUSVAIKUTUKSET</w:t>
      </w:r>
      <w:bookmarkEnd w:id="53"/>
      <w:bookmarkEnd w:id="54"/>
      <w:r w:rsidRPr="00A7778D">
        <w:rPr>
          <w:noProof/>
        </w:rPr>
        <w:t xml:space="preserve"> </w:t>
      </w:r>
    </w:p>
    <w:p w14:paraId="168D277A" w14:textId="2128E6AA" w:rsidR="00FA1843" w:rsidRPr="00A7778D" w:rsidRDefault="002A7F8C" w:rsidP="002A7F8C">
      <w:pPr>
        <w:pStyle w:val="ManualHeading2"/>
        <w:rPr>
          <w:bCs/>
          <w:noProof/>
          <w:szCs w:val="24"/>
        </w:rPr>
      </w:pPr>
      <w:bookmarkStart w:id="55" w:name="_Toc514938684"/>
      <w:bookmarkStart w:id="56" w:name="_Toc520485443"/>
      <w:r w:rsidRPr="00A7778D">
        <w:rPr>
          <w:noProof/>
        </w:rPr>
        <w:t>3.1.</w:t>
      </w:r>
      <w:r w:rsidRPr="00A7778D">
        <w:rPr>
          <w:noProof/>
        </w:rPr>
        <w:tab/>
        <w:t>Kyseeseen tulevat monivuotisen rahoituskehyksen otsakkeet ja menopuolen budjettikohdat</w:t>
      </w:r>
      <w:bookmarkEnd w:id="55"/>
      <w:bookmarkEnd w:id="56"/>
      <w:r w:rsidRPr="00A7778D">
        <w:rPr>
          <w:noProof/>
        </w:rPr>
        <w:t xml:space="preserve"> </w:t>
      </w:r>
    </w:p>
    <w:p w14:paraId="4030322F" w14:textId="77777777" w:rsidR="00FA1843" w:rsidRPr="00A7778D" w:rsidRDefault="00FA1843" w:rsidP="00580A58">
      <w:pPr>
        <w:pStyle w:val="ListBullet1"/>
        <w:numPr>
          <w:ilvl w:val="0"/>
          <w:numId w:val="20"/>
        </w:numPr>
        <w:rPr>
          <w:noProof/>
        </w:rPr>
      </w:pPr>
      <w:r w:rsidRPr="00A7778D">
        <w:rPr>
          <w:noProof/>
        </w:rPr>
        <w:t xml:space="preserve">Talousarviossa jo olevat budjettikohdat </w:t>
      </w:r>
    </w:p>
    <w:p w14:paraId="14021E20" w14:textId="77777777" w:rsidR="00FA1843" w:rsidRPr="00A7778D" w:rsidRDefault="00FA1843" w:rsidP="00FA1843">
      <w:pPr>
        <w:pStyle w:val="Text1"/>
        <w:rPr>
          <w:noProof/>
        </w:rPr>
      </w:pPr>
      <w:r w:rsidRPr="00A7778D">
        <w:rPr>
          <w:noProof/>
        </w:rPr>
        <w:t xml:space="preserve">Monivuotisen rahoituskehyksen otsakkeiden ja budjettikohtien mukaisessa </w:t>
      </w:r>
      <w:r w:rsidRPr="00A7778D">
        <w:rPr>
          <w:noProof/>
          <w:u w:val="single"/>
        </w:rPr>
        <w:t>järjestyksessä</w:t>
      </w:r>
      <w:r w:rsidRPr="00A7778D">
        <w:rPr>
          <w:noProof/>
        </w:rPr>
        <w:t>.</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FA1843" w:rsidRPr="00A7778D" w14:paraId="5C5AA9A5" w14:textId="77777777" w:rsidTr="00041DD0">
        <w:tc>
          <w:tcPr>
            <w:tcW w:w="1080" w:type="dxa"/>
            <w:vMerge w:val="restart"/>
            <w:vAlign w:val="center"/>
          </w:tcPr>
          <w:p w14:paraId="304A7E6E" w14:textId="77777777" w:rsidR="00FA1843" w:rsidRPr="00A7778D" w:rsidRDefault="00FA1843" w:rsidP="00041DD0">
            <w:pPr>
              <w:spacing w:before="60" w:after="60"/>
              <w:jc w:val="center"/>
              <w:rPr>
                <w:noProof/>
                <w:sz w:val="18"/>
              </w:rPr>
            </w:pPr>
            <w:r w:rsidRPr="00A7778D">
              <w:rPr>
                <w:noProof/>
                <w:sz w:val="18"/>
              </w:rPr>
              <w:t>Monivuotisen rahoituskehyksen otsake</w:t>
            </w:r>
          </w:p>
        </w:tc>
        <w:tc>
          <w:tcPr>
            <w:tcW w:w="3960" w:type="dxa"/>
            <w:vAlign w:val="center"/>
          </w:tcPr>
          <w:p w14:paraId="34E0FC68" w14:textId="77777777" w:rsidR="00FA1843" w:rsidRPr="00A7778D" w:rsidRDefault="00FA1843" w:rsidP="00041DD0">
            <w:pPr>
              <w:spacing w:before="60" w:after="60"/>
              <w:jc w:val="center"/>
              <w:rPr>
                <w:noProof/>
              </w:rPr>
            </w:pPr>
            <w:r w:rsidRPr="00A7778D">
              <w:rPr>
                <w:noProof/>
                <w:sz w:val="20"/>
              </w:rPr>
              <w:t>Budjettikohta</w:t>
            </w:r>
          </w:p>
        </w:tc>
        <w:tc>
          <w:tcPr>
            <w:tcW w:w="1080" w:type="dxa"/>
            <w:vAlign w:val="center"/>
          </w:tcPr>
          <w:p w14:paraId="363FEF55" w14:textId="77777777" w:rsidR="00FA1843" w:rsidRPr="00A7778D" w:rsidRDefault="00FA1843" w:rsidP="00041DD0">
            <w:pPr>
              <w:spacing w:before="60" w:after="60"/>
              <w:jc w:val="center"/>
              <w:rPr>
                <w:noProof/>
              </w:rPr>
            </w:pPr>
            <w:r w:rsidRPr="00A7778D">
              <w:rPr>
                <w:noProof/>
              </w:rPr>
              <w:t>Menolaji</w:t>
            </w:r>
          </w:p>
        </w:tc>
        <w:tc>
          <w:tcPr>
            <w:tcW w:w="4556" w:type="dxa"/>
            <w:gridSpan w:val="4"/>
            <w:vAlign w:val="center"/>
          </w:tcPr>
          <w:p w14:paraId="4DCD69A4" w14:textId="77777777" w:rsidR="00FA1843" w:rsidRPr="00A7778D" w:rsidRDefault="00FA1843" w:rsidP="00041DD0">
            <w:pPr>
              <w:spacing w:before="60" w:after="60"/>
              <w:jc w:val="center"/>
              <w:rPr>
                <w:noProof/>
              </w:rPr>
            </w:pPr>
            <w:r w:rsidRPr="00A7778D">
              <w:rPr>
                <w:noProof/>
                <w:sz w:val="20"/>
              </w:rPr>
              <w:t xml:space="preserve">Rahoitusosuudet </w:t>
            </w:r>
          </w:p>
        </w:tc>
      </w:tr>
      <w:tr w:rsidR="00FA1843" w:rsidRPr="00A7778D" w14:paraId="4B3C670B" w14:textId="77777777" w:rsidTr="00041DD0">
        <w:tc>
          <w:tcPr>
            <w:tcW w:w="1080" w:type="dxa"/>
            <w:vMerge/>
            <w:vAlign w:val="center"/>
          </w:tcPr>
          <w:p w14:paraId="1D2AFC74" w14:textId="77777777" w:rsidR="00FA1843" w:rsidRPr="00A7778D" w:rsidRDefault="00FA1843" w:rsidP="00041DD0">
            <w:pPr>
              <w:rPr>
                <w:noProof/>
                <w:sz w:val="18"/>
              </w:rPr>
            </w:pPr>
          </w:p>
        </w:tc>
        <w:tc>
          <w:tcPr>
            <w:tcW w:w="3960" w:type="dxa"/>
            <w:vAlign w:val="center"/>
          </w:tcPr>
          <w:p w14:paraId="1523BBFE" w14:textId="77777777" w:rsidR="00FA1843" w:rsidRPr="00A7778D" w:rsidRDefault="00FA1843" w:rsidP="00041DD0">
            <w:pPr>
              <w:rPr>
                <w:noProof/>
              </w:rPr>
            </w:pPr>
            <w:r w:rsidRPr="00A7778D">
              <w:rPr>
                <w:noProof/>
                <w:sz w:val="20"/>
              </w:rPr>
              <w:t xml:space="preserve">Numero </w:t>
            </w:r>
            <w:r w:rsidRPr="00A7778D">
              <w:rPr>
                <w:noProof/>
              </w:rPr>
              <w:t xml:space="preserve"> </w:t>
            </w:r>
            <w:r w:rsidRPr="00A7778D">
              <w:rPr>
                <w:noProof/>
              </w:rPr>
              <w:br/>
            </w:r>
          </w:p>
        </w:tc>
        <w:tc>
          <w:tcPr>
            <w:tcW w:w="1080" w:type="dxa"/>
            <w:vAlign w:val="center"/>
          </w:tcPr>
          <w:p w14:paraId="16EFCE8D" w14:textId="77777777" w:rsidR="00FA1843" w:rsidRPr="00A7778D" w:rsidRDefault="00FA1843" w:rsidP="00041DD0">
            <w:pPr>
              <w:jc w:val="center"/>
              <w:rPr>
                <w:noProof/>
              </w:rPr>
            </w:pPr>
            <w:r w:rsidRPr="00A7778D">
              <w:rPr>
                <w:noProof/>
                <w:sz w:val="18"/>
              </w:rPr>
              <w:t>JM/EI-JM</w:t>
            </w:r>
            <w:r w:rsidRPr="00A7778D">
              <w:rPr>
                <w:rStyle w:val="FootnoteReference0"/>
                <w:noProof/>
                <w:sz w:val="18"/>
              </w:rPr>
              <w:footnoteReference w:id="61"/>
            </w:r>
          </w:p>
        </w:tc>
        <w:tc>
          <w:tcPr>
            <w:tcW w:w="956" w:type="dxa"/>
            <w:vAlign w:val="center"/>
          </w:tcPr>
          <w:p w14:paraId="08D3B172" w14:textId="77777777" w:rsidR="00FA1843" w:rsidRPr="00A7778D" w:rsidRDefault="00FA1843" w:rsidP="00041DD0">
            <w:pPr>
              <w:jc w:val="center"/>
              <w:rPr>
                <w:noProof/>
              </w:rPr>
            </w:pPr>
            <w:r w:rsidRPr="00A7778D">
              <w:rPr>
                <w:noProof/>
                <w:sz w:val="18"/>
              </w:rPr>
              <w:t>EFTA-mailta</w:t>
            </w:r>
            <w:r w:rsidRPr="00A7778D">
              <w:rPr>
                <w:rStyle w:val="FootnoteReference0"/>
                <w:noProof/>
                <w:sz w:val="18"/>
              </w:rPr>
              <w:footnoteReference w:id="62"/>
            </w:r>
          </w:p>
        </w:tc>
        <w:tc>
          <w:tcPr>
            <w:tcW w:w="1080" w:type="dxa"/>
            <w:vAlign w:val="center"/>
          </w:tcPr>
          <w:p w14:paraId="3C4B1B0F" w14:textId="77777777" w:rsidR="00FA1843" w:rsidRPr="00A7778D" w:rsidRDefault="00FA1843" w:rsidP="00041DD0">
            <w:pPr>
              <w:jc w:val="center"/>
              <w:rPr>
                <w:noProof/>
                <w:sz w:val="18"/>
              </w:rPr>
            </w:pPr>
            <w:r w:rsidRPr="00A7778D">
              <w:rPr>
                <w:noProof/>
                <w:sz w:val="18"/>
              </w:rPr>
              <w:t>ehdokasmailta</w:t>
            </w:r>
            <w:r w:rsidRPr="00A7778D">
              <w:rPr>
                <w:rStyle w:val="FootnoteReference0"/>
                <w:noProof/>
                <w:sz w:val="18"/>
              </w:rPr>
              <w:footnoteReference w:id="63"/>
            </w:r>
          </w:p>
        </w:tc>
        <w:tc>
          <w:tcPr>
            <w:tcW w:w="956" w:type="dxa"/>
            <w:vAlign w:val="center"/>
          </w:tcPr>
          <w:p w14:paraId="2859F494" w14:textId="77777777" w:rsidR="00FA1843" w:rsidRPr="00A7778D" w:rsidRDefault="00FA1843" w:rsidP="00041DD0">
            <w:pPr>
              <w:jc w:val="center"/>
              <w:rPr>
                <w:noProof/>
                <w:sz w:val="18"/>
              </w:rPr>
            </w:pPr>
            <w:r w:rsidRPr="00A7778D">
              <w:rPr>
                <w:noProof/>
                <w:sz w:val="18"/>
              </w:rPr>
              <w:t>kolmansilta mailta</w:t>
            </w:r>
          </w:p>
        </w:tc>
        <w:tc>
          <w:tcPr>
            <w:tcW w:w="1564" w:type="dxa"/>
            <w:vAlign w:val="center"/>
          </w:tcPr>
          <w:p w14:paraId="1E089B59" w14:textId="77777777" w:rsidR="00FA1843" w:rsidRPr="00A7778D" w:rsidRDefault="00FA1843" w:rsidP="00041DD0">
            <w:pPr>
              <w:jc w:val="center"/>
              <w:rPr>
                <w:noProof/>
                <w:sz w:val="16"/>
                <w:szCs w:val="16"/>
              </w:rPr>
            </w:pPr>
            <w:r w:rsidRPr="00A7778D">
              <w:rPr>
                <w:noProof/>
                <w:sz w:val="16"/>
              </w:rPr>
              <w:t xml:space="preserve">Varainhoito-asetuksen 21 artiklan 2 kohdan b alakohdassa tarkoitetut rahoitusosuudet </w:t>
            </w:r>
          </w:p>
        </w:tc>
      </w:tr>
      <w:tr w:rsidR="00FA1843" w:rsidRPr="00A7778D" w14:paraId="2FD9B424" w14:textId="77777777" w:rsidTr="00041DD0">
        <w:tc>
          <w:tcPr>
            <w:tcW w:w="1080" w:type="dxa"/>
            <w:vAlign w:val="center"/>
          </w:tcPr>
          <w:p w14:paraId="6749F64C" w14:textId="324202A0" w:rsidR="00FA1843" w:rsidRPr="00A7778D" w:rsidRDefault="00FA1843" w:rsidP="00041DD0">
            <w:pPr>
              <w:jc w:val="center"/>
              <w:rPr>
                <w:noProof/>
                <w:color w:val="0000FF"/>
              </w:rPr>
            </w:pPr>
          </w:p>
        </w:tc>
        <w:tc>
          <w:tcPr>
            <w:tcW w:w="3960" w:type="dxa"/>
            <w:vAlign w:val="center"/>
          </w:tcPr>
          <w:p w14:paraId="1B7AB1A1" w14:textId="77777777" w:rsidR="00FA1843" w:rsidRPr="00A7778D" w:rsidRDefault="00FA1843" w:rsidP="00041DD0">
            <w:pPr>
              <w:spacing w:after="60"/>
              <w:rPr>
                <w:noProof/>
              </w:rPr>
            </w:pPr>
            <w:r w:rsidRPr="00A7778D">
              <w:rPr>
                <w:noProof/>
              </w:rPr>
              <w:t>Ei sovelleta</w:t>
            </w:r>
          </w:p>
        </w:tc>
        <w:tc>
          <w:tcPr>
            <w:tcW w:w="1080" w:type="dxa"/>
            <w:vAlign w:val="center"/>
          </w:tcPr>
          <w:p w14:paraId="4CFD362B" w14:textId="77777777" w:rsidR="00FA1843" w:rsidRPr="00A7778D" w:rsidRDefault="00FA1843" w:rsidP="00041DD0">
            <w:pPr>
              <w:jc w:val="center"/>
              <w:rPr>
                <w:noProof/>
                <w:sz w:val="18"/>
              </w:rPr>
            </w:pPr>
            <w:r w:rsidRPr="00A7778D">
              <w:rPr>
                <w:noProof/>
                <w:sz w:val="18"/>
              </w:rPr>
              <w:t>JM</w:t>
            </w:r>
          </w:p>
        </w:tc>
        <w:tc>
          <w:tcPr>
            <w:tcW w:w="956" w:type="dxa"/>
            <w:vAlign w:val="center"/>
          </w:tcPr>
          <w:p w14:paraId="2913F0CE" w14:textId="77777777" w:rsidR="00FA1843" w:rsidRPr="00A7778D" w:rsidRDefault="00FA1843" w:rsidP="00041DD0">
            <w:pPr>
              <w:jc w:val="center"/>
              <w:rPr>
                <w:noProof/>
                <w:sz w:val="20"/>
              </w:rPr>
            </w:pPr>
            <w:r w:rsidRPr="00A7778D">
              <w:rPr>
                <w:noProof/>
                <w:sz w:val="20"/>
              </w:rPr>
              <w:t>EI</w:t>
            </w:r>
          </w:p>
        </w:tc>
        <w:tc>
          <w:tcPr>
            <w:tcW w:w="1080" w:type="dxa"/>
            <w:vAlign w:val="center"/>
          </w:tcPr>
          <w:p w14:paraId="7D09D8DD" w14:textId="77777777" w:rsidR="00FA1843" w:rsidRPr="00A7778D" w:rsidRDefault="00FA1843" w:rsidP="00041DD0">
            <w:pPr>
              <w:jc w:val="center"/>
              <w:rPr>
                <w:noProof/>
                <w:sz w:val="20"/>
              </w:rPr>
            </w:pPr>
            <w:r w:rsidRPr="00A7778D">
              <w:rPr>
                <w:noProof/>
                <w:sz w:val="20"/>
              </w:rPr>
              <w:t>EI</w:t>
            </w:r>
          </w:p>
        </w:tc>
        <w:tc>
          <w:tcPr>
            <w:tcW w:w="956" w:type="dxa"/>
            <w:vAlign w:val="center"/>
          </w:tcPr>
          <w:p w14:paraId="7DD181CE" w14:textId="77777777" w:rsidR="00FA1843" w:rsidRPr="00A7778D" w:rsidRDefault="00FA1843" w:rsidP="00041DD0">
            <w:pPr>
              <w:jc w:val="center"/>
              <w:rPr>
                <w:noProof/>
                <w:sz w:val="20"/>
              </w:rPr>
            </w:pPr>
            <w:r w:rsidRPr="00A7778D">
              <w:rPr>
                <w:noProof/>
                <w:sz w:val="20"/>
              </w:rPr>
              <w:t>EI</w:t>
            </w:r>
          </w:p>
        </w:tc>
        <w:tc>
          <w:tcPr>
            <w:tcW w:w="1564" w:type="dxa"/>
            <w:vAlign w:val="center"/>
          </w:tcPr>
          <w:p w14:paraId="696DAED9" w14:textId="77777777" w:rsidR="00FA1843" w:rsidRPr="00A7778D" w:rsidRDefault="00FA1843" w:rsidP="00041DD0">
            <w:pPr>
              <w:jc w:val="center"/>
              <w:rPr>
                <w:noProof/>
                <w:sz w:val="20"/>
              </w:rPr>
            </w:pPr>
            <w:r w:rsidRPr="00A7778D">
              <w:rPr>
                <w:noProof/>
                <w:sz w:val="20"/>
              </w:rPr>
              <w:t>EI</w:t>
            </w:r>
          </w:p>
        </w:tc>
      </w:tr>
    </w:tbl>
    <w:p w14:paraId="4DE0A5D7" w14:textId="77777777" w:rsidR="00FA1843" w:rsidRPr="00A7778D" w:rsidRDefault="00FA1843" w:rsidP="00580A58">
      <w:pPr>
        <w:pStyle w:val="ListBullet1"/>
        <w:numPr>
          <w:ilvl w:val="0"/>
          <w:numId w:val="20"/>
        </w:numPr>
        <w:rPr>
          <w:noProof/>
        </w:rPr>
      </w:pPr>
      <w:r w:rsidRPr="00A7778D">
        <w:rPr>
          <w:noProof/>
        </w:rPr>
        <w:t xml:space="preserve">Uudet perustettaviksi esitetyt budjettikohdat </w:t>
      </w:r>
    </w:p>
    <w:p w14:paraId="3E46FE00" w14:textId="77777777" w:rsidR="00FA1843" w:rsidRPr="00A7778D" w:rsidRDefault="00FA1843" w:rsidP="00FA1843">
      <w:pPr>
        <w:pStyle w:val="Text1"/>
        <w:rPr>
          <w:i/>
          <w:noProof/>
          <w:sz w:val="20"/>
        </w:rPr>
      </w:pPr>
      <w:r w:rsidRPr="00A7778D">
        <w:rPr>
          <w:noProof/>
        </w:rPr>
        <w:t xml:space="preserve">Monivuotisen rahoituskehyksen otsakkeiden ja budjettikohtien mukaisessa </w:t>
      </w:r>
      <w:r w:rsidRPr="00A7778D">
        <w:rPr>
          <w:noProof/>
          <w:u w:val="single"/>
        </w:rPr>
        <w:t>järjestyksessä</w:t>
      </w:r>
      <w:r w:rsidRPr="00A7778D">
        <w:rPr>
          <w:noProof/>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FA1843" w:rsidRPr="00A7778D" w14:paraId="7362274A" w14:textId="77777777" w:rsidTr="00041DD0">
        <w:tc>
          <w:tcPr>
            <w:tcW w:w="1080" w:type="dxa"/>
            <w:vMerge w:val="restart"/>
            <w:vAlign w:val="center"/>
          </w:tcPr>
          <w:p w14:paraId="448B181F" w14:textId="77777777" w:rsidR="00FA1843" w:rsidRPr="00A7778D" w:rsidRDefault="00FA1843" w:rsidP="00041DD0">
            <w:pPr>
              <w:spacing w:before="60" w:after="60"/>
              <w:jc w:val="center"/>
              <w:rPr>
                <w:noProof/>
              </w:rPr>
            </w:pPr>
            <w:r w:rsidRPr="00A7778D">
              <w:rPr>
                <w:noProof/>
                <w:sz w:val="18"/>
              </w:rPr>
              <w:t>Monivuotisen rahoituskehyksen otsake</w:t>
            </w:r>
          </w:p>
        </w:tc>
        <w:tc>
          <w:tcPr>
            <w:tcW w:w="3960" w:type="dxa"/>
            <w:vAlign w:val="center"/>
          </w:tcPr>
          <w:p w14:paraId="27293A1A" w14:textId="77777777" w:rsidR="00FA1843" w:rsidRPr="00A7778D" w:rsidRDefault="00FA1843" w:rsidP="00041DD0">
            <w:pPr>
              <w:spacing w:before="60" w:after="60"/>
              <w:jc w:val="center"/>
              <w:rPr>
                <w:noProof/>
              </w:rPr>
            </w:pPr>
            <w:r w:rsidRPr="00A7778D">
              <w:rPr>
                <w:noProof/>
                <w:sz w:val="20"/>
              </w:rPr>
              <w:t>Budjettikohta</w:t>
            </w:r>
          </w:p>
        </w:tc>
        <w:tc>
          <w:tcPr>
            <w:tcW w:w="1080" w:type="dxa"/>
            <w:vAlign w:val="center"/>
          </w:tcPr>
          <w:p w14:paraId="73A6ACF1" w14:textId="77777777" w:rsidR="00FA1843" w:rsidRPr="00A7778D" w:rsidRDefault="00FA1843" w:rsidP="00041DD0">
            <w:pPr>
              <w:spacing w:before="60" w:after="60"/>
              <w:jc w:val="center"/>
              <w:rPr>
                <w:noProof/>
              </w:rPr>
            </w:pPr>
            <w:r w:rsidRPr="00A7778D">
              <w:rPr>
                <w:noProof/>
              </w:rPr>
              <w:t>Menolaji</w:t>
            </w:r>
          </w:p>
        </w:tc>
        <w:tc>
          <w:tcPr>
            <w:tcW w:w="4556" w:type="dxa"/>
            <w:gridSpan w:val="4"/>
            <w:vAlign w:val="center"/>
          </w:tcPr>
          <w:p w14:paraId="5C458DEA" w14:textId="77777777" w:rsidR="00FA1843" w:rsidRPr="00A7778D" w:rsidRDefault="00FA1843" w:rsidP="00041DD0">
            <w:pPr>
              <w:spacing w:before="60" w:after="60"/>
              <w:jc w:val="center"/>
              <w:rPr>
                <w:noProof/>
              </w:rPr>
            </w:pPr>
            <w:r w:rsidRPr="00A7778D">
              <w:rPr>
                <w:noProof/>
                <w:sz w:val="20"/>
              </w:rPr>
              <w:t xml:space="preserve">Rahoitusosuudet </w:t>
            </w:r>
          </w:p>
        </w:tc>
      </w:tr>
      <w:tr w:rsidR="00FA1843" w:rsidRPr="00A7778D" w14:paraId="6B24B298" w14:textId="77777777" w:rsidTr="00041DD0">
        <w:tc>
          <w:tcPr>
            <w:tcW w:w="1080" w:type="dxa"/>
            <w:vMerge/>
            <w:vAlign w:val="center"/>
          </w:tcPr>
          <w:p w14:paraId="178A478F" w14:textId="77777777" w:rsidR="00FA1843" w:rsidRPr="00A7778D" w:rsidRDefault="00FA1843" w:rsidP="00041DD0">
            <w:pPr>
              <w:rPr>
                <w:noProof/>
              </w:rPr>
            </w:pPr>
          </w:p>
        </w:tc>
        <w:tc>
          <w:tcPr>
            <w:tcW w:w="3960" w:type="dxa"/>
            <w:tcBorders>
              <w:bottom w:val="single" w:sz="4" w:space="0" w:color="auto"/>
            </w:tcBorders>
            <w:vAlign w:val="center"/>
          </w:tcPr>
          <w:p w14:paraId="2EE7EE39" w14:textId="77777777" w:rsidR="00FA1843" w:rsidRPr="00A7778D" w:rsidRDefault="00FA1843" w:rsidP="00041DD0">
            <w:pPr>
              <w:rPr>
                <w:noProof/>
              </w:rPr>
            </w:pPr>
            <w:r w:rsidRPr="00A7778D">
              <w:rPr>
                <w:noProof/>
                <w:sz w:val="20"/>
              </w:rPr>
              <w:t xml:space="preserve">Numero </w:t>
            </w:r>
            <w:r w:rsidRPr="00A7778D">
              <w:rPr>
                <w:noProof/>
              </w:rPr>
              <w:t xml:space="preserve"> </w:t>
            </w:r>
            <w:r w:rsidRPr="00A7778D">
              <w:rPr>
                <w:noProof/>
              </w:rPr>
              <w:br/>
            </w:r>
          </w:p>
        </w:tc>
        <w:tc>
          <w:tcPr>
            <w:tcW w:w="1080" w:type="dxa"/>
            <w:tcBorders>
              <w:bottom w:val="single" w:sz="4" w:space="0" w:color="auto"/>
            </w:tcBorders>
            <w:vAlign w:val="center"/>
          </w:tcPr>
          <w:p w14:paraId="12AAE02B" w14:textId="77777777" w:rsidR="00FA1843" w:rsidRPr="00A7778D" w:rsidRDefault="00FA1843" w:rsidP="00041DD0">
            <w:pPr>
              <w:jc w:val="center"/>
              <w:rPr>
                <w:noProof/>
              </w:rPr>
            </w:pPr>
            <w:r w:rsidRPr="00A7778D">
              <w:rPr>
                <w:noProof/>
                <w:sz w:val="18"/>
              </w:rPr>
              <w:t>JM/EI-JM</w:t>
            </w:r>
          </w:p>
        </w:tc>
        <w:tc>
          <w:tcPr>
            <w:tcW w:w="956" w:type="dxa"/>
            <w:tcBorders>
              <w:bottom w:val="single" w:sz="4" w:space="0" w:color="auto"/>
            </w:tcBorders>
            <w:vAlign w:val="center"/>
          </w:tcPr>
          <w:p w14:paraId="406694D5" w14:textId="77777777" w:rsidR="00FA1843" w:rsidRPr="00A7778D" w:rsidRDefault="00FA1843" w:rsidP="00041DD0">
            <w:pPr>
              <w:jc w:val="center"/>
              <w:rPr>
                <w:noProof/>
                <w:sz w:val="18"/>
              </w:rPr>
            </w:pPr>
            <w:r w:rsidRPr="00A7778D">
              <w:rPr>
                <w:noProof/>
                <w:sz w:val="18"/>
              </w:rPr>
              <w:t>EFTA-mailta</w:t>
            </w:r>
          </w:p>
        </w:tc>
        <w:tc>
          <w:tcPr>
            <w:tcW w:w="1080" w:type="dxa"/>
            <w:tcBorders>
              <w:bottom w:val="single" w:sz="4" w:space="0" w:color="auto"/>
            </w:tcBorders>
            <w:vAlign w:val="center"/>
          </w:tcPr>
          <w:p w14:paraId="3A688699" w14:textId="77777777" w:rsidR="00FA1843" w:rsidRPr="00A7778D" w:rsidRDefault="00FA1843" w:rsidP="00041DD0">
            <w:pPr>
              <w:jc w:val="center"/>
              <w:rPr>
                <w:noProof/>
                <w:sz w:val="18"/>
              </w:rPr>
            </w:pPr>
            <w:r w:rsidRPr="00A7778D">
              <w:rPr>
                <w:noProof/>
                <w:sz w:val="18"/>
              </w:rPr>
              <w:t>ehdokasmailta</w:t>
            </w:r>
          </w:p>
        </w:tc>
        <w:tc>
          <w:tcPr>
            <w:tcW w:w="956" w:type="dxa"/>
            <w:tcBorders>
              <w:bottom w:val="single" w:sz="4" w:space="0" w:color="auto"/>
            </w:tcBorders>
            <w:vAlign w:val="center"/>
          </w:tcPr>
          <w:p w14:paraId="57005F8A" w14:textId="77777777" w:rsidR="00FA1843" w:rsidRPr="00A7778D" w:rsidRDefault="00FA1843" w:rsidP="00041DD0">
            <w:pPr>
              <w:jc w:val="center"/>
              <w:rPr>
                <w:noProof/>
                <w:sz w:val="18"/>
              </w:rPr>
            </w:pPr>
            <w:r w:rsidRPr="00A7778D">
              <w:rPr>
                <w:noProof/>
                <w:sz w:val="18"/>
              </w:rPr>
              <w:t>kolmansilta mailta</w:t>
            </w:r>
          </w:p>
        </w:tc>
        <w:tc>
          <w:tcPr>
            <w:tcW w:w="1564" w:type="dxa"/>
            <w:tcBorders>
              <w:bottom w:val="single" w:sz="4" w:space="0" w:color="auto"/>
            </w:tcBorders>
            <w:vAlign w:val="center"/>
          </w:tcPr>
          <w:p w14:paraId="445E27AB" w14:textId="77777777" w:rsidR="00FA1843" w:rsidRPr="00A7778D" w:rsidRDefault="00FA1843" w:rsidP="00041DD0">
            <w:pPr>
              <w:jc w:val="center"/>
              <w:rPr>
                <w:noProof/>
              </w:rPr>
            </w:pPr>
            <w:r w:rsidRPr="00A7778D">
              <w:rPr>
                <w:noProof/>
                <w:sz w:val="16"/>
              </w:rPr>
              <w:t xml:space="preserve">Varainhoito-asetuksen 21 artiklan 2 kohdan b alakohdassa tarkoitetut rahoitusosuudet </w:t>
            </w:r>
          </w:p>
        </w:tc>
      </w:tr>
      <w:tr w:rsidR="00FA1843" w:rsidRPr="00A7778D" w14:paraId="793DB53E" w14:textId="77777777" w:rsidTr="00041DD0">
        <w:tc>
          <w:tcPr>
            <w:tcW w:w="1080" w:type="dxa"/>
            <w:vAlign w:val="center"/>
          </w:tcPr>
          <w:p w14:paraId="79E46B80" w14:textId="77777777" w:rsidR="00FA1843" w:rsidRPr="00A7778D" w:rsidRDefault="00FA1843" w:rsidP="00041DD0">
            <w:pPr>
              <w:jc w:val="center"/>
              <w:rPr>
                <w:noProof/>
                <w:color w:val="0000FF"/>
              </w:rPr>
            </w:pPr>
          </w:p>
        </w:tc>
        <w:tc>
          <w:tcPr>
            <w:tcW w:w="3960" w:type="dxa"/>
            <w:tcBorders>
              <w:bottom w:val="single" w:sz="4" w:space="0" w:color="auto"/>
            </w:tcBorders>
            <w:vAlign w:val="center"/>
          </w:tcPr>
          <w:p w14:paraId="4AFCF81F" w14:textId="77777777" w:rsidR="00FA1843" w:rsidRPr="00A7778D" w:rsidRDefault="00FA1843" w:rsidP="00041DD0">
            <w:pPr>
              <w:spacing w:after="60"/>
              <w:rPr>
                <w:noProof/>
              </w:rPr>
            </w:pPr>
            <w:bookmarkStart w:id="57" w:name="_Hlk135758325"/>
            <w:r w:rsidRPr="00A7778D">
              <w:rPr>
                <w:noProof/>
              </w:rPr>
              <w:t>Ei sovelleta</w:t>
            </w:r>
            <w:bookmarkEnd w:id="57"/>
          </w:p>
        </w:tc>
        <w:tc>
          <w:tcPr>
            <w:tcW w:w="1080" w:type="dxa"/>
            <w:tcBorders>
              <w:bottom w:val="single" w:sz="4" w:space="0" w:color="auto"/>
            </w:tcBorders>
            <w:vAlign w:val="center"/>
          </w:tcPr>
          <w:p w14:paraId="65C7A962" w14:textId="77777777" w:rsidR="00FA1843" w:rsidRPr="00A7778D" w:rsidRDefault="00FA1843" w:rsidP="00041DD0">
            <w:pPr>
              <w:spacing w:after="60"/>
              <w:rPr>
                <w:noProof/>
              </w:rPr>
            </w:pPr>
          </w:p>
        </w:tc>
        <w:tc>
          <w:tcPr>
            <w:tcW w:w="956" w:type="dxa"/>
            <w:tcBorders>
              <w:bottom w:val="single" w:sz="4" w:space="0" w:color="auto"/>
            </w:tcBorders>
            <w:vAlign w:val="center"/>
          </w:tcPr>
          <w:p w14:paraId="37B9F290" w14:textId="77777777" w:rsidR="00FA1843" w:rsidRPr="00A7778D" w:rsidRDefault="00FA1843" w:rsidP="00041DD0">
            <w:pPr>
              <w:spacing w:after="60"/>
              <w:rPr>
                <w:noProof/>
              </w:rPr>
            </w:pPr>
          </w:p>
        </w:tc>
        <w:tc>
          <w:tcPr>
            <w:tcW w:w="1080" w:type="dxa"/>
            <w:tcBorders>
              <w:bottom w:val="single" w:sz="4" w:space="0" w:color="auto"/>
            </w:tcBorders>
            <w:vAlign w:val="center"/>
          </w:tcPr>
          <w:p w14:paraId="739B4F9B" w14:textId="77777777" w:rsidR="00FA1843" w:rsidRPr="00A7778D" w:rsidRDefault="00FA1843" w:rsidP="00041DD0">
            <w:pPr>
              <w:spacing w:after="60"/>
              <w:rPr>
                <w:noProof/>
              </w:rPr>
            </w:pPr>
          </w:p>
        </w:tc>
        <w:tc>
          <w:tcPr>
            <w:tcW w:w="956" w:type="dxa"/>
            <w:tcBorders>
              <w:bottom w:val="single" w:sz="4" w:space="0" w:color="auto"/>
            </w:tcBorders>
            <w:vAlign w:val="center"/>
          </w:tcPr>
          <w:p w14:paraId="2849F096" w14:textId="77777777" w:rsidR="00FA1843" w:rsidRPr="00A7778D" w:rsidRDefault="00FA1843" w:rsidP="00041DD0">
            <w:pPr>
              <w:spacing w:after="60"/>
              <w:rPr>
                <w:noProof/>
              </w:rPr>
            </w:pPr>
          </w:p>
        </w:tc>
        <w:tc>
          <w:tcPr>
            <w:tcW w:w="1564" w:type="dxa"/>
            <w:tcBorders>
              <w:bottom w:val="single" w:sz="4" w:space="0" w:color="auto"/>
            </w:tcBorders>
            <w:vAlign w:val="center"/>
          </w:tcPr>
          <w:p w14:paraId="379F66F6" w14:textId="77777777" w:rsidR="00FA1843" w:rsidRPr="00A7778D" w:rsidRDefault="00FA1843" w:rsidP="00041DD0">
            <w:pPr>
              <w:spacing w:after="60"/>
              <w:rPr>
                <w:noProof/>
              </w:rPr>
            </w:pPr>
          </w:p>
        </w:tc>
      </w:tr>
    </w:tbl>
    <w:p w14:paraId="4F5F0F79" w14:textId="77777777" w:rsidR="00FA1843" w:rsidRPr="00A7778D" w:rsidRDefault="00FA1843" w:rsidP="00FA1843">
      <w:pPr>
        <w:rPr>
          <w:noProof/>
        </w:rPr>
        <w:sectPr w:rsidR="00FA1843" w:rsidRPr="00A7778D" w:rsidSect="00084EF2">
          <w:pgSz w:w="11906" w:h="16838" w:code="9"/>
          <w:pgMar w:top="794" w:right="907" w:bottom="851" w:left="1361" w:header="510" w:footer="454" w:gutter="0"/>
          <w:cols w:space="720"/>
          <w:docGrid w:linePitch="326"/>
        </w:sectPr>
      </w:pPr>
    </w:p>
    <w:p w14:paraId="0CE169DB" w14:textId="7F2DF54F" w:rsidR="00FA1843" w:rsidRPr="00A7778D" w:rsidRDefault="002A7F8C" w:rsidP="002A7F8C">
      <w:pPr>
        <w:pStyle w:val="ManualHeading2"/>
        <w:rPr>
          <w:bCs/>
          <w:noProof/>
          <w:szCs w:val="24"/>
        </w:rPr>
      </w:pPr>
      <w:bookmarkStart w:id="58" w:name="_Toc514938685"/>
      <w:bookmarkStart w:id="59" w:name="_Toc520485444"/>
      <w:r w:rsidRPr="00A7778D">
        <w:rPr>
          <w:noProof/>
        </w:rPr>
        <w:t>3.2.</w:t>
      </w:r>
      <w:r w:rsidRPr="00A7778D">
        <w:rPr>
          <w:noProof/>
        </w:rPr>
        <w:tab/>
        <w:t>Arvioidut vaikutukset menoihin</w:t>
      </w:r>
      <w:bookmarkEnd w:id="58"/>
      <w:bookmarkEnd w:id="59"/>
      <w:r w:rsidRPr="00A7778D">
        <w:rPr>
          <w:noProof/>
        </w:rPr>
        <w:t xml:space="preserve"> </w:t>
      </w:r>
    </w:p>
    <w:p w14:paraId="3EA6A251" w14:textId="50E1BD74" w:rsidR="00FA1843" w:rsidRPr="00A7778D" w:rsidRDefault="002A7F8C" w:rsidP="002A7F8C">
      <w:pPr>
        <w:pStyle w:val="ManualHeading3"/>
        <w:rPr>
          <w:bCs/>
          <w:noProof/>
          <w:szCs w:val="24"/>
        </w:rPr>
      </w:pPr>
      <w:bookmarkStart w:id="60" w:name="_Toc514938686"/>
      <w:bookmarkStart w:id="61" w:name="_Toc520485445"/>
      <w:r w:rsidRPr="00A7778D">
        <w:rPr>
          <w:noProof/>
        </w:rPr>
        <w:t>3.2.1.</w:t>
      </w:r>
      <w:r w:rsidRPr="00A7778D">
        <w:rPr>
          <w:noProof/>
        </w:rPr>
        <w:tab/>
        <w:t>Yhteenveto arvioiduista vaikutuksista menoihin</w:t>
      </w:r>
      <w:bookmarkEnd w:id="60"/>
      <w:bookmarkEnd w:id="61"/>
      <w:r w:rsidRPr="00A7778D">
        <w:rPr>
          <w:noProof/>
        </w:rPr>
        <w:t xml:space="preserve"> </w:t>
      </w:r>
    </w:p>
    <w:p w14:paraId="19ADDA44" w14:textId="77777777" w:rsidR="00FA1843" w:rsidRPr="00A7778D" w:rsidRDefault="00FA1843" w:rsidP="00FA1843">
      <w:pPr>
        <w:jc w:val="right"/>
        <w:rPr>
          <w:noProof/>
          <w:sz w:val="20"/>
        </w:rPr>
      </w:pPr>
      <w:r w:rsidRPr="00A7778D">
        <w:rPr>
          <w:noProof/>
          <w:sz w:val="20"/>
        </w:rPr>
        <w:t>milj. euroa (kolmen desimaalin tarkkuudella)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A1843" w:rsidRPr="00A7778D" w14:paraId="7C7F0FF9" w14:textId="77777777" w:rsidTr="00041DD0">
        <w:trPr>
          <w:jc w:val="center"/>
        </w:trPr>
        <w:tc>
          <w:tcPr>
            <w:tcW w:w="4744" w:type="dxa"/>
            <w:shd w:val="thinDiagStripe" w:color="C0C0C0" w:fill="auto"/>
            <w:vAlign w:val="center"/>
          </w:tcPr>
          <w:p w14:paraId="3D9B1834" w14:textId="77777777" w:rsidR="00FA1843" w:rsidRPr="00A7778D" w:rsidRDefault="00FA1843" w:rsidP="00041DD0">
            <w:pPr>
              <w:spacing w:before="60" w:after="60"/>
              <w:jc w:val="center"/>
              <w:rPr>
                <w:b/>
                <w:noProof/>
              </w:rPr>
            </w:pPr>
            <w:r w:rsidRPr="00A7778D">
              <w:rPr>
                <w:b/>
                <w:noProof/>
                <w:sz w:val="22"/>
              </w:rPr>
              <w:t xml:space="preserve">Monivuotisen rahoituskehyksen otsake </w:t>
            </w:r>
          </w:p>
        </w:tc>
        <w:tc>
          <w:tcPr>
            <w:tcW w:w="1080" w:type="dxa"/>
            <w:vAlign w:val="center"/>
          </w:tcPr>
          <w:p w14:paraId="01FC50E5" w14:textId="77777777" w:rsidR="00FA1843" w:rsidRPr="00A7778D" w:rsidRDefault="00FA1843" w:rsidP="00041DD0">
            <w:pPr>
              <w:spacing w:before="60" w:after="60"/>
              <w:jc w:val="center"/>
              <w:rPr>
                <w:noProof/>
              </w:rPr>
            </w:pPr>
            <w:r w:rsidRPr="00A7778D">
              <w:rPr>
                <w:noProof/>
                <w:sz w:val="22"/>
              </w:rPr>
              <w:t>Numero</w:t>
            </w:r>
          </w:p>
        </w:tc>
        <w:tc>
          <w:tcPr>
            <w:tcW w:w="7817" w:type="dxa"/>
            <w:vAlign w:val="center"/>
          </w:tcPr>
          <w:p w14:paraId="47B8180A" w14:textId="77777777" w:rsidR="00FA1843" w:rsidRPr="00A7778D" w:rsidRDefault="00FA1843" w:rsidP="00041DD0">
            <w:pPr>
              <w:spacing w:before="60" w:after="60"/>
              <w:rPr>
                <w:noProof/>
              </w:rPr>
            </w:pPr>
            <w:r w:rsidRPr="00A7778D">
              <w:rPr>
                <w:noProof/>
              </w:rPr>
              <w:t>[Otsake……………...………………………………………………………]</w:t>
            </w:r>
          </w:p>
        </w:tc>
      </w:tr>
    </w:tbl>
    <w:p w14:paraId="3194BA38" w14:textId="77777777" w:rsidR="00FA1843" w:rsidRPr="00A7778D" w:rsidRDefault="00FA1843" w:rsidP="00FA1843">
      <w:pPr>
        <w:rPr>
          <w:b/>
          <w:bCs/>
          <w:noProof/>
          <w:sz w:val="20"/>
          <w:szCs w:val="20"/>
        </w:rPr>
      </w:pPr>
    </w:p>
    <w:tbl>
      <w:tblPr>
        <w:tblW w:w="130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1560"/>
        <w:gridCol w:w="708"/>
        <w:gridCol w:w="1036"/>
        <w:gridCol w:w="1035"/>
        <w:gridCol w:w="1036"/>
        <w:gridCol w:w="1035"/>
        <w:gridCol w:w="1036"/>
        <w:gridCol w:w="1843"/>
      </w:tblGrid>
      <w:tr w:rsidR="00FA1843" w:rsidRPr="00A7778D" w14:paraId="3C4EF3EE" w14:textId="77777777" w:rsidTr="00041DD0">
        <w:tc>
          <w:tcPr>
            <w:tcW w:w="3762" w:type="dxa"/>
            <w:vAlign w:val="center"/>
          </w:tcPr>
          <w:p w14:paraId="31B8CC70" w14:textId="77777777" w:rsidR="00FA1843" w:rsidRPr="00A7778D" w:rsidRDefault="00FA1843" w:rsidP="00041DD0">
            <w:pPr>
              <w:jc w:val="center"/>
              <w:rPr>
                <w:noProof/>
                <w:sz w:val="20"/>
                <w:szCs w:val="20"/>
              </w:rPr>
            </w:pPr>
            <w:r w:rsidRPr="00A7778D">
              <w:rPr>
                <w:noProof/>
                <w:sz w:val="22"/>
              </w:rPr>
              <w:t xml:space="preserve">[Elin]: </w:t>
            </w:r>
            <w:r w:rsidRPr="00A7778D">
              <w:rPr>
                <w:noProof/>
              </w:rPr>
              <w:t>&lt;…….&gt;</w:t>
            </w:r>
          </w:p>
        </w:tc>
        <w:tc>
          <w:tcPr>
            <w:tcW w:w="1560" w:type="dxa"/>
            <w:vAlign w:val="center"/>
          </w:tcPr>
          <w:p w14:paraId="1987B337" w14:textId="77777777" w:rsidR="00FA1843" w:rsidRPr="00A7778D" w:rsidRDefault="00FA1843" w:rsidP="00041DD0">
            <w:pPr>
              <w:rPr>
                <w:noProof/>
                <w:sz w:val="20"/>
                <w:szCs w:val="20"/>
              </w:rPr>
            </w:pPr>
          </w:p>
        </w:tc>
        <w:tc>
          <w:tcPr>
            <w:tcW w:w="708" w:type="dxa"/>
            <w:vAlign w:val="center"/>
          </w:tcPr>
          <w:p w14:paraId="05F3063F" w14:textId="77777777" w:rsidR="00FA1843" w:rsidRPr="00A7778D" w:rsidRDefault="00FA1843" w:rsidP="00041DD0">
            <w:pPr>
              <w:jc w:val="center"/>
              <w:rPr>
                <w:noProof/>
                <w:sz w:val="20"/>
                <w:szCs w:val="20"/>
              </w:rPr>
            </w:pPr>
          </w:p>
        </w:tc>
        <w:tc>
          <w:tcPr>
            <w:tcW w:w="1036" w:type="dxa"/>
            <w:vAlign w:val="center"/>
          </w:tcPr>
          <w:p w14:paraId="57435A61" w14:textId="77777777" w:rsidR="00FA1843" w:rsidRPr="00A7778D" w:rsidRDefault="00FA1843" w:rsidP="00041DD0">
            <w:pPr>
              <w:jc w:val="center"/>
              <w:rPr>
                <w:noProof/>
                <w:sz w:val="20"/>
                <w:szCs w:val="20"/>
              </w:rPr>
            </w:pPr>
            <w:r w:rsidRPr="00A7778D">
              <w:rPr>
                <w:noProof/>
                <w:sz w:val="20"/>
              </w:rPr>
              <w:t>2023</w:t>
            </w:r>
          </w:p>
        </w:tc>
        <w:tc>
          <w:tcPr>
            <w:tcW w:w="1035" w:type="dxa"/>
            <w:vAlign w:val="center"/>
          </w:tcPr>
          <w:p w14:paraId="4DEF1D9E" w14:textId="77777777" w:rsidR="00FA1843" w:rsidRPr="00A7778D" w:rsidRDefault="00FA1843" w:rsidP="00041DD0">
            <w:pPr>
              <w:jc w:val="center"/>
              <w:rPr>
                <w:noProof/>
                <w:sz w:val="20"/>
                <w:szCs w:val="20"/>
              </w:rPr>
            </w:pPr>
            <w:r w:rsidRPr="00A7778D">
              <w:rPr>
                <w:noProof/>
                <w:sz w:val="20"/>
              </w:rPr>
              <w:t>2024</w:t>
            </w:r>
          </w:p>
        </w:tc>
        <w:tc>
          <w:tcPr>
            <w:tcW w:w="1036" w:type="dxa"/>
            <w:vAlign w:val="center"/>
          </w:tcPr>
          <w:p w14:paraId="69502331" w14:textId="77777777" w:rsidR="00FA1843" w:rsidRPr="00A7778D" w:rsidRDefault="00FA1843" w:rsidP="00041DD0">
            <w:pPr>
              <w:jc w:val="center"/>
              <w:rPr>
                <w:noProof/>
                <w:sz w:val="20"/>
                <w:szCs w:val="20"/>
              </w:rPr>
            </w:pPr>
            <w:r w:rsidRPr="00A7778D">
              <w:rPr>
                <w:noProof/>
                <w:sz w:val="20"/>
              </w:rPr>
              <w:t>2025</w:t>
            </w:r>
          </w:p>
        </w:tc>
        <w:tc>
          <w:tcPr>
            <w:tcW w:w="1035" w:type="dxa"/>
            <w:vAlign w:val="center"/>
          </w:tcPr>
          <w:p w14:paraId="4263051D" w14:textId="77777777" w:rsidR="00FA1843" w:rsidRPr="00A7778D" w:rsidRDefault="00FA1843" w:rsidP="00041DD0">
            <w:pPr>
              <w:jc w:val="center"/>
              <w:rPr>
                <w:noProof/>
                <w:sz w:val="20"/>
                <w:szCs w:val="20"/>
              </w:rPr>
            </w:pPr>
            <w:r w:rsidRPr="00A7778D">
              <w:rPr>
                <w:noProof/>
                <w:sz w:val="20"/>
              </w:rPr>
              <w:t>2026</w:t>
            </w:r>
          </w:p>
        </w:tc>
        <w:tc>
          <w:tcPr>
            <w:tcW w:w="1036" w:type="dxa"/>
            <w:vAlign w:val="center"/>
          </w:tcPr>
          <w:p w14:paraId="6BC7FC1B" w14:textId="77777777" w:rsidR="00FA1843" w:rsidRPr="00A7778D" w:rsidRDefault="00FA1843" w:rsidP="00041DD0">
            <w:pPr>
              <w:jc w:val="center"/>
              <w:rPr>
                <w:noProof/>
                <w:sz w:val="20"/>
                <w:szCs w:val="20"/>
              </w:rPr>
            </w:pPr>
            <w:r w:rsidRPr="00A7778D">
              <w:rPr>
                <w:noProof/>
                <w:sz w:val="20"/>
              </w:rPr>
              <w:t>2027</w:t>
            </w:r>
          </w:p>
        </w:tc>
        <w:tc>
          <w:tcPr>
            <w:tcW w:w="1843" w:type="dxa"/>
            <w:vAlign w:val="center"/>
          </w:tcPr>
          <w:p w14:paraId="721F7817" w14:textId="77777777" w:rsidR="00FA1843" w:rsidRPr="00A7778D" w:rsidRDefault="00FA1843" w:rsidP="00041DD0">
            <w:pPr>
              <w:jc w:val="center"/>
              <w:rPr>
                <w:b/>
                <w:noProof/>
                <w:sz w:val="20"/>
                <w:szCs w:val="20"/>
              </w:rPr>
            </w:pPr>
            <w:r w:rsidRPr="00A7778D">
              <w:rPr>
                <w:b/>
                <w:noProof/>
                <w:sz w:val="20"/>
              </w:rPr>
              <w:t>YHTEENSÄ</w:t>
            </w:r>
          </w:p>
        </w:tc>
      </w:tr>
      <w:tr w:rsidR="00FA1843" w:rsidRPr="00A7778D" w14:paraId="0345291D" w14:textId="77777777" w:rsidTr="00041DD0">
        <w:trPr>
          <w:trHeight w:val="277"/>
        </w:trPr>
        <w:tc>
          <w:tcPr>
            <w:tcW w:w="3762" w:type="dxa"/>
            <w:vMerge w:val="restart"/>
            <w:vAlign w:val="center"/>
          </w:tcPr>
          <w:p w14:paraId="3BF0C8C1" w14:textId="77777777" w:rsidR="00FA1843" w:rsidRPr="00A7778D" w:rsidRDefault="00FA1843" w:rsidP="00041DD0">
            <w:pPr>
              <w:rPr>
                <w:noProof/>
                <w:sz w:val="20"/>
                <w:szCs w:val="20"/>
              </w:rPr>
            </w:pPr>
            <w:r w:rsidRPr="00A7778D">
              <w:rPr>
                <w:noProof/>
                <w:sz w:val="20"/>
              </w:rPr>
              <w:t>Osasto 1:</w:t>
            </w:r>
          </w:p>
        </w:tc>
        <w:tc>
          <w:tcPr>
            <w:tcW w:w="1560" w:type="dxa"/>
            <w:vAlign w:val="center"/>
          </w:tcPr>
          <w:p w14:paraId="1F525F0B" w14:textId="77777777" w:rsidR="00FA1843" w:rsidRPr="00A7778D" w:rsidRDefault="00FA1843" w:rsidP="00041DD0">
            <w:pPr>
              <w:spacing w:before="20" w:after="20"/>
              <w:rPr>
                <w:noProof/>
                <w:sz w:val="18"/>
                <w:szCs w:val="18"/>
              </w:rPr>
            </w:pPr>
            <w:r w:rsidRPr="00A7778D">
              <w:rPr>
                <w:noProof/>
                <w:sz w:val="18"/>
              </w:rPr>
              <w:t>Sitoumukset</w:t>
            </w:r>
          </w:p>
        </w:tc>
        <w:tc>
          <w:tcPr>
            <w:tcW w:w="708" w:type="dxa"/>
            <w:vAlign w:val="center"/>
          </w:tcPr>
          <w:p w14:paraId="3614F50D" w14:textId="77777777" w:rsidR="00FA1843" w:rsidRPr="00A7778D" w:rsidRDefault="00FA1843" w:rsidP="00041DD0">
            <w:pPr>
              <w:spacing w:before="20" w:after="20"/>
              <w:jc w:val="center"/>
              <w:rPr>
                <w:noProof/>
                <w:sz w:val="18"/>
                <w:szCs w:val="18"/>
              </w:rPr>
            </w:pPr>
            <w:r w:rsidRPr="00A7778D">
              <w:rPr>
                <w:noProof/>
                <w:sz w:val="18"/>
              </w:rPr>
              <w:t>(1)</w:t>
            </w:r>
          </w:p>
        </w:tc>
        <w:tc>
          <w:tcPr>
            <w:tcW w:w="1036" w:type="dxa"/>
            <w:vAlign w:val="center"/>
          </w:tcPr>
          <w:p w14:paraId="5D09B535" w14:textId="77777777" w:rsidR="00FA1843" w:rsidRPr="00A7778D" w:rsidRDefault="00FA1843" w:rsidP="00041DD0">
            <w:pPr>
              <w:spacing w:before="20" w:after="20"/>
              <w:jc w:val="right"/>
              <w:rPr>
                <w:noProof/>
                <w:sz w:val="20"/>
                <w:szCs w:val="20"/>
              </w:rPr>
            </w:pPr>
          </w:p>
        </w:tc>
        <w:tc>
          <w:tcPr>
            <w:tcW w:w="1035" w:type="dxa"/>
            <w:vAlign w:val="center"/>
          </w:tcPr>
          <w:p w14:paraId="5879A904" w14:textId="77777777" w:rsidR="00FA1843" w:rsidRPr="00A7778D" w:rsidRDefault="00FA1843" w:rsidP="00041DD0">
            <w:pPr>
              <w:spacing w:before="0" w:after="0"/>
              <w:jc w:val="right"/>
              <w:rPr>
                <w:noProof/>
                <w:color w:val="000000"/>
                <w:sz w:val="20"/>
                <w:szCs w:val="20"/>
              </w:rPr>
            </w:pPr>
          </w:p>
        </w:tc>
        <w:tc>
          <w:tcPr>
            <w:tcW w:w="1036" w:type="dxa"/>
            <w:vAlign w:val="center"/>
          </w:tcPr>
          <w:p w14:paraId="4E55D478" w14:textId="77777777" w:rsidR="00FA1843" w:rsidRPr="00A7778D" w:rsidRDefault="00FA1843" w:rsidP="00041DD0">
            <w:pPr>
              <w:jc w:val="right"/>
              <w:rPr>
                <w:noProof/>
                <w:color w:val="000000"/>
                <w:sz w:val="20"/>
                <w:szCs w:val="20"/>
              </w:rPr>
            </w:pPr>
          </w:p>
        </w:tc>
        <w:tc>
          <w:tcPr>
            <w:tcW w:w="1035" w:type="dxa"/>
            <w:vAlign w:val="center"/>
          </w:tcPr>
          <w:p w14:paraId="4DC4ED83" w14:textId="77777777" w:rsidR="00FA1843" w:rsidRPr="00A7778D" w:rsidRDefault="00FA1843" w:rsidP="00041DD0">
            <w:pPr>
              <w:jc w:val="right"/>
              <w:rPr>
                <w:noProof/>
                <w:color w:val="000000"/>
                <w:sz w:val="20"/>
                <w:szCs w:val="20"/>
              </w:rPr>
            </w:pPr>
          </w:p>
        </w:tc>
        <w:tc>
          <w:tcPr>
            <w:tcW w:w="1036" w:type="dxa"/>
            <w:vAlign w:val="center"/>
          </w:tcPr>
          <w:p w14:paraId="16D8A657" w14:textId="77777777" w:rsidR="00FA1843" w:rsidRPr="00A7778D" w:rsidRDefault="00FA1843" w:rsidP="00041DD0">
            <w:pPr>
              <w:jc w:val="right"/>
              <w:rPr>
                <w:noProof/>
                <w:color w:val="000000"/>
                <w:sz w:val="20"/>
                <w:szCs w:val="20"/>
              </w:rPr>
            </w:pPr>
          </w:p>
        </w:tc>
        <w:tc>
          <w:tcPr>
            <w:tcW w:w="1843" w:type="dxa"/>
            <w:vAlign w:val="center"/>
          </w:tcPr>
          <w:p w14:paraId="107212BA" w14:textId="77777777" w:rsidR="00FA1843" w:rsidRPr="00A7778D" w:rsidRDefault="00FA1843" w:rsidP="00041DD0">
            <w:pPr>
              <w:jc w:val="right"/>
              <w:rPr>
                <w:b/>
                <w:bCs/>
                <w:noProof/>
                <w:color w:val="000000"/>
                <w:sz w:val="20"/>
                <w:szCs w:val="20"/>
              </w:rPr>
            </w:pPr>
          </w:p>
        </w:tc>
      </w:tr>
      <w:tr w:rsidR="00FA1843" w:rsidRPr="00A7778D" w14:paraId="152C350D" w14:textId="77777777" w:rsidTr="00041DD0">
        <w:tc>
          <w:tcPr>
            <w:tcW w:w="3762" w:type="dxa"/>
            <w:vMerge/>
            <w:vAlign w:val="center"/>
          </w:tcPr>
          <w:p w14:paraId="0F46F237" w14:textId="77777777" w:rsidR="00FA1843" w:rsidRPr="00A7778D" w:rsidRDefault="00FA1843" w:rsidP="00041DD0">
            <w:pPr>
              <w:rPr>
                <w:noProof/>
                <w:sz w:val="20"/>
                <w:szCs w:val="20"/>
              </w:rPr>
            </w:pPr>
          </w:p>
        </w:tc>
        <w:tc>
          <w:tcPr>
            <w:tcW w:w="1560" w:type="dxa"/>
            <w:vAlign w:val="center"/>
          </w:tcPr>
          <w:p w14:paraId="2FC6CFB2" w14:textId="77777777" w:rsidR="00FA1843" w:rsidRPr="00A7778D" w:rsidRDefault="00FA1843" w:rsidP="00041DD0">
            <w:pPr>
              <w:spacing w:before="20" w:after="20"/>
              <w:rPr>
                <w:noProof/>
                <w:sz w:val="18"/>
                <w:szCs w:val="18"/>
              </w:rPr>
            </w:pPr>
            <w:r w:rsidRPr="00A7778D">
              <w:rPr>
                <w:noProof/>
                <w:sz w:val="18"/>
              </w:rPr>
              <w:t>Maksut</w:t>
            </w:r>
          </w:p>
        </w:tc>
        <w:tc>
          <w:tcPr>
            <w:tcW w:w="708" w:type="dxa"/>
            <w:vAlign w:val="center"/>
          </w:tcPr>
          <w:p w14:paraId="791AB47B" w14:textId="77777777" w:rsidR="00FA1843" w:rsidRPr="00A7778D" w:rsidRDefault="00FA1843" w:rsidP="00041DD0">
            <w:pPr>
              <w:spacing w:before="20" w:after="20"/>
              <w:jc w:val="center"/>
              <w:rPr>
                <w:noProof/>
                <w:sz w:val="18"/>
                <w:szCs w:val="18"/>
              </w:rPr>
            </w:pPr>
            <w:r w:rsidRPr="00A7778D">
              <w:rPr>
                <w:noProof/>
                <w:sz w:val="18"/>
              </w:rPr>
              <w:t>(2)</w:t>
            </w:r>
          </w:p>
        </w:tc>
        <w:tc>
          <w:tcPr>
            <w:tcW w:w="1036" w:type="dxa"/>
            <w:vAlign w:val="center"/>
          </w:tcPr>
          <w:p w14:paraId="108AC434" w14:textId="77777777" w:rsidR="00FA1843" w:rsidRPr="00A7778D" w:rsidRDefault="00FA1843" w:rsidP="00041DD0">
            <w:pPr>
              <w:spacing w:before="20" w:after="20"/>
              <w:jc w:val="right"/>
              <w:rPr>
                <w:noProof/>
                <w:sz w:val="20"/>
                <w:szCs w:val="20"/>
              </w:rPr>
            </w:pPr>
          </w:p>
        </w:tc>
        <w:tc>
          <w:tcPr>
            <w:tcW w:w="1035" w:type="dxa"/>
            <w:vAlign w:val="center"/>
          </w:tcPr>
          <w:p w14:paraId="3695B98F" w14:textId="77777777" w:rsidR="00FA1843" w:rsidRPr="00A7778D" w:rsidRDefault="00FA1843" w:rsidP="00041DD0">
            <w:pPr>
              <w:spacing w:before="0" w:after="0"/>
              <w:jc w:val="right"/>
              <w:rPr>
                <w:noProof/>
                <w:color w:val="000000"/>
                <w:sz w:val="20"/>
                <w:szCs w:val="20"/>
              </w:rPr>
            </w:pPr>
          </w:p>
        </w:tc>
        <w:tc>
          <w:tcPr>
            <w:tcW w:w="1036" w:type="dxa"/>
            <w:vAlign w:val="center"/>
          </w:tcPr>
          <w:p w14:paraId="28FC8568" w14:textId="77777777" w:rsidR="00FA1843" w:rsidRPr="00A7778D" w:rsidRDefault="00FA1843" w:rsidP="00041DD0">
            <w:pPr>
              <w:jc w:val="right"/>
              <w:rPr>
                <w:noProof/>
                <w:color w:val="000000"/>
                <w:sz w:val="20"/>
                <w:szCs w:val="20"/>
              </w:rPr>
            </w:pPr>
          </w:p>
        </w:tc>
        <w:tc>
          <w:tcPr>
            <w:tcW w:w="1035" w:type="dxa"/>
            <w:vAlign w:val="center"/>
          </w:tcPr>
          <w:p w14:paraId="7A96B42E" w14:textId="77777777" w:rsidR="00FA1843" w:rsidRPr="00A7778D" w:rsidRDefault="00FA1843" w:rsidP="00041DD0">
            <w:pPr>
              <w:jc w:val="right"/>
              <w:rPr>
                <w:noProof/>
                <w:color w:val="000000"/>
                <w:sz w:val="20"/>
                <w:szCs w:val="20"/>
              </w:rPr>
            </w:pPr>
          </w:p>
        </w:tc>
        <w:tc>
          <w:tcPr>
            <w:tcW w:w="1036" w:type="dxa"/>
            <w:vAlign w:val="center"/>
          </w:tcPr>
          <w:p w14:paraId="028B3AE8" w14:textId="77777777" w:rsidR="00FA1843" w:rsidRPr="00A7778D" w:rsidRDefault="00FA1843" w:rsidP="00041DD0">
            <w:pPr>
              <w:jc w:val="right"/>
              <w:rPr>
                <w:noProof/>
                <w:color w:val="000000"/>
                <w:sz w:val="20"/>
                <w:szCs w:val="20"/>
              </w:rPr>
            </w:pPr>
          </w:p>
        </w:tc>
        <w:tc>
          <w:tcPr>
            <w:tcW w:w="1843" w:type="dxa"/>
            <w:vAlign w:val="center"/>
          </w:tcPr>
          <w:p w14:paraId="325F82DD" w14:textId="77777777" w:rsidR="00FA1843" w:rsidRPr="00A7778D" w:rsidRDefault="00FA1843" w:rsidP="00041DD0">
            <w:pPr>
              <w:jc w:val="right"/>
              <w:rPr>
                <w:b/>
                <w:bCs/>
                <w:noProof/>
                <w:color w:val="000000"/>
                <w:sz w:val="20"/>
                <w:szCs w:val="20"/>
              </w:rPr>
            </w:pPr>
          </w:p>
        </w:tc>
      </w:tr>
      <w:tr w:rsidR="00FA1843" w:rsidRPr="00A7778D" w14:paraId="1F2F0E26" w14:textId="77777777" w:rsidTr="00041DD0">
        <w:tc>
          <w:tcPr>
            <w:tcW w:w="3762" w:type="dxa"/>
            <w:vMerge w:val="restart"/>
            <w:vAlign w:val="center"/>
          </w:tcPr>
          <w:p w14:paraId="5BFBF941" w14:textId="77777777" w:rsidR="00FA1843" w:rsidRPr="00A7778D" w:rsidRDefault="00FA1843" w:rsidP="00041DD0">
            <w:pPr>
              <w:rPr>
                <w:noProof/>
                <w:sz w:val="20"/>
                <w:szCs w:val="20"/>
              </w:rPr>
            </w:pPr>
            <w:r w:rsidRPr="00A7778D">
              <w:rPr>
                <w:noProof/>
                <w:sz w:val="20"/>
              </w:rPr>
              <w:t>Osasto 2:</w:t>
            </w:r>
          </w:p>
        </w:tc>
        <w:tc>
          <w:tcPr>
            <w:tcW w:w="1560" w:type="dxa"/>
            <w:vAlign w:val="center"/>
          </w:tcPr>
          <w:p w14:paraId="6C962207" w14:textId="77777777" w:rsidR="00FA1843" w:rsidRPr="00A7778D" w:rsidRDefault="00FA1843" w:rsidP="00041DD0">
            <w:pPr>
              <w:spacing w:before="20" w:after="20"/>
              <w:rPr>
                <w:noProof/>
                <w:sz w:val="18"/>
                <w:szCs w:val="18"/>
              </w:rPr>
            </w:pPr>
            <w:r w:rsidRPr="00A7778D">
              <w:rPr>
                <w:noProof/>
                <w:sz w:val="18"/>
              </w:rPr>
              <w:t>Sitoumukset</w:t>
            </w:r>
          </w:p>
        </w:tc>
        <w:tc>
          <w:tcPr>
            <w:tcW w:w="708" w:type="dxa"/>
            <w:vAlign w:val="center"/>
          </w:tcPr>
          <w:p w14:paraId="56A46A91" w14:textId="77777777" w:rsidR="00FA1843" w:rsidRPr="00A7778D" w:rsidRDefault="00FA1843" w:rsidP="00041DD0">
            <w:pPr>
              <w:spacing w:before="20" w:after="20"/>
              <w:jc w:val="center"/>
              <w:rPr>
                <w:noProof/>
                <w:sz w:val="18"/>
                <w:szCs w:val="18"/>
              </w:rPr>
            </w:pPr>
            <w:r w:rsidRPr="00A7778D">
              <w:rPr>
                <w:noProof/>
                <w:sz w:val="18"/>
              </w:rPr>
              <w:t>(1a)</w:t>
            </w:r>
          </w:p>
        </w:tc>
        <w:tc>
          <w:tcPr>
            <w:tcW w:w="1036" w:type="dxa"/>
            <w:vAlign w:val="center"/>
          </w:tcPr>
          <w:p w14:paraId="7C99189C" w14:textId="77777777" w:rsidR="00FA1843" w:rsidRPr="00A7778D" w:rsidRDefault="00FA1843" w:rsidP="00041DD0">
            <w:pPr>
              <w:spacing w:before="20" w:after="20"/>
              <w:jc w:val="right"/>
              <w:rPr>
                <w:noProof/>
                <w:sz w:val="20"/>
                <w:szCs w:val="20"/>
              </w:rPr>
            </w:pPr>
          </w:p>
        </w:tc>
        <w:tc>
          <w:tcPr>
            <w:tcW w:w="1035" w:type="dxa"/>
            <w:vAlign w:val="center"/>
          </w:tcPr>
          <w:p w14:paraId="18521402" w14:textId="77777777" w:rsidR="00FA1843" w:rsidRPr="00A7778D" w:rsidRDefault="00FA1843" w:rsidP="00041DD0">
            <w:pPr>
              <w:spacing w:before="0" w:after="0"/>
              <w:jc w:val="right"/>
              <w:rPr>
                <w:noProof/>
                <w:color w:val="000000"/>
                <w:sz w:val="20"/>
                <w:szCs w:val="20"/>
              </w:rPr>
            </w:pPr>
          </w:p>
        </w:tc>
        <w:tc>
          <w:tcPr>
            <w:tcW w:w="1036" w:type="dxa"/>
            <w:vAlign w:val="center"/>
          </w:tcPr>
          <w:p w14:paraId="1FD6439B" w14:textId="77777777" w:rsidR="00FA1843" w:rsidRPr="00A7778D" w:rsidRDefault="00FA1843" w:rsidP="00041DD0">
            <w:pPr>
              <w:jc w:val="right"/>
              <w:rPr>
                <w:noProof/>
                <w:color w:val="000000"/>
                <w:sz w:val="20"/>
                <w:szCs w:val="20"/>
              </w:rPr>
            </w:pPr>
          </w:p>
        </w:tc>
        <w:tc>
          <w:tcPr>
            <w:tcW w:w="1035" w:type="dxa"/>
            <w:vAlign w:val="center"/>
          </w:tcPr>
          <w:p w14:paraId="79EC5198" w14:textId="77777777" w:rsidR="00FA1843" w:rsidRPr="00A7778D" w:rsidRDefault="00FA1843" w:rsidP="00041DD0">
            <w:pPr>
              <w:jc w:val="right"/>
              <w:rPr>
                <w:noProof/>
                <w:color w:val="000000"/>
                <w:sz w:val="20"/>
                <w:szCs w:val="20"/>
              </w:rPr>
            </w:pPr>
          </w:p>
        </w:tc>
        <w:tc>
          <w:tcPr>
            <w:tcW w:w="1036" w:type="dxa"/>
            <w:vAlign w:val="center"/>
          </w:tcPr>
          <w:p w14:paraId="7A032E93" w14:textId="77777777" w:rsidR="00FA1843" w:rsidRPr="00A7778D" w:rsidRDefault="00FA1843" w:rsidP="00041DD0">
            <w:pPr>
              <w:jc w:val="right"/>
              <w:rPr>
                <w:noProof/>
                <w:color w:val="000000"/>
                <w:sz w:val="20"/>
                <w:szCs w:val="20"/>
              </w:rPr>
            </w:pPr>
          </w:p>
        </w:tc>
        <w:tc>
          <w:tcPr>
            <w:tcW w:w="1843" w:type="dxa"/>
            <w:vAlign w:val="center"/>
          </w:tcPr>
          <w:p w14:paraId="671EAF11" w14:textId="77777777" w:rsidR="00FA1843" w:rsidRPr="00A7778D" w:rsidRDefault="00FA1843" w:rsidP="00041DD0">
            <w:pPr>
              <w:jc w:val="right"/>
              <w:rPr>
                <w:b/>
                <w:bCs/>
                <w:noProof/>
                <w:color w:val="000000"/>
                <w:sz w:val="20"/>
                <w:szCs w:val="20"/>
              </w:rPr>
            </w:pPr>
          </w:p>
        </w:tc>
      </w:tr>
      <w:tr w:rsidR="00FA1843" w:rsidRPr="00A7778D" w14:paraId="6D45F221" w14:textId="77777777" w:rsidTr="00041DD0">
        <w:tc>
          <w:tcPr>
            <w:tcW w:w="3762" w:type="dxa"/>
            <w:vMerge/>
            <w:vAlign w:val="center"/>
          </w:tcPr>
          <w:p w14:paraId="6B3E7BA7" w14:textId="77777777" w:rsidR="00FA1843" w:rsidRPr="00A7778D" w:rsidRDefault="00FA1843" w:rsidP="00041DD0">
            <w:pPr>
              <w:rPr>
                <w:noProof/>
                <w:sz w:val="20"/>
                <w:szCs w:val="20"/>
              </w:rPr>
            </w:pPr>
          </w:p>
        </w:tc>
        <w:tc>
          <w:tcPr>
            <w:tcW w:w="1560" w:type="dxa"/>
            <w:vAlign w:val="center"/>
          </w:tcPr>
          <w:p w14:paraId="571AAA2E" w14:textId="77777777" w:rsidR="00FA1843" w:rsidRPr="00A7778D" w:rsidRDefault="00FA1843" w:rsidP="00041DD0">
            <w:pPr>
              <w:spacing w:before="20" w:after="20"/>
              <w:rPr>
                <w:noProof/>
                <w:sz w:val="18"/>
                <w:szCs w:val="18"/>
              </w:rPr>
            </w:pPr>
            <w:r w:rsidRPr="00A7778D">
              <w:rPr>
                <w:noProof/>
                <w:sz w:val="18"/>
              </w:rPr>
              <w:t>Maksut</w:t>
            </w:r>
          </w:p>
        </w:tc>
        <w:tc>
          <w:tcPr>
            <w:tcW w:w="708" w:type="dxa"/>
            <w:vAlign w:val="center"/>
          </w:tcPr>
          <w:p w14:paraId="34FF91EF" w14:textId="77777777" w:rsidR="00FA1843" w:rsidRPr="00A7778D" w:rsidRDefault="00FA1843" w:rsidP="00041DD0">
            <w:pPr>
              <w:spacing w:before="20" w:after="20"/>
              <w:jc w:val="center"/>
              <w:rPr>
                <w:noProof/>
                <w:sz w:val="18"/>
                <w:szCs w:val="18"/>
              </w:rPr>
            </w:pPr>
            <w:r w:rsidRPr="00A7778D">
              <w:rPr>
                <w:noProof/>
                <w:sz w:val="18"/>
              </w:rPr>
              <w:t>(2a)</w:t>
            </w:r>
          </w:p>
        </w:tc>
        <w:tc>
          <w:tcPr>
            <w:tcW w:w="1036" w:type="dxa"/>
            <w:vAlign w:val="center"/>
          </w:tcPr>
          <w:p w14:paraId="4B8E54E4" w14:textId="77777777" w:rsidR="00FA1843" w:rsidRPr="00A7778D" w:rsidRDefault="00FA1843" w:rsidP="00041DD0">
            <w:pPr>
              <w:spacing w:before="20" w:after="20"/>
              <w:jc w:val="right"/>
              <w:rPr>
                <w:noProof/>
                <w:sz w:val="20"/>
                <w:szCs w:val="20"/>
              </w:rPr>
            </w:pPr>
          </w:p>
        </w:tc>
        <w:tc>
          <w:tcPr>
            <w:tcW w:w="1035" w:type="dxa"/>
            <w:vAlign w:val="center"/>
          </w:tcPr>
          <w:p w14:paraId="2E5B8B37" w14:textId="77777777" w:rsidR="00FA1843" w:rsidRPr="00A7778D" w:rsidRDefault="00FA1843" w:rsidP="00041DD0">
            <w:pPr>
              <w:spacing w:before="0" w:after="0"/>
              <w:jc w:val="right"/>
              <w:rPr>
                <w:noProof/>
                <w:color w:val="000000"/>
                <w:sz w:val="20"/>
                <w:szCs w:val="20"/>
              </w:rPr>
            </w:pPr>
          </w:p>
        </w:tc>
        <w:tc>
          <w:tcPr>
            <w:tcW w:w="1036" w:type="dxa"/>
            <w:vAlign w:val="center"/>
          </w:tcPr>
          <w:p w14:paraId="08F89566" w14:textId="77777777" w:rsidR="00FA1843" w:rsidRPr="00A7778D" w:rsidRDefault="00FA1843" w:rsidP="00041DD0">
            <w:pPr>
              <w:jc w:val="right"/>
              <w:rPr>
                <w:noProof/>
                <w:color w:val="000000"/>
                <w:sz w:val="20"/>
                <w:szCs w:val="20"/>
              </w:rPr>
            </w:pPr>
          </w:p>
        </w:tc>
        <w:tc>
          <w:tcPr>
            <w:tcW w:w="1035" w:type="dxa"/>
            <w:vAlign w:val="center"/>
          </w:tcPr>
          <w:p w14:paraId="43882A6B" w14:textId="77777777" w:rsidR="00FA1843" w:rsidRPr="00A7778D" w:rsidRDefault="00FA1843" w:rsidP="00041DD0">
            <w:pPr>
              <w:jc w:val="right"/>
              <w:rPr>
                <w:noProof/>
                <w:color w:val="000000"/>
                <w:sz w:val="20"/>
                <w:szCs w:val="20"/>
              </w:rPr>
            </w:pPr>
          </w:p>
        </w:tc>
        <w:tc>
          <w:tcPr>
            <w:tcW w:w="1036" w:type="dxa"/>
            <w:vAlign w:val="center"/>
          </w:tcPr>
          <w:p w14:paraId="59D025D5" w14:textId="77777777" w:rsidR="00FA1843" w:rsidRPr="00A7778D" w:rsidRDefault="00FA1843" w:rsidP="00041DD0">
            <w:pPr>
              <w:jc w:val="right"/>
              <w:rPr>
                <w:noProof/>
                <w:color w:val="000000"/>
                <w:sz w:val="20"/>
                <w:szCs w:val="20"/>
              </w:rPr>
            </w:pPr>
          </w:p>
        </w:tc>
        <w:tc>
          <w:tcPr>
            <w:tcW w:w="1843" w:type="dxa"/>
            <w:vAlign w:val="center"/>
          </w:tcPr>
          <w:p w14:paraId="214849DA" w14:textId="77777777" w:rsidR="00FA1843" w:rsidRPr="00A7778D" w:rsidRDefault="00FA1843" w:rsidP="00041DD0">
            <w:pPr>
              <w:jc w:val="right"/>
              <w:rPr>
                <w:b/>
                <w:bCs/>
                <w:noProof/>
                <w:color w:val="000000"/>
                <w:sz w:val="20"/>
                <w:szCs w:val="20"/>
              </w:rPr>
            </w:pPr>
          </w:p>
        </w:tc>
      </w:tr>
      <w:tr w:rsidR="00FA1843" w:rsidRPr="00A7778D" w14:paraId="4D9CF05E" w14:textId="77777777" w:rsidTr="00041DD0">
        <w:trPr>
          <w:trHeight w:val="319"/>
        </w:trPr>
        <w:tc>
          <w:tcPr>
            <w:tcW w:w="3762" w:type="dxa"/>
            <w:vMerge w:val="restart"/>
            <w:vAlign w:val="center"/>
          </w:tcPr>
          <w:p w14:paraId="2F66D633" w14:textId="77777777" w:rsidR="00FA1843" w:rsidRPr="00A7778D" w:rsidRDefault="00FA1843" w:rsidP="00041DD0">
            <w:pPr>
              <w:spacing w:before="60" w:after="60"/>
              <w:rPr>
                <w:noProof/>
                <w:sz w:val="20"/>
                <w:szCs w:val="20"/>
              </w:rPr>
            </w:pPr>
            <w:r w:rsidRPr="00A7778D">
              <w:rPr>
                <w:noProof/>
                <w:sz w:val="20"/>
              </w:rPr>
              <w:t>Osasto 3:</w:t>
            </w:r>
          </w:p>
        </w:tc>
        <w:tc>
          <w:tcPr>
            <w:tcW w:w="1560" w:type="dxa"/>
            <w:vAlign w:val="center"/>
          </w:tcPr>
          <w:p w14:paraId="17341FE5" w14:textId="77777777" w:rsidR="00FA1843" w:rsidRPr="00A7778D" w:rsidRDefault="00FA1843" w:rsidP="00041DD0">
            <w:pPr>
              <w:spacing w:before="40" w:after="40"/>
              <w:rPr>
                <w:noProof/>
                <w:sz w:val="18"/>
                <w:szCs w:val="18"/>
              </w:rPr>
            </w:pPr>
            <w:r w:rsidRPr="00A7778D">
              <w:rPr>
                <w:noProof/>
                <w:sz w:val="18"/>
              </w:rPr>
              <w:t>Sitoumukset</w:t>
            </w:r>
          </w:p>
        </w:tc>
        <w:tc>
          <w:tcPr>
            <w:tcW w:w="708" w:type="dxa"/>
            <w:vAlign w:val="center"/>
          </w:tcPr>
          <w:p w14:paraId="45B864F7" w14:textId="77777777" w:rsidR="00FA1843" w:rsidRPr="00A7778D" w:rsidRDefault="00FA1843" w:rsidP="00041DD0">
            <w:pPr>
              <w:spacing w:before="40" w:after="40"/>
              <w:jc w:val="center"/>
              <w:rPr>
                <w:noProof/>
                <w:sz w:val="18"/>
                <w:szCs w:val="18"/>
              </w:rPr>
            </w:pPr>
            <w:r w:rsidRPr="00A7778D">
              <w:rPr>
                <w:noProof/>
                <w:sz w:val="18"/>
              </w:rPr>
              <w:t>(3a)</w:t>
            </w:r>
          </w:p>
        </w:tc>
        <w:tc>
          <w:tcPr>
            <w:tcW w:w="1036" w:type="dxa"/>
            <w:vAlign w:val="center"/>
          </w:tcPr>
          <w:p w14:paraId="4E062A3A" w14:textId="77777777" w:rsidR="00FA1843" w:rsidRPr="00A7778D" w:rsidRDefault="00FA1843" w:rsidP="00041DD0">
            <w:pPr>
              <w:spacing w:before="40" w:after="40"/>
              <w:jc w:val="right"/>
              <w:rPr>
                <w:b/>
                <w:noProof/>
                <w:sz w:val="20"/>
                <w:szCs w:val="20"/>
              </w:rPr>
            </w:pPr>
          </w:p>
        </w:tc>
        <w:tc>
          <w:tcPr>
            <w:tcW w:w="1035" w:type="dxa"/>
            <w:vAlign w:val="center"/>
          </w:tcPr>
          <w:p w14:paraId="5D8ECC62" w14:textId="77777777" w:rsidR="00FA1843" w:rsidRPr="00A7778D" w:rsidRDefault="00FA1843" w:rsidP="00041DD0">
            <w:pPr>
              <w:spacing w:before="0" w:after="0"/>
              <w:jc w:val="right"/>
              <w:rPr>
                <w:noProof/>
                <w:color w:val="000000"/>
                <w:sz w:val="20"/>
                <w:szCs w:val="20"/>
              </w:rPr>
            </w:pPr>
          </w:p>
        </w:tc>
        <w:tc>
          <w:tcPr>
            <w:tcW w:w="1036" w:type="dxa"/>
            <w:vAlign w:val="center"/>
          </w:tcPr>
          <w:p w14:paraId="4A43B939" w14:textId="77777777" w:rsidR="00FA1843" w:rsidRPr="00A7778D" w:rsidRDefault="00FA1843" w:rsidP="00041DD0">
            <w:pPr>
              <w:jc w:val="right"/>
              <w:rPr>
                <w:noProof/>
                <w:color w:val="000000"/>
                <w:sz w:val="20"/>
                <w:szCs w:val="20"/>
              </w:rPr>
            </w:pPr>
          </w:p>
        </w:tc>
        <w:tc>
          <w:tcPr>
            <w:tcW w:w="1035" w:type="dxa"/>
            <w:vAlign w:val="center"/>
          </w:tcPr>
          <w:p w14:paraId="23258F95" w14:textId="77777777" w:rsidR="00FA1843" w:rsidRPr="00A7778D" w:rsidRDefault="00FA1843" w:rsidP="00041DD0">
            <w:pPr>
              <w:jc w:val="right"/>
              <w:rPr>
                <w:noProof/>
                <w:color w:val="000000"/>
                <w:sz w:val="20"/>
                <w:szCs w:val="20"/>
              </w:rPr>
            </w:pPr>
          </w:p>
        </w:tc>
        <w:tc>
          <w:tcPr>
            <w:tcW w:w="1036" w:type="dxa"/>
            <w:vAlign w:val="center"/>
          </w:tcPr>
          <w:p w14:paraId="730212BB" w14:textId="77777777" w:rsidR="00FA1843" w:rsidRPr="00A7778D" w:rsidRDefault="00FA1843" w:rsidP="00041DD0">
            <w:pPr>
              <w:jc w:val="right"/>
              <w:rPr>
                <w:noProof/>
                <w:color w:val="000000"/>
                <w:sz w:val="20"/>
                <w:szCs w:val="20"/>
              </w:rPr>
            </w:pPr>
          </w:p>
        </w:tc>
        <w:tc>
          <w:tcPr>
            <w:tcW w:w="1843" w:type="dxa"/>
            <w:vAlign w:val="center"/>
          </w:tcPr>
          <w:p w14:paraId="31957457" w14:textId="77777777" w:rsidR="00FA1843" w:rsidRPr="00A7778D" w:rsidRDefault="00FA1843" w:rsidP="00041DD0">
            <w:pPr>
              <w:jc w:val="right"/>
              <w:rPr>
                <w:b/>
                <w:bCs/>
                <w:noProof/>
                <w:color w:val="000000"/>
                <w:sz w:val="20"/>
                <w:szCs w:val="20"/>
              </w:rPr>
            </w:pPr>
          </w:p>
        </w:tc>
      </w:tr>
      <w:tr w:rsidR="00FA1843" w:rsidRPr="00A7778D" w14:paraId="719832CB" w14:textId="77777777" w:rsidTr="00041DD0">
        <w:trPr>
          <w:trHeight w:val="319"/>
        </w:trPr>
        <w:tc>
          <w:tcPr>
            <w:tcW w:w="3762" w:type="dxa"/>
            <w:vMerge/>
            <w:vAlign w:val="center"/>
          </w:tcPr>
          <w:p w14:paraId="18BE19EC" w14:textId="77777777" w:rsidR="00FA1843" w:rsidRPr="00A7778D" w:rsidRDefault="00FA1843" w:rsidP="00041DD0">
            <w:pPr>
              <w:spacing w:before="60" w:after="60"/>
              <w:rPr>
                <w:b/>
                <w:noProof/>
                <w:sz w:val="20"/>
                <w:szCs w:val="20"/>
              </w:rPr>
            </w:pPr>
          </w:p>
        </w:tc>
        <w:tc>
          <w:tcPr>
            <w:tcW w:w="1560" w:type="dxa"/>
            <w:vAlign w:val="center"/>
          </w:tcPr>
          <w:p w14:paraId="4FF5290F" w14:textId="77777777" w:rsidR="00FA1843" w:rsidRPr="00A7778D" w:rsidRDefault="00FA1843" w:rsidP="00041DD0">
            <w:pPr>
              <w:spacing w:before="40" w:after="40"/>
              <w:rPr>
                <w:noProof/>
                <w:sz w:val="18"/>
                <w:szCs w:val="18"/>
              </w:rPr>
            </w:pPr>
            <w:r w:rsidRPr="00A7778D">
              <w:rPr>
                <w:noProof/>
                <w:sz w:val="18"/>
              </w:rPr>
              <w:t>Maksut</w:t>
            </w:r>
          </w:p>
        </w:tc>
        <w:tc>
          <w:tcPr>
            <w:tcW w:w="708" w:type="dxa"/>
            <w:vAlign w:val="center"/>
          </w:tcPr>
          <w:p w14:paraId="0B34F261" w14:textId="77777777" w:rsidR="00FA1843" w:rsidRPr="00A7778D" w:rsidRDefault="00FA1843" w:rsidP="00041DD0">
            <w:pPr>
              <w:spacing w:before="40" w:after="40"/>
              <w:jc w:val="center"/>
              <w:rPr>
                <w:noProof/>
                <w:sz w:val="18"/>
                <w:szCs w:val="18"/>
              </w:rPr>
            </w:pPr>
            <w:r w:rsidRPr="00A7778D">
              <w:rPr>
                <w:noProof/>
                <w:sz w:val="18"/>
              </w:rPr>
              <w:t>(3b)</w:t>
            </w:r>
          </w:p>
        </w:tc>
        <w:tc>
          <w:tcPr>
            <w:tcW w:w="1036" w:type="dxa"/>
            <w:vAlign w:val="center"/>
          </w:tcPr>
          <w:p w14:paraId="0943231F" w14:textId="77777777" w:rsidR="00FA1843" w:rsidRPr="00A7778D" w:rsidRDefault="00FA1843" w:rsidP="00041DD0">
            <w:pPr>
              <w:spacing w:before="40" w:after="40"/>
              <w:jc w:val="right"/>
              <w:rPr>
                <w:b/>
                <w:noProof/>
                <w:sz w:val="20"/>
                <w:szCs w:val="20"/>
              </w:rPr>
            </w:pPr>
          </w:p>
        </w:tc>
        <w:tc>
          <w:tcPr>
            <w:tcW w:w="1035" w:type="dxa"/>
            <w:vAlign w:val="center"/>
          </w:tcPr>
          <w:p w14:paraId="6FA7125B" w14:textId="77777777" w:rsidR="00FA1843" w:rsidRPr="00A7778D" w:rsidRDefault="00FA1843" w:rsidP="00041DD0">
            <w:pPr>
              <w:spacing w:before="0" w:after="0"/>
              <w:jc w:val="right"/>
              <w:rPr>
                <w:noProof/>
                <w:color w:val="000000"/>
                <w:sz w:val="20"/>
                <w:szCs w:val="20"/>
              </w:rPr>
            </w:pPr>
          </w:p>
        </w:tc>
        <w:tc>
          <w:tcPr>
            <w:tcW w:w="1036" w:type="dxa"/>
            <w:vAlign w:val="center"/>
          </w:tcPr>
          <w:p w14:paraId="777832CD" w14:textId="77777777" w:rsidR="00FA1843" w:rsidRPr="00A7778D" w:rsidRDefault="00FA1843" w:rsidP="00041DD0">
            <w:pPr>
              <w:jc w:val="right"/>
              <w:rPr>
                <w:noProof/>
                <w:color w:val="000000"/>
                <w:sz w:val="20"/>
                <w:szCs w:val="20"/>
              </w:rPr>
            </w:pPr>
          </w:p>
        </w:tc>
        <w:tc>
          <w:tcPr>
            <w:tcW w:w="1035" w:type="dxa"/>
            <w:vAlign w:val="center"/>
          </w:tcPr>
          <w:p w14:paraId="5941EB84" w14:textId="77777777" w:rsidR="00FA1843" w:rsidRPr="00A7778D" w:rsidRDefault="00FA1843" w:rsidP="00041DD0">
            <w:pPr>
              <w:jc w:val="right"/>
              <w:rPr>
                <w:noProof/>
                <w:color w:val="000000"/>
                <w:sz w:val="20"/>
                <w:szCs w:val="20"/>
              </w:rPr>
            </w:pPr>
          </w:p>
        </w:tc>
        <w:tc>
          <w:tcPr>
            <w:tcW w:w="1036" w:type="dxa"/>
            <w:vAlign w:val="center"/>
          </w:tcPr>
          <w:p w14:paraId="50F50955" w14:textId="77777777" w:rsidR="00FA1843" w:rsidRPr="00A7778D" w:rsidRDefault="00FA1843" w:rsidP="00041DD0">
            <w:pPr>
              <w:jc w:val="right"/>
              <w:rPr>
                <w:noProof/>
                <w:color w:val="000000"/>
                <w:sz w:val="20"/>
                <w:szCs w:val="20"/>
              </w:rPr>
            </w:pPr>
          </w:p>
        </w:tc>
        <w:tc>
          <w:tcPr>
            <w:tcW w:w="1843" w:type="dxa"/>
            <w:vAlign w:val="center"/>
          </w:tcPr>
          <w:p w14:paraId="6373EEAC" w14:textId="77777777" w:rsidR="00FA1843" w:rsidRPr="00A7778D" w:rsidRDefault="00FA1843" w:rsidP="00041DD0">
            <w:pPr>
              <w:jc w:val="right"/>
              <w:rPr>
                <w:b/>
                <w:bCs/>
                <w:noProof/>
                <w:color w:val="000000"/>
                <w:sz w:val="20"/>
                <w:szCs w:val="20"/>
              </w:rPr>
            </w:pPr>
          </w:p>
        </w:tc>
      </w:tr>
      <w:tr w:rsidR="00FA1843" w:rsidRPr="00A7778D" w14:paraId="1A1FAA1B" w14:textId="77777777" w:rsidTr="00041DD0">
        <w:tc>
          <w:tcPr>
            <w:tcW w:w="3762" w:type="dxa"/>
            <w:vMerge w:val="restart"/>
            <w:vAlign w:val="center"/>
          </w:tcPr>
          <w:p w14:paraId="76E18EAD" w14:textId="77777777" w:rsidR="00FA1843" w:rsidRPr="00A7778D" w:rsidRDefault="00FA1843" w:rsidP="00041DD0">
            <w:pPr>
              <w:jc w:val="center"/>
              <w:rPr>
                <w:noProof/>
                <w:sz w:val="20"/>
                <w:szCs w:val="20"/>
              </w:rPr>
            </w:pPr>
            <w:r w:rsidRPr="00A7778D">
              <w:rPr>
                <w:b/>
                <w:bCs/>
                <w:noProof/>
              </w:rPr>
              <w:t>[Elimen] määrärahat YHTEENSÄ</w:t>
            </w:r>
          </w:p>
        </w:tc>
        <w:tc>
          <w:tcPr>
            <w:tcW w:w="1560" w:type="dxa"/>
            <w:vAlign w:val="center"/>
          </w:tcPr>
          <w:p w14:paraId="462B89A5" w14:textId="77777777" w:rsidR="00FA1843" w:rsidRPr="00A7778D" w:rsidRDefault="00FA1843" w:rsidP="00041DD0">
            <w:pPr>
              <w:rPr>
                <w:noProof/>
                <w:sz w:val="18"/>
                <w:szCs w:val="18"/>
              </w:rPr>
            </w:pPr>
            <w:r w:rsidRPr="00A7778D">
              <w:rPr>
                <w:noProof/>
                <w:sz w:val="18"/>
              </w:rPr>
              <w:t>Sitoumukset</w:t>
            </w:r>
          </w:p>
        </w:tc>
        <w:tc>
          <w:tcPr>
            <w:tcW w:w="708" w:type="dxa"/>
            <w:vAlign w:val="center"/>
          </w:tcPr>
          <w:p w14:paraId="0F4C5018" w14:textId="77777777" w:rsidR="00FA1843" w:rsidRPr="00A7778D" w:rsidRDefault="00FA1843" w:rsidP="00041DD0">
            <w:pPr>
              <w:jc w:val="center"/>
              <w:rPr>
                <w:noProof/>
                <w:sz w:val="18"/>
                <w:szCs w:val="18"/>
              </w:rPr>
            </w:pPr>
            <w:r w:rsidRPr="00A7778D">
              <w:rPr>
                <w:noProof/>
                <w:sz w:val="18"/>
              </w:rPr>
              <w:t>=1+1a +3a</w:t>
            </w:r>
          </w:p>
        </w:tc>
        <w:tc>
          <w:tcPr>
            <w:tcW w:w="1036" w:type="dxa"/>
            <w:vAlign w:val="center"/>
          </w:tcPr>
          <w:p w14:paraId="7DA95154" w14:textId="77777777" w:rsidR="00FA1843" w:rsidRPr="00A7778D" w:rsidRDefault="00FA1843" w:rsidP="00041DD0">
            <w:pPr>
              <w:spacing w:before="0" w:after="0"/>
              <w:jc w:val="right"/>
              <w:rPr>
                <w:b/>
                <w:bCs/>
                <w:noProof/>
                <w:color w:val="000000"/>
                <w:sz w:val="20"/>
                <w:szCs w:val="20"/>
              </w:rPr>
            </w:pPr>
          </w:p>
        </w:tc>
        <w:tc>
          <w:tcPr>
            <w:tcW w:w="1035" w:type="dxa"/>
            <w:vAlign w:val="center"/>
          </w:tcPr>
          <w:p w14:paraId="63A1EE96" w14:textId="77777777" w:rsidR="00FA1843" w:rsidRPr="00A7778D" w:rsidRDefault="00FA1843" w:rsidP="00041DD0">
            <w:pPr>
              <w:spacing w:before="0" w:after="0"/>
              <w:jc w:val="right"/>
              <w:rPr>
                <w:b/>
                <w:bCs/>
                <w:noProof/>
                <w:color w:val="000000"/>
                <w:sz w:val="20"/>
                <w:szCs w:val="20"/>
              </w:rPr>
            </w:pPr>
          </w:p>
        </w:tc>
        <w:tc>
          <w:tcPr>
            <w:tcW w:w="1036" w:type="dxa"/>
            <w:vAlign w:val="center"/>
          </w:tcPr>
          <w:p w14:paraId="564AE00F" w14:textId="77777777" w:rsidR="00FA1843" w:rsidRPr="00A7778D" w:rsidRDefault="00FA1843" w:rsidP="00041DD0">
            <w:pPr>
              <w:spacing w:before="0" w:after="0"/>
              <w:jc w:val="right"/>
              <w:rPr>
                <w:b/>
                <w:bCs/>
                <w:noProof/>
                <w:color w:val="000000"/>
                <w:sz w:val="20"/>
                <w:szCs w:val="20"/>
              </w:rPr>
            </w:pPr>
          </w:p>
        </w:tc>
        <w:tc>
          <w:tcPr>
            <w:tcW w:w="1035" w:type="dxa"/>
            <w:vAlign w:val="center"/>
          </w:tcPr>
          <w:p w14:paraId="11828B0D" w14:textId="77777777" w:rsidR="00FA1843" w:rsidRPr="00A7778D" w:rsidRDefault="00FA1843" w:rsidP="00041DD0">
            <w:pPr>
              <w:spacing w:before="0" w:after="0"/>
              <w:jc w:val="right"/>
              <w:rPr>
                <w:b/>
                <w:bCs/>
                <w:noProof/>
                <w:color w:val="000000"/>
                <w:sz w:val="20"/>
                <w:szCs w:val="20"/>
              </w:rPr>
            </w:pPr>
          </w:p>
        </w:tc>
        <w:tc>
          <w:tcPr>
            <w:tcW w:w="1036" w:type="dxa"/>
            <w:vAlign w:val="center"/>
          </w:tcPr>
          <w:p w14:paraId="581D1EE7" w14:textId="77777777" w:rsidR="00FA1843" w:rsidRPr="00A7778D" w:rsidRDefault="00FA1843" w:rsidP="00041DD0">
            <w:pPr>
              <w:spacing w:before="0" w:after="0"/>
              <w:jc w:val="right"/>
              <w:rPr>
                <w:b/>
                <w:bCs/>
                <w:noProof/>
                <w:color w:val="000000"/>
                <w:sz w:val="20"/>
                <w:szCs w:val="20"/>
              </w:rPr>
            </w:pPr>
          </w:p>
        </w:tc>
        <w:tc>
          <w:tcPr>
            <w:tcW w:w="1843" w:type="dxa"/>
            <w:vAlign w:val="center"/>
          </w:tcPr>
          <w:p w14:paraId="7037720F" w14:textId="77777777" w:rsidR="00FA1843" w:rsidRPr="00A7778D" w:rsidRDefault="00FA1843" w:rsidP="00041DD0">
            <w:pPr>
              <w:spacing w:before="0" w:after="0"/>
              <w:jc w:val="right"/>
              <w:rPr>
                <w:b/>
                <w:bCs/>
                <w:noProof/>
                <w:color w:val="000000"/>
                <w:sz w:val="20"/>
                <w:szCs w:val="20"/>
              </w:rPr>
            </w:pPr>
          </w:p>
        </w:tc>
      </w:tr>
      <w:tr w:rsidR="00FA1843" w:rsidRPr="00A7778D" w14:paraId="798E0E65" w14:textId="77777777" w:rsidTr="00041DD0">
        <w:trPr>
          <w:trHeight w:val="659"/>
        </w:trPr>
        <w:tc>
          <w:tcPr>
            <w:tcW w:w="3762" w:type="dxa"/>
            <w:vMerge/>
            <w:vAlign w:val="center"/>
          </w:tcPr>
          <w:p w14:paraId="4BCD7CA3" w14:textId="77777777" w:rsidR="00FA1843" w:rsidRPr="00A7778D" w:rsidRDefault="00FA1843" w:rsidP="00041DD0">
            <w:pPr>
              <w:rPr>
                <w:b/>
                <w:noProof/>
                <w:sz w:val="20"/>
                <w:szCs w:val="20"/>
              </w:rPr>
            </w:pPr>
          </w:p>
        </w:tc>
        <w:tc>
          <w:tcPr>
            <w:tcW w:w="1560" w:type="dxa"/>
            <w:vAlign w:val="center"/>
          </w:tcPr>
          <w:p w14:paraId="25336736" w14:textId="77777777" w:rsidR="00FA1843" w:rsidRPr="00A7778D" w:rsidRDefault="00FA1843" w:rsidP="00041DD0">
            <w:pPr>
              <w:rPr>
                <w:noProof/>
                <w:sz w:val="18"/>
                <w:szCs w:val="18"/>
              </w:rPr>
            </w:pPr>
            <w:r w:rsidRPr="00A7778D">
              <w:rPr>
                <w:noProof/>
                <w:sz w:val="18"/>
              </w:rPr>
              <w:t>Maksut</w:t>
            </w:r>
          </w:p>
        </w:tc>
        <w:tc>
          <w:tcPr>
            <w:tcW w:w="708" w:type="dxa"/>
            <w:vAlign w:val="center"/>
          </w:tcPr>
          <w:p w14:paraId="400B4EF8" w14:textId="77777777" w:rsidR="00FA1843" w:rsidRPr="00A7778D" w:rsidRDefault="00FA1843" w:rsidP="00041DD0">
            <w:pPr>
              <w:jc w:val="center"/>
              <w:rPr>
                <w:noProof/>
                <w:sz w:val="18"/>
                <w:szCs w:val="18"/>
              </w:rPr>
            </w:pPr>
            <w:r w:rsidRPr="00A7778D">
              <w:rPr>
                <w:noProof/>
                <w:sz w:val="18"/>
              </w:rPr>
              <w:t>=2+2a</w:t>
            </w:r>
          </w:p>
          <w:p w14:paraId="0CE15D75" w14:textId="77777777" w:rsidR="00FA1843" w:rsidRPr="00A7778D" w:rsidRDefault="00FA1843" w:rsidP="00041DD0">
            <w:pPr>
              <w:jc w:val="center"/>
              <w:rPr>
                <w:noProof/>
                <w:sz w:val="18"/>
                <w:szCs w:val="18"/>
              </w:rPr>
            </w:pPr>
            <w:r w:rsidRPr="00A7778D">
              <w:rPr>
                <w:noProof/>
                <w:sz w:val="18"/>
              </w:rPr>
              <w:t>+3b</w:t>
            </w:r>
          </w:p>
        </w:tc>
        <w:tc>
          <w:tcPr>
            <w:tcW w:w="1036" w:type="dxa"/>
            <w:vAlign w:val="center"/>
          </w:tcPr>
          <w:p w14:paraId="3CCB116B" w14:textId="77777777" w:rsidR="00FA1843" w:rsidRPr="00A7778D" w:rsidRDefault="00FA1843" w:rsidP="00041DD0">
            <w:pPr>
              <w:spacing w:before="0" w:after="0"/>
              <w:jc w:val="right"/>
              <w:rPr>
                <w:b/>
                <w:bCs/>
                <w:noProof/>
                <w:color w:val="000000"/>
                <w:sz w:val="20"/>
                <w:szCs w:val="20"/>
              </w:rPr>
            </w:pPr>
          </w:p>
        </w:tc>
        <w:tc>
          <w:tcPr>
            <w:tcW w:w="1035" w:type="dxa"/>
            <w:vAlign w:val="center"/>
          </w:tcPr>
          <w:p w14:paraId="55680D63" w14:textId="77777777" w:rsidR="00FA1843" w:rsidRPr="00A7778D" w:rsidRDefault="00FA1843" w:rsidP="00041DD0">
            <w:pPr>
              <w:spacing w:before="0" w:after="0"/>
              <w:jc w:val="right"/>
              <w:rPr>
                <w:b/>
                <w:bCs/>
                <w:noProof/>
                <w:color w:val="000000"/>
                <w:sz w:val="20"/>
                <w:szCs w:val="20"/>
              </w:rPr>
            </w:pPr>
          </w:p>
        </w:tc>
        <w:tc>
          <w:tcPr>
            <w:tcW w:w="1036" w:type="dxa"/>
            <w:vAlign w:val="center"/>
          </w:tcPr>
          <w:p w14:paraId="13D66ECD" w14:textId="77777777" w:rsidR="00FA1843" w:rsidRPr="00A7778D" w:rsidRDefault="00FA1843" w:rsidP="00041DD0">
            <w:pPr>
              <w:spacing w:before="0" w:after="0"/>
              <w:jc w:val="right"/>
              <w:rPr>
                <w:b/>
                <w:bCs/>
                <w:noProof/>
                <w:color w:val="000000"/>
                <w:sz w:val="20"/>
                <w:szCs w:val="20"/>
              </w:rPr>
            </w:pPr>
          </w:p>
        </w:tc>
        <w:tc>
          <w:tcPr>
            <w:tcW w:w="1035" w:type="dxa"/>
            <w:vAlign w:val="center"/>
          </w:tcPr>
          <w:p w14:paraId="24656E2A" w14:textId="77777777" w:rsidR="00FA1843" w:rsidRPr="00A7778D" w:rsidRDefault="00FA1843" w:rsidP="00041DD0">
            <w:pPr>
              <w:spacing w:before="0" w:after="0"/>
              <w:jc w:val="right"/>
              <w:rPr>
                <w:b/>
                <w:bCs/>
                <w:noProof/>
                <w:color w:val="000000"/>
                <w:sz w:val="20"/>
                <w:szCs w:val="20"/>
              </w:rPr>
            </w:pPr>
          </w:p>
        </w:tc>
        <w:tc>
          <w:tcPr>
            <w:tcW w:w="1036" w:type="dxa"/>
            <w:vAlign w:val="center"/>
          </w:tcPr>
          <w:p w14:paraId="624003DE" w14:textId="77777777" w:rsidR="00FA1843" w:rsidRPr="00A7778D" w:rsidRDefault="00FA1843" w:rsidP="00041DD0">
            <w:pPr>
              <w:spacing w:before="0" w:after="0"/>
              <w:jc w:val="right"/>
              <w:rPr>
                <w:b/>
                <w:bCs/>
                <w:noProof/>
                <w:color w:val="000000"/>
                <w:sz w:val="20"/>
                <w:szCs w:val="20"/>
              </w:rPr>
            </w:pPr>
          </w:p>
        </w:tc>
        <w:tc>
          <w:tcPr>
            <w:tcW w:w="1843" w:type="dxa"/>
            <w:vAlign w:val="center"/>
          </w:tcPr>
          <w:p w14:paraId="4CE147D8" w14:textId="77777777" w:rsidR="00FA1843" w:rsidRPr="00A7778D" w:rsidRDefault="00FA1843" w:rsidP="00041DD0">
            <w:pPr>
              <w:spacing w:before="0" w:after="0"/>
              <w:jc w:val="right"/>
              <w:rPr>
                <w:b/>
                <w:bCs/>
                <w:noProof/>
                <w:color w:val="000000"/>
                <w:sz w:val="20"/>
                <w:szCs w:val="20"/>
              </w:rPr>
            </w:pPr>
          </w:p>
        </w:tc>
      </w:tr>
    </w:tbl>
    <w:p w14:paraId="59CB2C3B" w14:textId="77777777" w:rsidR="00FA1843" w:rsidRPr="00A7778D" w:rsidRDefault="00FA1843" w:rsidP="00FA1843">
      <w:pPr>
        <w:rPr>
          <w:noProof/>
        </w:rPr>
      </w:pPr>
    </w:p>
    <w:p w14:paraId="626CB0DE" w14:textId="77777777" w:rsidR="00FA1843" w:rsidRPr="00A7778D" w:rsidRDefault="00FA1843" w:rsidP="00FA1843">
      <w:pPr>
        <w:spacing w:before="0" w:after="200" w:line="276" w:lineRule="auto"/>
        <w:jc w:val="left"/>
        <w:rPr>
          <w:noProof/>
        </w:rPr>
      </w:pPr>
      <w:r w:rsidRPr="00A7778D">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A1843" w:rsidRPr="00A7778D" w14:paraId="4EB0306E" w14:textId="77777777" w:rsidTr="00041DD0">
        <w:trPr>
          <w:jc w:val="center"/>
        </w:trPr>
        <w:tc>
          <w:tcPr>
            <w:tcW w:w="4744" w:type="dxa"/>
            <w:shd w:val="thinDiagStripe" w:color="C0C0C0" w:fill="auto"/>
            <w:vAlign w:val="center"/>
          </w:tcPr>
          <w:p w14:paraId="7ECA21E4" w14:textId="77777777" w:rsidR="00FA1843" w:rsidRPr="00A7778D" w:rsidRDefault="00FA1843" w:rsidP="00041DD0">
            <w:pPr>
              <w:spacing w:before="60" w:after="60"/>
              <w:jc w:val="center"/>
              <w:rPr>
                <w:b/>
                <w:noProof/>
              </w:rPr>
            </w:pPr>
            <w:r w:rsidRPr="00A7778D">
              <w:rPr>
                <w:noProof/>
              </w:rPr>
              <w:br w:type="page"/>
            </w:r>
            <w:r w:rsidRPr="00A7778D">
              <w:rPr>
                <w:b/>
                <w:noProof/>
                <w:sz w:val="22"/>
              </w:rPr>
              <w:t xml:space="preserve">Monivuotisen rahoituskehyksen otsake </w:t>
            </w:r>
          </w:p>
        </w:tc>
        <w:tc>
          <w:tcPr>
            <w:tcW w:w="1080" w:type="dxa"/>
            <w:shd w:val="thinDiagStripe" w:color="C0C0C0" w:fill="auto"/>
            <w:vAlign w:val="center"/>
          </w:tcPr>
          <w:p w14:paraId="2B832197" w14:textId="77777777" w:rsidR="00FA1843" w:rsidRPr="00A7778D" w:rsidRDefault="00FA1843" w:rsidP="00041DD0">
            <w:pPr>
              <w:spacing w:before="60" w:after="60"/>
              <w:jc w:val="center"/>
              <w:rPr>
                <w:noProof/>
              </w:rPr>
            </w:pPr>
            <w:r w:rsidRPr="00A7778D">
              <w:rPr>
                <w:b/>
                <w:noProof/>
                <w:sz w:val="22"/>
              </w:rPr>
              <w:t>7</w:t>
            </w:r>
          </w:p>
        </w:tc>
        <w:tc>
          <w:tcPr>
            <w:tcW w:w="7817" w:type="dxa"/>
            <w:vAlign w:val="center"/>
          </w:tcPr>
          <w:p w14:paraId="60AC57C6" w14:textId="77777777" w:rsidR="00FA1843" w:rsidRPr="00A7778D" w:rsidRDefault="00FA1843" w:rsidP="00041DD0">
            <w:pPr>
              <w:spacing w:before="60" w:after="60"/>
              <w:rPr>
                <w:noProof/>
              </w:rPr>
            </w:pPr>
            <w:r w:rsidRPr="00A7778D">
              <w:rPr>
                <w:noProof/>
                <w:sz w:val="22"/>
              </w:rPr>
              <w:t>”Hallintomenot”</w:t>
            </w:r>
          </w:p>
        </w:tc>
      </w:tr>
    </w:tbl>
    <w:p w14:paraId="583EBC35" w14:textId="77777777" w:rsidR="00FA1843" w:rsidRPr="00A7778D" w:rsidRDefault="00FA1843" w:rsidP="00FA1843">
      <w:pPr>
        <w:jc w:val="right"/>
        <w:rPr>
          <w:noProof/>
          <w:sz w:val="20"/>
        </w:rPr>
      </w:pPr>
      <w:r w:rsidRPr="00A7778D">
        <w:rPr>
          <w:noProof/>
          <w:sz w:val="20"/>
        </w:rPr>
        <w:t>milj. euroa (kolmen desimaalin tarkkuudella)</w:t>
      </w:r>
    </w:p>
    <w:tbl>
      <w:tblPr>
        <w:tblW w:w="13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93"/>
        <w:gridCol w:w="992"/>
        <w:gridCol w:w="992"/>
        <w:gridCol w:w="1134"/>
        <w:gridCol w:w="992"/>
        <w:gridCol w:w="1843"/>
      </w:tblGrid>
      <w:tr w:rsidR="00FA1843" w:rsidRPr="00A7778D" w14:paraId="58E0066C" w14:textId="77777777" w:rsidTr="00041DD0">
        <w:tc>
          <w:tcPr>
            <w:tcW w:w="3960" w:type="dxa"/>
            <w:tcBorders>
              <w:top w:val="nil"/>
              <w:left w:val="nil"/>
              <w:right w:val="nil"/>
            </w:tcBorders>
            <w:vAlign w:val="center"/>
          </w:tcPr>
          <w:p w14:paraId="79C72BB2" w14:textId="77777777" w:rsidR="00FA1843" w:rsidRPr="00A7778D" w:rsidRDefault="00FA1843" w:rsidP="00041DD0">
            <w:pPr>
              <w:jc w:val="center"/>
              <w:rPr>
                <w:noProof/>
              </w:rPr>
            </w:pPr>
          </w:p>
        </w:tc>
        <w:tc>
          <w:tcPr>
            <w:tcW w:w="1560" w:type="dxa"/>
            <w:tcBorders>
              <w:top w:val="nil"/>
              <w:left w:val="nil"/>
              <w:right w:val="nil"/>
            </w:tcBorders>
          </w:tcPr>
          <w:p w14:paraId="68E441D3" w14:textId="77777777" w:rsidR="00FA1843" w:rsidRPr="00A7778D" w:rsidRDefault="00FA1843" w:rsidP="00041DD0">
            <w:pPr>
              <w:rPr>
                <w:noProof/>
                <w:sz w:val="20"/>
              </w:rPr>
            </w:pPr>
          </w:p>
        </w:tc>
        <w:tc>
          <w:tcPr>
            <w:tcW w:w="534" w:type="dxa"/>
            <w:tcBorders>
              <w:top w:val="nil"/>
              <w:left w:val="nil"/>
            </w:tcBorders>
          </w:tcPr>
          <w:p w14:paraId="17BE26BA" w14:textId="77777777" w:rsidR="00FA1843" w:rsidRPr="00A7778D" w:rsidRDefault="00FA1843" w:rsidP="00041DD0">
            <w:pPr>
              <w:jc w:val="center"/>
              <w:rPr>
                <w:noProof/>
                <w:sz w:val="20"/>
              </w:rPr>
            </w:pPr>
          </w:p>
        </w:tc>
        <w:tc>
          <w:tcPr>
            <w:tcW w:w="993" w:type="dxa"/>
            <w:vAlign w:val="center"/>
          </w:tcPr>
          <w:p w14:paraId="74E076B3" w14:textId="77777777" w:rsidR="00FA1843" w:rsidRPr="00A7778D" w:rsidRDefault="00FA1843" w:rsidP="00041DD0">
            <w:pPr>
              <w:jc w:val="center"/>
              <w:rPr>
                <w:noProof/>
                <w:sz w:val="20"/>
              </w:rPr>
            </w:pPr>
            <w:r w:rsidRPr="00A7778D">
              <w:rPr>
                <w:noProof/>
                <w:sz w:val="20"/>
              </w:rPr>
              <w:t>2023</w:t>
            </w:r>
          </w:p>
        </w:tc>
        <w:tc>
          <w:tcPr>
            <w:tcW w:w="992" w:type="dxa"/>
            <w:vAlign w:val="center"/>
          </w:tcPr>
          <w:p w14:paraId="623695A7" w14:textId="77777777" w:rsidR="00FA1843" w:rsidRPr="00A7778D" w:rsidRDefault="00FA1843" w:rsidP="00041DD0">
            <w:pPr>
              <w:jc w:val="center"/>
              <w:rPr>
                <w:noProof/>
                <w:sz w:val="20"/>
              </w:rPr>
            </w:pPr>
            <w:r w:rsidRPr="00A7778D">
              <w:rPr>
                <w:noProof/>
                <w:sz w:val="20"/>
              </w:rPr>
              <w:t>2024</w:t>
            </w:r>
          </w:p>
        </w:tc>
        <w:tc>
          <w:tcPr>
            <w:tcW w:w="992" w:type="dxa"/>
            <w:vAlign w:val="center"/>
          </w:tcPr>
          <w:p w14:paraId="631825C5" w14:textId="77777777" w:rsidR="00FA1843" w:rsidRPr="00A7778D" w:rsidRDefault="00FA1843" w:rsidP="00041DD0">
            <w:pPr>
              <w:jc w:val="center"/>
              <w:rPr>
                <w:noProof/>
                <w:sz w:val="20"/>
              </w:rPr>
            </w:pPr>
            <w:r w:rsidRPr="00A7778D">
              <w:rPr>
                <w:noProof/>
                <w:sz w:val="20"/>
              </w:rPr>
              <w:t>2025</w:t>
            </w:r>
          </w:p>
        </w:tc>
        <w:tc>
          <w:tcPr>
            <w:tcW w:w="1134" w:type="dxa"/>
            <w:vAlign w:val="center"/>
          </w:tcPr>
          <w:p w14:paraId="306DEB4E" w14:textId="77777777" w:rsidR="00FA1843" w:rsidRPr="00A7778D" w:rsidRDefault="00FA1843" w:rsidP="00041DD0">
            <w:pPr>
              <w:jc w:val="center"/>
              <w:rPr>
                <w:b/>
                <w:noProof/>
                <w:sz w:val="18"/>
              </w:rPr>
            </w:pPr>
            <w:r w:rsidRPr="00A7778D">
              <w:rPr>
                <w:noProof/>
                <w:sz w:val="18"/>
              </w:rPr>
              <w:t>2026</w:t>
            </w:r>
          </w:p>
        </w:tc>
        <w:tc>
          <w:tcPr>
            <w:tcW w:w="992" w:type="dxa"/>
            <w:vAlign w:val="center"/>
          </w:tcPr>
          <w:p w14:paraId="03E8E907" w14:textId="77777777" w:rsidR="00FA1843" w:rsidRPr="00A7778D" w:rsidRDefault="00FA1843" w:rsidP="00041DD0">
            <w:pPr>
              <w:jc w:val="center"/>
              <w:rPr>
                <w:noProof/>
                <w:sz w:val="18"/>
              </w:rPr>
            </w:pPr>
            <w:r w:rsidRPr="00A7778D">
              <w:rPr>
                <w:noProof/>
                <w:sz w:val="18"/>
              </w:rPr>
              <w:t>2027</w:t>
            </w:r>
          </w:p>
        </w:tc>
        <w:tc>
          <w:tcPr>
            <w:tcW w:w="1843" w:type="dxa"/>
            <w:vAlign w:val="center"/>
          </w:tcPr>
          <w:p w14:paraId="19407548" w14:textId="77777777" w:rsidR="00FA1843" w:rsidRPr="00A7778D" w:rsidRDefault="00FA1843" w:rsidP="00041DD0">
            <w:pPr>
              <w:jc w:val="center"/>
              <w:rPr>
                <w:b/>
                <w:noProof/>
                <w:sz w:val="20"/>
              </w:rPr>
            </w:pPr>
            <w:r w:rsidRPr="00A7778D">
              <w:rPr>
                <w:b/>
                <w:noProof/>
                <w:sz w:val="20"/>
              </w:rPr>
              <w:t>YHTEENSÄ</w:t>
            </w:r>
          </w:p>
        </w:tc>
      </w:tr>
      <w:tr w:rsidR="00FA1843" w:rsidRPr="00A7778D" w14:paraId="6E2A18B2" w14:textId="77777777" w:rsidTr="00041DD0">
        <w:trPr>
          <w:gridAfter w:val="8"/>
          <w:wAfter w:w="9040" w:type="dxa"/>
        </w:trPr>
        <w:tc>
          <w:tcPr>
            <w:tcW w:w="3960" w:type="dxa"/>
            <w:vAlign w:val="center"/>
          </w:tcPr>
          <w:p w14:paraId="25635113" w14:textId="77777777" w:rsidR="00FA1843" w:rsidRPr="00A7778D" w:rsidRDefault="00FA1843" w:rsidP="00041DD0">
            <w:pPr>
              <w:spacing w:before="60" w:after="60"/>
              <w:jc w:val="center"/>
              <w:rPr>
                <w:noProof/>
              </w:rPr>
            </w:pPr>
            <w:r w:rsidRPr="00A7778D">
              <w:rPr>
                <w:noProof/>
                <w:sz w:val="22"/>
              </w:rPr>
              <w:t xml:space="preserve">Pääosasto: </w:t>
            </w:r>
            <w:r w:rsidRPr="00A7778D">
              <w:rPr>
                <w:noProof/>
              </w:rPr>
              <w:t>&lt;…….&gt;</w:t>
            </w:r>
          </w:p>
        </w:tc>
      </w:tr>
      <w:tr w:rsidR="00FA1843" w:rsidRPr="00A7778D" w14:paraId="5A42A9EB" w14:textId="77777777" w:rsidTr="00041DD0">
        <w:trPr>
          <w:trHeight w:val="313"/>
        </w:trPr>
        <w:tc>
          <w:tcPr>
            <w:tcW w:w="6054" w:type="dxa"/>
            <w:gridSpan w:val="3"/>
            <w:vAlign w:val="center"/>
          </w:tcPr>
          <w:p w14:paraId="600259DA" w14:textId="77777777" w:rsidR="00FA1843" w:rsidRPr="00A7778D" w:rsidRDefault="00FA1843" w:rsidP="00041DD0">
            <w:pPr>
              <w:spacing w:before="20" w:after="20"/>
              <w:rPr>
                <w:noProof/>
              </w:rPr>
            </w:pPr>
            <w:r w:rsidRPr="00A7778D">
              <w:rPr>
                <w:noProof/>
                <w:sz w:val="22"/>
              </w:rPr>
              <w:sym w:font="Wingdings" w:char="F09F"/>
            </w:r>
            <w:r w:rsidRPr="00A7778D">
              <w:rPr>
                <w:noProof/>
              </w:rPr>
              <w:t xml:space="preserve"> </w:t>
            </w:r>
            <w:r w:rsidRPr="00A7778D">
              <w:rPr>
                <w:noProof/>
                <w:sz w:val="22"/>
              </w:rPr>
              <w:t xml:space="preserve">Henkilöresurssit </w:t>
            </w:r>
          </w:p>
        </w:tc>
        <w:tc>
          <w:tcPr>
            <w:tcW w:w="993" w:type="dxa"/>
            <w:vAlign w:val="center"/>
          </w:tcPr>
          <w:p w14:paraId="553DDD55" w14:textId="77777777" w:rsidR="00FA1843" w:rsidRPr="00A7778D" w:rsidRDefault="00FA1843" w:rsidP="00041DD0">
            <w:pPr>
              <w:spacing w:before="20" w:after="20"/>
              <w:jc w:val="right"/>
              <w:rPr>
                <w:noProof/>
                <w:sz w:val="20"/>
              </w:rPr>
            </w:pPr>
          </w:p>
        </w:tc>
        <w:tc>
          <w:tcPr>
            <w:tcW w:w="992" w:type="dxa"/>
            <w:vAlign w:val="center"/>
          </w:tcPr>
          <w:p w14:paraId="4160D740" w14:textId="77777777" w:rsidR="00FA1843" w:rsidRPr="00A7778D" w:rsidRDefault="00FA1843" w:rsidP="00041DD0">
            <w:pPr>
              <w:spacing w:before="20" w:after="20"/>
              <w:jc w:val="right"/>
              <w:rPr>
                <w:noProof/>
                <w:sz w:val="20"/>
              </w:rPr>
            </w:pPr>
          </w:p>
        </w:tc>
        <w:tc>
          <w:tcPr>
            <w:tcW w:w="992" w:type="dxa"/>
            <w:vAlign w:val="center"/>
          </w:tcPr>
          <w:p w14:paraId="3B2E9621" w14:textId="77777777" w:rsidR="00FA1843" w:rsidRPr="00A7778D" w:rsidRDefault="00FA1843" w:rsidP="00041DD0">
            <w:pPr>
              <w:spacing w:before="20" w:after="20"/>
              <w:jc w:val="right"/>
              <w:rPr>
                <w:noProof/>
                <w:sz w:val="20"/>
              </w:rPr>
            </w:pPr>
          </w:p>
        </w:tc>
        <w:tc>
          <w:tcPr>
            <w:tcW w:w="1134" w:type="dxa"/>
            <w:vAlign w:val="center"/>
          </w:tcPr>
          <w:p w14:paraId="05424EB4" w14:textId="77777777" w:rsidR="00FA1843" w:rsidRPr="00A7778D" w:rsidRDefault="00FA1843" w:rsidP="00041DD0">
            <w:pPr>
              <w:spacing w:before="20" w:after="20"/>
              <w:jc w:val="right"/>
              <w:rPr>
                <w:noProof/>
                <w:sz w:val="20"/>
              </w:rPr>
            </w:pPr>
          </w:p>
        </w:tc>
        <w:tc>
          <w:tcPr>
            <w:tcW w:w="992" w:type="dxa"/>
            <w:vAlign w:val="center"/>
          </w:tcPr>
          <w:p w14:paraId="5BD1F348" w14:textId="77777777" w:rsidR="00FA1843" w:rsidRPr="00A7778D" w:rsidRDefault="00FA1843" w:rsidP="00041DD0">
            <w:pPr>
              <w:spacing w:before="20" w:after="20"/>
              <w:jc w:val="right"/>
              <w:rPr>
                <w:noProof/>
                <w:sz w:val="20"/>
              </w:rPr>
            </w:pPr>
          </w:p>
        </w:tc>
        <w:tc>
          <w:tcPr>
            <w:tcW w:w="1843" w:type="dxa"/>
            <w:vAlign w:val="center"/>
          </w:tcPr>
          <w:p w14:paraId="206EEB39" w14:textId="77777777" w:rsidR="00FA1843" w:rsidRPr="00A7778D" w:rsidRDefault="00FA1843" w:rsidP="00041DD0">
            <w:pPr>
              <w:spacing w:before="20" w:after="20"/>
              <w:jc w:val="right"/>
              <w:rPr>
                <w:b/>
                <w:noProof/>
                <w:sz w:val="20"/>
              </w:rPr>
            </w:pPr>
          </w:p>
        </w:tc>
      </w:tr>
      <w:tr w:rsidR="00FA1843" w:rsidRPr="00A7778D" w14:paraId="6A96E0C3" w14:textId="77777777" w:rsidTr="00041DD0">
        <w:trPr>
          <w:trHeight w:val="351"/>
        </w:trPr>
        <w:tc>
          <w:tcPr>
            <w:tcW w:w="6054" w:type="dxa"/>
            <w:gridSpan w:val="3"/>
            <w:vAlign w:val="center"/>
          </w:tcPr>
          <w:p w14:paraId="4A7D8FC3" w14:textId="77777777" w:rsidR="00FA1843" w:rsidRPr="00A7778D" w:rsidRDefault="00FA1843" w:rsidP="00041DD0">
            <w:pPr>
              <w:spacing w:before="20" w:after="20"/>
              <w:rPr>
                <w:noProof/>
              </w:rPr>
            </w:pPr>
            <w:r w:rsidRPr="00A7778D">
              <w:rPr>
                <w:noProof/>
                <w:sz w:val="22"/>
              </w:rPr>
              <w:sym w:font="Wingdings" w:char="F09F"/>
            </w:r>
            <w:r w:rsidRPr="00A7778D">
              <w:rPr>
                <w:noProof/>
                <w:sz w:val="22"/>
              </w:rPr>
              <w:t xml:space="preserve"> Muut hallintomenot </w:t>
            </w:r>
          </w:p>
        </w:tc>
        <w:tc>
          <w:tcPr>
            <w:tcW w:w="993" w:type="dxa"/>
            <w:vAlign w:val="center"/>
          </w:tcPr>
          <w:p w14:paraId="4E00FB30" w14:textId="77777777" w:rsidR="00FA1843" w:rsidRPr="00A7778D" w:rsidRDefault="00FA1843" w:rsidP="00041DD0">
            <w:pPr>
              <w:spacing w:before="20" w:after="20"/>
              <w:jc w:val="right"/>
              <w:rPr>
                <w:b/>
                <w:noProof/>
                <w:sz w:val="20"/>
              </w:rPr>
            </w:pPr>
          </w:p>
        </w:tc>
        <w:tc>
          <w:tcPr>
            <w:tcW w:w="992" w:type="dxa"/>
            <w:vAlign w:val="center"/>
          </w:tcPr>
          <w:p w14:paraId="16B147FE" w14:textId="77777777" w:rsidR="00FA1843" w:rsidRPr="00A7778D" w:rsidRDefault="00FA1843" w:rsidP="00041DD0">
            <w:pPr>
              <w:spacing w:before="20" w:after="20"/>
              <w:jc w:val="right"/>
              <w:rPr>
                <w:b/>
                <w:noProof/>
                <w:sz w:val="20"/>
              </w:rPr>
            </w:pPr>
          </w:p>
        </w:tc>
        <w:tc>
          <w:tcPr>
            <w:tcW w:w="992" w:type="dxa"/>
            <w:vAlign w:val="center"/>
          </w:tcPr>
          <w:p w14:paraId="2A238FCD" w14:textId="77777777" w:rsidR="00FA1843" w:rsidRPr="00A7778D" w:rsidRDefault="00FA1843" w:rsidP="00041DD0">
            <w:pPr>
              <w:spacing w:before="20" w:after="20"/>
              <w:jc w:val="right"/>
              <w:rPr>
                <w:b/>
                <w:noProof/>
                <w:sz w:val="20"/>
              </w:rPr>
            </w:pPr>
          </w:p>
        </w:tc>
        <w:tc>
          <w:tcPr>
            <w:tcW w:w="1134" w:type="dxa"/>
            <w:vAlign w:val="center"/>
          </w:tcPr>
          <w:p w14:paraId="31506B9D" w14:textId="77777777" w:rsidR="00FA1843" w:rsidRPr="00A7778D" w:rsidRDefault="00FA1843" w:rsidP="00041DD0">
            <w:pPr>
              <w:spacing w:before="20" w:after="20"/>
              <w:jc w:val="right"/>
              <w:rPr>
                <w:b/>
                <w:noProof/>
                <w:sz w:val="20"/>
              </w:rPr>
            </w:pPr>
          </w:p>
        </w:tc>
        <w:tc>
          <w:tcPr>
            <w:tcW w:w="992" w:type="dxa"/>
            <w:vAlign w:val="center"/>
          </w:tcPr>
          <w:p w14:paraId="753D2C17" w14:textId="77777777" w:rsidR="00FA1843" w:rsidRPr="00A7778D" w:rsidRDefault="00FA1843" w:rsidP="00041DD0">
            <w:pPr>
              <w:spacing w:before="20" w:after="20"/>
              <w:jc w:val="right"/>
              <w:rPr>
                <w:b/>
                <w:noProof/>
                <w:sz w:val="20"/>
              </w:rPr>
            </w:pPr>
          </w:p>
        </w:tc>
        <w:tc>
          <w:tcPr>
            <w:tcW w:w="1843" w:type="dxa"/>
            <w:vAlign w:val="center"/>
          </w:tcPr>
          <w:p w14:paraId="46D16830" w14:textId="77777777" w:rsidR="00FA1843" w:rsidRPr="00A7778D" w:rsidRDefault="00FA1843" w:rsidP="00041DD0">
            <w:pPr>
              <w:spacing w:before="20" w:after="20"/>
              <w:jc w:val="right"/>
              <w:rPr>
                <w:b/>
                <w:noProof/>
                <w:sz w:val="20"/>
              </w:rPr>
            </w:pPr>
          </w:p>
        </w:tc>
      </w:tr>
      <w:tr w:rsidR="00FA1843" w:rsidRPr="00A7778D" w14:paraId="560E82EB" w14:textId="77777777" w:rsidTr="00041DD0">
        <w:tc>
          <w:tcPr>
            <w:tcW w:w="3960" w:type="dxa"/>
            <w:vAlign w:val="center"/>
          </w:tcPr>
          <w:p w14:paraId="39398530" w14:textId="77777777" w:rsidR="00FA1843" w:rsidRPr="00A7778D" w:rsidRDefault="00FA1843" w:rsidP="00041DD0">
            <w:pPr>
              <w:jc w:val="center"/>
              <w:rPr>
                <w:b/>
                <w:noProof/>
              </w:rPr>
            </w:pPr>
            <w:r w:rsidRPr="00A7778D">
              <w:rPr>
                <w:b/>
                <w:noProof/>
                <w:sz w:val="22"/>
              </w:rPr>
              <w:t>Pääosasto</w:t>
            </w:r>
            <w:r w:rsidRPr="00A7778D">
              <w:rPr>
                <w:noProof/>
              </w:rPr>
              <w:t xml:space="preserve"> &lt;…….&gt;YHTEENSÄ</w:t>
            </w:r>
          </w:p>
        </w:tc>
        <w:tc>
          <w:tcPr>
            <w:tcW w:w="2094" w:type="dxa"/>
            <w:gridSpan w:val="2"/>
            <w:vAlign w:val="center"/>
          </w:tcPr>
          <w:p w14:paraId="6EB74EF0" w14:textId="77777777" w:rsidR="00FA1843" w:rsidRPr="00A7778D" w:rsidRDefault="00FA1843" w:rsidP="00041DD0">
            <w:pPr>
              <w:rPr>
                <w:noProof/>
                <w:sz w:val="14"/>
              </w:rPr>
            </w:pPr>
            <w:r w:rsidRPr="00A7778D">
              <w:rPr>
                <w:noProof/>
                <w:sz w:val="18"/>
              </w:rPr>
              <w:t xml:space="preserve">Määrärahat </w:t>
            </w:r>
          </w:p>
        </w:tc>
        <w:tc>
          <w:tcPr>
            <w:tcW w:w="993" w:type="dxa"/>
            <w:vAlign w:val="center"/>
          </w:tcPr>
          <w:p w14:paraId="095C387D" w14:textId="77777777" w:rsidR="00FA1843" w:rsidRPr="00A7778D" w:rsidRDefault="00FA1843" w:rsidP="00041DD0">
            <w:pPr>
              <w:spacing w:before="20" w:after="20"/>
              <w:jc w:val="right"/>
              <w:rPr>
                <w:noProof/>
                <w:sz w:val="20"/>
              </w:rPr>
            </w:pPr>
          </w:p>
        </w:tc>
        <w:tc>
          <w:tcPr>
            <w:tcW w:w="992" w:type="dxa"/>
            <w:vAlign w:val="center"/>
          </w:tcPr>
          <w:p w14:paraId="31EFCB15" w14:textId="77777777" w:rsidR="00FA1843" w:rsidRPr="00A7778D" w:rsidRDefault="00FA1843" w:rsidP="00041DD0">
            <w:pPr>
              <w:spacing w:before="20" w:after="20"/>
              <w:jc w:val="right"/>
              <w:rPr>
                <w:noProof/>
                <w:sz w:val="20"/>
              </w:rPr>
            </w:pPr>
          </w:p>
        </w:tc>
        <w:tc>
          <w:tcPr>
            <w:tcW w:w="992" w:type="dxa"/>
            <w:vAlign w:val="center"/>
          </w:tcPr>
          <w:p w14:paraId="574EBCE5" w14:textId="77777777" w:rsidR="00FA1843" w:rsidRPr="00A7778D" w:rsidRDefault="00FA1843" w:rsidP="00041DD0">
            <w:pPr>
              <w:spacing w:before="20" w:after="20"/>
              <w:jc w:val="right"/>
              <w:rPr>
                <w:noProof/>
                <w:sz w:val="20"/>
              </w:rPr>
            </w:pPr>
          </w:p>
        </w:tc>
        <w:tc>
          <w:tcPr>
            <w:tcW w:w="1134" w:type="dxa"/>
            <w:vAlign w:val="center"/>
          </w:tcPr>
          <w:p w14:paraId="02B175FC" w14:textId="77777777" w:rsidR="00FA1843" w:rsidRPr="00A7778D" w:rsidRDefault="00FA1843" w:rsidP="00041DD0">
            <w:pPr>
              <w:spacing w:before="20" w:after="20"/>
              <w:jc w:val="right"/>
              <w:rPr>
                <w:noProof/>
                <w:sz w:val="20"/>
              </w:rPr>
            </w:pPr>
          </w:p>
        </w:tc>
        <w:tc>
          <w:tcPr>
            <w:tcW w:w="992" w:type="dxa"/>
            <w:vAlign w:val="center"/>
          </w:tcPr>
          <w:p w14:paraId="6D080163" w14:textId="77777777" w:rsidR="00FA1843" w:rsidRPr="00A7778D" w:rsidRDefault="00FA1843" w:rsidP="00041DD0">
            <w:pPr>
              <w:spacing w:before="20" w:after="20"/>
              <w:jc w:val="right"/>
              <w:rPr>
                <w:noProof/>
                <w:sz w:val="20"/>
              </w:rPr>
            </w:pPr>
          </w:p>
        </w:tc>
        <w:tc>
          <w:tcPr>
            <w:tcW w:w="1843" w:type="dxa"/>
            <w:vAlign w:val="center"/>
          </w:tcPr>
          <w:p w14:paraId="672A1FB0" w14:textId="77777777" w:rsidR="00FA1843" w:rsidRPr="00A7778D" w:rsidRDefault="00FA1843" w:rsidP="00041DD0">
            <w:pPr>
              <w:spacing w:before="20" w:after="20"/>
              <w:jc w:val="right"/>
              <w:rPr>
                <w:b/>
                <w:noProof/>
                <w:sz w:val="20"/>
              </w:rPr>
            </w:pPr>
          </w:p>
        </w:tc>
      </w:tr>
    </w:tbl>
    <w:p w14:paraId="05C1655D" w14:textId="77777777" w:rsidR="00FA1843" w:rsidRPr="00A7778D" w:rsidRDefault="00FA1843" w:rsidP="00FA1843">
      <w:pPr>
        <w:rPr>
          <w:noProof/>
        </w:rPr>
      </w:pPr>
    </w:p>
    <w:tbl>
      <w:tblPr>
        <w:tblW w:w="13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93"/>
        <w:gridCol w:w="992"/>
        <w:gridCol w:w="992"/>
        <w:gridCol w:w="1134"/>
        <w:gridCol w:w="992"/>
        <w:gridCol w:w="1843"/>
      </w:tblGrid>
      <w:tr w:rsidR="00FA1843" w:rsidRPr="00A7778D" w14:paraId="4E9FDFF6" w14:textId="77777777" w:rsidTr="00041DD0">
        <w:tc>
          <w:tcPr>
            <w:tcW w:w="3960" w:type="dxa"/>
            <w:shd w:val="thinDiagStripe" w:color="C0C0C0" w:fill="auto"/>
            <w:vAlign w:val="center"/>
          </w:tcPr>
          <w:p w14:paraId="675A5B27" w14:textId="77777777" w:rsidR="00FA1843" w:rsidRPr="00A7778D" w:rsidRDefault="00FA1843" w:rsidP="00041DD0">
            <w:pPr>
              <w:jc w:val="center"/>
              <w:rPr>
                <w:b/>
                <w:noProof/>
              </w:rPr>
            </w:pPr>
            <w:r w:rsidRPr="00A7778D">
              <w:rPr>
                <w:noProof/>
              </w:rPr>
              <w:t xml:space="preserve">Monivuotisen rahoituskehyksen </w:t>
            </w:r>
            <w:r w:rsidRPr="00A7778D">
              <w:rPr>
                <w:b/>
                <w:noProof/>
                <w:sz w:val="22"/>
              </w:rPr>
              <w:t>OTSAKKEESEEN 7</w:t>
            </w:r>
            <w:r w:rsidRPr="00A7778D">
              <w:rPr>
                <w:noProof/>
              </w:rPr>
              <w:t xml:space="preserve"> </w:t>
            </w:r>
            <w:r w:rsidRPr="00A7778D">
              <w:rPr>
                <w:b/>
                <w:noProof/>
                <w:sz w:val="22"/>
              </w:rPr>
              <w:t xml:space="preserve">kuuluvat määrärahat YHTEENSÄ </w:t>
            </w:r>
          </w:p>
        </w:tc>
        <w:tc>
          <w:tcPr>
            <w:tcW w:w="2094" w:type="dxa"/>
            <w:vAlign w:val="center"/>
          </w:tcPr>
          <w:p w14:paraId="1067D41E" w14:textId="77777777" w:rsidR="00FA1843" w:rsidRPr="00A7778D" w:rsidRDefault="00FA1843" w:rsidP="00041DD0">
            <w:pPr>
              <w:spacing w:before="40" w:after="40"/>
              <w:rPr>
                <w:noProof/>
              </w:rPr>
            </w:pPr>
            <w:r w:rsidRPr="00A7778D">
              <w:rPr>
                <w:noProof/>
                <w:sz w:val="18"/>
              </w:rPr>
              <w:t>(Sitoumukset yhteensä = maksut yhteensä)</w:t>
            </w:r>
          </w:p>
        </w:tc>
        <w:tc>
          <w:tcPr>
            <w:tcW w:w="993" w:type="dxa"/>
            <w:vAlign w:val="center"/>
          </w:tcPr>
          <w:p w14:paraId="7A413A6B" w14:textId="77777777" w:rsidR="00FA1843" w:rsidRPr="00A7778D" w:rsidRDefault="00FA1843" w:rsidP="00041DD0">
            <w:pPr>
              <w:spacing w:before="20" w:after="20"/>
              <w:jc w:val="right"/>
              <w:rPr>
                <w:noProof/>
                <w:sz w:val="20"/>
              </w:rPr>
            </w:pPr>
          </w:p>
        </w:tc>
        <w:tc>
          <w:tcPr>
            <w:tcW w:w="992" w:type="dxa"/>
            <w:vAlign w:val="center"/>
          </w:tcPr>
          <w:p w14:paraId="336B0B90" w14:textId="77777777" w:rsidR="00FA1843" w:rsidRPr="00A7778D" w:rsidRDefault="00FA1843" w:rsidP="00041DD0">
            <w:pPr>
              <w:spacing w:before="20" w:after="20"/>
              <w:jc w:val="right"/>
              <w:rPr>
                <w:noProof/>
                <w:sz w:val="20"/>
              </w:rPr>
            </w:pPr>
          </w:p>
        </w:tc>
        <w:tc>
          <w:tcPr>
            <w:tcW w:w="992" w:type="dxa"/>
            <w:vAlign w:val="center"/>
          </w:tcPr>
          <w:p w14:paraId="2CA77459" w14:textId="77777777" w:rsidR="00FA1843" w:rsidRPr="00A7778D" w:rsidRDefault="00FA1843" w:rsidP="00041DD0">
            <w:pPr>
              <w:spacing w:before="20" w:after="20"/>
              <w:jc w:val="right"/>
              <w:rPr>
                <w:noProof/>
                <w:sz w:val="20"/>
              </w:rPr>
            </w:pPr>
          </w:p>
        </w:tc>
        <w:tc>
          <w:tcPr>
            <w:tcW w:w="1134" w:type="dxa"/>
            <w:vAlign w:val="center"/>
          </w:tcPr>
          <w:p w14:paraId="2F27366D" w14:textId="77777777" w:rsidR="00FA1843" w:rsidRPr="00A7778D" w:rsidRDefault="00FA1843" w:rsidP="00041DD0">
            <w:pPr>
              <w:spacing w:before="20" w:after="20"/>
              <w:jc w:val="right"/>
              <w:rPr>
                <w:noProof/>
                <w:sz w:val="20"/>
              </w:rPr>
            </w:pPr>
          </w:p>
        </w:tc>
        <w:tc>
          <w:tcPr>
            <w:tcW w:w="992" w:type="dxa"/>
            <w:vAlign w:val="center"/>
          </w:tcPr>
          <w:p w14:paraId="0E5FC100" w14:textId="77777777" w:rsidR="00FA1843" w:rsidRPr="00A7778D" w:rsidRDefault="00FA1843" w:rsidP="00041DD0">
            <w:pPr>
              <w:spacing w:before="20" w:after="20"/>
              <w:jc w:val="right"/>
              <w:rPr>
                <w:noProof/>
                <w:sz w:val="20"/>
              </w:rPr>
            </w:pPr>
          </w:p>
        </w:tc>
        <w:tc>
          <w:tcPr>
            <w:tcW w:w="1843" w:type="dxa"/>
            <w:vAlign w:val="center"/>
          </w:tcPr>
          <w:p w14:paraId="0A7BE8D5" w14:textId="77777777" w:rsidR="00FA1843" w:rsidRPr="00A7778D" w:rsidRDefault="00FA1843" w:rsidP="00041DD0">
            <w:pPr>
              <w:spacing w:before="20" w:after="20"/>
              <w:jc w:val="right"/>
              <w:rPr>
                <w:b/>
                <w:noProof/>
                <w:sz w:val="20"/>
              </w:rPr>
            </w:pPr>
          </w:p>
        </w:tc>
      </w:tr>
    </w:tbl>
    <w:p w14:paraId="665FBD20" w14:textId="77777777" w:rsidR="00FA1843" w:rsidRPr="00A7778D" w:rsidRDefault="00FA1843" w:rsidP="00FA1843">
      <w:pPr>
        <w:jc w:val="right"/>
        <w:rPr>
          <w:noProof/>
          <w:sz w:val="20"/>
        </w:rPr>
      </w:pPr>
      <w:r w:rsidRPr="00A7778D">
        <w:rPr>
          <w:noProof/>
          <w:sz w:val="20"/>
        </w:rPr>
        <w:t>milj. euroa (kolmen desimaalin tarkkuudella)</w:t>
      </w:r>
    </w:p>
    <w:tbl>
      <w:tblPr>
        <w:tblW w:w="13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93"/>
        <w:gridCol w:w="992"/>
        <w:gridCol w:w="992"/>
        <w:gridCol w:w="1134"/>
        <w:gridCol w:w="992"/>
        <w:gridCol w:w="1843"/>
      </w:tblGrid>
      <w:tr w:rsidR="00FA1843" w:rsidRPr="00A7778D" w14:paraId="24E94182" w14:textId="77777777" w:rsidTr="00041DD0">
        <w:tc>
          <w:tcPr>
            <w:tcW w:w="3960" w:type="dxa"/>
            <w:tcBorders>
              <w:top w:val="nil"/>
              <w:left w:val="nil"/>
              <w:right w:val="nil"/>
            </w:tcBorders>
            <w:vAlign w:val="center"/>
          </w:tcPr>
          <w:p w14:paraId="01E76FE3" w14:textId="77777777" w:rsidR="00FA1843" w:rsidRPr="00A7778D" w:rsidRDefault="00FA1843" w:rsidP="00041DD0">
            <w:pPr>
              <w:jc w:val="center"/>
              <w:rPr>
                <w:noProof/>
              </w:rPr>
            </w:pPr>
          </w:p>
        </w:tc>
        <w:tc>
          <w:tcPr>
            <w:tcW w:w="1560" w:type="dxa"/>
            <w:tcBorders>
              <w:top w:val="nil"/>
              <w:left w:val="nil"/>
              <w:right w:val="nil"/>
            </w:tcBorders>
          </w:tcPr>
          <w:p w14:paraId="26BC033A" w14:textId="77777777" w:rsidR="00FA1843" w:rsidRPr="00A7778D" w:rsidRDefault="00FA1843" w:rsidP="00041DD0">
            <w:pPr>
              <w:rPr>
                <w:noProof/>
                <w:sz w:val="20"/>
              </w:rPr>
            </w:pPr>
          </w:p>
        </w:tc>
        <w:tc>
          <w:tcPr>
            <w:tcW w:w="534" w:type="dxa"/>
            <w:tcBorders>
              <w:top w:val="nil"/>
              <w:left w:val="nil"/>
            </w:tcBorders>
          </w:tcPr>
          <w:p w14:paraId="15D47E8C" w14:textId="77777777" w:rsidR="00FA1843" w:rsidRPr="00A7778D" w:rsidRDefault="00FA1843" w:rsidP="00041DD0">
            <w:pPr>
              <w:jc w:val="center"/>
              <w:rPr>
                <w:noProof/>
                <w:sz w:val="20"/>
              </w:rPr>
            </w:pPr>
          </w:p>
        </w:tc>
        <w:tc>
          <w:tcPr>
            <w:tcW w:w="993" w:type="dxa"/>
            <w:vAlign w:val="center"/>
          </w:tcPr>
          <w:p w14:paraId="14078D5D" w14:textId="77777777" w:rsidR="00FA1843" w:rsidRPr="00A7778D" w:rsidRDefault="00FA1843" w:rsidP="00041DD0">
            <w:pPr>
              <w:jc w:val="center"/>
              <w:rPr>
                <w:noProof/>
                <w:sz w:val="20"/>
              </w:rPr>
            </w:pPr>
            <w:r w:rsidRPr="00A7778D">
              <w:rPr>
                <w:noProof/>
                <w:sz w:val="20"/>
              </w:rPr>
              <w:t>2023</w:t>
            </w:r>
          </w:p>
        </w:tc>
        <w:tc>
          <w:tcPr>
            <w:tcW w:w="992" w:type="dxa"/>
            <w:vAlign w:val="center"/>
          </w:tcPr>
          <w:p w14:paraId="00C6EDB9" w14:textId="77777777" w:rsidR="00FA1843" w:rsidRPr="00A7778D" w:rsidRDefault="00FA1843" w:rsidP="00041DD0">
            <w:pPr>
              <w:jc w:val="center"/>
              <w:rPr>
                <w:noProof/>
                <w:sz w:val="20"/>
              </w:rPr>
            </w:pPr>
            <w:r w:rsidRPr="00A7778D">
              <w:rPr>
                <w:noProof/>
                <w:sz w:val="20"/>
              </w:rPr>
              <w:t>2024</w:t>
            </w:r>
          </w:p>
        </w:tc>
        <w:tc>
          <w:tcPr>
            <w:tcW w:w="992" w:type="dxa"/>
            <w:vAlign w:val="center"/>
          </w:tcPr>
          <w:p w14:paraId="6A9A89E0" w14:textId="77777777" w:rsidR="00FA1843" w:rsidRPr="00A7778D" w:rsidRDefault="00FA1843" w:rsidP="00041DD0">
            <w:pPr>
              <w:jc w:val="center"/>
              <w:rPr>
                <w:noProof/>
                <w:sz w:val="20"/>
              </w:rPr>
            </w:pPr>
            <w:r w:rsidRPr="00A7778D">
              <w:rPr>
                <w:noProof/>
                <w:sz w:val="20"/>
              </w:rPr>
              <w:t>2025</w:t>
            </w:r>
          </w:p>
        </w:tc>
        <w:tc>
          <w:tcPr>
            <w:tcW w:w="1134" w:type="dxa"/>
            <w:vAlign w:val="center"/>
          </w:tcPr>
          <w:p w14:paraId="45A85501" w14:textId="77777777" w:rsidR="00FA1843" w:rsidRPr="00A7778D" w:rsidRDefault="00FA1843" w:rsidP="00041DD0">
            <w:pPr>
              <w:jc w:val="center"/>
              <w:rPr>
                <w:b/>
                <w:noProof/>
                <w:sz w:val="18"/>
              </w:rPr>
            </w:pPr>
            <w:r w:rsidRPr="00A7778D">
              <w:rPr>
                <w:noProof/>
                <w:sz w:val="18"/>
              </w:rPr>
              <w:t>2026</w:t>
            </w:r>
          </w:p>
        </w:tc>
        <w:tc>
          <w:tcPr>
            <w:tcW w:w="992" w:type="dxa"/>
            <w:vAlign w:val="center"/>
          </w:tcPr>
          <w:p w14:paraId="65D1EB9E" w14:textId="77777777" w:rsidR="00FA1843" w:rsidRPr="00A7778D" w:rsidRDefault="00FA1843" w:rsidP="00041DD0">
            <w:pPr>
              <w:jc w:val="center"/>
              <w:rPr>
                <w:noProof/>
                <w:sz w:val="18"/>
              </w:rPr>
            </w:pPr>
            <w:r w:rsidRPr="00A7778D">
              <w:rPr>
                <w:noProof/>
                <w:sz w:val="18"/>
              </w:rPr>
              <w:t>2027</w:t>
            </w:r>
          </w:p>
        </w:tc>
        <w:tc>
          <w:tcPr>
            <w:tcW w:w="1843" w:type="dxa"/>
            <w:vAlign w:val="center"/>
          </w:tcPr>
          <w:p w14:paraId="4148E796" w14:textId="77777777" w:rsidR="00FA1843" w:rsidRPr="00A7778D" w:rsidRDefault="00FA1843" w:rsidP="00041DD0">
            <w:pPr>
              <w:jc w:val="center"/>
              <w:rPr>
                <w:b/>
                <w:noProof/>
                <w:sz w:val="20"/>
              </w:rPr>
            </w:pPr>
            <w:r w:rsidRPr="00A7778D">
              <w:rPr>
                <w:b/>
                <w:noProof/>
                <w:sz w:val="20"/>
              </w:rPr>
              <w:t>YHTEENSÄ</w:t>
            </w:r>
          </w:p>
        </w:tc>
      </w:tr>
      <w:tr w:rsidR="00FA1843" w:rsidRPr="00A7778D" w14:paraId="2F5025E0" w14:textId="77777777" w:rsidTr="00041DD0">
        <w:tc>
          <w:tcPr>
            <w:tcW w:w="3960" w:type="dxa"/>
            <w:vMerge w:val="restart"/>
            <w:shd w:val="clear" w:color="auto" w:fill="C0C0C0"/>
            <w:vAlign w:val="center"/>
          </w:tcPr>
          <w:p w14:paraId="2382CDCD" w14:textId="77777777" w:rsidR="00FA1843" w:rsidRPr="00A7778D" w:rsidRDefault="00FA1843" w:rsidP="00041DD0">
            <w:pPr>
              <w:jc w:val="center"/>
              <w:rPr>
                <w:b/>
                <w:noProof/>
              </w:rPr>
            </w:pPr>
            <w:r w:rsidRPr="00A7778D">
              <w:rPr>
                <w:noProof/>
              </w:rPr>
              <w:t xml:space="preserve">Monivuotisen rahoituskehyksen </w:t>
            </w:r>
            <w:r w:rsidRPr="00A7778D">
              <w:rPr>
                <w:b/>
                <w:noProof/>
                <w:sz w:val="22"/>
              </w:rPr>
              <w:t xml:space="preserve">OTSAKKEISIIN 1–7 kuuluvat määrärahat YHTEENSÄ </w:t>
            </w:r>
          </w:p>
        </w:tc>
        <w:tc>
          <w:tcPr>
            <w:tcW w:w="2094" w:type="dxa"/>
            <w:gridSpan w:val="2"/>
            <w:vAlign w:val="center"/>
          </w:tcPr>
          <w:p w14:paraId="6C1E0670" w14:textId="77777777" w:rsidR="00FA1843" w:rsidRPr="00A7778D" w:rsidRDefault="00FA1843" w:rsidP="00041DD0">
            <w:pPr>
              <w:rPr>
                <w:noProof/>
                <w:sz w:val="14"/>
              </w:rPr>
            </w:pPr>
            <w:r w:rsidRPr="00A7778D">
              <w:rPr>
                <w:noProof/>
                <w:sz w:val="18"/>
              </w:rPr>
              <w:t>Sitoumukset</w:t>
            </w:r>
          </w:p>
        </w:tc>
        <w:tc>
          <w:tcPr>
            <w:tcW w:w="993" w:type="dxa"/>
            <w:vAlign w:val="center"/>
          </w:tcPr>
          <w:p w14:paraId="56E9F624" w14:textId="77777777" w:rsidR="00FA1843" w:rsidRPr="00A7778D" w:rsidRDefault="00FA1843" w:rsidP="00041DD0">
            <w:pPr>
              <w:spacing w:before="20" w:after="20"/>
              <w:jc w:val="right"/>
              <w:rPr>
                <w:b/>
                <w:bCs/>
                <w:noProof/>
                <w:sz w:val="18"/>
                <w:szCs w:val="18"/>
              </w:rPr>
            </w:pPr>
          </w:p>
        </w:tc>
        <w:tc>
          <w:tcPr>
            <w:tcW w:w="992" w:type="dxa"/>
            <w:vAlign w:val="center"/>
          </w:tcPr>
          <w:p w14:paraId="68949BDE" w14:textId="77777777" w:rsidR="00FA1843" w:rsidRPr="00A7778D" w:rsidRDefault="00FA1843" w:rsidP="00041DD0">
            <w:pPr>
              <w:spacing w:before="0" w:after="0"/>
              <w:jc w:val="right"/>
              <w:rPr>
                <w:b/>
                <w:bCs/>
                <w:noProof/>
                <w:color w:val="000000"/>
                <w:sz w:val="18"/>
                <w:szCs w:val="18"/>
              </w:rPr>
            </w:pPr>
          </w:p>
        </w:tc>
        <w:tc>
          <w:tcPr>
            <w:tcW w:w="992" w:type="dxa"/>
            <w:vAlign w:val="center"/>
          </w:tcPr>
          <w:p w14:paraId="282C76DB" w14:textId="77777777" w:rsidR="00FA1843" w:rsidRPr="00A7778D" w:rsidRDefault="00FA1843" w:rsidP="00041DD0">
            <w:pPr>
              <w:jc w:val="right"/>
              <w:rPr>
                <w:b/>
                <w:bCs/>
                <w:noProof/>
                <w:color w:val="000000"/>
                <w:sz w:val="18"/>
                <w:szCs w:val="18"/>
              </w:rPr>
            </w:pPr>
          </w:p>
        </w:tc>
        <w:tc>
          <w:tcPr>
            <w:tcW w:w="1134" w:type="dxa"/>
            <w:vAlign w:val="center"/>
          </w:tcPr>
          <w:p w14:paraId="4CD875EA" w14:textId="77777777" w:rsidR="00FA1843" w:rsidRPr="00A7778D" w:rsidRDefault="00FA1843" w:rsidP="00041DD0">
            <w:pPr>
              <w:jc w:val="right"/>
              <w:rPr>
                <w:b/>
                <w:bCs/>
                <w:noProof/>
                <w:color w:val="000000"/>
                <w:sz w:val="18"/>
                <w:szCs w:val="18"/>
              </w:rPr>
            </w:pPr>
          </w:p>
        </w:tc>
        <w:tc>
          <w:tcPr>
            <w:tcW w:w="992" w:type="dxa"/>
            <w:vAlign w:val="center"/>
          </w:tcPr>
          <w:p w14:paraId="2730815A" w14:textId="77777777" w:rsidR="00FA1843" w:rsidRPr="00A7778D" w:rsidRDefault="00FA1843" w:rsidP="00041DD0">
            <w:pPr>
              <w:jc w:val="right"/>
              <w:rPr>
                <w:b/>
                <w:bCs/>
                <w:noProof/>
                <w:color w:val="000000"/>
                <w:sz w:val="18"/>
                <w:szCs w:val="18"/>
              </w:rPr>
            </w:pPr>
          </w:p>
        </w:tc>
        <w:tc>
          <w:tcPr>
            <w:tcW w:w="1843" w:type="dxa"/>
            <w:vAlign w:val="center"/>
          </w:tcPr>
          <w:p w14:paraId="0ADF3064" w14:textId="77777777" w:rsidR="00FA1843" w:rsidRPr="00A7778D" w:rsidRDefault="00FA1843" w:rsidP="00041DD0">
            <w:pPr>
              <w:jc w:val="right"/>
              <w:rPr>
                <w:b/>
                <w:bCs/>
                <w:noProof/>
                <w:color w:val="000000"/>
                <w:sz w:val="18"/>
                <w:szCs w:val="18"/>
              </w:rPr>
            </w:pPr>
          </w:p>
        </w:tc>
      </w:tr>
      <w:tr w:rsidR="00FA1843" w:rsidRPr="00A7778D" w14:paraId="4A05DEC5" w14:textId="77777777" w:rsidTr="00041DD0">
        <w:tc>
          <w:tcPr>
            <w:tcW w:w="3960" w:type="dxa"/>
            <w:vMerge/>
            <w:vAlign w:val="center"/>
          </w:tcPr>
          <w:p w14:paraId="30C9C909" w14:textId="77777777" w:rsidR="00FA1843" w:rsidRPr="00A7778D" w:rsidRDefault="00FA1843" w:rsidP="00041DD0">
            <w:pPr>
              <w:rPr>
                <w:b/>
                <w:noProof/>
              </w:rPr>
            </w:pPr>
          </w:p>
        </w:tc>
        <w:tc>
          <w:tcPr>
            <w:tcW w:w="2094" w:type="dxa"/>
            <w:gridSpan w:val="2"/>
            <w:vAlign w:val="center"/>
          </w:tcPr>
          <w:p w14:paraId="48321CC2" w14:textId="77777777" w:rsidR="00FA1843" w:rsidRPr="00A7778D" w:rsidRDefault="00FA1843" w:rsidP="00041DD0">
            <w:pPr>
              <w:rPr>
                <w:noProof/>
                <w:sz w:val="14"/>
              </w:rPr>
            </w:pPr>
            <w:r w:rsidRPr="00A7778D">
              <w:rPr>
                <w:noProof/>
                <w:sz w:val="18"/>
              </w:rPr>
              <w:t>Maksut</w:t>
            </w:r>
          </w:p>
        </w:tc>
        <w:tc>
          <w:tcPr>
            <w:tcW w:w="993" w:type="dxa"/>
            <w:vAlign w:val="center"/>
          </w:tcPr>
          <w:p w14:paraId="45862B0C" w14:textId="77777777" w:rsidR="00FA1843" w:rsidRPr="00A7778D" w:rsidRDefault="00FA1843" w:rsidP="00041DD0">
            <w:pPr>
              <w:spacing w:before="20" w:after="20"/>
              <w:jc w:val="right"/>
              <w:rPr>
                <w:b/>
                <w:bCs/>
                <w:noProof/>
                <w:sz w:val="18"/>
                <w:szCs w:val="18"/>
              </w:rPr>
            </w:pPr>
          </w:p>
        </w:tc>
        <w:tc>
          <w:tcPr>
            <w:tcW w:w="992" w:type="dxa"/>
            <w:vAlign w:val="center"/>
          </w:tcPr>
          <w:p w14:paraId="472E4CC4" w14:textId="77777777" w:rsidR="00FA1843" w:rsidRPr="00A7778D" w:rsidRDefault="00FA1843" w:rsidP="00041DD0">
            <w:pPr>
              <w:spacing w:before="0" w:after="0"/>
              <w:jc w:val="right"/>
              <w:rPr>
                <w:b/>
                <w:bCs/>
                <w:noProof/>
                <w:color w:val="000000"/>
                <w:sz w:val="18"/>
                <w:szCs w:val="18"/>
              </w:rPr>
            </w:pPr>
          </w:p>
        </w:tc>
        <w:tc>
          <w:tcPr>
            <w:tcW w:w="992" w:type="dxa"/>
            <w:vAlign w:val="center"/>
          </w:tcPr>
          <w:p w14:paraId="5643DA23" w14:textId="77777777" w:rsidR="00FA1843" w:rsidRPr="00A7778D" w:rsidRDefault="00FA1843" w:rsidP="00041DD0">
            <w:pPr>
              <w:jc w:val="right"/>
              <w:rPr>
                <w:b/>
                <w:bCs/>
                <w:noProof/>
                <w:color w:val="000000"/>
                <w:sz w:val="18"/>
                <w:szCs w:val="18"/>
              </w:rPr>
            </w:pPr>
          </w:p>
        </w:tc>
        <w:tc>
          <w:tcPr>
            <w:tcW w:w="1134" w:type="dxa"/>
            <w:vAlign w:val="center"/>
          </w:tcPr>
          <w:p w14:paraId="04144FE1" w14:textId="77777777" w:rsidR="00FA1843" w:rsidRPr="00A7778D" w:rsidRDefault="00FA1843" w:rsidP="00041DD0">
            <w:pPr>
              <w:jc w:val="right"/>
              <w:rPr>
                <w:b/>
                <w:bCs/>
                <w:noProof/>
                <w:color w:val="000000"/>
                <w:sz w:val="18"/>
                <w:szCs w:val="18"/>
              </w:rPr>
            </w:pPr>
          </w:p>
        </w:tc>
        <w:tc>
          <w:tcPr>
            <w:tcW w:w="992" w:type="dxa"/>
            <w:vAlign w:val="center"/>
          </w:tcPr>
          <w:p w14:paraId="1A491214" w14:textId="77777777" w:rsidR="00FA1843" w:rsidRPr="00A7778D" w:rsidRDefault="00FA1843" w:rsidP="00041DD0">
            <w:pPr>
              <w:jc w:val="right"/>
              <w:rPr>
                <w:b/>
                <w:bCs/>
                <w:noProof/>
                <w:color w:val="000000"/>
                <w:sz w:val="18"/>
                <w:szCs w:val="18"/>
              </w:rPr>
            </w:pPr>
          </w:p>
        </w:tc>
        <w:tc>
          <w:tcPr>
            <w:tcW w:w="1843" w:type="dxa"/>
            <w:vAlign w:val="center"/>
          </w:tcPr>
          <w:p w14:paraId="00474A9B" w14:textId="77777777" w:rsidR="00FA1843" w:rsidRPr="00A7778D" w:rsidRDefault="00FA1843" w:rsidP="00041DD0">
            <w:pPr>
              <w:jc w:val="right"/>
              <w:rPr>
                <w:b/>
                <w:bCs/>
                <w:noProof/>
                <w:color w:val="000000"/>
                <w:sz w:val="18"/>
                <w:szCs w:val="18"/>
              </w:rPr>
            </w:pPr>
          </w:p>
        </w:tc>
      </w:tr>
    </w:tbl>
    <w:p w14:paraId="5E4009D3" w14:textId="77777777" w:rsidR="00FA1843" w:rsidRPr="00A7778D" w:rsidRDefault="00FA1843" w:rsidP="00FA1843">
      <w:pPr>
        <w:rPr>
          <w:noProof/>
        </w:rPr>
        <w:sectPr w:rsidR="00FA1843" w:rsidRPr="00A7778D" w:rsidSect="00084EF2">
          <w:headerReference w:type="default" r:id="rId12"/>
          <w:footerReference w:type="default" r:id="rId13"/>
          <w:headerReference w:type="first" r:id="rId14"/>
          <w:footerReference w:type="first" r:id="rId15"/>
          <w:pgSz w:w="16838" w:h="11906" w:orient="landscape" w:code="9"/>
          <w:pgMar w:top="1134" w:right="1077" w:bottom="902" w:left="1247" w:header="709" w:footer="510" w:gutter="0"/>
          <w:cols w:space="720"/>
          <w:docGrid w:linePitch="326"/>
        </w:sectPr>
      </w:pPr>
    </w:p>
    <w:p w14:paraId="59C5DF35" w14:textId="2BCC1F83" w:rsidR="00FA1843" w:rsidRPr="00A7778D" w:rsidRDefault="002A7F8C" w:rsidP="002A7F8C">
      <w:pPr>
        <w:pStyle w:val="ManualHeading3"/>
        <w:rPr>
          <w:bCs/>
          <w:noProof/>
          <w:szCs w:val="24"/>
        </w:rPr>
      </w:pPr>
      <w:bookmarkStart w:id="62" w:name="_Toc514938687"/>
      <w:bookmarkStart w:id="63" w:name="_Toc520485446"/>
      <w:r w:rsidRPr="00A7778D">
        <w:rPr>
          <w:noProof/>
        </w:rPr>
        <w:t>3.2.2.</w:t>
      </w:r>
      <w:r w:rsidRPr="00A7778D">
        <w:rPr>
          <w:noProof/>
        </w:rPr>
        <w:tab/>
        <w:t>Arvioidut vaikutukset arvopaperimarkkinaviranomaisen määrärahoihin</w:t>
      </w:r>
      <w:bookmarkEnd w:id="62"/>
      <w:bookmarkEnd w:id="63"/>
      <w:r w:rsidRPr="00A7778D">
        <w:rPr>
          <w:noProof/>
        </w:rPr>
        <w:t xml:space="preserve"> </w:t>
      </w:r>
    </w:p>
    <w:p w14:paraId="1710E240" w14:textId="77777777" w:rsidR="00FA1843" w:rsidRPr="00A7778D" w:rsidRDefault="00FA1843" w:rsidP="00580A58">
      <w:pPr>
        <w:pStyle w:val="ListDash1"/>
        <w:numPr>
          <w:ilvl w:val="0"/>
          <w:numId w:val="21"/>
        </w:numPr>
        <w:rPr>
          <w:noProof/>
        </w:rPr>
      </w:pPr>
      <w:r w:rsidRPr="00A7778D">
        <w:rPr>
          <w:noProof/>
        </w:rPr>
        <w:sym w:font="Wingdings" w:char="F0A8"/>
      </w:r>
      <w:r w:rsidRPr="00A7778D">
        <w:rPr>
          <w:noProof/>
        </w:rPr>
        <w:tab/>
        <w:t xml:space="preserve">Ehdotus/aloite ei edellytä toimintamäärärahoja. </w:t>
      </w:r>
    </w:p>
    <w:p w14:paraId="7DC47D99" w14:textId="77777777" w:rsidR="00FA1843" w:rsidRPr="00A7778D" w:rsidRDefault="00FA1843" w:rsidP="00580A58">
      <w:pPr>
        <w:pStyle w:val="ListDash1"/>
        <w:numPr>
          <w:ilvl w:val="0"/>
          <w:numId w:val="21"/>
        </w:numPr>
        <w:rPr>
          <w:noProof/>
        </w:rPr>
      </w:pPr>
      <w:r w:rsidRPr="00A7778D">
        <w:rPr>
          <w:noProof/>
        </w:rPr>
        <w:sym w:font="Wingdings" w:char="F0FE"/>
      </w:r>
      <w:r w:rsidRPr="00A7778D">
        <w:rPr>
          <w:noProof/>
        </w:rPr>
        <w:tab/>
        <w:t>Ehdotus/aloite edellyttää toimintamäärärahoja seuraavasti:</w:t>
      </w:r>
    </w:p>
    <w:p w14:paraId="76135A4E" w14:textId="77777777" w:rsidR="00FA1843" w:rsidRPr="00A7778D" w:rsidRDefault="00FA1843" w:rsidP="00FA1843">
      <w:pPr>
        <w:jc w:val="right"/>
        <w:rPr>
          <w:noProof/>
          <w:sz w:val="20"/>
        </w:rPr>
      </w:pPr>
      <w:r w:rsidRPr="00A7778D">
        <w:rPr>
          <w:noProof/>
          <w:sz w:val="20"/>
        </w:rPr>
        <w:t>maksusitoumusmäärärahat, milj. euroa (kolmen desimaalin tarkkuudella)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183"/>
        <w:gridCol w:w="709"/>
        <w:gridCol w:w="719"/>
        <w:gridCol w:w="719"/>
        <w:gridCol w:w="719"/>
        <w:gridCol w:w="719"/>
        <w:gridCol w:w="719"/>
        <w:gridCol w:w="719"/>
        <w:gridCol w:w="719"/>
        <w:gridCol w:w="719"/>
        <w:gridCol w:w="719"/>
        <w:gridCol w:w="719"/>
        <w:gridCol w:w="719"/>
        <w:gridCol w:w="719"/>
      </w:tblGrid>
      <w:tr w:rsidR="00FA1843" w:rsidRPr="00A7778D" w14:paraId="36FCE5E0" w14:textId="77777777" w:rsidTr="00041DD0">
        <w:trPr>
          <w:jc w:val="center"/>
        </w:trPr>
        <w:tc>
          <w:tcPr>
            <w:tcW w:w="1717" w:type="dxa"/>
            <w:vMerge w:val="restart"/>
            <w:vAlign w:val="center"/>
          </w:tcPr>
          <w:p w14:paraId="5F7C48C3" w14:textId="77777777" w:rsidR="00FA1843" w:rsidRPr="00A7778D" w:rsidRDefault="00FA1843" w:rsidP="00041DD0">
            <w:pPr>
              <w:ind w:right="-29"/>
              <w:jc w:val="center"/>
              <w:rPr>
                <w:b/>
                <w:noProof/>
                <w:sz w:val="18"/>
              </w:rPr>
            </w:pPr>
            <w:r w:rsidRPr="00A7778D">
              <w:rPr>
                <w:b/>
                <w:noProof/>
                <w:sz w:val="18"/>
              </w:rPr>
              <w:t xml:space="preserve">Tavoitteet ja tuotokset </w:t>
            </w:r>
          </w:p>
          <w:p w14:paraId="3E00465E" w14:textId="77777777" w:rsidR="00FA1843" w:rsidRPr="00A7778D" w:rsidRDefault="00FA1843" w:rsidP="00041DD0">
            <w:pPr>
              <w:ind w:right="-29"/>
              <w:jc w:val="center"/>
              <w:rPr>
                <w:noProof/>
                <w:sz w:val="18"/>
              </w:rPr>
            </w:pPr>
            <w:r w:rsidRPr="00A7778D">
              <w:rPr>
                <w:noProof/>
                <w:sz w:val="18"/>
              </w:rPr>
              <w:sym w:font="Wingdings" w:char="F0F2"/>
            </w:r>
          </w:p>
        </w:tc>
        <w:tc>
          <w:tcPr>
            <w:tcW w:w="1183" w:type="dxa"/>
            <w:vAlign w:val="center"/>
          </w:tcPr>
          <w:p w14:paraId="2B9862B6" w14:textId="77777777" w:rsidR="00FA1843" w:rsidRPr="00A7778D" w:rsidRDefault="00FA1843" w:rsidP="00041DD0">
            <w:pPr>
              <w:ind w:right="-29"/>
              <w:jc w:val="center"/>
              <w:rPr>
                <w:noProof/>
                <w:sz w:val="18"/>
              </w:rPr>
            </w:pPr>
          </w:p>
        </w:tc>
        <w:tc>
          <w:tcPr>
            <w:tcW w:w="709" w:type="dxa"/>
            <w:vAlign w:val="center"/>
          </w:tcPr>
          <w:p w14:paraId="100F9C70" w14:textId="77777777" w:rsidR="00FA1843" w:rsidRPr="00A7778D" w:rsidRDefault="00FA1843" w:rsidP="00041DD0">
            <w:pPr>
              <w:ind w:right="-29"/>
              <w:jc w:val="center"/>
              <w:rPr>
                <w:noProof/>
                <w:sz w:val="18"/>
              </w:rPr>
            </w:pPr>
          </w:p>
        </w:tc>
        <w:tc>
          <w:tcPr>
            <w:tcW w:w="1438" w:type="dxa"/>
            <w:gridSpan w:val="2"/>
            <w:vAlign w:val="center"/>
          </w:tcPr>
          <w:p w14:paraId="41F130A1" w14:textId="77777777" w:rsidR="00FA1843" w:rsidRPr="00A7778D" w:rsidRDefault="00FA1843" w:rsidP="00041DD0">
            <w:pPr>
              <w:ind w:right="-29"/>
              <w:jc w:val="center"/>
              <w:rPr>
                <w:noProof/>
                <w:sz w:val="18"/>
              </w:rPr>
            </w:pPr>
            <w:r w:rsidRPr="00A7778D">
              <w:rPr>
                <w:noProof/>
                <w:sz w:val="18"/>
              </w:rPr>
              <w:t>2023</w:t>
            </w:r>
          </w:p>
        </w:tc>
        <w:tc>
          <w:tcPr>
            <w:tcW w:w="1438" w:type="dxa"/>
            <w:gridSpan w:val="2"/>
            <w:vAlign w:val="center"/>
          </w:tcPr>
          <w:p w14:paraId="5CE37650" w14:textId="77777777" w:rsidR="00FA1843" w:rsidRPr="00A7778D" w:rsidRDefault="00FA1843" w:rsidP="00041DD0">
            <w:pPr>
              <w:ind w:right="-29"/>
              <w:jc w:val="center"/>
              <w:rPr>
                <w:noProof/>
                <w:sz w:val="18"/>
              </w:rPr>
            </w:pPr>
            <w:r w:rsidRPr="00A7778D">
              <w:rPr>
                <w:noProof/>
                <w:sz w:val="18"/>
              </w:rPr>
              <w:t>2024</w:t>
            </w:r>
          </w:p>
        </w:tc>
        <w:tc>
          <w:tcPr>
            <w:tcW w:w="1438" w:type="dxa"/>
            <w:gridSpan w:val="2"/>
            <w:vAlign w:val="center"/>
          </w:tcPr>
          <w:p w14:paraId="1D3ED57F" w14:textId="77777777" w:rsidR="00FA1843" w:rsidRPr="00A7778D" w:rsidRDefault="00FA1843" w:rsidP="00041DD0">
            <w:pPr>
              <w:ind w:right="-29"/>
              <w:jc w:val="center"/>
              <w:rPr>
                <w:noProof/>
                <w:sz w:val="18"/>
              </w:rPr>
            </w:pPr>
            <w:r w:rsidRPr="00A7778D">
              <w:rPr>
                <w:noProof/>
                <w:sz w:val="18"/>
              </w:rPr>
              <w:t>2025</w:t>
            </w:r>
          </w:p>
        </w:tc>
        <w:tc>
          <w:tcPr>
            <w:tcW w:w="1438" w:type="dxa"/>
            <w:gridSpan w:val="2"/>
            <w:vAlign w:val="center"/>
          </w:tcPr>
          <w:p w14:paraId="0E913B56" w14:textId="77777777" w:rsidR="00FA1843" w:rsidRPr="00A7778D" w:rsidRDefault="00FA1843" w:rsidP="00041DD0">
            <w:pPr>
              <w:jc w:val="center"/>
              <w:rPr>
                <w:noProof/>
                <w:sz w:val="18"/>
              </w:rPr>
            </w:pPr>
            <w:r w:rsidRPr="00A7778D">
              <w:rPr>
                <w:noProof/>
                <w:sz w:val="18"/>
              </w:rPr>
              <w:t>2026</w:t>
            </w:r>
          </w:p>
        </w:tc>
        <w:tc>
          <w:tcPr>
            <w:tcW w:w="1438" w:type="dxa"/>
            <w:gridSpan w:val="2"/>
            <w:vAlign w:val="center"/>
          </w:tcPr>
          <w:p w14:paraId="749E0FAE" w14:textId="77777777" w:rsidR="00FA1843" w:rsidRPr="00A7778D" w:rsidRDefault="00FA1843" w:rsidP="00041DD0">
            <w:pPr>
              <w:jc w:val="center"/>
              <w:rPr>
                <w:noProof/>
                <w:sz w:val="18"/>
              </w:rPr>
            </w:pPr>
            <w:r w:rsidRPr="00A7778D">
              <w:rPr>
                <w:noProof/>
                <w:sz w:val="18"/>
              </w:rPr>
              <w:t>2027</w:t>
            </w:r>
          </w:p>
        </w:tc>
        <w:tc>
          <w:tcPr>
            <w:tcW w:w="1438" w:type="dxa"/>
            <w:gridSpan w:val="2"/>
            <w:tcBorders>
              <w:left w:val="nil"/>
              <w:bottom w:val="nil"/>
            </w:tcBorders>
            <w:vAlign w:val="center"/>
          </w:tcPr>
          <w:p w14:paraId="6ECC8450" w14:textId="77777777" w:rsidR="00FA1843" w:rsidRPr="00A7778D" w:rsidRDefault="00FA1843" w:rsidP="00041DD0">
            <w:pPr>
              <w:ind w:right="-29"/>
              <w:jc w:val="center"/>
              <w:rPr>
                <w:noProof/>
                <w:sz w:val="18"/>
              </w:rPr>
            </w:pPr>
            <w:r w:rsidRPr="00A7778D">
              <w:rPr>
                <w:b/>
                <w:noProof/>
                <w:sz w:val="18"/>
              </w:rPr>
              <w:t>YHTEENSÄ</w:t>
            </w:r>
          </w:p>
        </w:tc>
      </w:tr>
      <w:tr w:rsidR="00FA1843" w:rsidRPr="00A7778D" w14:paraId="099DDD01" w14:textId="77777777" w:rsidTr="00041DD0">
        <w:trPr>
          <w:jc w:val="center"/>
        </w:trPr>
        <w:tc>
          <w:tcPr>
            <w:tcW w:w="1717" w:type="dxa"/>
            <w:vMerge/>
            <w:vAlign w:val="center"/>
          </w:tcPr>
          <w:p w14:paraId="1F0BA31C" w14:textId="77777777" w:rsidR="00FA1843" w:rsidRPr="00A7778D" w:rsidRDefault="00FA1843" w:rsidP="00041DD0">
            <w:pPr>
              <w:ind w:right="-29"/>
              <w:jc w:val="center"/>
              <w:rPr>
                <w:b/>
                <w:noProof/>
                <w:sz w:val="18"/>
              </w:rPr>
            </w:pPr>
          </w:p>
        </w:tc>
        <w:tc>
          <w:tcPr>
            <w:tcW w:w="10520" w:type="dxa"/>
            <w:gridSpan w:val="14"/>
            <w:vAlign w:val="center"/>
          </w:tcPr>
          <w:p w14:paraId="1C7D2FC2" w14:textId="77777777" w:rsidR="00FA1843" w:rsidRPr="00A7778D" w:rsidRDefault="00FA1843" w:rsidP="00041DD0">
            <w:pPr>
              <w:ind w:right="-29"/>
              <w:jc w:val="center"/>
              <w:rPr>
                <w:b/>
                <w:noProof/>
                <w:sz w:val="18"/>
              </w:rPr>
            </w:pPr>
            <w:r w:rsidRPr="00A7778D">
              <w:rPr>
                <w:b/>
                <w:noProof/>
                <w:sz w:val="18"/>
              </w:rPr>
              <w:t>TUOTOKSET</w:t>
            </w:r>
          </w:p>
        </w:tc>
      </w:tr>
      <w:tr w:rsidR="00FA1843" w:rsidRPr="00A7778D" w14:paraId="2AE0A5B3" w14:textId="77777777" w:rsidTr="00041DD0">
        <w:trPr>
          <w:cantSplit/>
          <w:trHeight w:val="1134"/>
          <w:jc w:val="center"/>
        </w:trPr>
        <w:tc>
          <w:tcPr>
            <w:tcW w:w="1717" w:type="dxa"/>
            <w:vMerge/>
            <w:vAlign w:val="center"/>
          </w:tcPr>
          <w:p w14:paraId="08341355" w14:textId="77777777" w:rsidR="00FA1843" w:rsidRPr="00A7778D" w:rsidRDefault="00FA1843" w:rsidP="00041DD0">
            <w:pPr>
              <w:rPr>
                <w:noProof/>
                <w:sz w:val="18"/>
              </w:rPr>
            </w:pPr>
          </w:p>
        </w:tc>
        <w:tc>
          <w:tcPr>
            <w:tcW w:w="1183" w:type="dxa"/>
            <w:vAlign w:val="center"/>
          </w:tcPr>
          <w:p w14:paraId="50D65E8C" w14:textId="77777777" w:rsidR="00FA1843" w:rsidRPr="00A7778D" w:rsidRDefault="00FA1843" w:rsidP="00041DD0">
            <w:pPr>
              <w:jc w:val="center"/>
              <w:rPr>
                <w:noProof/>
                <w:sz w:val="18"/>
              </w:rPr>
            </w:pPr>
            <w:r w:rsidRPr="00A7778D">
              <w:rPr>
                <w:noProof/>
                <w:sz w:val="18"/>
              </w:rPr>
              <w:t>Tyyppi</w:t>
            </w:r>
            <w:r w:rsidRPr="00A7778D">
              <w:rPr>
                <w:rStyle w:val="FootnoteReference0"/>
                <w:noProof/>
                <w:sz w:val="18"/>
              </w:rPr>
              <w:footnoteReference w:id="64"/>
            </w:r>
          </w:p>
        </w:tc>
        <w:tc>
          <w:tcPr>
            <w:tcW w:w="709" w:type="dxa"/>
            <w:vAlign w:val="center"/>
          </w:tcPr>
          <w:p w14:paraId="4AF60351" w14:textId="77777777" w:rsidR="00FA1843" w:rsidRPr="00A7778D" w:rsidRDefault="00FA1843" w:rsidP="00041DD0">
            <w:pPr>
              <w:jc w:val="center"/>
              <w:rPr>
                <w:noProof/>
              </w:rPr>
            </w:pPr>
            <w:r w:rsidRPr="00A7778D">
              <w:rPr>
                <w:noProof/>
                <w:sz w:val="18"/>
              </w:rPr>
              <w:t>Keskimäär. kustannukset</w:t>
            </w:r>
          </w:p>
        </w:tc>
        <w:tc>
          <w:tcPr>
            <w:tcW w:w="719" w:type="dxa"/>
            <w:tcBorders>
              <w:right w:val="dashSmallGap" w:sz="4" w:space="0" w:color="auto"/>
            </w:tcBorders>
            <w:shd w:val="pct10" w:color="auto" w:fill="auto"/>
            <w:textDirection w:val="btLr"/>
            <w:vAlign w:val="center"/>
          </w:tcPr>
          <w:p w14:paraId="5AEA07D3" w14:textId="77777777" w:rsidR="00FA1843" w:rsidRPr="00A7778D" w:rsidRDefault="00FA1843" w:rsidP="00041DD0">
            <w:pPr>
              <w:ind w:left="113" w:right="113"/>
              <w:jc w:val="center"/>
              <w:rPr>
                <w:noProof/>
              </w:rPr>
            </w:pPr>
            <w:r w:rsidRPr="00A7778D">
              <w:rPr>
                <w:noProof/>
                <w:sz w:val="18"/>
              </w:rPr>
              <w:t>Lkm</w:t>
            </w:r>
          </w:p>
        </w:tc>
        <w:tc>
          <w:tcPr>
            <w:tcW w:w="719" w:type="dxa"/>
            <w:tcBorders>
              <w:left w:val="dashSmallGap" w:sz="4" w:space="0" w:color="auto"/>
            </w:tcBorders>
            <w:shd w:val="pct10" w:color="auto" w:fill="auto"/>
            <w:vAlign w:val="center"/>
          </w:tcPr>
          <w:p w14:paraId="5F3B1BD7" w14:textId="77777777" w:rsidR="00FA1843" w:rsidRPr="00A7778D" w:rsidRDefault="00FA1843" w:rsidP="00041DD0">
            <w:pPr>
              <w:jc w:val="center"/>
              <w:rPr>
                <w:noProof/>
                <w:sz w:val="18"/>
              </w:rPr>
            </w:pPr>
            <w:r w:rsidRPr="00A7778D">
              <w:rPr>
                <w:noProof/>
                <w:sz w:val="18"/>
              </w:rPr>
              <w:t>Kustannus</w:t>
            </w:r>
          </w:p>
        </w:tc>
        <w:tc>
          <w:tcPr>
            <w:tcW w:w="719" w:type="dxa"/>
            <w:tcBorders>
              <w:right w:val="dashSmallGap" w:sz="4" w:space="0" w:color="auto"/>
            </w:tcBorders>
            <w:shd w:val="pct10" w:color="auto" w:fill="auto"/>
            <w:textDirection w:val="btLr"/>
            <w:vAlign w:val="center"/>
          </w:tcPr>
          <w:p w14:paraId="79A80069" w14:textId="77777777" w:rsidR="00FA1843" w:rsidRPr="00A7778D" w:rsidRDefault="00FA1843" w:rsidP="00041DD0">
            <w:pPr>
              <w:ind w:left="113" w:right="113"/>
              <w:jc w:val="center"/>
              <w:rPr>
                <w:noProof/>
              </w:rPr>
            </w:pPr>
            <w:r w:rsidRPr="00A7778D">
              <w:rPr>
                <w:noProof/>
                <w:sz w:val="18"/>
              </w:rPr>
              <w:t>Lkm</w:t>
            </w:r>
          </w:p>
        </w:tc>
        <w:tc>
          <w:tcPr>
            <w:tcW w:w="719" w:type="dxa"/>
            <w:tcBorders>
              <w:left w:val="dashSmallGap" w:sz="4" w:space="0" w:color="auto"/>
            </w:tcBorders>
            <w:shd w:val="pct10" w:color="auto" w:fill="auto"/>
            <w:vAlign w:val="center"/>
          </w:tcPr>
          <w:p w14:paraId="3D24BF45" w14:textId="77777777" w:rsidR="00FA1843" w:rsidRPr="00A7778D" w:rsidRDefault="00FA1843" w:rsidP="00041DD0">
            <w:pPr>
              <w:jc w:val="center"/>
              <w:rPr>
                <w:noProof/>
                <w:sz w:val="18"/>
              </w:rPr>
            </w:pPr>
            <w:r w:rsidRPr="00A7778D">
              <w:rPr>
                <w:noProof/>
                <w:sz w:val="18"/>
              </w:rPr>
              <w:t>Kustannus</w:t>
            </w:r>
          </w:p>
        </w:tc>
        <w:tc>
          <w:tcPr>
            <w:tcW w:w="719" w:type="dxa"/>
            <w:tcBorders>
              <w:right w:val="dashSmallGap" w:sz="4" w:space="0" w:color="auto"/>
            </w:tcBorders>
            <w:shd w:val="pct10" w:color="auto" w:fill="auto"/>
            <w:textDirection w:val="btLr"/>
            <w:vAlign w:val="center"/>
          </w:tcPr>
          <w:p w14:paraId="45CA8F1C" w14:textId="77777777" w:rsidR="00FA1843" w:rsidRPr="00A7778D" w:rsidRDefault="00FA1843" w:rsidP="00041DD0">
            <w:pPr>
              <w:ind w:left="113" w:right="113"/>
              <w:jc w:val="center"/>
              <w:rPr>
                <w:noProof/>
              </w:rPr>
            </w:pPr>
            <w:r w:rsidRPr="00A7778D">
              <w:rPr>
                <w:noProof/>
                <w:sz w:val="18"/>
              </w:rPr>
              <w:t>Lkm</w:t>
            </w:r>
          </w:p>
        </w:tc>
        <w:tc>
          <w:tcPr>
            <w:tcW w:w="719" w:type="dxa"/>
            <w:tcBorders>
              <w:left w:val="dashSmallGap" w:sz="4" w:space="0" w:color="auto"/>
            </w:tcBorders>
            <w:shd w:val="pct10" w:color="auto" w:fill="auto"/>
            <w:vAlign w:val="center"/>
          </w:tcPr>
          <w:p w14:paraId="06E1053C" w14:textId="77777777" w:rsidR="00FA1843" w:rsidRPr="00A7778D" w:rsidRDefault="00FA1843" w:rsidP="00041DD0">
            <w:pPr>
              <w:jc w:val="center"/>
              <w:rPr>
                <w:noProof/>
                <w:sz w:val="18"/>
              </w:rPr>
            </w:pPr>
            <w:r w:rsidRPr="00A7778D">
              <w:rPr>
                <w:noProof/>
                <w:sz w:val="18"/>
              </w:rPr>
              <w:t>Kustannus</w:t>
            </w:r>
          </w:p>
        </w:tc>
        <w:tc>
          <w:tcPr>
            <w:tcW w:w="719" w:type="dxa"/>
            <w:tcBorders>
              <w:right w:val="dashSmallGap" w:sz="4" w:space="0" w:color="auto"/>
            </w:tcBorders>
            <w:shd w:val="pct10" w:color="auto" w:fill="auto"/>
            <w:textDirection w:val="btLr"/>
            <w:vAlign w:val="center"/>
          </w:tcPr>
          <w:p w14:paraId="01927D08" w14:textId="77777777" w:rsidR="00FA1843" w:rsidRPr="00A7778D" w:rsidRDefault="00FA1843" w:rsidP="00041DD0">
            <w:pPr>
              <w:ind w:left="113" w:right="113"/>
              <w:jc w:val="center"/>
              <w:rPr>
                <w:noProof/>
              </w:rPr>
            </w:pPr>
            <w:r w:rsidRPr="00A7778D">
              <w:rPr>
                <w:noProof/>
                <w:sz w:val="18"/>
              </w:rPr>
              <w:t>Lkm</w:t>
            </w:r>
          </w:p>
        </w:tc>
        <w:tc>
          <w:tcPr>
            <w:tcW w:w="719" w:type="dxa"/>
            <w:tcBorders>
              <w:left w:val="dashSmallGap" w:sz="4" w:space="0" w:color="auto"/>
            </w:tcBorders>
            <w:shd w:val="pct10" w:color="auto" w:fill="auto"/>
            <w:vAlign w:val="center"/>
          </w:tcPr>
          <w:p w14:paraId="6BD35227" w14:textId="77777777" w:rsidR="00FA1843" w:rsidRPr="00A7778D" w:rsidRDefault="00FA1843" w:rsidP="00041DD0">
            <w:pPr>
              <w:jc w:val="center"/>
              <w:rPr>
                <w:noProof/>
                <w:sz w:val="18"/>
              </w:rPr>
            </w:pPr>
            <w:r w:rsidRPr="00A7778D">
              <w:rPr>
                <w:noProof/>
                <w:sz w:val="18"/>
              </w:rPr>
              <w:t>Kustannus</w:t>
            </w:r>
          </w:p>
        </w:tc>
        <w:tc>
          <w:tcPr>
            <w:tcW w:w="719" w:type="dxa"/>
            <w:tcBorders>
              <w:right w:val="dashSmallGap" w:sz="4" w:space="0" w:color="auto"/>
            </w:tcBorders>
            <w:shd w:val="pct10" w:color="auto" w:fill="auto"/>
            <w:textDirection w:val="btLr"/>
            <w:vAlign w:val="center"/>
          </w:tcPr>
          <w:p w14:paraId="25038F7E" w14:textId="77777777" w:rsidR="00FA1843" w:rsidRPr="00A7778D" w:rsidRDefault="00FA1843" w:rsidP="00041DD0">
            <w:pPr>
              <w:ind w:left="113" w:right="113"/>
              <w:jc w:val="center"/>
              <w:rPr>
                <w:noProof/>
              </w:rPr>
            </w:pPr>
            <w:r w:rsidRPr="00A7778D">
              <w:rPr>
                <w:noProof/>
                <w:sz w:val="18"/>
              </w:rPr>
              <w:t>Lkm</w:t>
            </w:r>
          </w:p>
        </w:tc>
        <w:tc>
          <w:tcPr>
            <w:tcW w:w="719" w:type="dxa"/>
            <w:tcBorders>
              <w:left w:val="dashSmallGap" w:sz="4" w:space="0" w:color="auto"/>
            </w:tcBorders>
            <w:shd w:val="pct10" w:color="auto" w:fill="auto"/>
            <w:vAlign w:val="center"/>
          </w:tcPr>
          <w:p w14:paraId="14A49464" w14:textId="77777777" w:rsidR="00FA1843" w:rsidRPr="00A7778D" w:rsidRDefault="00FA1843" w:rsidP="00041DD0">
            <w:pPr>
              <w:jc w:val="center"/>
              <w:rPr>
                <w:noProof/>
                <w:sz w:val="18"/>
              </w:rPr>
            </w:pPr>
            <w:r w:rsidRPr="00A7778D">
              <w:rPr>
                <w:noProof/>
                <w:sz w:val="18"/>
              </w:rPr>
              <w:t>Kustannus</w:t>
            </w:r>
          </w:p>
        </w:tc>
        <w:tc>
          <w:tcPr>
            <w:tcW w:w="719" w:type="dxa"/>
            <w:tcBorders>
              <w:right w:val="dashSmallGap" w:sz="4" w:space="0" w:color="auto"/>
            </w:tcBorders>
            <w:shd w:val="pct10" w:color="auto" w:fill="auto"/>
            <w:vAlign w:val="center"/>
          </w:tcPr>
          <w:p w14:paraId="08DD7BFA" w14:textId="77777777" w:rsidR="00FA1843" w:rsidRPr="00A7778D" w:rsidRDefault="00FA1843" w:rsidP="00041DD0">
            <w:pPr>
              <w:jc w:val="center"/>
              <w:rPr>
                <w:noProof/>
                <w:sz w:val="18"/>
              </w:rPr>
            </w:pPr>
            <w:r w:rsidRPr="00A7778D">
              <w:rPr>
                <w:noProof/>
                <w:sz w:val="18"/>
              </w:rPr>
              <w:t>Lukumäärä yhteensä</w:t>
            </w:r>
          </w:p>
        </w:tc>
        <w:tc>
          <w:tcPr>
            <w:tcW w:w="719" w:type="dxa"/>
            <w:tcBorders>
              <w:left w:val="dashSmallGap" w:sz="4" w:space="0" w:color="auto"/>
            </w:tcBorders>
            <w:shd w:val="pct10" w:color="auto" w:fill="auto"/>
            <w:vAlign w:val="center"/>
          </w:tcPr>
          <w:p w14:paraId="33E9C96A" w14:textId="77777777" w:rsidR="00FA1843" w:rsidRPr="00A7778D" w:rsidRDefault="00FA1843" w:rsidP="00041DD0">
            <w:pPr>
              <w:jc w:val="center"/>
              <w:rPr>
                <w:noProof/>
              </w:rPr>
            </w:pPr>
            <w:r w:rsidRPr="00A7778D">
              <w:rPr>
                <w:noProof/>
                <w:sz w:val="18"/>
              </w:rPr>
              <w:t>Kustannukset yhteensä</w:t>
            </w:r>
          </w:p>
        </w:tc>
      </w:tr>
      <w:tr w:rsidR="00FA1843" w:rsidRPr="00A7778D" w14:paraId="753B62F8" w14:textId="77777777" w:rsidTr="00041DD0">
        <w:trPr>
          <w:jc w:val="center"/>
        </w:trPr>
        <w:tc>
          <w:tcPr>
            <w:tcW w:w="3609" w:type="dxa"/>
            <w:gridSpan w:val="3"/>
            <w:vAlign w:val="center"/>
          </w:tcPr>
          <w:p w14:paraId="074194BB" w14:textId="77777777" w:rsidR="00FA1843" w:rsidRPr="00A7778D" w:rsidRDefault="00FA1843" w:rsidP="00041DD0">
            <w:pPr>
              <w:spacing w:before="60" w:after="60"/>
              <w:ind w:right="-29"/>
              <w:jc w:val="center"/>
              <w:rPr>
                <w:noProof/>
                <w:sz w:val="18"/>
              </w:rPr>
            </w:pPr>
            <w:r w:rsidRPr="00A7778D">
              <w:rPr>
                <w:noProof/>
                <w:sz w:val="18"/>
              </w:rPr>
              <w:t>ERITYISTAVOITE 1: Valvontaraportointijärjestelmään liittyvät yhteisöt</w:t>
            </w:r>
          </w:p>
        </w:tc>
        <w:tc>
          <w:tcPr>
            <w:tcW w:w="719" w:type="dxa"/>
            <w:tcBorders>
              <w:top w:val="nil"/>
              <w:left w:val="nil"/>
              <w:bottom w:val="nil"/>
              <w:right w:val="nil"/>
            </w:tcBorders>
            <w:vAlign w:val="center"/>
          </w:tcPr>
          <w:p w14:paraId="79F36F18"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0AF9EF85"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31668846"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4586BFCB"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5D78AAD5"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793E9048"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7032115D"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4BD11CB0"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3046682D"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181750D4"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51849D9F"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679FB6F9" w14:textId="77777777" w:rsidR="00FA1843" w:rsidRPr="00A7778D" w:rsidRDefault="00FA1843" w:rsidP="00041DD0">
            <w:pPr>
              <w:spacing w:before="60" w:after="60"/>
              <w:ind w:right="-29"/>
              <w:jc w:val="center"/>
              <w:rPr>
                <w:noProof/>
                <w:sz w:val="18"/>
              </w:rPr>
            </w:pPr>
          </w:p>
        </w:tc>
      </w:tr>
      <w:tr w:rsidR="00FA1843" w:rsidRPr="00A7778D" w14:paraId="5D548725" w14:textId="77777777" w:rsidTr="00041DD0">
        <w:trPr>
          <w:trHeight w:hRule="exact" w:val="842"/>
          <w:jc w:val="center"/>
        </w:trPr>
        <w:tc>
          <w:tcPr>
            <w:tcW w:w="1717" w:type="dxa"/>
            <w:vAlign w:val="center"/>
          </w:tcPr>
          <w:p w14:paraId="0250AF3F" w14:textId="77777777" w:rsidR="00FA1843" w:rsidRPr="00A7778D" w:rsidRDefault="00FA1843" w:rsidP="00041DD0">
            <w:pPr>
              <w:ind w:right="-29"/>
              <w:jc w:val="center"/>
              <w:rPr>
                <w:noProof/>
                <w:sz w:val="18"/>
              </w:rPr>
            </w:pPr>
            <w:r w:rsidRPr="00A7778D">
              <w:rPr>
                <w:noProof/>
                <w:sz w:val="18"/>
              </w:rPr>
              <w:t>– Tuotos</w:t>
            </w:r>
          </w:p>
        </w:tc>
        <w:tc>
          <w:tcPr>
            <w:tcW w:w="1183" w:type="dxa"/>
            <w:vAlign w:val="center"/>
          </w:tcPr>
          <w:p w14:paraId="6C5FADC5" w14:textId="77777777" w:rsidR="00FA1843" w:rsidRPr="00A7778D" w:rsidRDefault="00FA1843" w:rsidP="00041DD0">
            <w:pPr>
              <w:ind w:right="-29"/>
              <w:jc w:val="center"/>
              <w:rPr>
                <w:noProof/>
                <w:sz w:val="18"/>
              </w:rPr>
            </w:pPr>
            <w:r w:rsidRPr="00A7778D">
              <w:rPr>
                <w:noProof/>
                <w:sz w:val="18"/>
              </w:rPr>
              <w:t>Liittyneet yhteisöt</w:t>
            </w:r>
          </w:p>
        </w:tc>
        <w:tc>
          <w:tcPr>
            <w:tcW w:w="709" w:type="dxa"/>
            <w:vAlign w:val="center"/>
          </w:tcPr>
          <w:p w14:paraId="2D9A4D04" w14:textId="77777777" w:rsidR="00FA1843" w:rsidRPr="00A7778D" w:rsidRDefault="00FA1843" w:rsidP="00041DD0">
            <w:pPr>
              <w:ind w:right="-29"/>
              <w:jc w:val="center"/>
              <w:rPr>
                <w:noProof/>
                <w:sz w:val="18"/>
              </w:rPr>
            </w:pPr>
          </w:p>
        </w:tc>
        <w:tc>
          <w:tcPr>
            <w:tcW w:w="719" w:type="dxa"/>
            <w:tcBorders>
              <w:right w:val="dashSmallGap" w:sz="4" w:space="0" w:color="auto"/>
            </w:tcBorders>
            <w:vAlign w:val="center"/>
          </w:tcPr>
          <w:p w14:paraId="138952F8" w14:textId="77777777" w:rsidR="00FA1843" w:rsidRPr="00A7778D" w:rsidRDefault="00FA1843" w:rsidP="00041DD0">
            <w:pPr>
              <w:ind w:right="-29"/>
              <w:jc w:val="center"/>
              <w:rPr>
                <w:noProof/>
                <w:sz w:val="18"/>
              </w:rPr>
            </w:pPr>
          </w:p>
        </w:tc>
        <w:tc>
          <w:tcPr>
            <w:tcW w:w="719" w:type="dxa"/>
            <w:tcBorders>
              <w:left w:val="dashSmallGap" w:sz="4" w:space="0" w:color="auto"/>
            </w:tcBorders>
            <w:vAlign w:val="center"/>
          </w:tcPr>
          <w:p w14:paraId="1640B6A2" w14:textId="77777777" w:rsidR="00FA1843" w:rsidRPr="00A7778D" w:rsidRDefault="00FA1843" w:rsidP="00041DD0">
            <w:pPr>
              <w:ind w:right="-29"/>
              <w:jc w:val="center"/>
              <w:rPr>
                <w:noProof/>
                <w:sz w:val="18"/>
              </w:rPr>
            </w:pPr>
          </w:p>
        </w:tc>
        <w:tc>
          <w:tcPr>
            <w:tcW w:w="719" w:type="dxa"/>
            <w:tcBorders>
              <w:right w:val="dashSmallGap" w:sz="4" w:space="0" w:color="auto"/>
            </w:tcBorders>
            <w:vAlign w:val="center"/>
          </w:tcPr>
          <w:p w14:paraId="4BAB23B7" w14:textId="77777777" w:rsidR="00FA1843" w:rsidRPr="00A7778D" w:rsidRDefault="00FA1843" w:rsidP="00041DD0">
            <w:pPr>
              <w:spacing w:before="0" w:after="0"/>
              <w:jc w:val="center"/>
              <w:rPr>
                <w:noProof/>
                <w:color w:val="000000"/>
                <w:sz w:val="18"/>
                <w:szCs w:val="18"/>
              </w:rPr>
            </w:pPr>
          </w:p>
        </w:tc>
        <w:tc>
          <w:tcPr>
            <w:tcW w:w="719" w:type="dxa"/>
            <w:tcBorders>
              <w:left w:val="dashSmallGap" w:sz="4" w:space="0" w:color="auto"/>
            </w:tcBorders>
            <w:vAlign w:val="center"/>
          </w:tcPr>
          <w:p w14:paraId="7F860C87" w14:textId="77777777" w:rsidR="00FA1843" w:rsidRPr="00A7778D" w:rsidRDefault="00FA1843" w:rsidP="00041DD0">
            <w:pPr>
              <w:jc w:val="center"/>
              <w:rPr>
                <w:noProof/>
                <w:color w:val="000000"/>
                <w:sz w:val="18"/>
                <w:szCs w:val="18"/>
              </w:rPr>
            </w:pPr>
          </w:p>
        </w:tc>
        <w:tc>
          <w:tcPr>
            <w:tcW w:w="719" w:type="dxa"/>
            <w:tcBorders>
              <w:right w:val="dashSmallGap" w:sz="4" w:space="0" w:color="auto"/>
            </w:tcBorders>
            <w:vAlign w:val="center"/>
          </w:tcPr>
          <w:p w14:paraId="549B8A35" w14:textId="77777777" w:rsidR="00FA1843" w:rsidRPr="00A7778D" w:rsidRDefault="00FA1843" w:rsidP="00041DD0">
            <w:pPr>
              <w:jc w:val="center"/>
              <w:rPr>
                <w:noProof/>
                <w:color w:val="000000"/>
                <w:sz w:val="18"/>
                <w:szCs w:val="18"/>
              </w:rPr>
            </w:pPr>
            <w:r w:rsidRPr="00A7778D">
              <w:rPr>
                <w:noProof/>
                <w:color w:val="000000"/>
                <w:sz w:val="18"/>
              </w:rPr>
              <w:t>40</w:t>
            </w:r>
          </w:p>
        </w:tc>
        <w:tc>
          <w:tcPr>
            <w:tcW w:w="719" w:type="dxa"/>
            <w:tcBorders>
              <w:left w:val="dashSmallGap" w:sz="4" w:space="0" w:color="auto"/>
            </w:tcBorders>
            <w:vAlign w:val="center"/>
          </w:tcPr>
          <w:p w14:paraId="6E11F422" w14:textId="77777777" w:rsidR="00FA1843" w:rsidRPr="00A7778D" w:rsidRDefault="00FA1843" w:rsidP="00041DD0">
            <w:pPr>
              <w:jc w:val="center"/>
              <w:rPr>
                <w:noProof/>
                <w:color w:val="000000"/>
                <w:sz w:val="18"/>
                <w:szCs w:val="18"/>
              </w:rPr>
            </w:pPr>
            <w:r w:rsidRPr="00A7778D">
              <w:rPr>
                <w:noProof/>
                <w:color w:val="000000"/>
                <w:sz w:val="18"/>
              </w:rPr>
              <w:t>0,035</w:t>
            </w:r>
          </w:p>
        </w:tc>
        <w:tc>
          <w:tcPr>
            <w:tcW w:w="719" w:type="dxa"/>
            <w:tcBorders>
              <w:right w:val="dashSmallGap" w:sz="4" w:space="0" w:color="auto"/>
            </w:tcBorders>
            <w:vAlign w:val="center"/>
          </w:tcPr>
          <w:p w14:paraId="41CFB73C" w14:textId="77777777" w:rsidR="00FA1843" w:rsidRPr="00A7778D" w:rsidRDefault="00FA1843" w:rsidP="00041DD0">
            <w:pPr>
              <w:ind w:right="-29"/>
              <w:jc w:val="center"/>
              <w:rPr>
                <w:noProof/>
                <w:sz w:val="18"/>
              </w:rPr>
            </w:pPr>
            <w:r w:rsidRPr="00A7778D">
              <w:rPr>
                <w:noProof/>
                <w:sz w:val="18"/>
              </w:rPr>
              <w:t>10</w:t>
            </w:r>
          </w:p>
        </w:tc>
        <w:tc>
          <w:tcPr>
            <w:tcW w:w="719" w:type="dxa"/>
            <w:tcBorders>
              <w:left w:val="dashSmallGap" w:sz="4" w:space="0" w:color="auto"/>
            </w:tcBorders>
            <w:vAlign w:val="center"/>
          </w:tcPr>
          <w:p w14:paraId="58B54E70" w14:textId="77777777" w:rsidR="00FA1843" w:rsidRPr="00A7778D" w:rsidRDefault="00FA1843" w:rsidP="00041DD0">
            <w:pPr>
              <w:ind w:right="-29"/>
              <w:jc w:val="center"/>
              <w:rPr>
                <w:noProof/>
                <w:sz w:val="18"/>
              </w:rPr>
            </w:pPr>
            <w:r w:rsidRPr="00A7778D">
              <w:rPr>
                <w:noProof/>
                <w:sz w:val="18"/>
              </w:rPr>
              <w:t>0,005</w:t>
            </w:r>
          </w:p>
        </w:tc>
        <w:tc>
          <w:tcPr>
            <w:tcW w:w="719" w:type="dxa"/>
            <w:tcBorders>
              <w:right w:val="dashSmallGap" w:sz="4" w:space="0" w:color="auto"/>
            </w:tcBorders>
            <w:vAlign w:val="center"/>
          </w:tcPr>
          <w:p w14:paraId="3E8F1021" w14:textId="77777777" w:rsidR="00FA1843" w:rsidRPr="00A7778D" w:rsidRDefault="00FA1843" w:rsidP="00041DD0">
            <w:pPr>
              <w:ind w:right="-29"/>
              <w:jc w:val="center"/>
              <w:rPr>
                <w:noProof/>
                <w:sz w:val="18"/>
              </w:rPr>
            </w:pPr>
            <w:r w:rsidRPr="00A7778D">
              <w:rPr>
                <w:noProof/>
                <w:sz w:val="18"/>
              </w:rPr>
              <w:t>9</w:t>
            </w:r>
          </w:p>
        </w:tc>
        <w:tc>
          <w:tcPr>
            <w:tcW w:w="719" w:type="dxa"/>
            <w:tcBorders>
              <w:left w:val="dashSmallGap" w:sz="4" w:space="0" w:color="auto"/>
            </w:tcBorders>
            <w:vAlign w:val="center"/>
          </w:tcPr>
          <w:p w14:paraId="116A9BFB" w14:textId="77777777" w:rsidR="00FA1843" w:rsidRPr="00A7778D" w:rsidRDefault="00FA1843" w:rsidP="00041DD0">
            <w:pPr>
              <w:ind w:right="-29"/>
              <w:jc w:val="center"/>
              <w:rPr>
                <w:noProof/>
                <w:sz w:val="18"/>
              </w:rPr>
            </w:pPr>
            <w:r w:rsidRPr="00A7778D">
              <w:rPr>
                <w:noProof/>
                <w:sz w:val="18"/>
              </w:rPr>
              <w:t>0,005</w:t>
            </w:r>
          </w:p>
        </w:tc>
        <w:tc>
          <w:tcPr>
            <w:tcW w:w="719" w:type="dxa"/>
            <w:vAlign w:val="center"/>
          </w:tcPr>
          <w:p w14:paraId="41EEA56E" w14:textId="77777777" w:rsidR="00FA1843" w:rsidRPr="00A7778D" w:rsidRDefault="00FA1843" w:rsidP="00041DD0">
            <w:pPr>
              <w:ind w:right="-29"/>
              <w:jc w:val="center"/>
              <w:rPr>
                <w:noProof/>
                <w:sz w:val="18"/>
              </w:rPr>
            </w:pPr>
            <w:r w:rsidRPr="00A7778D">
              <w:rPr>
                <w:noProof/>
                <w:sz w:val="18"/>
              </w:rPr>
              <w:t>59</w:t>
            </w:r>
          </w:p>
        </w:tc>
        <w:tc>
          <w:tcPr>
            <w:tcW w:w="719" w:type="dxa"/>
            <w:vAlign w:val="center"/>
          </w:tcPr>
          <w:p w14:paraId="7B4D3E1B" w14:textId="77777777" w:rsidR="00FA1843" w:rsidRPr="00A7778D" w:rsidRDefault="00FA1843" w:rsidP="00041DD0">
            <w:pPr>
              <w:ind w:right="-29"/>
              <w:jc w:val="center"/>
              <w:rPr>
                <w:noProof/>
                <w:sz w:val="18"/>
              </w:rPr>
            </w:pPr>
            <w:r w:rsidRPr="00A7778D">
              <w:rPr>
                <w:noProof/>
                <w:sz w:val="18"/>
              </w:rPr>
              <w:t>0,045</w:t>
            </w:r>
          </w:p>
        </w:tc>
      </w:tr>
      <w:tr w:rsidR="00FA1843" w:rsidRPr="00A7778D" w14:paraId="23F5FAF0" w14:textId="77777777" w:rsidTr="00041DD0">
        <w:trPr>
          <w:jc w:val="center"/>
        </w:trPr>
        <w:tc>
          <w:tcPr>
            <w:tcW w:w="3609" w:type="dxa"/>
            <w:gridSpan w:val="3"/>
            <w:tcBorders>
              <w:bottom w:val="single" w:sz="12" w:space="0" w:color="auto"/>
            </w:tcBorders>
            <w:vAlign w:val="center"/>
          </w:tcPr>
          <w:p w14:paraId="0ED181AB" w14:textId="77777777" w:rsidR="00FA1843" w:rsidRPr="00A7778D" w:rsidRDefault="00FA1843" w:rsidP="00041DD0">
            <w:pPr>
              <w:ind w:right="-29"/>
              <w:jc w:val="center"/>
              <w:rPr>
                <w:noProof/>
                <w:sz w:val="18"/>
              </w:rPr>
            </w:pPr>
            <w:r w:rsidRPr="00A7778D">
              <w:rPr>
                <w:noProof/>
                <w:sz w:val="18"/>
              </w:rPr>
              <w:t>Välisumma, erityistavoite 1</w:t>
            </w:r>
          </w:p>
        </w:tc>
        <w:tc>
          <w:tcPr>
            <w:tcW w:w="719" w:type="dxa"/>
            <w:tcBorders>
              <w:bottom w:val="single" w:sz="12" w:space="0" w:color="auto"/>
            </w:tcBorders>
            <w:vAlign w:val="center"/>
          </w:tcPr>
          <w:p w14:paraId="16682DD4" w14:textId="77777777" w:rsidR="00FA1843" w:rsidRPr="00A7778D" w:rsidRDefault="00FA1843" w:rsidP="00041DD0">
            <w:pPr>
              <w:ind w:right="-29"/>
              <w:jc w:val="center"/>
              <w:rPr>
                <w:noProof/>
                <w:sz w:val="18"/>
              </w:rPr>
            </w:pPr>
          </w:p>
        </w:tc>
        <w:tc>
          <w:tcPr>
            <w:tcW w:w="719" w:type="dxa"/>
            <w:tcBorders>
              <w:bottom w:val="single" w:sz="12" w:space="0" w:color="auto"/>
            </w:tcBorders>
            <w:vAlign w:val="center"/>
          </w:tcPr>
          <w:p w14:paraId="35B2D40A" w14:textId="77777777" w:rsidR="00FA1843" w:rsidRPr="00A7778D" w:rsidRDefault="00FA1843" w:rsidP="00041DD0">
            <w:pPr>
              <w:ind w:right="-29"/>
              <w:jc w:val="center"/>
              <w:rPr>
                <w:noProof/>
                <w:sz w:val="18"/>
              </w:rPr>
            </w:pPr>
          </w:p>
        </w:tc>
        <w:tc>
          <w:tcPr>
            <w:tcW w:w="719" w:type="dxa"/>
            <w:tcBorders>
              <w:bottom w:val="single" w:sz="12" w:space="0" w:color="auto"/>
            </w:tcBorders>
            <w:vAlign w:val="center"/>
          </w:tcPr>
          <w:p w14:paraId="287D5C0D" w14:textId="77777777" w:rsidR="00FA1843" w:rsidRPr="00A7778D" w:rsidRDefault="00FA1843" w:rsidP="00041DD0">
            <w:pPr>
              <w:spacing w:before="0" w:after="0"/>
              <w:jc w:val="center"/>
              <w:rPr>
                <w:noProof/>
                <w:color w:val="000000"/>
                <w:sz w:val="18"/>
                <w:szCs w:val="18"/>
              </w:rPr>
            </w:pPr>
          </w:p>
        </w:tc>
        <w:tc>
          <w:tcPr>
            <w:tcW w:w="719" w:type="dxa"/>
            <w:tcBorders>
              <w:bottom w:val="single" w:sz="12" w:space="0" w:color="auto"/>
            </w:tcBorders>
            <w:vAlign w:val="center"/>
          </w:tcPr>
          <w:p w14:paraId="6C411F15" w14:textId="77777777" w:rsidR="00FA1843" w:rsidRPr="00A7778D" w:rsidRDefault="00FA1843" w:rsidP="00041DD0">
            <w:pPr>
              <w:jc w:val="center"/>
              <w:rPr>
                <w:noProof/>
                <w:color w:val="000000"/>
                <w:sz w:val="18"/>
                <w:szCs w:val="18"/>
              </w:rPr>
            </w:pPr>
          </w:p>
        </w:tc>
        <w:tc>
          <w:tcPr>
            <w:tcW w:w="719" w:type="dxa"/>
            <w:tcBorders>
              <w:bottom w:val="single" w:sz="12" w:space="0" w:color="auto"/>
            </w:tcBorders>
            <w:vAlign w:val="center"/>
          </w:tcPr>
          <w:p w14:paraId="195269F5" w14:textId="77777777" w:rsidR="00FA1843" w:rsidRPr="00A7778D" w:rsidRDefault="00FA1843" w:rsidP="00041DD0">
            <w:pPr>
              <w:jc w:val="center"/>
              <w:rPr>
                <w:noProof/>
                <w:color w:val="000000"/>
                <w:sz w:val="18"/>
                <w:szCs w:val="18"/>
              </w:rPr>
            </w:pPr>
            <w:r w:rsidRPr="00A7778D">
              <w:rPr>
                <w:noProof/>
                <w:color w:val="000000"/>
                <w:sz w:val="18"/>
              </w:rPr>
              <w:t>40</w:t>
            </w:r>
          </w:p>
        </w:tc>
        <w:tc>
          <w:tcPr>
            <w:tcW w:w="719" w:type="dxa"/>
            <w:tcBorders>
              <w:bottom w:val="single" w:sz="12" w:space="0" w:color="auto"/>
            </w:tcBorders>
            <w:vAlign w:val="center"/>
          </w:tcPr>
          <w:p w14:paraId="09B7A344" w14:textId="77777777" w:rsidR="00FA1843" w:rsidRPr="00A7778D" w:rsidRDefault="00FA1843" w:rsidP="00041DD0">
            <w:pPr>
              <w:jc w:val="center"/>
              <w:rPr>
                <w:noProof/>
                <w:color w:val="000000"/>
                <w:sz w:val="18"/>
                <w:szCs w:val="18"/>
              </w:rPr>
            </w:pPr>
            <w:r w:rsidRPr="00A7778D">
              <w:rPr>
                <w:noProof/>
                <w:color w:val="000000"/>
                <w:sz w:val="18"/>
              </w:rPr>
              <w:t>0,035</w:t>
            </w:r>
          </w:p>
        </w:tc>
        <w:tc>
          <w:tcPr>
            <w:tcW w:w="719" w:type="dxa"/>
            <w:tcBorders>
              <w:bottom w:val="single" w:sz="12" w:space="0" w:color="auto"/>
            </w:tcBorders>
            <w:vAlign w:val="center"/>
          </w:tcPr>
          <w:p w14:paraId="64FF1136" w14:textId="77777777" w:rsidR="00FA1843" w:rsidRPr="00A7778D" w:rsidRDefault="00FA1843" w:rsidP="00041DD0">
            <w:pPr>
              <w:ind w:right="-29"/>
              <w:jc w:val="center"/>
              <w:rPr>
                <w:noProof/>
                <w:sz w:val="18"/>
              </w:rPr>
            </w:pPr>
            <w:r w:rsidRPr="00A7778D">
              <w:rPr>
                <w:noProof/>
                <w:sz w:val="18"/>
              </w:rPr>
              <w:t>10</w:t>
            </w:r>
          </w:p>
        </w:tc>
        <w:tc>
          <w:tcPr>
            <w:tcW w:w="719" w:type="dxa"/>
            <w:tcBorders>
              <w:bottom w:val="single" w:sz="12" w:space="0" w:color="auto"/>
            </w:tcBorders>
            <w:vAlign w:val="center"/>
          </w:tcPr>
          <w:p w14:paraId="28443696" w14:textId="77777777" w:rsidR="00FA1843" w:rsidRPr="00A7778D" w:rsidRDefault="00FA1843" w:rsidP="00041DD0">
            <w:pPr>
              <w:ind w:right="-29"/>
              <w:jc w:val="center"/>
              <w:rPr>
                <w:noProof/>
                <w:sz w:val="18"/>
              </w:rPr>
            </w:pPr>
            <w:r w:rsidRPr="00A7778D">
              <w:rPr>
                <w:noProof/>
                <w:sz w:val="18"/>
              </w:rPr>
              <w:t>0,005</w:t>
            </w:r>
          </w:p>
        </w:tc>
        <w:tc>
          <w:tcPr>
            <w:tcW w:w="719" w:type="dxa"/>
            <w:tcBorders>
              <w:bottom w:val="single" w:sz="12" w:space="0" w:color="auto"/>
            </w:tcBorders>
            <w:vAlign w:val="center"/>
          </w:tcPr>
          <w:p w14:paraId="5BEED688" w14:textId="77777777" w:rsidR="00FA1843" w:rsidRPr="00A7778D" w:rsidRDefault="00FA1843" w:rsidP="00041DD0">
            <w:pPr>
              <w:ind w:right="-29"/>
              <w:jc w:val="center"/>
              <w:rPr>
                <w:noProof/>
                <w:sz w:val="18"/>
              </w:rPr>
            </w:pPr>
            <w:r w:rsidRPr="00A7778D">
              <w:rPr>
                <w:noProof/>
                <w:sz w:val="18"/>
              </w:rPr>
              <w:t>9</w:t>
            </w:r>
          </w:p>
        </w:tc>
        <w:tc>
          <w:tcPr>
            <w:tcW w:w="719" w:type="dxa"/>
            <w:tcBorders>
              <w:bottom w:val="single" w:sz="12" w:space="0" w:color="auto"/>
            </w:tcBorders>
            <w:vAlign w:val="center"/>
          </w:tcPr>
          <w:p w14:paraId="74A90887" w14:textId="77777777" w:rsidR="00FA1843" w:rsidRPr="00A7778D" w:rsidRDefault="00FA1843" w:rsidP="00041DD0">
            <w:pPr>
              <w:ind w:right="-29"/>
              <w:jc w:val="center"/>
              <w:rPr>
                <w:noProof/>
                <w:sz w:val="18"/>
              </w:rPr>
            </w:pPr>
            <w:r w:rsidRPr="00A7778D">
              <w:rPr>
                <w:noProof/>
                <w:sz w:val="18"/>
              </w:rPr>
              <w:t>0,005</w:t>
            </w:r>
          </w:p>
        </w:tc>
        <w:tc>
          <w:tcPr>
            <w:tcW w:w="719" w:type="dxa"/>
            <w:tcBorders>
              <w:bottom w:val="single" w:sz="12" w:space="0" w:color="auto"/>
            </w:tcBorders>
            <w:vAlign w:val="center"/>
          </w:tcPr>
          <w:p w14:paraId="13B91D2E" w14:textId="77777777" w:rsidR="00FA1843" w:rsidRPr="00A7778D" w:rsidRDefault="00FA1843" w:rsidP="00041DD0">
            <w:pPr>
              <w:ind w:right="-29"/>
              <w:jc w:val="center"/>
              <w:rPr>
                <w:noProof/>
                <w:sz w:val="18"/>
              </w:rPr>
            </w:pPr>
            <w:r w:rsidRPr="00A7778D">
              <w:rPr>
                <w:noProof/>
                <w:sz w:val="18"/>
              </w:rPr>
              <w:t>59</w:t>
            </w:r>
          </w:p>
        </w:tc>
        <w:tc>
          <w:tcPr>
            <w:tcW w:w="719" w:type="dxa"/>
            <w:tcBorders>
              <w:bottom w:val="single" w:sz="12" w:space="0" w:color="auto"/>
            </w:tcBorders>
            <w:vAlign w:val="center"/>
          </w:tcPr>
          <w:p w14:paraId="3FA1242F" w14:textId="77777777" w:rsidR="00FA1843" w:rsidRPr="00A7778D" w:rsidRDefault="00FA1843" w:rsidP="00041DD0">
            <w:pPr>
              <w:ind w:right="-29"/>
              <w:jc w:val="center"/>
              <w:rPr>
                <w:noProof/>
                <w:sz w:val="18"/>
              </w:rPr>
            </w:pPr>
            <w:r w:rsidRPr="00A7778D">
              <w:rPr>
                <w:noProof/>
                <w:sz w:val="18"/>
              </w:rPr>
              <w:t>0,045</w:t>
            </w:r>
          </w:p>
        </w:tc>
      </w:tr>
      <w:tr w:rsidR="00FA1843" w:rsidRPr="00A7778D" w14:paraId="6C5CA85A" w14:textId="77777777" w:rsidTr="00041DD0">
        <w:trPr>
          <w:jc w:val="center"/>
        </w:trPr>
        <w:tc>
          <w:tcPr>
            <w:tcW w:w="3609" w:type="dxa"/>
            <w:gridSpan w:val="3"/>
            <w:vAlign w:val="center"/>
          </w:tcPr>
          <w:p w14:paraId="2EA89730" w14:textId="77777777" w:rsidR="00FA1843" w:rsidRPr="00A7778D" w:rsidRDefault="00FA1843" w:rsidP="00041DD0">
            <w:pPr>
              <w:spacing w:before="60" w:after="60"/>
              <w:ind w:right="-29"/>
              <w:jc w:val="center"/>
              <w:rPr>
                <w:noProof/>
                <w:sz w:val="18"/>
              </w:rPr>
            </w:pPr>
            <w:r w:rsidRPr="00A7778D">
              <w:rPr>
                <w:noProof/>
                <w:sz w:val="18"/>
              </w:rPr>
              <w:t xml:space="preserve">ERITYISTAVOITE 2 </w:t>
            </w:r>
          </w:p>
        </w:tc>
        <w:tc>
          <w:tcPr>
            <w:tcW w:w="719" w:type="dxa"/>
            <w:tcBorders>
              <w:top w:val="nil"/>
              <w:left w:val="nil"/>
              <w:bottom w:val="nil"/>
              <w:right w:val="nil"/>
            </w:tcBorders>
            <w:vAlign w:val="center"/>
          </w:tcPr>
          <w:p w14:paraId="14BCE9A7"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2E5C5DA6"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288162B4"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06B44C1D"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4DD8BB44"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0E950B87"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06E7FC22"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0CC05FC6"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4B26E3FB"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2E04DEBD"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0BE1C83D" w14:textId="77777777" w:rsidR="00FA1843" w:rsidRPr="00A7778D" w:rsidRDefault="00FA1843" w:rsidP="00041DD0">
            <w:pPr>
              <w:spacing w:before="60" w:after="60"/>
              <w:ind w:right="-29"/>
              <w:jc w:val="center"/>
              <w:rPr>
                <w:noProof/>
                <w:sz w:val="18"/>
              </w:rPr>
            </w:pPr>
          </w:p>
        </w:tc>
        <w:tc>
          <w:tcPr>
            <w:tcW w:w="719" w:type="dxa"/>
            <w:tcBorders>
              <w:top w:val="nil"/>
              <w:left w:val="nil"/>
              <w:bottom w:val="nil"/>
              <w:right w:val="nil"/>
            </w:tcBorders>
            <w:vAlign w:val="center"/>
          </w:tcPr>
          <w:p w14:paraId="6FCB7BE3" w14:textId="77777777" w:rsidR="00FA1843" w:rsidRPr="00A7778D" w:rsidRDefault="00FA1843" w:rsidP="00041DD0">
            <w:pPr>
              <w:spacing w:before="60" w:after="60"/>
              <w:ind w:right="-29"/>
              <w:jc w:val="center"/>
              <w:rPr>
                <w:noProof/>
                <w:sz w:val="18"/>
              </w:rPr>
            </w:pPr>
          </w:p>
        </w:tc>
      </w:tr>
      <w:tr w:rsidR="00FA1843" w:rsidRPr="00A7778D" w14:paraId="039521FD" w14:textId="77777777" w:rsidTr="00041DD0">
        <w:trPr>
          <w:trHeight w:hRule="exact" w:val="475"/>
          <w:jc w:val="center"/>
        </w:trPr>
        <w:tc>
          <w:tcPr>
            <w:tcW w:w="1717" w:type="dxa"/>
            <w:vAlign w:val="center"/>
          </w:tcPr>
          <w:p w14:paraId="39B36C52" w14:textId="77777777" w:rsidR="00FA1843" w:rsidRPr="00A7778D" w:rsidRDefault="00FA1843" w:rsidP="00041DD0">
            <w:pPr>
              <w:ind w:right="-29"/>
              <w:jc w:val="center"/>
              <w:rPr>
                <w:noProof/>
                <w:sz w:val="18"/>
              </w:rPr>
            </w:pPr>
            <w:r w:rsidRPr="00A7778D">
              <w:rPr>
                <w:noProof/>
                <w:sz w:val="18"/>
              </w:rPr>
              <w:t>– Tuotos</w:t>
            </w:r>
          </w:p>
        </w:tc>
        <w:tc>
          <w:tcPr>
            <w:tcW w:w="1183" w:type="dxa"/>
            <w:vAlign w:val="center"/>
          </w:tcPr>
          <w:p w14:paraId="334F67B9" w14:textId="77777777" w:rsidR="00FA1843" w:rsidRPr="00A7778D" w:rsidRDefault="00FA1843" w:rsidP="00041DD0">
            <w:pPr>
              <w:ind w:right="-29"/>
              <w:jc w:val="center"/>
              <w:rPr>
                <w:noProof/>
                <w:sz w:val="18"/>
              </w:rPr>
            </w:pPr>
          </w:p>
        </w:tc>
        <w:tc>
          <w:tcPr>
            <w:tcW w:w="709" w:type="dxa"/>
            <w:vAlign w:val="center"/>
          </w:tcPr>
          <w:p w14:paraId="084AE732" w14:textId="77777777" w:rsidR="00FA1843" w:rsidRPr="00A7778D" w:rsidRDefault="00FA1843" w:rsidP="00041DD0">
            <w:pPr>
              <w:ind w:right="-29"/>
              <w:jc w:val="center"/>
              <w:rPr>
                <w:noProof/>
                <w:sz w:val="18"/>
              </w:rPr>
            </w:pPr>
          </w:p>
        </w:tc>
        <w:tc>
          <w:tcPr>
            <w:tcW w:w="719" w:type="dxa"/>
            <w:vAlign w:val="center"/>
          </w:tcPr>
          <w:p w14:paraId="3C942B7A" w14:textId="77777777" w:rsidR="00FA1843" w:rsidRPr="00A7778D" w:rsidRDefault="00FA1843" w:rsidP="00041DD0">
            <w:pPr>
              <w:ind w:right="-29"/>
              <w:jc w:val="center"/>
              <w:rPr>
                <w:noProof/>
                <w:sz w:val="18"/>
              </w:rPr>
            </w:pPr>
          </w:p>
        </w:tc>
        <w:tc>
          <w:tcPr>
            <w:tcW w:w="719" w:type="dxa"/>
            <w:vAlign w:val="center"/>
          </w:tcPr>
          <w:p w14:paraId="1B54B7A5" w14:textId="77777777" w:rsidR="00FA1843" w:rsidRPr="00A7778D" w:rsidRDefault="00FA1843" w:rsidP="00041DD0">
            <w:pPr>
              <w:ind w:right="-29"/>
              <w:jc w:val="center"/>
              <w:rPr>
                <w:noProof/>
                <w:sz w:val="18"/>
              </w:rPr>
            </w:pPr>
          </w:p>
        </w:tc>
        <w:tc>
          <w:tcPr>
            <w:tcW w:w="719" w:type="dxa"/>
            <w:vAlign w:val="center"/>
          </w:tcPr>
          <w:p w14:paraId="1C1603FE" w14:textId="77777777" w:rsidR="00FA1843" w:rsidRPr="00A7778D" w:rsidRDefault="00FA1843" w:rsidP="00041DD0">
            <w:pPr>
              <w:ind w:right="-29"/>
              <w:jc w:val="center"/>
              <w:rPr>
                <w:noProof/>
                <w:sz w:val="18"/>
              </w:rPr>
            </w:pPr>
          </w:p>
        </w:tc>
        <w:tc>
          <w:tcPr>
            <w:tcW w:w="719" w:type="dxa"/>
            <w:vAlign w:val="center"/>
          </w:tcPr>
          <w:p w14:paraId="13A3F2F4" w14:textId="77777777" w:rsidR="00FA1843" w:rsidRPr="00A7778D" w:rsidRDefault="00FA1843" w:rsidP="00041DD0">
            <w:pPr>
              <w:ind w:right="-29"/>
              <w:jc w:val="center"/>
              <w:rPr>
                <w:noProof/>
                <w:sz w:val="18"/>
              </w:rPr>
            </w:pPr>
          </w:p>
        </w:tc>
        <w:tc>
          <w:tcPr>
            <w:tcW w:w="719" w:type="dxa"/>
            <w:vAlign w:val="center"/>
          </w:tcPr>
          <w:p w14:paraId="13AC3FA7" w14:textId="77777777" w:rsidR="00FA1843" w:rsidRPr="00A7778D" w:rsidRDefault="00FA1843" w:rsidP="00041DD0">
            <w:pPr>
              <w:ind w:right="-29"/>
              <w:jc w:val="center"/>
              <w:rPr>
                <w:noProof/>
                <w:sz w:val="18"/>
              </w:rPr>
            </w:pPr>
          </w:p>
        </w:tc>
        <w:tc>
          <w:tcPr>
            <w:tcW w:w="719" w:type="dxa"/>
            <w:vAlign w:val="center"/>
          </w:tcPr>
          <w:p w14:paraId="5212A84F" w14:textId="77777777" w:rsidR="00FA1843" w:rsidRPr="00A7778D" w:rsidRDefault="00FA1843" w:rsidP="00041DD0">
            <w:pPr>
              <w:ind w:right="-29"/>
              <w:jc w:val="center"/>
              <w:rPr>
                <w:noProof/>
                <w:sz w:val="18"/>
              </w:rPr>
            </w:pPr>
          </w:p>
        </w:tc>
        <w:tc>
          <w:tcPr>
            <w:tcW w:w="719" w:type="dxa"/>
            <w:vAlign w:val="center"/>
          </w:tcPr>
          <w:p w14:paraId="30CFB2D8" w14:textId="77777777" w:rsidR="00FA1843" w:rsidRPr="00A7778D" w:rsidRDefault="00FA1843" w:rsidP="00041DD0">
            <w:pPr>
              <w:ind w:right="-29"/>
              <w:jc w:val="center"/>
              <w:rPr>
                <w:noProof/>
                <w:sz w:val="18"/>
              </w:rPr>
            </w:pPr>
          </w:p>
        </w:tc>
        <w:tc>
          <w:tcPr>
            <w:tcW w:w="719" w:type="dxa"/>
            <w:vAlign w:val="center"/>
          </w:tcPr>
          <w:p w14:paraId="2B0CE1A3" w14:textId="77777777" w:rsidR="00FA1843" w:rsidRPr="00A7778D" w:rsidRDefault="00FA1843" w:rsidP="00041DD0">
            <w:pPr>
              <w:ind w:right="-29"/>
              <w:jc w:val="center"/>
              <w:rPr>
                <w:noProof/>
                <w:sz w:val="18"/>
              </w:rPr>
            </w:pPr>
          </w:p>
        </w:tc>
        <w:tc>
          <w:tcPr>
            <w:tcW w:w="719" w:type="dxa"/>
            <w:vAlign w:val="center"/>
          </w:tcPr>
          <w:p w14:paraId="2838E389" w14:textId="77777777" w:rsidR="00FA1843" w:rsidRPr="00A7778D" w:rsidRDefault="00FA1843" w:rsidP="00041DD0">
            <w:pPr>
              <w:ind w:right="-29"/>
              <w:jc w:val="center"/>
              <w:rPr>
                <w:noProof/>
                <w:sz w:val="18"/>
              </w:rPr>
            </w:pPr>
          </w:p>
        </w:tc>
        <w:tc>
          <w:tcPr>
            <w:tcW w:w="719" w:type="dxa"/>
            <w:vAlign w:val="center"/>
          </w:tcPr>
          <w:p w14:paraId="297DD6E3" w14:textId="77777777" w:rsidR="00FA1843" w:rsidRPr="00A7778D" w:rsidRDefault="00FA1843" w:rsidP="00041DD0">
            <w:pPr>
              <w:ind w:right="-29"/>
              <w:jc w:val="center"/>
              <w:rPr>
                <w:noProof/>
                <w:sz w:val="18"/>
              </w:rPr>
            </w:pPr>
          </w:p>
        </w:tc>
        <w:tc>
          <w:tcPr>
            <w:tcW w:w="719" w:type="dxa"/>
            <w:vAlign w:val="center"/>
          </w:tcPr>
          <w:p w14:paraId="5BA98D51" w14:textId="77777777" w:rsidR="00FA1843" w:rsidRPr="00A7778D" w:rsidRDefault="00FA1843" w:rsidP="00041DD0">
            <w:pPr>
              <w:ind w:right="-29"/>
              <w:jc w:val="center"/>
              <w:rPr>
                <w:noProof/>
                <w:sz w:val="18"/>
              </w:rPr>
            </w:pPr>
          </w:p>
        </w:tc>
        <w:tc>
          <w:tcPr>
            <w:tcW w:w="719" w:type="dxa"/>
            <w:vAlign w:val="center"/>
          </w:tcPr>
          <w:p w14:paraId="129F47E0" w14:textId="77777777" w:rsidR="00FA1843" w:rsidRPr="00A7778D" w:rsidRDefault="00FA1843" w:rsidP="00041DD0">
            <w:pPr>
              <w:ind w:right="-29"/>
              <w:jc w:val="center"/>
              <w:rPr>
                <w:noProof/>
                <w:sz w:val="18"/>
              </w:rPr>
            </w:pPr>
          </w:p>
        </w:tc>
      </w:tr>
      <w:tr w:rsidR="00FA1843" w:rsidRPr="00A7778D" w14:paraId="323A1F84" w14:textId="77777777" w:rsidTr="00041DD0">
        <w:trPr>
          <w:trHeight w:hRule="exact" w:val="484"/>
          <w:jc w:val="center"/>
        </w:trPr>
        <w:tc>
          <w:tcPr>
            <w:tcW w:w="1717" w:type="dxa"/>
            <w:vAlign w:val="center"/>
          </w:tcPr>
          <w:p w14:paraId="0B459093" w14:textId="77777777" w:rsidR="00FA1843" w:rsidRPr="00A7778D" w:rsidRDefault="00FA1843" w:rsidP="00041DD0">
            <w:pPr>
              <w:ind w:right="-29"/>
              <w:jc w:val="center"/>
              <w:rPr>
                <w:noProof/>
                <w:sz w:val="18"/>
              </w:rPr>
            </w:pPr>
            <w:r w:rsidRPr="00A7778D">
              <w:rPr>
                <w:noProof/>
                <w:sz w:val="18"/>
              </w:rPr>
              <w:t>– Tuotos</w:t>
            </w:r>
          </w:p>
        </w:tc>
        <w:tc>
          <w:tcPr>
            <w:tcW w:w="1183" w:type="dxa"/>
            <w:vAlign w:val="center"/>
          </w:tcPr>
          <w:p w14:paraId="06C80A95" w14:textId="77777777" w:rsidR="00FA1843" w:rsidRPr="00A7778D" w:rsidRDefault="00FA1843" w:rsidP="00041DD0">
            <w:pPr>
              <w:ind w:right="-29"/>
              <w:jc w:val="center"/>
              <w:rPr>
                <w:noProof/>
                <w:sz w:val="18"/>
              </w:rPr>
            </w:pPr>
          </w:p>
        </w:tc>
        <w:tc>
          <w:tcPr>
            <w:tcW w:w="709" w:type="dxa"/>
            <w:vAlign w:val="center"/>
          </w:tcPr>
          <w:p w14:paraId="434AABED" w14:textId="77777777" w:rsidR="00FA1843" w:rsidRPr="00A7778D" w:rsidRDefault="00FA1843" w:rsidP="00041DD0">
            <w:pPr>
              <w:ind w:right="-29"/>
              <w:jc w:val="center"/>
              <w:rPr>
                <w:noProof/>
                <w:sz w:val="18"/>
              </w:rPr>
            </w:pPr>
          </w:p>
        </w:tc>
        <w:tc>
          <w:tcPr>
            <w:tcW w:w="719" w:type="dxa"/>
            <w:vAlign w:val="center"/>
          </w:tcPr>
          <w:p w14:paraId="22B28CF9" w14:textId="77777777" w:rsidR="00FA1843" w:rsidRPr="00A7778D" w:rsidRDefault="00FA1843" w:rsidP="00041DD0">
            <w:pPr>
              <w:ind w:right="-29"/>
              <w:jc w:val="center"/>
              <w:rPr>
                <w:noProof/>
                <w:sz w:val="18"/>
              </w:rPr>
            </w:pPr>
          </w:p>
        </w:tc>
        <w:tc>
          <w:tcPr>
            <w:tcW w:w="719" w:type="dxa"/>
            <w:vAlign w:val="center"/>
          </w:tcPr>
          <w:p w14:paraId="36D6F92F" w14:textId="77777777" w:rsidR="00FA1843" w:rsidRPr="00A7778D" w:rsidRDefault="00FA1843" w:rsidP="00041DD0">
            <w:pPr>
              <w:ind w:right="-29"/>
              <w:jc w:val="center"/>
              <w:rPr>
                <w:noProof/>
                <w:sz w:val="18"/>
              </w:rPr>
            </w:pPr>
          </w:p>
        </w:tc>
        <w:tc>
          <w:tcPr>
            <w:tcW w:w="719" w:type="dxa"/>
            <w:vAlign w:val="center"/>
          </w:tcPr>
          <w:p w14:paraId="702259E9" w14:textId="77777777" w:rsidR="00FA1843" w:rsidRPr="00A7778D" w:rsidRDefault="00FA1843" w:rsidP="00041DD0">
            <w:pPr>
              <w:ind w:right="-29"/>
              <w:jc w:val="center"/>
              <w:rPr>
                <w:noProof/>
                <w:sz w:val="18"/>
              </w:rPr>
            </w:pPr>
          </w:p>
        </w:tc>
        <w:tc>
          <w:tcPr>
            <w:tcW w:w="719" w:type="dxa"/>
            <w:vAlign w:val="center"/>
          </w:tcPr>
          <w:p w14:paraId="70E037AD" w14:textId="77777777" w:rsidR="00FA1843" w:rsidRPr="00A7778D" w:rsidRDefault="00FA1843" w:rsidP="00041DD0">
            <w:pPr>
              <w:ind w:right="-29"/>
              <w:jc w:val="center"/>
              <w:rPr>
                <w:noProof/>
                <w:sz w:val="18"/>
              </w:rPr>
            </w:pPr>
          </w:p>
        </w:tc>
        <w:tc>
          <w:tcPr>
            <w:tcW w:w="719" w:type="dxa"/>
            <w:vAlign w:val="center"/>
          </w:tcPr>
          <w:p w14:paraId="64C4E7C0" w14:textId="77777777" w:rsidR="00FA1843" w:rsidRPr="00A7778D" w:rsidRDefault="00FA1843" w:rsidP="00041DD0">
            <w:pPr>
              <w:ind w:right="-29"/>
              <w:jc w:val="center"/>
              <w:rPr>
                <w:noProof/>
                <w:sz w:val="18"/>
              </w:rPr>
            </w:pPr>
          </w:p>
        </w:tc>
        <w:tc>
          <w:tcPr>
            <w:tcW w:w="719" w:type="dxa"/>
            <w:vAlign w:val="center"/>
          </w:tcPr>
          <w:p w14:paraId="70FB8CFC" w14:textId="77777777" w:rsidR="00FA1843" w:rsidRPr="00A7778D" w:rsidRDefault="00FA1843" w:rsidP="00041DD0">
            <w:pPr>
              <w:ind w:right="-29"/>
              <w:jc w:val="center"/>
              <w:rPr>
                <w:noProof/>
                <w:sz w:val="18"/>
              </w:rPr>
            </w:pPr>
          </w:p>
        </w:tc>
        <w:tc>
          <w:tcPr>
            <w:tcW w:w="719" w:type="dxa"/>
            <w:vAlign w:val="center"/>
          </w:tcPr>
          <w:p w14:paraId="7D5C9063" w14:textId="77777777" w:rsidR="00FA1843" w:rsidRPr="00A7778D" w:rsidRDefault="00FA1843" w:rsidP="00041DD0">
            <w:pPr>
              <w:ind w:right="-29"/>
              <w:jc w:val="center"/>
              <w:rPr>
                <w:noProof/>
                <w:sz w:val="18"/>
              </w:rPr>
            </w:pPr>
          </w:p>
        </w:tc>
        <w:tc>
          <w:tcPr>
            <w:tcW w:w="719" w:type="dxa"/>
            <w:vAlign w:val="center"/>
          </w:tcPr>
          <w:p w14:paraId="631C1515" w14:textId="77777777" w:rsidR="00FA1843" w:rsidRPr="00A7778D" w:rsidRDefault="00FA1843" w:rsidP="00041DD0">
            <w:pPr>
              <w:ind w:right="-29"/>
              <w:jc w:val="center"/>
              <w:rPr>
                <w:noProof/>
                <w:sz w:val="18"/>
              </w:rPr>
            </w:pPr>
          </w:p>
        </w:tc>
        <w:tc>
          <w:tcPr>
            <w:tcW w:w="719" w:type="dxa"/>
            <w:vAlign w:val="center"/>
          </w:tcPr>
          <w:p w14:paraId="4761AEDB" w14:textId="77777777" w:rsidR="00FA1843" w:rsidRPr="00A7778D" w:rsidRDefault="00FA1843" w:rsidP="00041DD0">
            <w:pPr>
              <w:ind w:right="-29"/>
              <w:jc w:val="center"/>
              <w:rPr>
                <w:noProof/>
                <w:sz w:val="18"/>
              </w:rPr>
            </w:pPr>
          </w:p>
        </w:tc>
        <w:tc>
          <w:tcPr>
            <w:tcW w:w="719" w:type="dxa"/>
            <w:vAlign w:val="center"/>
          </w:tcPr>
          <w:p w14:paraId="097DD470" w14:textId="77777777" w:rsidR="00FA1843" w:rsidRPr="00A7778D" w:rsidRDefault="00FA1843" w:rsidP="00041DD0">
            <w:pPr>
              <w:ind w:right="-29"/>
              <w:jc w:val="center"/>
              <w:rPr>
                <w:noProof/>
                <w:sz w:val="18"/>
              </w:rPr>
            </w:pPr>
          </w:p>
        </w:tc>
        <w:tc>
          <w:tcPr>
            <w:tcW w:w="719" w:type="dxa"/>
            <w:vAlign w:val="center"/>
          </w:tcPr>
          <w:p w14:paraId="3B4B8E1A" w14:textId="77777777" w:rsidR="00FA1843" w:rsidRPr="00A7778D" w:rsidRDefault="00FA1843" w:rsidP="00041DD0">
            <w:pPr>
              <w:ind w:right="-29"/>
              <w:jc w:val="center"/>
              <w:rPr>
                <w:noProof/>
                <w:sz w:val="18"/>
              </w:rPr>
            </w:pPr>
          </w:p>
        </w:tc>
        <w:tc>
          <w:tcPr>
            <w:tcW w:w="719" w:type="dxa"/>
            <w:vAlign w:val="center"/>
          </w:tcPr>
          <w:p w14:paraId="5C9744E0" w14:textId="77777777" w:rsidR="00FA1843" w:rsidRPr="00A7778D" w:rsidRDefault="00FA1843" w:rsidP="00041DD0">
            <w:pPr>
              <w:ind w:right="-29"/>
              <w:jc w:val="center"/>
              <w:rPr>
                <w:noProof/>
                <w:sz w:val="18"/>
              </w:rPr>
            </w:pPr>
          </w:p>
        </w:tc>
      </w:tr>
      <w:tr w:rsidR="00FA1843" w:rsidRPr="00A7778D" w14:paraId="7B256917" w14:textId="77777777" w:rsidTr="00041DD0">
        <w:trPr>
          <w:jc w:val="center"/>
        </w:trPr>
        <w:tc>
          <w:tcPr>
            <w:tcW w:w="3609" w:type="dxa"/>
            <w:gridSpan w:val="3"/>
            <w:tcBorders>
              <w:bottom w:val="single" w:sz="12" w:space="0" w:color="auto"/>
            </w:tcBorders>
            <w:vAlign w:val="center"/>
          </w:tcPr>
          <w:p w14:paraId="7AD7D222" w14:textId="77777777" w:rsidR="00FA1843" w:rsidRPr="00A7778D" w:rsidRDefault="00FA1843" w:rsidP="00041DD0">
            <w:pPr>
              <w:jc w:val="center"/>
              <w:rPr>
                <w:noProof/>
                <w:sz w:val="18"/>
              </w:rPr>
            </w:pPr>
            <w:r w:rsidRPr="00A7778D">
              <w:rPr>
                <w:noProof/>
                <w:sz w:val="18"/>
              </w:rPr>
              <w:t>Välisumma, erityistavoite 2</w:t>
            </w:r>
          </w:p>
        </w:tc>
        <w:tc>
          <w:tcPr>
            <w:tcW w:w="719" w:type="dxa"/>
            <w:tcBorders>
              <w:bottom w:val="single" w:sz="12" w:space="0" w:color="auto"/>
            </w:tcBorders>
            <w:vAlign w:val="center"/>
          </w:tcPr>
          <w:p w14:paraId="44A5519F" w14:textId="77777777" w:rsidR="00FA1843" w:rsidRPr="00A7778D" w:rsidRDefault="00FA1843" w:rsidP="00041DD0">
            <w:pPr>
              <w:ind w:right="-29"/>
              <w:jc w:val="center"/>
              <w:rPr>
                <w:noProof/>
                <w:sz w:val="18"/>
              </w:rPr>
            </w:pPr>
          </w:p>
        </w:tc>
        <w:tc>
          <w:tcPr>
            <w:tcW w:w="719" w:type="dxa"/>
            <w:tcBorders>
              <w:bottom w:val="single" w:sz="12" w:space="0" w:color="auto"/>
            </w:tcBorders>
            <w:vAlign w:val="center"/>
          </w:tcPr>
          <w:p w14:paraId="15391090" w14:textId="77777777" w:rsidR="00FA1843" w:rsidRPr="00A7778D" w:rsidRDefault="00FA1843" w:rsidP="00041DD0">
            <w:pPr>
              <w:ind w:right="-29"/>
              <w:jc w:val="center"/>
              <w:rPr>
                <w:noProof/>
                <w:sz w:val="18"/>
              </w:rPr>
            </w:pPr>
          </w:p>
        </w:tc>
        <w:tc>
          <w:tcPr>
            <w:tcW w:w="719" w:type="dxa"/>
            <w:tcBorders>
              <w:bottom w:val="single" w:sz="12" w:space="0" w:color="auto"/>
            </w:tcBorders>
            <w:vAlign w:val="center"/>
          </w:tcPr>
          <w:p w14:paraId="493D28F2" w14:textId="77777777" w:rsidR="00FA1843" w:rsidRPr="00A7778D" w:rsidRDefault="00FA1843" w:rsidP="00041DD0">
            <w:pPr>
              <w:ind w:right="-29"/>
              <w:jc w:val="center"/>
              <w:rPr>
                <w:noProof/>
                <w:sz w:val="18"/>
              </w:rPr>
            </w:pPr>
          </w:p>
        </w:tc>
        <w:tc>
          <w:tcPr>
            <w:tcW w:w="719" w:type="dxa"/>
            <w:tcBorders>
              <w:bottom w:val="single" w:sz="12" w:space="0" w:color="auto"/>
            </w:tcBorders>
            <w:vAlign w:val="center"/>
          </w:tcPr>
          <w:p w14:paraId="4A58B470" w14:textId="77777777" w:rsidR="00FA1843" w:rsidRPr="00A7778D" w:rsidRDefault="00FA1843" w:rsidP="00041DD0">
            <w:pPr>
              <w:ind w:right="-29"/>
              <w:jc w:val="center"/>
              <w:rPr>
                <w:noProof/>
                <w:sz w:val="18"/>
              </w:rPr>
            </w:pPr>
          </w:p>
        </w:tc>
        <w:tc>
          <w:tcPr>
            <w:tcW w:w="719" w:type="dxa"/>
            <w:tcBorders>
              <w:bottom w:val="single" w:sz="12" w:space="0" w:color="auto"/>
            </w:tcBorders>
            <w:vAlign w:val="center"/>
          </w:tcPr>
          <w:p w14:paraId="480F1570" w14:textId="77777777" w:rsidR="00FA1843" w:rsidRPr="00A7778D" w:rsidRDefault="00FA1843" w:rsidP="00041DD0">
            <w:pPr>
              <w:ind w:right="-29"/>
              <w:jc w:val="center"/>
              <w:rPr>
                <w:noProof/>
                <w:sz w:val="18"/>
              </w:rPr>
            </w:pPr>
          </w:p>
        </w:tc>
        <w:tc>
          <w:tcPr>
            <w:tcW w:w="719" w:type="dxa"/>
            <w:tcBorders>
              <w:bottom w:val="single" w:sz="12" w:space="0" w:color="auto"/>
            </w:tcBorders>
            <w:vAlign w:val="center"/>
          </w:tcPr>
          <w:p w14:paraId="05B640FC" w14:textId="77777777" w:rsidR="00FA1843" w:rsidRPr="00A7778D" w:rsidRDefault="00FA1843" w:rsidP="00041DD0">
            <w:pPr>
              <w:ind w:right="-29"/>
              <w:jc w:val="center"/>
              <w:rPr>
                <w:noProof/>
                <w:sz w:val="18"/>
              </w:rPr>
            </w:pPr>
          </w:p>
        </w:tc>
        <w:tc>
          <w:tcPr>
            <w:tcW w:w="719" w:type="dxa"/>
            <w:tcBorders>
              <w:bottom w:val="single" w:sz="12" w:space="0" w:color="auto"/>
            </w:tcBorders>
            <w:vAlign w:val="center"/>
          </w:tcPr>
          <w:p w14:paraId="3BE7A81D" w14:textId="77777777" w:rsidR="00FA1843" w:rsidRPr="00A7778D" w:rsidRDefault="00FA1843" w:rsidP="00041DD0">
            <w:pPr>
              <w:ind w:right="-29"/>
              <w:jc w:val="center"/>
              <w:rPr>
                <w:noProof/>
                <w:sz w:val="18"/>
              </w:rPr>
            </w:pPr>
          </w:p>
        </w:tc>
        <w:tc>
          <w:tcPr>
            <w:tcW w:w="719" w:type="dxa"/>
            <w:tcBorders>
              <w:bottom w:val="single" w:sz="12" w:space="0" w:color="auto"/>
            </w:tcBorders>
            <w:vAlign w:val="center"/>
          </w:tcPr>
          <w:p w14:paraId="41292C96" w14:textId="77777777" w:rsidR="00FA1843" w:rsidRPr="00A7778D" w:rsidRDefault="00FA1843" w:rsidP="00041DD0">
            <w:pPr>
              <w:ind w:right="-29"/>
              <w:jc w:val="center"/>
              <w:rPr>
                <w:noProof/>
                <w:sz w:val="18"/>
              </w:rPr>
            </w:pPr>
          </w:p>
        </w:tc>
        <w:tc>
          <w:tcPr>
            <w:tcW w:w="719" w:type="dxa"/>
            <w:tcBorders>
              <w:bottom w:val="single" w:sz="12" w:space="0" w:color="auto"/>
            </w:tcBorders>
            <w:vAlign w:val="center"/>
          </w:tcPr>
          <w:p w14:paraId="63A05E57" w14:textId="77777777" w:rsidR="00FA1843" w:rsidRPr="00A7778D" w:rsidRDefault="00FA1843" w:rsidP="00041DD0">
            <w:pPr>
              <w:ind w:right="-29"/>
              <w:jc w:val="center"/>
              <w:rPr>
                <w:noProof/>
                <w:sz w:val="18"/>
              </w:rPr>
            </w:pPr>
          </w:p>
        </w:tc>
        <w:tc>
          <w:tcPr>
            <w:tcW w:w="719" w:type="dxa"/>
            <w:tcBorders>
              <w:bottom w:val="single" w:sz="12" w:space="0" w:color="auto"/>
            </w:tcBorders>
            <w:vAlign w:val="center"/>
          </w:tcPr>
          <w:p w14:paraId="1A50265F" w14:textId="77777777" w:rsidR="00FA1843" w:rsidRPr="00A7778D" w:rsidRDefault="00FA1843" w:rsidP="00041DD0">
            <w:pPr>
              <w:ind w:right="-29"/>
              <w:jc w:val="center"/>
              <w:rPr>
                <w:noProof/>
                <w:sz w:val="18"/>
              </w:rPr>
            </w:pPr>
          </w:p>
        </w:tc>
        <w:tc>
          <w:tcPr>
            <w:tcW w:w="719" w:type="dxa"/>
            <w:tcBorders>
              <w:bottom w:val="single" w:sz="12" w:space="0" w:color="auto"/>
            </w:tcBorders>
            <w:vAlign w:val="center"/>
          </w:tcPr>
          <w:p w14:paraId="0FDCBA2B" w14:textId="77777777" w:rsidR="00FA1843" w:rsidRPr="00A7778D" w:rsidRDefault="00FA1843" w:rsidP="00041DD0">
            <w:pPr>
              <w:ind w:right="-29"/>
              <w:jc w:val="center"/>
              <w:rPr>
                <w:noProof/>
                <w:sz w:val="18"/>
              </w:rPr>
            </w:pPr>
          </w:p>
        </w:tc>
        <w:tc>
          <w:tcPr>
            <w:tcW w:w="719" w:type="dxa"/>
            <w:tcBorders>
              <w:bottom w:val="single" w:sz="12" w:space="0" w:color="auto"/>
            </w:tcBorders>
            <w:vAlign w:val="center"/>
          </w:tcPr>
          <w:p w14:paraId="21DECB2E" w14:textId="77777777" w:rsidR="00FA1843" w:rsidRPr="00A7778D" w:rsidRDefault="00FA1843" w:rsidP="00041DD0">
            <w:pPr>
              <w:ind w:right="-29"/>
              <w:jc w:val="center"/>
              <w:rPr>
                <w:noProof/>
                <w:sz w:val="18"/>
              </w:rPr>
            </w:pPr>
          </w:p>
        </w:tc>
      </w:tr>
      <w:tr w:rsidR="00FA1843" w:rsidRPr="00A7778D" w14:paraId="43898BF3" w14:textId="77777777" w:rsidTr="00041DD0">
        <w:trPr>
          <w:jc w:val="center"/>
        </w:trPr>
        <w:tc>
          <w:tcPr>
            <w:tcW w:w="3609" w:type="dxa"/>
            <w:gridSpan w:val="3"/>
            <w:tcBorders>
              <w:top w:val="single" w:sz="12" w:space="0" w:color="auto"/>
              <w:left w:val="single" w:sz="12" w:space="0" w:color="auto"/>
              <w:bottom w:val="single" w:sz="12" w:space="0" w:color="auto"/>
            </w:tcBorders>
            <w:vAlign w:val="center"/>
          </w:tcPr>
          <w:p w14:paraId="653D9F33" w14:textId="77777777" w:rsidR="00FA1843" w:rsidRPr="00A7778D" w:rsidRDefault="00FA1843" w:rsidP="00041DD0">
            <w:pPr>
              <w:ind w:right="-29"/>
              <w:jc w:val="center"/>
              <w:rPr>
                <w:noProof/>
                <w:sz w:val="18"/>
              </w:rPr>
            </w:pPr>
            <w:r w:rsidRPr="00A7778D">
              <w:rPr>
                <w:b/>
                <w:noProof/>
                <w:sz w:val="18"/>
              </w:rPr>
              <w:t>KUSTANNUKSET YHTEENSÄ</w:t>
            </w:r>
          </w:p>
        </w:tc>
        <w:tc>
          <w:tcPr>
            <w:tcW w:w="719" w:type="dxa"/>
            <w:tcBorders>
              <w:top w:val="single" w:sz="12" w:space="0" w:color="auto"/>
              <w:bottom w:val="single" w:sz="12" w:space="0" w:color="auto"/>
            </w:tcBorders>
            <w:vAlign w:val="center"/>
          </w:tcPr>
          <w:p w14:paraId="08114D82" w14:textId="77777777" w:rsidR="00FA1843" w:rsidRPr="00A7778D" w:rsidRDefault="00FA1843" w:rsidP="00041DD0">
            <w:pPr>
              <w:spacing w:before="180" w:after="180"/>
              <w:ind w:right="-29"/>
              <w:jc w:val="center"/>
              <w:rPr>
                <w:noProof/>
                <w:sz w:val="18"/>
              </w:rPr>
            </w:pPr>
          </w:p>
        </w:tc>
        <w:tc>
          <w:tcPr>
            <w:tcW w:w="719" w:type="dxa"/>
            <w:tcBorders>
              <w:top w:val="single" w:sz="12" w:space="0" w:color="auto"/>
              <w:bottom w:val="single" w:sz="12" w:space="0" w:color="auto"/>
            </w:tcBorders>
            <w:vAlign w:val="center"/>
          </w:tcPr>
          <w:p w14:paraId="1AD72FDF" w14:textId="77777777" w:rsidR="00FA1843" w:rsidRPr="00A7778D" w:rsidRDefault="00FA1843" w:rsidP="00041DD0">
            <w:pPr>
              <w:spacing w:before="180" w:after="180"/>
              <w:ind w:right="-29"/>
              <w:jc w:val="center"/>
              <w:rPr>
                <w:noProof/>
                <w:sz w:val="18"/>
              </w:rPr>
            </w:pPr>
          </w:p>
        </w:tc>
        <w:tc>
          <w:tcPr>
            <w:tcW w:w="719" w:type="dxa"/>
            <w:tcBorders>
              <w:top w:val="single" w:sz="12" w:space="0" w:color="auto"/>
              <w:bottom w:val="single" w:sz="12" w:space="0" w:color="auto"/>
            </w:tcBorders>
            <w:vAlign w:val="center"/>
          </w:tcPr>
          <w:p w14:paraId="4C5447F7" w14:textId="77777777" w:rsidR="00FA1843" w:rsidRPr="00A7778D" w:rsidRDefault="00FA1843" w:rsidP="00041DD0">
            <w:pPr>
              <w:spacing w:before="0" w:after="0"/>
              <w:jc w:val="center"/>
              <w:rPr>
                <w:noProof/>
                <w:color w:val="000000"/>
                <w:sz w:val="18"/>
                <w:szCs w:val="18"/>
              </w:rPr>
            </w:pPr>
          </w:p>
        </w:tc>
        <w:tc>
          <w:tcPr>
            <w:tcW w:w="719" w:type="dxa"/>
            <w:tcBorders>
              <w:top w:val="single" w:sz="12" w:space="0" w:color="auto"/>
              <w:bottom w:val="single" w:sz="12" w:space="0" w:color="auto"/>
            </w:tcBorders>
            <w:vAlign w:val="center"/>
          </w:tcPr>
          <w:p w14:paraId="5859B348" w14:textId="77777777" w:rsidR="00FA1843" w:rsidRPr="00A7778D" w:rsidRDefault="00FA1843" w:rsidP="00041DD0">
            <w:pPr>
              <w:jc w:val="center"/>
              <w:rPr>
                <w:noProof/>
                <w:color w:val="000000"/>
                <w:sz w:val="18"/>
                <w:szCs w:val="18"/>
              </w:rPr>
            </w:pPr>
          </w:p>
        </w:tc>
        <w:tc>
          <w:tcPr>
            <w:tcW w:w="719" w:type="dxa"/>
            <w:tcBorders>
              <w:top w:val="single" w:sz="12" w:space="0" w:color="auto"/>
              <w:bottom w:val="single" w:sz="12" w:space="0" w:color="auto"/>
            </w:tcBorders>
            <w:vAlign w:val="center"/>
          </w:tcPr>
          <w:p w14:paraId="043FC839" w14:textId="77777777" w:rsidR="00FA1843" w:rsidRPr="00A7778D" w:rsidRDefault="00FA1843" w:rsidP="00041DD0">
            <w:pPr>
              <w:jc w:val="center"/>
              <w:rPr>
                <w:noProof/>
                <w:color w:val="000000"/>
                <w:sz w:val="18"/>
                <w:szCs w:val="18"/>
              </w:rPr>
            </w:pPr>
            <w:r w:rsidRPr="00A7778D">
              <w:rPr>
                <w:noProof/>
                <w:color w:val="000000"/>
                <w:sz w:val="18"/>
              </w:rPr>
              <w:t>40</w:t>
            </w:r>
          </w:p>
        </w:tc>
        <w:tc>
          <w:tcPr>
            <w:tcW w:w="719" w:type="dxa"/>
            <w:tcBorders>
              <w:top w:val="single" w:sz="12" w:space="0" w:color="auto"/>
              <w:bottom w:val="single" w:sz="12" w:space="0" w:color="auto"/>
            </w:tcBorders>
            <w:vAlign w:val="center"/>
          </w:tcPr>
          <w:p w14:paraId="1DF0D7E0" w14:textId="77777777" w:rsidR="00FA1843" w:rsidRPr="00A7778D" w:rsidRDefault="00FA1843" w:rsidP="00041DD0">
            <w:pPr>
              <w:jc w:val="center"/>
              <w:rPr>
                <w:noProof/>
                <w:color w:val="000000"/>
                <w:sz w:val="18"/>
                <w:szCs w:val="18"/>
              </w:rPr>
            </w:pPr>
            <w:r w:rsidRPr="00A7778D">
              <w:rPr>
                <w:noProof/>
                <w:color w:val="000000"/>
                <w:sz w:val="18"/>
              </w:rPr>
              <w:t>0,035</w:t>
            </w:r>
          </w:p>
        </w:tc>
        <w:tc>
          <w:tcPr>
            <w:tcW w:w="719" w:type="dxa"/>
            <w:tcBorders>
              <w:top w:val="single" w:sz="12" w:space="0" w:color="auto"/>
              <w:bottom w:val="single" w:sz="12" w:space="0" w:color="auto"/>
            </w:tcBorders>
            <w:vAlign w:val="center"/>
          </w:tcPr>
          <w:p w14:paraId="3B966373" w14:textId="77777777" w:rsidR="00FA1843" w:rsidRPr="00A7778D" w:rsidRDefault="00FA1843" w:rsidP="00041DD0">
            <w:pPr>
              <w:ind w:right="-29"/>
              <w:jc w:val="center"/>
              <w:rPr>
                <w:noProof/>
                <w:sz w:val="18"/>
              </w:rPr>
            </w:pPr>
            <w:r w:rsidRPr="00A7778D">
              <w:rPr>
                <w:noProof/>
                <w:sz w:val="18"/>
              </w:rPr>
              <w:t>10</w:t>
            </w:r>
          </w:p>
        </w:tc>
        <w:tc>
          <w:tcPr>
            <w:tcW w:w="719" w:type="dxa"/>
            <w:tcBorders>
              <w:top w:val="single" w:sz="12" w:space="0" w:color="auto"/>
              <w:bottom w:val="single" w:sz="12" w:space="0" w:color="auto"/>
            </w:tcBorders>
            <w:vAlign w:val="center"/>
          </w:tcPr>
          <w:p w14:paraId="1371F9AA" w14:textId="77777777" w:rsidR="00FA1843" w:rsidRPr="00A7778D" w:rsidRDefault="00FA1843" w:rsidP="00041DD0">
            <w:pPr>
              <w:ind w:right="-29"/>
              <w:jc w:val="center"/>
              <w:rPr>
                <w:noProof/>
                <w:sz w:val="18"/>
              </w:rPr>
            </w:pPr>
            <w:r w:rsidRPr="00A7778D">
              <w:rPr>
                <w:noProof/>
                <w:sz w:val="18"/>
              </w:rPr>
              <w:t>0,005</w:t>
            </w:r>
          </w:p>
        </w:tc>
        <w:tc>
          <w:tcPr>
            <w:tcW w:w="719" w:type="dxa"/>
            <w:tcBorders>
              <w:top w:val="single" w:sz="12" w:space="0" w:color="auto"/>
              <w:bottom w:val="single" w:sz="12" w:space="0" w:color="auto"/>
            </w:tcBorders>
            <w:vAlign w:val="center"/>
          </w:tcPr>
          <w:p w14:paraId="16839BCB" w14:textId="77777777" w:rsidR="00FA1843" w:rsidRPr="00A7778D" w:rsidRDefault="00FA1843" w:rsidP="00041DD0">
            <w:pPr>
              <w:ind w:right="-29"/>
              <w:jc w:val="center"/>
              <w:rPr>
                <w:noProof/>
                <w:sz w:val="18"/>
              </w:rPr>
            </w:pPr>
            <w:r w:rsidRPr="00A7778D">
              <w:rPr>
                <w:noProof/>
                <w:sz w:val="18"/>
              </w:rPr>
              <w:t>9</w:t>
            </w:r>
          </w:p>
        </w:tc>
        <w:tc>
          <w:tcPr>
            <w:tcW w:w="719" w:type="dxa"/>
            <w:tcBorders>
              <w:top w:val="single" w:sz="12" w:space="0" w:color="auto"/>
              <w:bottom w:val="single" w:sz="12" w:space="0" w:color="auto"/>
            </w:tcBorders>
            <w:vAlign w:val="center"/>
          </w:tcPr>
          <w:p w14:paraId="51FC7497" w14:textId="77777777" w:rsidR="00FA1843" w:rsidRPr="00A7778D" w:rsidRDefault="00FA1843" w:rsidP="00041DD0">
            <w:pPr>
              <w:ind w:right="-29"/>
              <w:jc w:val="center"/>
              <w:rPr>
                <w:noProof/>
                <w:sz w:val="18"/>
              </w:rPr>
            </w:pPr>
            <w:r w:rsidRPr="00A7778D">
              <w:rPr>
                <w:noProof/>
                <w:sz w:val="18"/>
              </w:rPr>
              <w:t>0,005</w:t>
            </w:r>
          </w:p>
        </w:tc>
        <w:tc>
          <w:tcPr>
            <w:tcW w:w="719" w:type="dxa"/>
            <w:tcBorders>
              <w:top w:val="single" w:sz="12" w:space="0" w:color="auto"/>
              <w:bottom w:val="single" w:sz="12" w:space="0" w:color="auto"/>
            </w:tcBorders>
            <w:vAlign w:val="center"/>
          </w:tcPr>
          <w:p w14:paraId="5D11A762" w14:textId="77777777" w:rsidR="00FA1843" w:rsidRPr="00A7778D" w:rsidRDefault="00FA1843" w:rsidP="00041DD0">
            <w:pPr>
              <w:ind w:right="-29"/>
              <w:jc w:val="center"/>
              <w:rPr>
                <w:noProof/>
                <w:sz w:val="18"/>
              </w:rPr>
            </w:pPr>
            <w:r w:rsidRPr="00A7778D">
              <w:rPr>
                <w:noProof/>
                <w:sz w:val="18"/>
              </w:rPr>
              <w:t>59</w:t>
            </w:r>
          </w:p>
        </w:tc>
        <w:tc>
          <w:tcPr>
            <w:tcW w:w="719" w:type="dxa"/>
            <w:tcBorders>
              <w:top w:val="single" w:sz="12" w:space="0" w:color="auto"/>
              <w:bottom w:val="single" w:sz="12" w:space="0" w:color="auto"/>
              <w:right w:val="single" w:sz="12" w:space="0" w:color="auto"/>
            </w:tcBorders>
            <w:vAlign w:val="center"/>
          </w:tcPr>
          <w:p w14:paraId="094F5556" w14:textId="77777777" w:rsidR="00FA1843" w:rsidRPr="00A7778D" w:rsidRDefault="00FA1843" w:rsidP="00041DD0">
            <w:pPr>
              <w:ind w:right="-29"/>
              <w:jc w:val="center"/>
              <w:rPr>
                <w:noProof/>
                <w:sz w:val="18"/>
              </w:rPr>
            </w:pPr>
            <w:r w:rsidRPr="00A7778D">
              <w:rPr>
                <w:noProof/>
                <w:sz w:val="18"/>
              </w:rPr>
              <w:t>0,045</w:t>
            </w:r>
          </w:p>
        </w:tc>
      </w:tr>
    </w:tbl>
    <w:p w14:paraId="0ECABC9A" w14:textId="77777777" w:rsidR="00FA1843" w:rsidRPr="00A7778D" w:rsidRDefault="00FA1843" w:rsidP="00FA1843">
      <w:pPr>
        <w:rPr>
          <w:noProof/>
        </w:rPr>
        <w:sectPr w:rsidR="00FA1843" w:rsidRPr="00A7778D" w:rsidSect="00084EF2">
          <w:pgSz w:w="16838" w:h="11906" w:orient="landscape" w:code="9"/>
          <w:pgMar w:top="1418" w:right="902" w:bottom="902" w:left="567" w:header="709" w:footer="709" w:gutter="0"/>
          <w:cols w:space="720"/>
          <w:docGrid w:linePitch="326"/>
        </w:sectPr>
      </w:pPr>
    </w:p>
    <w:p w14:paraId="12B212D3" w14:textId="5619833A" w:rsidR="00FA1843" w:rsidRPr="00A7778D" w:rsidRDefault="002A7F8C" w:rsidP="002A7F8C">
      <w:pPr>
        <w:pStyle w:val="ManualHeading3"/>
        <w:rPr>
          <w:bCs/>
          <w:noProof/>
          <w:szCs w:val="24"/>
        </w:rPr>
      </w:pPr>
      <w:bookmarkStart w:id="64" w:name="_Toc514938688"/>
      <w:bookmarkStart w:id="65" w:name="_Toc520485447"/>
      <w:r w:rsidRPr="00A7778D">
        <w:rPr>
          <w:noProof/>
        </w:rPr>
        <w:t>3.2.3.</w:t>
      </w:r>
      <w:r w:rsidRPr="00A7778D">
        <w:rPr>
          <w:noProof/>
        </w:rPr>
        <w:tab/>
        <w:t>Arvioidut vaikutukset arvopaperimarkkinaviranomaisen henkilöresursseihin</w:t>
      </w:r>
      <w:bookmarkEnd w:id="64"/>
      <w:bookmarkEnd w:id="65"/>
    </w:p>
    <w:p w14:paraId="5488E8F1" w14:textId="7DF90A9F" w:rsidR="00FA1843" w:rsidRPr="00A7778D" w:rsidRDefault="002A7F8C" w:rsidP="002A7F8C">
      <w:pPr>
        <w:pStyle w:val="ManualHeading4"/>
        <w:rPr>
          <w:bCs/>
          <w:noProof/>
          <w:szCs w:val="24"/>
        </w:rPr>
      </w:pPr>
      <w:r w:rsidRPr="00A7778D">
        <w:rPr>
          <w:noProof/>
        </w:rPr>
        <w:t>3.2.3.1.</w:t>
      </w:r>
      <w:r w:rsidRPr="00A7778D">
        <w:rPr>
          <w:noProof/>
        </w:rPr>
        <w:tab/>
        <w:t>Tiivistelmä</w:t>
      </w:r>
    </w:p>
    <w:p w14:paraId="235D398C" w14:textId="77777777" w:rsidR="00FA1843" w:rsidRPr="00A7778D" w:rsidRDefault="00FA1843" w:rsidP="00580A58">
      <w:pPr>
        <w:pStyle w:val="ListDash1"/>
        <w:numPr>
          <w:ilvl w:val="0"/>
          <w:numId w:val="21"/>
        </w:numPr>
        <w:rPr>
          <w:noProof/>
        </w:rPr>
      </w:pPr>
      <w:r w:rsidRPr="00A7778D">
        <w:rPr>
          <w:noProof/>
        </w:rPr>
        <w:sym w:font="Wingdings" w:char="F0A8"/>
      </w:r>
      <w:r w:rsidRPr="00A7778D">
        <w:rPr>
          <w:noProof/>
        </w:rPr>
        <w:tab/>
        <w:t xml:space="preserve">Ehdotus/aloite ei edellytä hallintomäärärahoja. </w:t>
      </w:r>
    </w:p>
    <w:p w14:paraId="4A757B16" w14:textId="77777777" w:rsidR="00FA1843" w:rsidRPr="00A7778D" w:rsidRDefault="00FA1843" w:rsidP="00580A58">
      <w:pPr>
        <w:pStyle w:val="ListDash1"/>
        <w:numPr>
          <w:ilvl w:val="0"/>
          <w:numId w:val="21"/>
        </w:numPr>
        <w:rPr>
          <w:noProof/>
        </w:rPr>
      </w:pPr>
      <w:r w:rsidRPr="00A7778D">
        <w:rPr>
          <w:noProof/>
        </w:rPr>
        <w:sym w:font="Wingdings" w:char="F0FE"/>
      </w:r>
      <w:r w:rsidRPr="00A7778D">
        <w:rPr>
          <w:noProof/>
        </w:rPr>
        <w:tab/>
        <w:t>Ehdotus/aloite edellyttää hallintomäärärahoja seuraavasti:</w:t>
      </w:r>
    </w:p>
    <w:p w14:paraId="17FFE2EC" w14:textId="77777777" w:rsidR="00FA1843" w:rsidRPr="00A7778D" w:rsidRDefault="00FA1843" w:rsidP="00FA1843">
      <w:pPr>
        <w:rPr>
          <w:noProof/>
          <w:sz w:val="20"/>
        </w:rPr>
      </w:pPr>
      <w:r w:rsidRPr="00A7778D">
        <w:rPr>
          <w:noProof/>
          <w:sz w:val="20"/>
        </w:rPr>
        <w:t>milj. euroa (kolmen desimaalin tarkkuudella)</w:t>
      </w: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302"/>
        <w:gridCol w:w="1302"/>
        <w:gridCol w:w="1302"/>
        <w:gridCol w:w="1302"/>
        <w:gridCol w:w="1302"/>
        <w:gridCol w:w="1302"/>
      </w:tblGrid>
      <w:tr w:rsidR="00FA1843" w:rsidRPr="00A7778D" w14:paraId="106942FB" w14:textId="77777777" w:rsidTr="00041DD0">
        <w:trPr>
          <w:trHeight w:val="585"/>
        </w:trPr>
        <w:tc>
          <w:tcPr>
            <w:tcW w:w="1980" w:type="dxa"/>
          </w:tcPr>
          <w:p w14:paraId="4EB128BD" w14:textId="77777777" w:rsidR="00FA1843" w:rsidRPr="00A7778D" w:rsidRDefault="00FA1843" w:rsidP="00041DD0">
            <w:pPr>
              <w:spacing w:before="60" w:after="60"/>
              <w:rPr>
                <w:noProof/>
                <w:sz w:val="20"/>
              </w:rPr>
            </w:pPr>
          </w:p>
        </w:tc>
        <w:tc>
          <w:tcPr>
            <w:tcW w:w="1302" w:type="dxa"/>
            <w:vAlign w:val="center"/>
          </w:tcPr>
          <w:p w14:paraId="7D74AC8E" w14:textId="77777777" w:rsidR="00FA1843" w:rsidRPr="00A7778D" w:rsidRDefault="00FA1843" w:rsidP="00041DD0">
            <w:pPr>
              <w:spacing w:before="60" w:after="60"/>
              <w:jc w:val="center"/>
              <w:rPr>
                <w:noProof/>
                <w:sz w:val="20"/>
              </w:rPr>
            </w:pPr>
            <w:r w:rsidRPr="00A7778D">
              <w:rPr>
                <w:noProof/>
                <w:sz w:val="20"/>
              </w:rPr>
              <w:t>2023</w:t>
            </w:r>
          </w:p>
        </w:tc>
        <w:tc>
          <w:tcPr>
            <w:tcW w:w="1302" w:type="dxa"/>
            <w:vAlign w:val="center"/>
          </w:tcPr>
          <w:p w14:paraId="000CB1E2" w14:textId="77777777" w:rsidR="00FA1843" w:rsidRPr="00A7778D" w:rsidRDefault="00FA1843" w:rsidP="00041DD0">
            <w:pPr>
              <w:spacing w:before="60" w:after="60"/>
              <w:jc w:val="center"/>
              <w:rPr>
                <w:noProof/>
                <w:sz w:val="20"/>
              </w:rPr>
            </w:pPr>
            <w:r w:rsidRPr="00A7778D">
              <w:rPr>
                <w:noProof/>
                <w:sz w:val="20"/>
              </w:rPr>
              <w:t>2024</w:t>
            </w:r>
          </w:p>
        </w:tc>
        <w:tc>
          <w:tcPr>
            <w:tcW w:w="1302" w:type="dxa"/>
            <w:vAlign w:val="center"/>
          </w:tcPr>
          <w:p w14:paraId="0210ECF8" w14:textId="77777777" w:rsidR="00FA1843" w:rsidRPr="00A7778D" w:rsidRDefault="00FA1843" w:rsidP="00041DD0">
            <w:pPr>
              <w:spacing w:before="60" w:after="60"/>
              <w:jc w:val="center"/>
              <w:rPr>
                <w:noProof/>
                <w:sz w:val="20"/>
              </w:rPr>
            </w:pPr>
            <w:r w:rsidRPr="00A7778D">
              <w:rPr>
                <w:noProof/>
                <w:sz w:val="20"/>
              </w:rPr>
              <w:t>2025</w:t>
            </w:r>
          </w:p>
        </w:tc>
        <w:tc>
          <w:tcPr>
            <w:tcW w:w="1302" w:type="dxa"/>
            <w:vAlign w:val="center"/>
          </w:tcPr>
          <w:p w14:paraId="5E5F8C9B" w14:textId="77777777" w:rsidR="00FA1843" w:rsidRPr="00A7778D" w:rsidRDefault="00FA1843" w:rsidP="00041DD0">
            <w:pPr>
              <w:jc w:val="center"/>
              <w:rPr>
                <w:noProof/>
                <w:sz w:val="20"/>
              </w:rPr>
            </w:pPr>
            <w:r w:rsidRPr="00A7778D">
              <w:rPr>
                <w:noProof/>
                <w:sz w:val="20"/>
              </w:rPr>
              <w:t>2026</w:t>
            </w:r>
          </w:p>
        </w:tc>
        <w:tc>
          <w:tcPr>
            <w:tcW w:w="1302" w:type="dxa"/>
            <w:vAlign w:val="center"/>
          </w:tcPr>
          <w:p w14:paraId="12A20BBE" w14:textId="77777777" w:rsidR="00FA1843" w:rsidRPr="00A7778D" w:rsidRDefault="00FA1843" w:rsidP="00041DD0">
            <w:pPr>
              <w:jc w:val="center"/>
              <w:rPr>
                <w:noProof/>
                <w:sz w:val="20"/>
              </w:rPr>
            </w:pPr>
            <w:r w:rsidRPr="00A7778D">
              <w:rPr>
                <w:noProof/>
                <w:sz w:val="20"/>
              </w:rPr>
              <w:t>2027</w:t>
            </w:r>
          </w:p>
        </w:tc>
        <w:tc>
          <w:tcPr>
            <w:tcW w:w="1302" w:type="dxa"/>
            <w:vAlign w:val="center"/>
          </w:tcPr>
          <w:p w14:paraId="6DA93BD5" w14:textId="77777777" w:rsidR="00FA1843" w:rsidRPr="00A7778D" w:rsidRDefault="00FA1843" w:rsidP="00041DD0">
            <w:pPr>
              <w:spacing w:before="60" w:after="60"/>
              <w:jc w:val="center"/>
              <w:rPr>
                <w:b/>
                <w:noProof/>
                <w:sz w:val="20"/>
              </w:rPr>
            </w:pPr>
            <w:r w:rsidRPr="00A7778D">
              <w:rPr>
                <w:b/>
                <w:noProof/>
                <w:sz w:val="20"/>
              </w:rPr>
              <w:t>YHTEENSÄ</w:t>
            </w:r>
          </w:p>
        </w:tc>
      </w:tr>
    </w:tbl>
    <w:p w14:paraId="313B608A" w14:textId="77777777" w:rsidR="00FA1843" w:rsidRPr="00A7778D" w:rsidRDefault="00FA1843" w:rsidP="00FA1843">
      <w:pPr>
        <w:rPr>
          <w:noProof/>
          <w:sz w:val="20"/>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302"/>
        <w:gridCol w:w="1302"/>
        <w:gridCol w:w="1302"/>
        <w:gridCol w:w="1302"/>
        <w:gridCol w:w="1302"/>
        <w:gridCol w:w="1302"/>
      </w:tblGrid>
      <w:tr w:rsidR="00341E44" w:rsidRPr="00A7778D" w14:paraId="210A6DAE" w14:textId="77777777" w:rsidTr="00041DD0">
        <w:trPr>
          <w:trHeight w:val="585"/>
        </w:trPr>
        <w:tc>
          <w:tcPr>
            <w:tcW w:w="1980" w:type="dxa"/>
            <w:shd w:val="clear" w:color="auto" w:fill="D9D9D9" w:themeFill="background1" w:themeFillShade="D9"/>
            <w:vAlign w:val="center"/>
          </w:tcPr>
          <w:p w14:paraId="4DF3614D" w14:textId="77777777" w:rsidR="00341E44" w:rsidRPr="00A7778D" w:rsidRDefault="00341E44" w:rsidP="00341E44">
            <w:pPr>
              <w:spacing w:before="60" w:after="60"/>
              <w:jc w:val="center"/>
              <w:rPr>
                <w:noProof/>
              </w:rPr>
            </w:pPr>
            <w:r w:rsidRPr="00A7778D">
              <w:rPr>
                <w:noProof/>
                <w:sz w:val="18"/>
              </w:rPr>
              <w:t>Väliaikaiset toimihenkilöt (AD-palkkaluokka)</w:t>
            </w:r>
          </w:p>
        </w:tc>
        <w:tc>
          <w:tcPr>
            <w:tcW w:w="1302" w:type="dxa"/>
            <w:vAlign w:val="center"/>
          </w:tcPr>
          <w:p w14:paraId="0CE8B8A4" w14:textId="77777777" w:rsidR="00341E44" w:rsidRPr="00A7778D" w:rsidRDefault="00341E44" w:rsidP="00341E44">
            <w:pPr>
              <w:spacing w:before="60" w:after="60"/>
              <w:jc w:val="right"/>
              <w:rPr>
                <w:noProof/>
                <w:sz w:val="20"/>
              </w:rPr>
            </w:pPr>
          </w:p>
        </w:tc>
        <w:tc>
          <w:tcPr>
            <w:tcW w:w="1302" w:type="dxa"/>
            <w:vAlign w:val="center"/>
          </w:tcPr>
          <w:p w14:paraId="5700341C" w14:textId="77777777" w:rsidR="00341E44" w:rsidRPr="00A7778D" w:rsidRDefault="00341E44" w:rsidP="00341E44">
            <w:pPr>
              <w:spacing w:before="60" w:after="60"/>
              <w:jc w:val="right"/>
              <w:rPr>
                <w:noProof/>
                <w:sz w:val="20"/>
              </w:rPr>
            </w:pPr>
          </w:p>
        </w:tc>
        <w:tc>
          <w:tcPr>
            <w:tcW w:w="1302" w:type="dxa"/>
            <w:vAlign w:val="center"/>
          </w:tcPr>
          <w:p w14:paraId="3DDBE96B" w14:textId="53FB9C29" w:rsidR="00341E44" w:rsidRPr="00A7778D" w:rsidRDefault="00341E44" w:rsidP="00341E44">
            <w:pPr>
              <w:spacing w:before="60" w:after="60"/>
              <w:jc w:val="right"/>
              <w:rPr>
                <w:noProof/>
                <w:sz w:val="20"/>
              </w:rPr>
            </w:pPr>
            <w:r w:rsidRPr="00A7778D">
              <w:rPr>
                <w:noProof/>
                <w:sz w:val="20"/>
              </w:rPr>
              <w:t>0,587</w:t>
            </w:r>
          </w:p>
        </w:tc>
        <w:tc>
          <w:tcPr>
            <w:tcW w:w="1302" w:type="dxa"/>
            <w:vAlign w:val="center"/>
          </w:tcPr>
          <w:p w14:paraId="38968025" w14:textId="5C511F61" w:rsidR="00341E44" w:rsidRPr="00A7778D" w:rsidRDefault="00341E44" w:rsidP="00341E44">
            <w:pPr>
              <w:spacing w:before="60" w:after="60"/>
              <w:jc w:val="center"/>
              <w:rPr>
                <w:noProof/>
                <w:sz w:val="20"/>
              </w:rPr>
            </w:pPr>
            <w:r w:rsidRPr="00A7778D">
              <w:rPr>
                <w:noProof/>
                <w:sz w:val="20"/>
              </w:rPr>
              <w:t xml:space="preserve">         1,198</w:t>
            </w:r>
          </w:p>
        </w:tc>
        <w:tc>
          <w:tcPr>
            <w:tcW w:w="1302" w:type="dxa"/>
            <w:vAlign w:val="center"/>
          </w:tcPr>
          <w:p w14:paraId="00BECFDB" w14:textId="04D6241D" w:rsidR="00341E44" w:rsidRPr="00A7778D" w:rsidRDefault="00341E44" w:rsidP="00341E44">
            <w:pPr>
              <w:spacing w:before="60" w:after="60"/>
              <w:jc w:val="right"/>
              <w:rPr>
                <w:noProof/>
                <w:sz w:val="20"/>
              </w:rPr>
            </w:pPr>
            <w:r w:rsidRPr="00A7778D">
              <w:rPr>
                <w:noProof/>
                <w:sz w:val="20"/>
              </w:rPr>
              <w:t>1,222</w:t>
            </w:r>
          </w:p>
        </w:tc>
        <w:tc>
          <w:tcPr>
            <w:tcW w:w="1302" w:type="dxa"/>
            <w:vAlign w:val="center"/>
          </w:tcPr>
          <w:p w14:paraId="3338B1D1" w14:textId="3A6091E1" w:rsidR="00341E44" w:rsidRPr="00A7778D" w:rsidRDefault="00341E44" w:rsidP="00341E44">
            <w:pPr>
              <w:spacing w:before="60" w:after="60"/>
              <w:jc w:val="right"/>
              <w:rPr>
                <w:b/>
                <w:noProof/>
                <w:sz w:val="20"/>
              </w:rPr>
            </w:pPr>
            <w:r w:rsidRPr="00A7778D">
              <w:rPr>
                <w:b/>
                <w:noProof/>
                <w:sz w:val="20"/>
              </w:rPr>
              <w:t>3,006</w:t>
            </w:r>
          </w:p>
        </w:tc>
      </w:tr>
      <w:tr w:rsidR="00341E44" w:rsidRPr="00A7778D" w14:paraId="6FDB6D4E" w14:textId="77777777" w:rsidTr="00041DD0">
        <w:trPr>
          <w:trHeight w:val="585"/>
        </w:trPr>
        <w:tc>
          <w:tcPr>
            <w:tcW w:w="1980" w:type="dxa"/>
            <w:shd w:val="clear" w:color="auto" w:fill="BFBFBF" w:themeFill="background1" w:themeFillShade="BF"/>
            <w:vAlign w:val="center"/>
          </w:tcPr>
          <w:p w14:paraId="281E6785" w14:textId="77777777" w:rsidR="00341E44" w:rsidRPr="00A7778D" w:rsidRDefault="00341E44" w:rsidP="00341E44">
            <w:pPr>
              <w:spacing w:before="60" w:after="60"/>
              <w:ind w:left="72"/>
              <w:rPr>
                <w:noProof/>
              </w:rPr>
            </w:pPr>
            <w:r w:rsidRPr="00A7778D">
              <w:rPr>
                <w:noProof/>
                <w:sz w:val="20"/>
              </w:rPr>
              <w:t>Väliaikaiset toimihenkilöt (AST-palkkaluokka)</w:t>
            </w:r>
          </w:p>
        </w:tc>
        <w:tc>
          <w:tcPr>
            <w:tcW w:w="1302" w:type="dxa"/>
            <w:vAlign w:val="center"/>
          </w:tcPr>
          <w:p w14:paraId="31761719" w14:textId="77777777" w:rsidR="00341E44" w:rsidRPr="00A7778D" w:rsidRDefault="00341E44" w:rsidP="00341E44">
            <w:pPr>
              <w:spacing w:before="60" w:after="60"/>
              <w:jc w:val="right"/>
              <w:rPr>
                <w:noProof/>
                <w:sz w:val="20"/>
              </w:rPr>
            </w:pPr>
          </w:p>
        </w:tc>
        <w:tc>
          <w:tcPr>
            <w:tcW w:w="1302" w:type="dxa"/>
            <w:vAlign w:val="center"/>
          </w:tcPr>
          <w:p w14:paraId="1A60D7A3" w14:textId="77777777" w:rsidR="00341E44" w:rsidRPr="00A7778D" w:rsidRDefault="00341E44" w:rsidP="00341E44">
            <w:pPr>
              <w:spacing w:before="60" w:after="60"/>
              <w:jc w:val="right"/>
              <w:rPr>
                <w:noProof/>
                <w:sz w:val="20"/>
              </w:rPr>
            </w:pPr>
          </w:p>
        </w:tc>
        <w:tc>
          <w:tcPr>
            <w:tcW w:w="1302" w:type="dxa"/>
            <w:vAlign w:val="center"/>
          </w:tcPr>
          <w:p w14:paraId="103D573B" w14:textId="126EFD84" w:rsidR="00341E44" w:rsidRPr="00A7778D" w:rsidRDefault="00341E44" w:rsidP="00341E44">
            <w:pPr>
              <w:spacing w:before="60" w:after="60"/>
              <w:jc w:val="right"/>
              <w:rPr>
                <w:noProof/>
                <w:sz w:val="20"/>
              </w:rPr>
            </w:pPr>
            <w:r w:rsidRPr="00A7778D">
              <w:rPr>
                <w:noProof/>
                <w:sz w:val="20"/>
              </w:rPr>
              <w:t>0,098</w:t>
            </w:r>
          </w:p>
        </w:tc>
        <w:tc>
          <w:tcPr>
            <w:tcW w:w="1302" w:type="dxa"/>
            <w:vAlign w:val="center"/>
          </w:tcPr>
          <w:p w14:paraId="1C482773" w14:textId="7405AE0C" w:rsidR="00341E44" w:rsidRPr="00A7778D" w:rsidRDefault="00341E44" w:rsidP="00341E44">
            <w:pPr>
              <w:spacing w:before="60" w:after="60"/>
              <w:jc w:val="right"/>
              <w:rPr>
                <w:noProof/>
                <w:sz w:val="20"/>
              </w:rPr>
            </w:pPr>
            <w:r w:rsidRPr="00A7778D">
              <w:rPr>
                <w:noProof/>
                <w:sz w:val="20"/>
              </w:rPr>
              <w:t>0,200</w:t>
            </w:r>
          </w:p>
        </w:tc>
        <w:tc>
          <w:tcPr>
            <w:tcW w:w="1302" w:type="dxa"/>
            <w:vAlign w:val="center"/>
          </w:tcPr>
          <w:p w14:paraId="171E1AAB" w14:textId="77777777" w:rsidR="00341E44" w:rsidRPr="00A7778D" w:rsidRDefault="00341E44" w:rsidP="00341E44">
            <w:pPr>
              <w:spacing w:before="60" w:after="60"/>
              <w:jc w:val="right"/>
              <w:rPr>
                <w:noProof/>
                <w:sz w:val="20"/>
              </w:rPr>
            </w:pPr>
            <w:r w:rsidRPr="00A7778D">
              <w:rPr>
                <w:noProof/>
                <w:sz w:val="20"/>
              </w:rPr>
              <w:t>0,203</w:t>
            </w:r>
          </w:p>
        </w:tc>
        <w:tc>
          <w:tcPr>
            <w:tcW w:w="1302" w:type="dxa"/>
            <w:vAlign w:val="center"/>
          </w:tcPr>
          <w:p w14:paraId="78F1D092" w14:textId="77777777" w:rsidR="00341E44" w:rsidRPr="00A7778D" w:rsidRDefault="00341E44" w:rsidP="00341E44">
            <w:pPr>
              <w:spacing w:before="60" w:after="60"/>
              <w:jc w:val="right"/>
              <w:rPr>
                <w:b/>
                <w:noProof/>
                <w:sz w:val="20"/>
              </w:rPr>
            </w:pPr>
            <w:r w:rsidRPr="00A7778D">
              <w:rPr>
                <w:b/>
                <w:noProof/>
                <w:sz w:val="20"/>
              </w:rPr>
              <w:t>0,501</w:t>
            </w:r>
          </w:p>
        </w:tc>
      </w:tr>
      <w:tr w:rsidR="00FA1843" w:rsidRPr="00A7778D" w14:paraId="7F187F83" w14:textId="77777777" w:rsidTr="00041DD0">
        <w:trPr>
          <w:trHeight w:val="585"/>
        </w:trPr>
        <w:tc>
          <w:tcPr>
            <w:tcW w:w="1980" w:type="dxa"/>
            <w:shd w:val="clear" w:color="auto" w:fill="BFBFBF" w:themeFill="background1" w:themeFillShade="BF"/>
            <w:vAlign w:val="center"/>
          </w:tcPr>
          <w:p w14:paraId="4FFD4019" w14:textId="77777777" w:rsidR="00FA1843" w:rsidRPr="00A7778D" w:rsidRDefault="00FA1843" w:rsidP="00041DD0">
            <w:pPr>
              <w:spacing w:before="60" w:after="60"/>
              <w:ind w:left="72"/>
              <w:rPr>
                <w:noProof/>
              </w:rPr>
            </w:pPr>
            <w:r w:rsidRPr="00A7778D">
              <w:rPr>
                <w:noProof/>
                <w:sz w:val="20"/>
              </w:rPr>
              <w:t>Sopimussuhteiset toimihenkilöt</w:t>
            </w:r>
          </w:p>
        </w:tc>
        <w:tc>
          <w:tcPr>
            <w:tcW w:w="1302" w:type="dxa"/>
            <w:shd w:val="clear" w:color="auto" w:fill="BFBFBF" w:themeFill="background1" w:themeFillShade="BF"/>
            <w:vAlign w:val="center"/>
          </w:tcPr>
          <w:p w14:paraId="4190D52D" w14:textId="77777777" w:rsidR="00FA1843" w:rsidRPr="00A7778D" w:rsidRDefault="00FA1843" w:rsidP="00041DD0">
            <w:pPr>
              <w:spacing w:before="60" w:after="60"/>
              <w:jc w:val="right"/>
              <w:rPr>
                <w:noProof/>
                <w:sz w:val="20"/>
              </w:rPr>
            </w:pPr>
          </w:p>
        </w:tc>
        <w:tc>
          <w:tcPr>
            <w:tcW w:w="1302" w:type="dxa"/>
            <w:shd w:val="clear" w:color="auto" w:fill="BFBFBF" w:themeFill="background1" w:themeFillShade="BF"/>
            <w:vAlign w:val="center"/>
          </w:tcPr>
          <w:p w14:paraId="6C4EEDDF" w14:textId="77777777" w:rsidR="00FA1843" w:rsidRPr="00A7778D" w:rsidRDefault="00FA1843" w:rsidP="00041DD0">
            <w:pPr>
              <w:spacing w:before="60" w:after="60"/>
              <w:jc w:val="right"/>
              <w:rPr>
                <w:noProof/>
                <w:sz w:val="20"/>
              </w:rPr>
            </w:pPr>
          </w:p>
        </w:tc>
        <w:tc>
          <w:tcPr>
            <w:tcW w:w="1302" w:type="dxa"/>
            <w:shd w:val="clear" w:color="auto" w:fill="BFBFBF" w:themeFill="background1" w:themeFillShade="BF"/>
            <w:vAlign w:val="center"/>
          </w:tcPr>
          <w:p w14:paraId="2B086BA4" w14:textId="77777777" w:rsidR="00FA1843" w:rsidRPr="00A7778D" w:rsidRDefault="00FA1843" w:rsidP="00041DD0">
            <w:pPr>
              <w:spacing w:before="60" w:after="60"/>
              <w:jc w:val="right"/>
              <w:rPr>
                <w:noProof/>
                <w:sz w:val="20"/>
              </w:rPr>
            </w:pPr>
            <w:r w:rsidRPr="00A7778D">
              <w:rPr>
                <w:noProof/>
                <w:sz w:val="20"/>
              </w:rPr>
              <w:t>0,918</w:t>
            </w:r>
          </w:p>
        </w:tc>
        <w:tc>
          <w:tcPr>
            <w:tcW w:w="1302" w:type="dxa"/>
            <w:shd w:val="clear" w:color="auto" w:fill="BFBFBF" w:themeFill="background1" w:themeFillShade="BF"/>
            <w:vAlign w:val="center"/>
          </w:tcPr>
          <w:p w14:paraId="7D162E25" w14:textId="77777777" w:rsidR="00FA1843" w:rsidRPr="00A7778D" w:rsidRDefault="00FA1843" w:rsidP="00041DD0">
            <w:pPr>
              <w:spacing w:before="60" w:after="60"/>
              <w:jc w:val="right"/>
              <w:rPr>
                <w:noProof/>
                <w:sz w:val="20"/>
              </w:rPr>
            </w:pPr>
            <w:r w:rsidRPr="00A7778D">
              <w:rPr>
                <w:noProof/>
                <w:sz w:val="20"/>
              </w:rPr>
              <w:t>1,873</w:t>
            </w:r>
          </w:p>
        </w:tc>
        <w:tc>
          <w:tcPr>
            <w:tcW w:w="1302" w:type="dxa"/>
            <w:shd w:val="clear" w:color="auto" w:fill="BFBFBF" w:themeFill="background1" w:themeFillShade="BF"/>
            <w:vAlign w:val="center"/>
          </w:tcPr>
          <w:p w14:paraId="56F52ACA" w14:textId="77777777" w:rsidR="00FA1843" w:rsidRPr="00A7778D" w:rsidRDefault="00FA1843" w:rsidP="00041DD0">
            <w:pPr>
              <w:spacing w:before="60" w:after="60"/>
              <w:jc w:val="right"/>
              <w:rPr>
                <w:noProof/>
                <w:sz w:val="20"/>
              </w:rPr>
            </w:pPr>
            <w:r w:rsidRPr="00A7778D">
              <w:rPr>
                <w:noProof/>
                <w:sz w:val="20"/>
              </w:rPr>
              <w:t>1,720</w:t>
            </w:r>
          </w:p>
        </w:tc>
        <w:tc>
          <w:tcPr>
            <w:tcW w:w="1302" w:type="dxa"/>
            <w:shd w:val="clear" w:color="auto" w:fill="BFBFBF" w:themeFill="background1" w:themeFillShade="BF"/>
            <w:vAlign w:val="center"/>
          </w:tcPr>
          <w:p w14:paraId="16777036" w14:textId="77777777" w:rsidR="00FA1843" w:rsidRPr="00A7778D" w:rsidRDefault="00FA1843" w:rsidP="00041DD0">
            <w:pPr>
              <w:spacing w:before="60" w:after="60"/>
              <w:jc w:val="right"/>
              <w:rPr>
                <w:b/>
                <w:noProof/>
                <w:sz w:val="20"/>
              </w:rPr>
            </w:pPr>
            <w:r w:rsidRPr="00A7778D">
              <w:rPr>
                <w:b/>
                <w:noProof/>
                <w:sz w:val="20"/>
              </w:rPr>
              <w:t>4,512</w:t>
            </w:r>
          </w:p>
        </w:tc>
      </w:tr>
      <w:tr w:rsidR="00FA1843" w:rsidRPr="00A7778D" w14:paraId="502504B0" w14:textId="77777777" w:rsidTr="00041DD0">
        <w:trPr>
          <w:trHeight w:val="585"/>
        </w:trPr>
        <w:tc>
          <w:tcPr>
            <w:tcW w:w="1980" w:type="dxa"/>
            <w:shd w:val="clear" w:color="auto" w:fill="CCCCCC"/>
            <w:vAlign w:val="center"/>
          </w:tcPr>
          <w:p w14:paraId="69E0B1C2" w14:textId="77777777" w:rsidR="00FA1843" w:rsidRPr="00A7778D" w:rsidRDefault="00FA1843" w:rsidP="00041DD0">
            <w:pPr>
              <w:spacing w:before="60" w:after="60"/>
              <w:jc w:val="center"/>
              <w:rPr>
                <w:noProof/>
              </w:rPr>
            </w:pPr>
            <w:r w:rsidRPr="00A7778D">
              <w:rPr>
                <w:noProof/>
                <w:sz w:val="18"/>
              </w:rPr>
              <w:t>Kansalliset asiantuntijat</w:t>
            </w:r>
          </w:p>
        </w:tc>
        <w:tc>
          <w:tcPr>
            <w:tcW w:w="1302" w:type="dxa"/>
            <w:vAlign w:val="center"/>
          </w:tcPr>
          <w:p w14:paraId="6C105257" w14:textId="77777777" w:rsidR="00FA1843" w:rsidRPr="00A7778D" w:rsidRDefault="00FA1843" w:rsidP="00041DD0">
            <w:pPr>
              <w:spacing w:before="60" w:after="60"/>
              <w:jc w:val="right"/>
              <w:rPr>
                <w:noProof/>
                <w:sz w:val="20"/>
              </w:rPr>
            </w:pPr>
          </w:p>
        </w:tc>
        <w:tc>
          <w:tcPr>
            <w:tcW w:w="1302" w:type="dxa"/>
            <w:vAlign w:val="center"/>
          </w:tcPr>
          <w:p w14:paraId="4933BEE7" w14:textId="77777777" w:rsidR="00FA1843" w:rsidRPr="00A7778D" w:rsidRDefault="00FA1843" w:rsidP="00041DD0">
            <w:pPr>
              <w:spacing w:before="60" w:after="60"/>
              <w:jc w:val="right"/>
              <w:rPr>
                <w:noProof/>
                <w:sz w:val="20"/>
              </w:rPr>
            </w:pPr>
          </w:p>
        </w:tc>
        <w:tc>
          <w:tcPr>
            <w:tcW w:w="1302" w:type="dxa"/>
            <w:vAlign w:val="center"/>
          </w:tcPr>
          <w:p w14:paraId="612F81F4" w14:textId="77777777" w:rsidR="00FA1843" w:rsidRPr="00A7778D" w:rsidRDefault="00FA1843" w:rsidP="00041DD0">
            <w:pPr>
              <w:spacing w:before="60" w:after="60"/>
              <w:jc w:val="right"/>
              <w:rPr>
                <w:noProof/>
                <w:sz w:val="20"/>
              </w:rPr>
            </w:pPr>
          </w:p>
        </w:tc>
        <w:tc>
          <w:tcPr>
            <w:tcW w:w="1302" w:type="dxa"/>
            <w:vAlign w:val="center"/>
          </w:tcPr>
          <w:p w14:paraId="769945E7" w14:textId="77777777" w:rsidR="00FA1843" w:rsidRPr="00A7778D" w:rsidRDefault="00FA1843" w:rsidP="00041DD0">
            <w:pPr>
              <w:spacing w:before="60" w:after="60"/>
              <w:jc w:val="right"/>
              <w:rPr>
                <w:noProof/>
                <w:sz w:val="20"/>
              </w:rPr>
            </w:pPr>
          </w:p>
        </w:tc>
        <w:tc>
          <w:tcPr>
            <w:tcW w:w="1302" w:type="dxa"/>
            <w:vAlign w:val="center"/>
          </w:tcPr>
          <w:p w14:paraId="711BAE12" w14:textId="77777777" w:rsidR="00FA1843" w:rsidRPr="00A7778D" w:rsidRDefault="00FA1843" w:rsidP="00041DD0">
            <w:pPr>
              <w:spacing w:before="60" w:after="60"/>
              <w:jc w:val="right"/>
              <w:rPr>
                <w:noProof/>
                <w:sz w:val="20"/>
              </w:rPr>
            </w:pPr>
          </w:p>
        </w:tc>
        <w:tc>
          <w:tcPr>
            <w:tcW w:w="1302" w:type="dxa"/>
            <w:vAlign w:val="center"/>
          </w:tcPr>
          <w:p w14:paraId="4DF1CBD2" w14:textId="77777777" w:rsidR="00FA1843" w:rsidRPr="00A7778D" w:rsidRDefault="00FA1843" w:rsidP="00041DD0">
            <w:pPr>
              <w:spacing w:before="60" w:after="60"/>
              <w:jc w:val="right"/>
              <w:rPr>
                <w:b/>
                <w:noProof/>
                <w:sz w:val="20"/>
              </w:rPr>
            </w:pPr>
          </w:p>
        </w:tc>
      </w:tr>
    </w:tbl>
    <w:p w14:paraId="3731C621" w14:textId="77777777" w:rsidR="00FA1843" w:rsidRPr="00A7778D" w:rsidRDefault="00FA1843" w:rsidP="00FA1843">
      <w:pPr>
        <w:rPr>
          <w:noProof/>
          <w:sz w:val="20"/>
        </w:rPr>
      </w:pPr>
    </w:p>
    <w:tbl>
      <w:tblPr>
        <w:tblW w:w="9792" w:type="dxa"/>
        <w:tblInd w:w="-612" w:type="dxa"/>
        <w:tblLayout w:type="fixed"/>
        <w:tblLook w:val="01E0" w:firstRow="1" w:lastRow="1" w:firstColumn="1" w:lastColumn="1" w:noHBand="0" w:noVBand="0"/>
      </w:tblPr>
      <w:tblGrid>
        <w:gridCol w:w="1980"/>
        <w:gridCol w:w="1302"/>
        <w:gridCol w:w="1302"/>
        <w:gridCol w:w="1302"/>
        <w:gridCol w:w="1302"/>
        <w:gridCol w:w="1302"/>
        <w:gridCol w:w="1302"/>
      </w:tblGrid>
      <w:tr w:rsidR="00341E44" w:rsidRPr="00A7778D" w14:paraId="0007C088" w14:textId="77777777" w:rsidTr="00041DD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0B8AB2F0" w14:textId="77777777" w:rsidR="00341E44" w:rsidRPr="00A7778D" w:rsidRDefault="00341E44" w:rsidP="00341E44">
            <w:pPr>
              <w:spacing w:before="60" w:after="60"/>
              <w:jc w:val="center"/>
              <w:rPr>
                <w:noProof/>
                <w:sz w:val="20"/>
              </w:rPr>
            </w:pPr>
            <w:r w:rsidRPr="00A7778D">
              <w:rPr>
                <w:b/>
                <w:noProof/>
                <w:sz w:val="20"/>
              </w:rPr>
              <w:t>YHTEENSÄ</w:t>
            </w:r>
            <w:r w:rsidRPr="00A7778D">
              <w:rPr>
                <w:rStyle w:val="FootnoteReference0"/>
                <w:b/>
                <w:noProof/>
                <w:sz w:val="20"/>
              </w:rPr>
              <w:footnoteReference w:id="65"/>
            </w:r>
          </w:p>
        </w:tc>
        <w:tc>
          <w:tcPr>
            <w:tcW w:w="1302" w:type="dxa"/>
            <w:tcBorders>
              <w:top w:val="single" w:sz="12" w:space="0" w:color="auto"/>
              <w:left w:val="single" w:sz="2" w:space="0" w:color="auto"/>
              <w:bottom w:val="single" w:sz="12" w:space="0" w:color="auto"/>
              <w:right w:val="single" w:sz="2" w:space="0" w:color="auto"/>
            </w:tcBorders>
            <w:vAlign w:val="center"/>
          </w:tcPr>
          <w:p w14:paraId="62FF5795" w14:textId="77777777" w:rsidR="00341E44" w:rsidRPr="00A7778D" w:rsidRDefault="00341E44" w:rsidP="00341E44">
            <w:pPr>
              <w:spacing w:before="60" w:after="60"/>
              <w:jc w:val="right"/>
              <w:rPr>
                <w:b/>
                <w:bCs/>
                <w:noProof/>
                <w:sz w:val="20"/>
              </w:rPr>
            </w:pPr>
          </w:p>
        </w:tc>
        <w:tc>
          <w:tcPr>
            <w:tcW w:w="1302" w:type="dxa"/>
            <w:tcBorders>
              <w:top w:val="single" w:sz="12" w:space="0" w:color="auto"/>
              <w:left w:val="single" w:sz="2" w:space="0" w:color="auto"/>
              <w:bottom w:val="single" w:sz="12" w:space="0" w:color="auto"/>
              <w:right w:val="single" w:sz="2" w:space="0" w:color="auto"/>
            </w:tcBorders>
            <w:vAlign w:val="center"/>
          </w:tcPr>
          <w:p w14:paraId="78CFEA62" w14:textId="77777777" w:rsidR="00341E44" w:rsidRPr="00A7778D" w:rsidRDefault="00341E44" w:rsidP="00341E44">
            <w:pPr>
              <w:spacing w:before="60" w:after="60"/>
              <w:jc w:val="right"/>
              <w:rPr>
                <w:b/>
                <w:bCs/>
                <w:noProof/>
                <w:sz w:val="20"/>
              </w:rPr>
            </w:pPr>
          </w:p>
        </w:tc>
        <w:tc>
          <w:tcPr>
            <w:tcW w:w="1302" w:type="dxa"/>
            <w:tcBorders>
              <w:top w:val="single" w:sz="12" w:space="0" w:color="auto"/>
              <w:left w:val="single" w:sz="2" w:space="0" w:color="auto"/>
              <w:bottom w:val="single" w:sz="12" w:space="0" w:color="auto"/>
              <w:right w:val="single" w:sz="2" w:space="0" w:color="auto"/>
            </w:tcBorders>
            <w:vAlign w:val="center"/>
          </w:tcPr>
          <w:p w14:paraId="5B5FAA16" w14:textId="186E80EB" w:rsidR="00341E44" w:rsidRPr="00A7778D" w:rsidRDefault="00341E44" w:rsidP="00341E44">
            <w:pPr>
              <w:spacing w:before="60" w:after="60"/>
              <w:jc w:val="right"/>
              <w:rPr>
                <w:b/>
                <w:bCs/>
                <w:noProof/>
                <w:sz w:val="20"/>
              </w:rPr>
            </w:pPr>
            <w:r w:rsidRPr="00A7778D">
              <w:rPr>
                <w:b/>
                <w:noProof/>
                <w:sz w:val="20"/>
              </w:rPr>
              <w:t>1,603</w:t>
            </w:r>
          </w:p>
        </w:tc>
        <w:tc>
          <w:tcPr>
            <w:tcW w:w="1302" w:type="dxa"/>
            <w:tcBorders>
              <w:top w:val="single" w:sz="12" w:space="0" w:color="auto"/>
              <w:left w:val="single" w:sz="2" w:space="0" w:color="auto"/>
              <w:bottom w:val="single" w:sz="12" w:space="0" w:color="auto"/>
              <w:right w:val="single" w:sz="2" w:space="0" w:color="auto"/>
            </w:tcBorders>
            <w:vAlign w:val="center"/>
          </w:tcPr>
          <w:p w14:paraId="000CEAD5" w14:textId="5FE3A6D7" w:rsidR="00341E44" w:rsidRPr="00A7778D" w:rsidRDefault="00341E44" w:rsidP="00341E44">
            <w:pPr>
              <w:spacing w:before="60" w:after="60"/>
              <w:jc w:val="right"/>
              <w:rPr>
                <w:b/>
                <w:bCs/>
                <w:noProof/>
                <w:sz w:val="20"/>
              </w:rPr>
            </w:pPr>
            <w:r w:rsidRPr="00A7778D">
              <w:rPr>
                <w:b/>
                <w:noProof/>
                <w:sz w:val="20"/>
              </w:rPr>
              <w:t>3,271</w:t>
            </w:r>
          </w:p>
        </w:tc>
        <w:tc>
          <w:tcPr>
            <w:tcW w:w="1302" w:type="dxa"/>
            <w:tcBorders>
              <w:top w:val="single" w:sz="12" w:space="0" w:color="auto"/>
              <w:left w:val="single" w:sz="2" w:space="0" w:color="auto"/>
              <w:bottom w:val="single" w:sz="12" w:space="0" w:color="auto"/>
              <w:right w:val="single" w:sz="2" w:space="0" w:color="auto"/>
            </w:tcBorders>
            <w:vAlign w:val="center"/>
          </w:tcPr>
          <w:p w14:paraId="0A99A2E2" w14:textId="64A027B3" w:rsidR="00341E44" w:rsidRPr="00A7778D" w:rsidRDefault="00341E44" w:rsidP="00341E44">
            <w:pPr>
              <w:spacing w:before="60" w:after="60"/>
              <w:jc w:val="right"/>
              <w:rPr>
                <w:b/>
                <w:bCs/>
                <w:noProof/>
                <w:sz w:val="20"/>
              </w:rPr>
            </w:pPr>
            <w:r w:rsidRPr="00A7778D">
              <w:rPr>
                <w:b/>
                <w:noProof/>
                <w:sz w:val="20"/>
              </w:rPr>
              <w:t>3,145</w:t>
            </w:r>
          </w:p>
        </w:tc>
        <w:tc>
          <w:tcPr>
            <w:tcW w:w="1302" w:type="dxa"/>
            <w:tcBorders>
              <w:top w:val="single" w:sz="12" w:space="0" w:color="auto"/>
              <w:left w:val="single" w:sz="2" w:space="0" w:color="auto"/>
              <w:bottom w:val="single" w:sz="12" w:space="0" w:color="auto"/>
              <w:right w:val="single" w:sz="12" w:space="0" w:color="auto"/>
            </w:tcBorders>
            <w:vAlign w:val="center"/>
          </w:tcPr>
          <w:p w14:paraId="430A5FBD" w14:textId="35DC97F9" w:rsidR="00341E44" w:rsidRPr="00A7778D" w:rsidRDefault="00341E44" w:rsidP="00341E44">
            <w:pPr>
              <w:spacing w:before="60" w:after="60"/>
              <w:jc w:val="right"/>
              <w:rPr>
                <w:b/>
                <w:noProof/>
                <w:sz w:val="20"/>
              </w:rPr>
            </w:pPr>
            <w:r w:rsidRPr="00A7778D">
              <w:rPr>
                <w:b/>
                <w:noProof/>
                <w:sz w:val="20"/>
              </w:rPr>
              <w:t>8,020</w:t>
            </w:r>
          </w:p>
        </w:tc>
      </w:tr>
    </w:tbl>
    <w:p w14:paraId="5CEFA00F" w14:textId="77777777" w:rsidR="00FA1843" w:rsidRPr="00A7778D" w:rsidRDefault="00FA1843" w:rsidP="00FA1843">
      <w:pPr>
        <w:rPr>
          <w:noProof/>
          <w:sz w:val="20"/>
        </w:rPr>
      </w:pPr>
      <w:r w:rsidRPr="00A7778D">
        <w:rPr>
          <w:noProof/>
          <w:sz w:val="20"/>
        </w:rPr>
        <w:t>Henkilöstötarpeet (kokoaikaiseksi muutettuna):</w:t>
      </w: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302"/>
        <w:gridCol w:w="1302"/>
        <w:gridCol w:w="1302"/>
        <w:gridCol w:w="1302"/>
        <w:gridCol w:w="1302"/>
        <w:gridCol w:w="1302"/>
      </w:tblGrid>
      <w:tr w:rsidR="00FA1843" w:rsidRPr="00A7778D" w14:paraId="3236FBD0" w14:textId="77777777" w:rsidTr="00041DD0">
        <w:trPr>
          <w:trHeight w:val="585"/>
        </w:trPr>
        <w:tc>
          <w:tcPr>
            <w:tcW w:w="1980" w:type="dxa"/>
          </w:tcPr>
          <w:p w14:paraId="6FDC4E57" w14:textId="77777777" w:rsidR="00FA1843" w:rsidRPr="00A7778D" w:rsidRDefault="00FA1843" w:rsidP="00041DD0">
            <w:pPr>
              <w:spacing w:before="60" w:after="60"/>
              <w:rPr>
                <w:noProof/>
                <w:sz w:val="20"/>
              </w:rPr>
            </w:pPr>
          </w:p>
        </w:tc>
        <w:tc>
          <w:tcPr>
            <w:tcW w:w="1302" w:type="dxa"/>
            <w:vAlign w:val="center"/>
          </w:tcPr>
          <w:p w14:paraId="71B65936" w14:textId="77777777" w:rsidR="00FA1843" w:rsidRPr="00A7778D" w:rsidRDefault="00FA1843" w:rsidP="00041DD0">
            <w:pPr>
              <w:spacing w:before="60" w:after="60"/>
              <w:jc w:val="center"/>
              <w:rPr>
                <w:noProof/>
                <w:sz w:val="20"/>
              </w:rPr>
            </w:pPr>
            <w:r w:rsidRPr="00A7778D">
              <w:rPr>
                <w:noProof/>
                <w:sz w:val="20"/>
              </w:rPr>
              <w:t>2023</w:t>
            </w:r>
          </w:p>
        </w:tc>
        <w:tc>
          <w:tcPr>
            <w:tcW w:w="1302" w:type="dxa"/>
            <w:vAlign w:val="center"/>
          </w:tcPr>
          <w:p w14:paraId="7B896553" w14:textId="77777777" w:rsidR="00FA1843" w:rsidRPr="00A7778D" w:rsidRDefault="00FA1843" w:rsidP="00041DD0">
            <w:pPr>
              <w:spacing w:before="60" w:after="60"/>
              <w:jc w:val="center"/>
              <w:rPr>
                <w:noProof/>
                <w:sz w:val="20"/>
              </w:rPr>
            </w:pPr>
            <w:r w:rsidRPr="00A7778D">
              <w:rPr>
                <w:noProof/>
                <w:sz w:val="20"/>
              </w:rPr>
              <w:t>2024</w:t>
            </w:r>
          </w:p>
        </w:tc>
        <w:tc>
          <w:tcPr>
            <w:tcW w:w="1302" w:type="dxa"/>
            <w:vAlign w:val="center"/>
          </w:tcPr>
          <w:p w14:paraId="610112F7" w14:textId="77777777" w:rsidR="00FA1843" w:rsidRPr="00A7778D" w:rsidRDefault="00FA1843" w:rsidP="00041DD0">
            <w:pPr>
              <w:spacing w:before="60" w:after="60"/>
              <w:jc w:val="center"/>
              <w:rPr>
                <w:noProof/>
                <w:sz w:val="20"/>
              </w:rPr>
            </w:pPr>
            <w:r w:rsidRPr="00A7778D">
              <w:rPr>
                <w:noProof/>
                <w:sz w:val="20"/>
              </w:rPr>
              <w:t>2025</w:t>
            </w:r>
          </w:p>
        </w:tc>
        <w:tc>
          <w:tcPr>
            <w:tcW w:w="1302" w:type="dxa"/>
            <w:vAlign w:val="center"/>
          </w:tcPr>
          <w:p w14:paraId="01418AA4" w14:textId="77777777" w:rsidR="00FA1843" w:rsidRPr="00A7778D" w:rsidRDefault="00FA1843" w:rsidP="00041DD0">
            <w:pPr>
              <w:jc w:val="center"/>
              <w:rPr>
                <w:noProof/>
                <w:sz w:val="20"/>
              </w:rPr>
            </w:pPr>
            <w:r w:rsidRPr="00A7778D">
              <w:rPr>
                <w:noProof/>
                <w:sz w:val="20"/>
              </w:rPr>
              <w:t>2026</w:t>
            </w:r>
          </w:p>
        </w:tc>
        <w:tc>
          <w:tcPr>
            <w:tcW w:w="1302" w:type="dxa"/>
            <w:vAlign w:val="center"/>
          </w:tcPr>
          <w:p w14:paraId="4A706130" w14:textId="77777777" w:rsidR="00FA1843" w:rsidRPr="00A7778D" w:rsidRDefault="00FA1843" w:rsidP="00041DD0">
            <w:pPr>
              <w:jc w:val="center"/>
              <w:rPr>
                <w:noProof/>
                <w:sz w:val="20"/>
              </w:rPr>
            </w:pPr>
            <w:r w:rsidRPr="00A7778D">
              <w:rPr>
                <w:noProof/>
                <w:sz w:val="20"/>
              </w:rPr>
              <w:t>2027</w:t>
            </w:r>
          </w:p>
        </w:tc>
        <w:tc>
          <w:tcPr>
            <w:tcW w:w="1302" w:type="dxa"/>
            <w:vAlign w:val="center"/>
          </w:tcPr>
          <w:p w14:paraId="544D3D56" w14:textId="77777777" w:rsidR="00FA1843" w:rsidRPr="00A7778D" w:rsidRDefault="00FA1843" w:rsidP="00041DD0">
            <w:pPr>
              <w:spacing w:before="60" w:after="60"/>
              <w:jc w:val="center"/>
              <w:rPr>
                <w:b/>
                <w:noProof/>
                <w:sz w:val="20"/>
              </w:rPr>
            </w:pPr>
            <w:r w:rsidRPr="00A7778D">
              <w:rPr>
                <w:b/>
                <w:noProof/>
                <w:sz w:val="20"/>
              </w:rPr>
              <w:t>YHTEENSÄ</w:t>
            </w:r>
          </w:p>
        </w:tc>
      </w:tr>
    </w:tbl>
    <w:p w14:paraId="02671FCD" w14:textId="77777777" w:rsidR="00FA1843" w:rsidRPr="00A7778D" w:rsidRDefault="00FA1843" w:rsidP="00FA1843">
      <w:pPr>
        <w:rPr>
          <w:noProof/>
          <w:sz w:val="20"/>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302"/>
        <w:gridCol w:w="1302"/>
        <w:gridCol w:w="1302"/>
        <w:gridCol w:w="1302"/>
        <w:gridCol w:w="1302"/>
        <w:gridCol w:w="1302"/>
      </w:tblGrid>
      <w:tr w:rsidR="00FA1843" w:rsidRPr="00A7778D" w14:paraId="601C5347" w14:textId="77777777" w:rsidTr="00041DD0">
        <w:trPr>
          <w:trHeight w:val="585"/>
        </w:trPr>
        <w:tc>
          <w:tcPr>
            <w:tcW w:w="1980" w:type="dxa"/>
            <w:shd w:val="clear" w:color="auto" w:fill="D9D9D9" w:themeFill="background1" w:themeFillShade="D9"/>
            <w:vAlign w:val="center"/>
          </w:tcPr>
          <w:p w14:paraId="493BA8A7" w14:textId="77777777" w:rsidR="00FA1843" w:rsidRPr="00A7778D" w:rsidRDefault="00FA1843" w:rsidP="00041DD0">
            <w:pPr>
              <w:spacing w:before="60" w:after="60"/>
              <w:jc w:val="center"/>
              <w:rPr>
                <w:noProof/>
              </w:rPr>
            </w:pPr>
            <w:r w:rsidRPr="00A7778D">
              <w:rPr>
                <w:noProof/>
                <w:sz w:val="18"/>
              </w:rPr>
              <w:t>Väliaikaiset toimihenkilöt (AD-palkkaluokka)</w:t>
            </w:r>
          </w:p>
        </w:tc>
        <w:tc>
          <w:tcPr>
            <w:tcW w:w="1302" w:type="dxa"/>
            <w:vAlign w:val="center"/>
          </w:tcPr>
          <w:p w14:paraId="10C1FCD1" w14:textId="77777777" w:rsidR="00FA1843" w:rsidRPr="00A7778D" w:rsidRDefault="00FA1843" w:rsidP="00041DD0">
            <w:pPr>
              <w:spacing w:before="60" w:after="60"/>
              <w:jc w:val="right"/>
              <w:rPr>
                <w:noProof/>
                <w:sz w:val="20"/>
              </w:rPr>
            </w:pPr>
          </w:p>
        </w:tc>
        <w:tc>
          <w:tcPr>
            <w:tcW w:w="1302" w:type="dxa"/>
            <w:vAlign w:val="center"/>
          </w:tcPr>
          <w:p w14:paraId="7D0CA8DA" w14:textId="77777777" w:rsidR="00FA1843" w:rsidRPr="00A7778D" w:rsidRDefault="00FA1843" w:rsidP="00041DD0">
            <w:pPr>
              <w:spacing w:before="60" w:after="60"/>
              <w:jc w:val="right"/>
              <w:rPr>
                <w:noProof/>
                <w:sz w:val="20"/>
              </w:rPr>
            </w:pPr>
          </w:p>
        </w:tc>
        <w:tc>
          <w:tcPr>
            <w:tcW w:w="1302" w:type="dxa"/>
            <w:vAlign w:val="center"/>
          </w:tcPr>
          <w:p w14:paraId="69B6A59C" w14:textId="77777777" w:rsidR="00FA1843" w:rsidRPr="00A7778D" w:rsidRDefault="00FA1843" w:rsidP="00041DD0">
            <w:pPr>
              <w:spacing w:before="60" w:after="60"/>
              <w:jc w:val="right"/>
              <w:rPr>
                <w:noProof/>
                <w:sz w:val="20"/>
              </w:rPr>
            </w:pPr>
            <w:r w:rsidRPr="00A7778D">
              <w:rPr>
                <w:noProof/>
                <w:sz w:val="20"/>
              </w:rPr>
              <w:t>6</w:t>
            </w:r>
          </w:p>
        </w:tc>
        <w:tc>
          <w:tcPr>
            <w:tcW w:w="1302" w:type="dxa"/>
            <w:vAlign w:val="center"/>
          </w:tcPr>
          <w:p w14:paraId="1EFC399A" w14:textId="77777777" w:rsidR="00FA1843" w:rsidRPr="00A7778D" w:rsidRDefault="00FA1843" w:rsidP="00041DD0">
            <w:pPr>
              <w:spacing w:before="60" w:after="60"/>
              <w:jc w:val="right"/>
              <w:rPr>
                <w:noProof/>
                <w:sz w:val="20"/>
              </w:rPr>
            </w:pPr>
            <w:r w:rsidRPr="00A7778D">
              <w:rPr>
                <w:noProof/>
                <w:sz w:val="20"/>
              </w:rPr>
              <w:t>6</w:t>
            </w:r>
          </w:p>
        </w:tc>
        <w:tc>
          <w:tcPr>
            <w:tcW w:w="1302" w:type="dxa"/>
            <w:vAlign w:val="center"/>
          </w:tcPr>
          <w:p w14:paraId="4D3A79F3" w14:textId="77777777" w:rsidR="00FA1843" w:rsidRPr="00A7778D" w:rsidRDefault="00FA1843" w:rsidP="00041DD0">
            <w:pPr>
              <w:spacing w:before="60" w:after="60"/>
              <w:jc w:val="right"/>
              <w:rPr>
                <w:noProof/>
                <w:sz w:val="20"/>
              </w:rPr>
            </w:pPr>
            <w:r w:rsidRPr="00A7778D">
              <w:rPr>
                <w:noProof/>
                <w:sz w:val="20"/>
              </w:rPr>
              <w:t>6</w:t>
            </w:r>
          </w:p>
        </w:tc>
        <w:tc>
          <w:tcPr>
            <w:tcW w:w="1302" w:type="dxa"/>
            <w:vAlign w:val="center"/>
          </w:tcPr>
          <w:p w14:paraId="5765312C" w14:textId="77777777" w:rsidR="00FA1843" w:rsidRPr="00A7778D" w:rsidRDefault="00FA1843" w:rsidP="00041DD0">
            <w:pPr>
              <w:spacing w:before="60" w:after="60"/>
              <w:jc w:val="right"/>
              <w:rPr>
                <w:b/>
                <w:noProof/>
                <w:sz w:val="20"/>
              </w:rPr>
            </w:pPr>
            <w:r w:rsidRPr="00A7778D">
              <w:rPr>
                <w:b/>
                <w:noProof/>
                <w:sz w:val="20"/>
              </w:rPr>
              <w:t>18</w:t>
            </w:r>
          </w:p>
        </w:tc>
      </w:tr>
      <w:tr w:rsidR="00FA1843" w:rsidRPr="00A7778D" w14:paraId="143C5DEF" w14:textId="77777777" w:rsidTr="00041DD0">
        <w:trPr>
          <w:trHeight w:val="585"/>
        </w:trPr>
        <w:tc>
          <w:tcPr>
            <w:tcW w:w="1980" w:type="dxa"/>
            <w:shd w:val="clear" w:color="auto" w:fill="BFBFBF" w:themeFill="background1" w:themeFillShade="BF"/>
            <w:vAlign w:val="center"/>
          </w:tcPr>
          <w:p w14:paraId="39B3B305" w14:textId="77777777" w:rsidR="00FA1843" w:rsidRPr="00A7778D" w:rsidRDefault="00FA1843" w:rsidP="00041DD0">
            <w:pPr>
              <w:spacing w:before="60" w:after="60"/>
              <w:ind w:left="72"/>
              <w:rPr>
                <w:noProof/>
              </w:rPr>
            </w:pPr>
            <w:r w:rsidRPr="00A7778D">
              <w:rPr>
                <w:noProof/>
                <w:sz w:val="20"/>
              </w:rPr>
              <w:t>Väliaikaiset toimihenkilöt (AST-palkkaluokka)</w:t>
            </w:r>
          </w:p>
        </w:tc>
        <w:tc>
          <w:tcPr>
            <w:tcW w:w="1302" w:type="dxa"/>
            <w:vAlign w:val="center"/>
          </w:tcPr>
          <w:p w14:paraId="3DE793B1" w14:textId="77777777" w:rsidR="00FA1843" w:rsidRPr="00A7778D" w:rsidRDefault="00FA1843" w:rsidP="00041DD0">
            <w:pPr>
              <w:spacing w:before="60" w:after="60"/>
              <w:jc w:val="right"/>
              <w:rPr>
                <w:noProof/>
                <w:sz w:val="20"/>
              </w:rPr>
            </w:pPr>
          </w:p>
        </w:tc>
        <w:tc>
          <w:tcPr>
            <w:tcW w:w="1302" w:type="dxa"/>
            <w:vAlign w:val="center"/>
          </w:tcPr>
          <w:p w14:paraId="7819D513" w14:textId="77777777" w:rsidR="00FA1843" w:rsidRPr="00A7778D" w:rsidRDefault="00FA1843" w:rsidP="00041DD0">
            <w:pPr>
              <w:spacing w:before="60" w:after="60"/>
              <w:jc w:val="right"/>
              <w:rPr>
                <w:noProof/>
                <w:sz w:val="20"/>
              </w:rPr>
            </w:pPr>
          </w:p>
        </w:tc>
        <w:tc>
          <w:tcPr>
            <w:tcW w:w="1302" w:type="dxa"/>
            <w:vAlign w:val="center"/>
          </w:tcPr>
          <w:p w14:paraId="121029B3" w14:textId="77777777" w:rsidR="00FA1843" w:rsidRPr="00A7778D" w:rsidRDefault="00FA1843" w:rsidP="00041DD0">
            <w:pPr>
              <w:spacing w:before="60" w:after="60"/>
              <w:jc w:val="right"/>
              <w:rPr>
                <w:noProof/>
                <w:sz w:val="20"/>
              </w:rPr>
            </w:pPr>
            <w:r w:rsidRPr="00A7778D">
              <w:rPr>
                <w:noProof/>
                <w:sz w:val="20"/>
              </w:rPr>
              <w:t>1</w:t>
            </w:r>
          </w:p>
        </w:tc>
        <w:tc>
          <w:tcPr>
            <w:tcW w:w="1302" w:type="dxa"/>
            <w:vAlign w:val="center"/>
          </w:tcPr>
          <w:p w14:paraId="111C6BCE" w14:textId="77777777" w:rsidR="00FA1843" w:rsidRPr="00A7778D" w:rsidRDefault="00FA1843" w:rsidP="00041DD0">
            <w:pPr>
              <w:spacing w:before="60" w:after="60"/>
              <w:jc w:val="right"/>
              <w:rPr>
                <w:noProof/>
                <w:sz w:val="20"/>
              </w:rPr>
            </w:pPr>
            <w:r w:rsidRPr="00A7778D">
              <w:rPr>
                <w:noProof/>
                <w:sz w:val="20"/>
              </w:rPr>
              <w:t>1</w:t>
            </w:r>
          </w:p>
        </w:tc>
        <w:tc>
          <w:tcPr>
            <w:tcW w:w="1302" w:type="dxa"/>
            <w:vAlign w:val="center"/>
          </w:tcPr>
          <w:p w14:paraId="0A608505" w14:textId="77777777" w:rsidR="00FA1843" w:rsidRPr="00A7778D" w:rsidRDefault="00FA1843" w:rsidP="00041DD0">
            <w:pPr>
              <w:spacing w:before="60" w:after="60"/>
              <w:jc w:val="right"/>
              <w:rPr>
                <w:noProof/>
                <w:sz w:val="20"/>
              </w:rPr>
            </w:pPr>
            <w:r w:rsidRPr="00A7778D">
              <w:rPr>
                <w:noProof/>
                <w:sz w:val="20"/>
              </w:rPr>
              <w:t>1</w:t>
            </w:r>
          </w:p>
        </w:tc>
        <w:tc>
          <w:tcPr>
            <w:tcW w:w="1302" w:type="dxa"/>
            <w:vAlign w:val="center"/>
          </w:tcPr>
          <w:p w14:paraId="33DBD9B9" w14:textId="77777777" w:rsidR="00FA1843" w:rsidRPr="00A7778D" w:rsidRDefault="00FA1843" w:rsidP="00041DD0">
            <w:pPr>
              <w:spacing w:before="60" w:after="60"/>
              <w:jc w:val="right"/>
              <w:rPr>
                <w:b/>
                <w:noProof/>
                <w:sz w:val="20"/>
              </w:rPr>
            </w:pPr>
            <w:r w:rsidRPr="00A7778D">
              <w:rPr>
                <w:b/>
                <w:noProof/>
                <w:sz w:val="20"/>
              </w:rPr>
              <w:t>3</w:t>
            </w:r>
          </w:p>
        </w:tc>
      </w:tr>
      <w:tr w:rsidR="00FA1843" w:rsidRPr="00A7778D" w14:paraId="1704B983" w14:textId="77777777" w:rsidTr="00041DD0">
        <w:trPr>
          <w:trHeight w:val="585"/>
        </w:trPr>
        <w:tc>
          <w:tcPr>
            <w:tcW w:w="1980" w:type="dxa"/>
            <w:shd w:val="clear" w:color="auto" w:fill="BFBFBF" w:themeFill="background1" w:themeFillShade="BF"/>
            <w:vAlign w:val="center"/>
          </w:tcPr>
          <w:p w14:paraId="6AEC577D" w14:textId="77777777" w:rsidR="00FA1843" w:rsidRPr="00A7778D" w:rsidRDefault="00FA1843" w:rsidP="00041DD0">
            <w:pPr>
              <w:spacing w:before="60" w:after="60"/>
              <w:ind w:left="72"/>
              <w:rPr>
                <w:noProof/>
              </w:rPr>
            </w:pPr>
            <w:r w:rsidRPr="00A7778D">
              <w:rPr>
                <w:noProof/>
                <w:sz w:val="20"/>
              </w:rPr>
              <w:t>Sopimussuhteiset toimihenkilöt</w:t>
            </w:r>
          </w:p>
        </w:tc>
        <w:tc>
          <w:tcPr>
            <w:tcW w:w="1302" w:type="dxa"/>
            <w:shd w:val="clear" w:color="auto" w:fill="BFBFBF" w:themeFill="background1" w:themeFillShade="BF"/>
            <w:vAlign w:val="center"/>
          </w:tcPr>
          <w:p w14:paraId="07E5430F" w14:textId="77777777" w:rsidR="00FA1843" w:rsidRPr="00A7778D" w:rsidRDefault="00FA1843" w:rsidP="00041DD0">
            <w:pPr>
              <w:spacing w:before="60" w:after="60"/>
              <w:jc w:val="right"/>
              <w:rPr>
                <w:noProof/>
                <w:sz w:val="20"/>
              </w:rPr>
            </w:pPr>
          </w:p>
        </w:tc>
        <w:tc>
          <w:tcPr>
            <w:tcW w:w="1302" w:type="dxa"/>
            <w:shd w:val="clear" w:color="auto" w:fill="BFBFBF" w:themeFill="background1" w:themeFillShade="BF"/>
            <w:vAlign w:val="center"/>
          </w:tcPr>
          <w:p w14:paraId="014A589D" w14:textId="77777777" w:rsidR="00FA1843" w:rsidRPr="00A7778D" w:rsidRDefault="00FA1843" w:rsidP="00041DD0">
            <w:pPr>
              <w:spacing w:before="60" w:after="60"/>
              <w:jc w:val="right"/>
              <w:rPr>
                <w:noProof/>
                <w:sz w:val="20"/>
              </w:rPr>
            </w:pPr>
          </w:p>
        </w:tc>
        <w:tc>
          <w:tcPr>
            <w:tcW w:w="1302" w:type="dxa"/>
            <w:shd w:val="clear" w:color="auto" w:fill="BFBFBF" w:themeFill="background1" w:themeFillShade="BF"/>
            <w:vAlign w:val="center"/>
          </w:tcPr>
          <w:p w14:paraId="1C36416D" w14:textId="77777777" w:rsidR="00FA1843" w:rsidRPr="00A7778D" w:rsidRDefault="00FA1843" w:rsidP="00041DD0">
            <w:pPr>
              <w:spacing w:before="60" w:after="60"/>
              <w:jc w:val="right"/>
              <w:rPr>
                <w:noProof/>
                <w:sz w:val="20"/>
              </w:rPr>
            </w:pPr>
            <w:r w:rsidRPr="00A7778D">
              <w:rPr>
                <w:noProof/>
                <w:sz w:val="20"/>
              </w:rPr>
              <w:t>12</w:t>
            </w:r>
          </w:p>
        </w:tc>
        <w:tc>
          <w:tcPr>
            <w:tcW w:w="1302" w:type="dxa"/>
            <w:shd w:val="clear" w:color="auto" w:fill="BFBFBF" w:themeFill="background1" w:themeFillShade="BF"/>
            <w:vAlign w:val="center"/>
          </w:tcPr>
          <w:p w14:paraId="6878A386" w14:textId="77777777" w:rsidR="00FA1843" w:rsidRPr="00A7778D" w:rsidRDefault="00FA1843" w:rsidP="00041DD0">
            <w:pPr>
              <w:spacing w:before="60" w:after="60"/>
              <w:jc w:val="right"/>
              <w:rPr>
                <w:noProof/>
                <w:sz w:val="20"/>
              </w:rPr>
            </w:pPr>
            <w:r w:rsidRPr="00A7778D">
              <w:rPr>
                <w:noProof/>
                <w:sz w:val="20"/>
              </w:rPr>
              <w:t>12</w:t>
            </w:r>
          </w:p>
        </w:tc>
        <w:tc>
          <w:tcPr>
            <w:tcW w:w="1302" w:type="dxa"/>
            <w:shd w:val="clear" w:color="auto" w:fill="BFBFBF" w:themeFill="background1" w:themeFillShade="BF"/>
            <w:vAlign w:val="center"/>
          </w:tcPr>
          <w:p w14:paraId="77264878" w14:textId="77777777" w:rsidR="00FA1843" w:rsidRPr="00A7778D" w:rsidRDefault="00FA1843" w:rsidP="00041DD0">
            <w:pPr>
              <w:spacing w:before="60" w:after="60"/>
              <w:jc w:val="right"/>
              <w:rPr>
                <w:noProof/>
                <w:sz w:val="20"/>
              </w:rPr>
            </w:pPr>
            <w:r w:rsidRPr="00A7778D">
              <w:rPr>
                <w:noProof/>
                <w:sz w:val="20"/>
              </w:rPr>
              <w:t>10</w:t>
            </w:r>
          </w:p>
        </w:tc>
        <w:tc>
          <w:tcPr>
            <w:tcW w:w="1302" w:type="dxa"/>
            <w:shd w:val="clear" w:color="auto" w:fill="BFBFBF" w:themeFill="background1" w:themeFillShade="BF"/>
            <w:vAlign w:val="center"/>
          </w:tcPr>
          <w:p w14:paraId="12B724A0" w14:textId="77777777" w:rsidR="00FA1843" w:rsidRPr="00A7778D" w:rsidRDefault="00FA1843" w:rsidP="00041DD0">
            <w:pPr>
              <w:spacing w:before="60" w:after="60"/>
              <w:jc w:val="right"/>
              <w:rPr>
                <w:b/>
                <w:noProof/>
                <w:sz w:val="20"/>
              </w:rPr>
            </w:pPr>
            <w:r w:rsidRPr="00A7778D">
              <w:rPr>
                <w:b/>
                <w:noProof/>
                <w:sz w:val="20"/>
              </w:rPr>
              <w:t>34</w:t>
            </w:r>
          </w:p>
        </w:tc>
      </w:tr>
      <w:tr w:rsidR="00FA1843" w:rsidRPr="00A7778D" w14:paraId="754857E4" w14:textId="77777777" w:rsidTr="00041DD0">
        <w:trPr>
          <w:trHeight w:val="585"/>
        </w:trPr>
        <w:tc>
          <w:tcPr>
            <w:tcW w:w="1980" w:type="dxa"/>
            <w:shd w:val="clear" w:color="auto" w:fill="CCCCCC"/>
            <w:vAlign w:val="center"/>
          </w:tcPr>
          <w:p w14:paraId="2B4D9096" w14:textId="77777777" w:rsidR="00FA1843" w:rsidRPr="00A7778D" w:rsidRDefault="00FA1843" w:rsidP="00041DD0">
            <w:pPr>
              <w:spacing w:before="60" w:after="60"/>
              <w:jc w:val="center"/>
              <w:rPr>
                <w:noProof/>
              </w:rPr>
            </w:pPr>
            <w:r w:rsidRPr="00A7778D">
              <w:rPr>
                <w:noProof/>
                <w:sz w:val="18"/>
              </w:rPr>
              <w:t>Kansalliset asiantuntijat</w:t>
            </w:r>
          </w:p>
        </w:tc>
        <w:tc>
          <w:tcPr>
            <w:tcW w:w="1302" w:type="dxa"/>
            <w:vAlign w:val="center"/>
          </w:tcPr>
          <w:p w14:paraId="59B09498" w14:textId="77777777" w:rsidR="00FA1843" w:rsidRPr="00A7778D" w:rsidRDefault="00FA1843" w:rsidP="00041DD0">
            <w:pPr>
              <w:spacing w:before="60" w:after="60"/>
              <w:jc w:val="right"/>
              <w:rPr>
                <w:noProof/>
                <w:sz w:val="20"/>
              </w:rPr>
            </w:pPr>
          </w:p>
        </w:tc>
        <w:tc>
          <w:tcPr>
            <w:tcW w:w="1302" w:type="dxa"/>
            <w:vAlign w:val="center"/>
          </w:tcPr>
          <w:p w14:paraId="66417DB5" w14:textId="77777777" w:rsidR="00FA1843" w:rsidRPr="00A7778D" w:rsidRDefault="00FA1843" w:rsidP="00041DD0">
            <w:pPr>
              <w:spacing w:before="60" w:after="60"/>
              <w:jc w:val="right"/>
              <w:rPr>
                <w:noProof/>
                <w:sz w:val="20"/>
              </w:rPr>
            </w:pPr>
          </w:p>
        </w:tc>
        <w:tc>
          <w:tcPr>
            <w:tcW w:w="1302" w:type="dxa"/>
            <w:vAlign w:val="center"/>
          </w:tcPr>
          <w:p w14:paraId="79807792" w14:textId="77777777" w:rsidR="00FA1843" w:rsidRPr="00A7778D" w:rsidRDefault="00FA1843" w:rsidP="00041DD0">
            <w:pPr>
              <w:spacing w:before="60" w:after="60"/>
              <w:jc w:val="right"/>
              <w:rPr>
                <w:noProof/>
                <w:sz w:val="20"/>
              </w:rPr>
            </w:pPr>
          </w:p>
        </w:tc>
        <w:tc>
          <w:tcPr>
            <w:tcW w:w="1302" w:type="dxa"/>
            <w:vAlign w:val="center"/>
          </w:tcPr>
          <w:p w14:paraId="50780EAE" w14:textId="77777777" w:rsidR="00FA1843" w:rsidRPr="00A7778D" w:rsidRDefault="00FA1843" w:rsidP="00041DD0">
            <w:pPr>
              <w:spacing w:before="60" w:after="60"/>
              <w:jc w:val="right"/>
              <w:rPr>
                <w:noProof/>
                <w:sz w:val="20"/>
              </w:rPr>
            </w:pPr>
          </w:p>
        </w:tc>
        <w:tc>
          <w:tcPr>
            <w:tcW w:w="1302" w:type="dxa"/>
            <w:vAlign w:val="center"/>
          </w:tcPr>
          <w:p w14:paraId="28D7FFC1" w14:textId="77777777" w:rsidR="00FA1843" w:rsidRPr="00A7778D" w:rsidRDefault="00FA1843" w:rsidP="00041DD0">
            <w:pPr>
              <w:spacing w:before="60" w:after="60"/>
              <w:jc w:val="right"/>
              <w:rPr>
                <w:noProof/>
                <w:sz w:val="20"/>
              </w:rPr>
            </w:pPr>
          </w:p>
        </w:tc>
        <w:tc>
          <w:tcPr>
            <w:tcW w:w="1302" w:type="dxa"/>
            <w:vAlign w:val="center"/>
          </w:tcPr>
          <w:p w14:paraId="017B6117" w14:textId="77777777" w:rsidR="00FA1843" w:rsidRPr="00A7778D" w:rsidRDefault="00FA1843" w:rsidP="00041DD0">
            <w:pPr>
              <w:spacing w:before="60" w:after="60"/>
              <w:jc w:val="right"/>
              <w:rPr>
                <w:b/>
                <w:noProof/>
                <w:sz w:val="20"/>
              </w:rPr>
            </w:pPr>
          </w:p>
        </w:tc>
      </w:tr>
    </w:tbl>
    <w:p w14:paraId="7360A9EE" w14:textId="77777777" w:rsidR="00FA1843" w:rsidRPr="00A7778D" w:rsidRDefault="00FA1843" w:rsidP="00FA1843">
      <w:pPr>
        <w:rPr>
          <w:noProof/>
          <w:sz w:val="20"/>
        </w:rPr>
      </w:pPr>
    </w:p>
    <w:tbl>
      <w:tblPr>
        <w:tblW w:w="9792" w:type="dxa"/>
        <w:tblInd w:w="-612" w:type="dxa"/>
        <w:tblLayout w:type="fixed"/>
        <w:tblLook w:val="01E0" w:firstRow="1" w:lastRow="1" w:firstColumn="1" w:lastColumn="1" w:noHBand="0" w:noVBand="0"/>
      </w:tblPr>
      <w:tblGrid>
        <w:gridCol w:w="1980"/>
        <w:gridCol w:w="1302"/>
        <w:gridCol w:w="1302"/>
        <w:gridCol w:w="1302"/>
        <w:gridCol w:w="1302"/>
        <w:gridCol w:w="1302"/>
        <w:gridCol w:w="1302"/>
      </w:tblGrid>
      <w:tr w:rsidR="00FA1843" w:rsidRPr="00A7778D" w14:paraId="44C10B5D" w14:textId="77777777" w:rsidTr="00041DD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5E640E9D" w14:textId="77777777" w:rsidR="00FA1843" w:rsidRPr="00A7778D" w:rsidRDefault="00FA1843" w:rsidP="00041DD0">
            <w:pPr>
              <w:spacing w:before="60" w:after="60"/>
              <w:jc w:val="center"/>
              <w:rPr>
                <w:noProof/>
                <w:sz w:val="20"/>
              </w:rPr>
            </w:pPr>
            <w:r w:rsidRPr="00A7778D">
              <w:rPr>
                <w:b/>
                <w:noProof/>
                <w:sz w:val="20"/>
              </w:rPr>
              <w:t>YHTEENSÄ</w:t>
            </w:r>
          </w:p>
        </w:tc>
        <w:tc>
          <w:tcPr>
            <w:tcW w:w="1302" w:type="dxa"/>
            <w:tcBorders>
              <w:top w:val="single" w:sz="12" w:space="0" w:color="auto"/>
              <w:left w:val="single" w:sz="2" w:space="0" w:color="auto"/>
              <w:bottom w:val="single" w:sz="12" w:space="0" w:color="auto"/>
              <w:right w:val="single" w:sz="2" w:space="0" w:color="auto"/>
            </w:tcBorders>
            <w:vAlign w:val="center"/>
          </w:tcPr>
          <w:p w14:paraId="3F918051" w14:textId="77777777" w:rsidR="00FA1843" w:rsidRPr="00A7778D" w:rsidRDefault="00FA1843" w:rsidP="00041DD0">
            <w:pPr>
              <w:spacing w:before="60" w:after="60"/>
              <w:jc w:val="right"/>
              <w:rPr>
                <w:b/>
                <w:noProof/>
                <w:sz w:val="20"/>
              </w:rPr>
            </w:pPr>
          </w:p>
        </w:tc>
        <w:tc>
          <w:tcPr>
            <w:tcW w:w="1302" w:type="dxa"/>
            <w:tcBorders>
              <w:top w:val="single" w:sz="12" w:space="0" w:color="auto"/>
              <w:left w:val="single" w:sz="2" w:space="0" w:color="auto"/>
              <w:bottom w:val="single" w:sz="12" w:space="0" w:color="auto"/>
              <w:right w:val="single" w:sz="2" w:space="0" w:color="auto"/>
            </w:tcBorders>
            <w:vAlign w:val="center"/>
          </w:tcPr>
          <w:p w14:paraId="4BF470C0" w14:textId="77777777" w:rsidR="00FA1843" w:rsidRPr="00A7778D" w:rsidRDefault="00FA1843" w:rsidP="00041DD0">
            <w:pPr>
              <w:spacing w:before="60" w:after="60"/>
              <w:jc w:val="right"/>
              <w:rPr>
                <w:b/>
                <w:noProof/>
                <w:sz w:val="20"/>
              </w:rPr>
            </w:pPr>
          </w:p>
        </w:tc>
        <w:tc>
          <w:tcPr>
            <w:tcW w:w="1302" w:type="dxa"/>
            <w:tcBorders>
              <w:top w:val="single" w:sz="12" w:space="0" w:color="auto"/>
              <w:left w:val="single" w:sz="2" w:space="0" w:color="auto"/>
              <w:bottom w:val="single" w:sz="12" w:space="0" w:color="auto"/>
              <w:right w:val="single" w:sz="2" w:space="0" w:color="auto"/>
            </w:tcBorders>
            <w:vAlign w:val="center"/>
          </w:tcPr>
          <w:p w14:paraId="7B9660F8" w14:textId="77777777" w:rsidR="00FA1843" w:rsidRPr="00A7778D" w:rsidRDefault="00FA1843" w:rsidP="00041DD0">
            <w:pPr>
              <w:spacing w:before="60" w:after="60"/>
              <w:jc w:val="right"/>
              <w:rPr>
                <w:b/>
                <w:noProof/>
                <w:sz w:val="20"/>
              </w:rPr>
            </w:pPr>
            <w:r w:rsidRPr="00A7778D">
              <w:rPr>
                <w:b/>
                <w:noProof/>
                <w:sz w:val="20"/>
              </w:rPr>
              <w:t>19</w:t>
            </w:r>
          </w:p>
        </w:tc>
        <w:tc>
          <w:tcPr>
            <w:tcW w:w="1302" w:type="dxa"/>
            <w:tcBorders>
              <w:top w:val="single" w:sz="12" w:space="0" w:color="auto"/>
              <w:left w:val="single" w:sz="2" w:space="0" w:color="auto"/>
              <w:bottom w:val="single" w:sz="12" w:space="0" w:color="auto"/>
              <w:right w:val="single" w:sz="2" w:space="0" w:color="auto"/>
            </w:tcBorders>
            <w:vAlign w:val="center"/>
          </w:tcPr>
          <w:p w14:paraId="53130786" w14:textId="77777777" w:rsidR="00FA1843" w:rsidRPr="00A7778D" w:rsidRDefault="00FA1843" w:rsidP="00041DD0">
            <w:pPr>
              <w:spacing w:before="60" w:after="60"/>
              <w:jc w:val="right"/>
              <w:rPr>
                <w:b/>
                <w:noProof/>
                <w:sz w:val="20"/>
              </w:rPr>
            </w:pPr>
            <w:r w:rsidRPr="00A7778D">
              <w:rPr>
                <w:b/>
                <w:noProof/>
                <w:sz w:val="20"/>
              </w:rPr>
              <w:t>19</w:t>
            </w:r>
          </w:p>
        </w:tc>
        <w:tc>
          <w:tcPr>
            <w:tcW w:w="1302" w:type="dxa"/>
            <w:tcBorders>
              <w:top w:val="single" w:sz="12" w:space="0" w:color="auto"/>
              <w:left w:val="single" w:sz="2" w:space="0" w:color="auto"/>
              <w:bottom w:val="single" w:sz="12" w:space="0" w:color="auto"/>
              <w:right w:val="single" w:sz="2" w:space="0" w:color="auto"/>
            </w:tcBorders>
            <w:vAlign w:val="center"/>
          </w:tcPr>
          <w:p w14:paraId="1C147C38" w14:textId="77777777" w:rsidR="00FA1843" w:rsidRPr="00A7778D" w:rsidRDefault="00FA1843" w:rsidP="00041DD0">
            <w:pPr>
              <w:spacing w:before="60" w:after="60"/>
              <w:jc w:val="right"/>
              <w:rPr>
                <w:b/>
                <w:noProof/>
                <w:sz w:val="20"/>
              </w:rPr>
            </w:pPr>
            <w:r w:rsidRPr="00A7778D">
              <w:rPr>
                <w:b/>
                <w:noProof/>
                <w:sz w:val="20"/>
              </w:rPr>
              <w:t>17</w:t>
            </w:r>
          </w:p>
        </w:tc>
        <w:tc>
          <w:tcPr>
            <w:tcW w:w="1302" w:type="dxa"/>
            <w:tcBorders>
              <w:top w:val="single" w:sz="12" w:space="0" w:color="auto"/>
              <w:left w:val="single" w:sz="2" w:space="0" w:color="auto"/>
              <w:bottom w:val="single" w:sz="12" w:space="0" w:color="auto"/>
              <w:right w:val="single" w:sz="12" w:space="0" w:color="auto"/>
            </w:tcBorders>
            <w:vAlign w:val="center"/>
          </w:tcPr>
          <w:p w14:paraId="58EE3055" w14:textId="77777777" w:rsidR="00FA1843" w:rsidRPr="00A7778D" w:rsidRDefault="00FA1843" w:rsidP="00041DD0">
            <w:pPr>
              <w:spacing w:before="60" w:after="60"/>
              <w:jc w:val="right"/>
              <w:rPr>
                <w:b/>
                <w:noProof/>
                <w:sz w:val="20"/>
              </w:rPr>
            </w:pPr>
          </w:p>
        </w:tc>
      </w:tr>
    </w:tbl>
    <w:p w14:paraId="3CDDCA7F" w14:textId="77777777" w:rsidR="00FA1843" w:rsidRPr="00A7778D" w:rsidRDefault="00FA1843" w:rsidP="00FA1843">
      <w:pPr>
        <w:rPr>
          <w:noProof/>
        </w:rPr>
        <w:sectPr w:rsidR="00FA1843" w:rsidRPr="00A7778D" w:rsidSect="00084EF2">
          <w:headerReference w:type="default" r:id="rId16"/>
          <w:footerReference w:type="default" r:id="rId17"/>
          <w:headerReference w:type="first" r:id="rId18"/>
          <w:footerReference w:type="first" r:id="rId19"/>
          <w:pgSz w:w="11907" w:h="16839"/>
          <w:pgMar w:top="1134" w:right="1417" w:bottom="1134" w:left="1417" w:header="709" w:footer="709" w:gutter="0"/>
          <w:cols w:space="720"/>
          <w:docGrid w:linePitch="326"/>
        </w:sectPr>
      </w:pPr>
      <w:r w:rsidRPr="00A7778D">
        <w:rPr>
          <w:noProof/>
          <w:u w:val="single"/>
        </w:rPr>
        <w:t xml:space="preserve"> </w:t>
      </w:r>
    </w:p>
    <w:p w14:paraId="23AE5091" w14:textId="66AC6058" w:rsidR="00FA1843" w:rsidRPr="00A7778D" w:rsidRDefault="002A7F8C" w:rsidP="002A7F8C">
      <w:pPr>
        <w:pStyle w:val="ManualHeading4"/>
        <w:rPr>
          <w:bCs/>
          <w:noProof/>
          <w:szCs w:val="24"/>
        </w:rPr>
      </w:pPr>
      <w:r w:rsidRPr="00A7778D">
        <w:rPr>
          <w:noProof/>
        </w:rPr>
        <w:t>3.2.3.2.</w:t>
      </w:r>
      <w:r w:rsidRPr="00A7778D">
        <w:rPr>
          <w:noProof/>
        </w:rPr>
        <w:tab/>
        <w:t>Henkilöresurssien arvioitu tarve vastuupääosastossa</w:t>
      </w:r>
    </w:p>
    <w:p w14:paraId="715589C3" w14:textId="77777777" w:rsidR="00FA1843" w:rsidRPr="00A7778D" w:rsidRDefault="00FA1843" w:rsidP="00580A58">
      <w:pPr>
        <w:pStyle w:val="ListDash1"/>
        <w:numPr>
          <w:ilvl w:val="0"/>
          <w:numId w:val="21"/>
        </w:numPr>
        <w:rPr>
          <w:noProof/>
        </w:rPr>
      </w:pPr>
      <w:r w:rsidRPr="00A7778D">
        <w:rPr>
          <w:noProof/>
        </w:rPr>
        <w:sym w:font="Wingdings" w:char="F0FE"/>
      </w:r>
      <w:r w:rsidRPr="00A7778D">
        <w:rPr>
          <w:noProof/>
        </w:rPr>
        <w:tab/>
        <w:t xml:space="preserve">Ehdotus/aloite ei edellytä henkilöresursseja. </w:t>
      </w:r>
    </w:p>
    <w:p w14:paraId="7992FBCB" w14:textId="77777777" w:rsidR="00FA1843" w:rsidRPr="00A7778D" w:rsidRDefault="00FA1843" w:rsidP="00580A58">
      <w:pPr>
        <w:pStyle w:val="ListDash1"/>
        <w:numPr>
          <w:ilvl w:val="0"/>
          <w:numId w:val="21"/>
        </w:numPr>
        <w:rPr>
          <w:noProof/>
        </w:rPr>
      </w:pPr>
      <w:r w:rsidRPr="00A7778D">
        <w:rPr>
          <w:noProof/>
        </w:rPr>
        <w:sym w:font="Wingdings" w:char="F0A8"/>
      </w:r>
      <w:r w:rsidRPr="00A7778D">
        <w:rPr>
          <w:noProof/>
        </w:rPr>
        <w:tab/>
        <w:t>Ehdotus/aloite edellyttää henkilöresursseja seuraavasti:</w:t>
      </w:r>
    </w:p>
    <w:p w14:paraId="16D281A0" w14:textId="77777777" w:rsidR="00FA1843" w:rsidRPr="00A7778D" w:rsidRDefault="00FA1843" w:rsidP="00FA1843">
      <w:pPr>
        <w:spacing w:after="60"/>
        <w:jc w:val="right"/>
        <w:rPr>
          <w:i/>
          <w:noProof/>
          <w:sz w:val="20"/>
        </w:rPr>
      </w:pPr>
      <w:r w:rsidRPr="00A7778D">
        <w:rPr>
          <w:i/>
          <w:noProof/>
          <w:sz w:val="20"/>
        </w:rPr>
        <w:t>arvio kokonaislukuina (tai enintään yhden desimaalin tarkkuudella)</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FA1843" w:rsidRPr="00A7778D" w14:paraId="6D7D0A93" w14:textId="77777777" w:rsidTr="00041DD0">
        <w:trPr>
          <w:gridAfter w:val="1"/>
          <w:wAfter w:w="5" w:type="pct"/>
          <w:trHeight w:val="289"/>
          <w:jc w:val="center"/>
        </w:trPr>
        <w:tc>
          <w:tcPr>
            <w:tcW w:w="2043" w:type="pct"/>
            <w:gridSpan w:val="2"/>
            <w:shd w:val="clear" w:color="auto" w:fill="auto"/>
          </w:tcPr>
          <w:p w14:paraId="24C399BD" w14:textId="77777777" w:rsidR="00FA1843" w:rsidRPr="00A7778D" w:rsidRDefault="00FA1843" w:rsidP="00041DD0">
            <w:pPr>
              <w:pStyle w:val="Text1"/>
              <w:spacing w:before="40" w:after="40"/>
              <w:ind w:left="0"/>
              <w:jc w:val="center"/>
              <w:rPr>
                <w:i/>
                <w:noProof/>
                <w:sz w:val="20"/>
              </w:rPr>
            </w:pPr>
          </w:p>
        </w:tc>
        <w:tc>
          <w:tcPr>
            <w:tcW w:w="377" w:type="pct"/>
            <w:shd w:val="clear" w:color="auto" w:fill="auto"/>
            <w:vAlign w:val="center"/>
          </w:tcPr>
          <w:p w14:paraId="7EEDAD7D" w14:textId="77777777" w:rsidR="00FA1843" w:rsidRPr="00A7778D" w:rsidRDefault="00FA1843" w:rsidP="00041DD0">
            <w:pPr>
              <w:spacing w:before="20" w:after="20"/>
              <w:jc w:val="center"/>
              <w:rPr>
                <w:noProof/>
                <w:sz w:val="20"/>
              </w:rPr>
            </w:pPr>
            <w:r w:rsidRPr="00A7778D">
              <w:rPr>
                <w:noProof/>
              </w:rPr>
              <w:t xml:space="preserve">Vuosi </w:t>
            </w:r>
            <w:r w:rsidRPr="00A7778D">
              <w:rPr>
                <w:noProof/>
              </w:rPr>
              <w:br/>
            </w:r>
            <w:r w:rsidRPr="00A7778D">
              <w:rPr>
                <w:b/>
                <w:noProof/>
                <w:sz w:val="20"/>
              </w:rPr>
              <w:t>N</w:t>
            </w:r>
          </w:p>
        </w:tc>
        <w:tc>
          <w:tcPr>
            <w:tcW w:w="377" w:type="pct"/>
            <w:shd w:val="clear" w:color="auto" w:fill="auto"/>
            <w:vAlign w:val="center"/>
          </w:tcPr>
          <w:p w14:paraId="7F259FB3" w14:textId="77777777" w:rsidR="00FA1843" w:rsidRPr="00A7778D" w:rsidRDefault="00FA1843" w:rsidP="00041DD0">
            <w:pPr>
              <w:spacing w:before="20" w:after="20"/>
              <w:jc w:val="center"/>
              <w:rPr>
                <w:noProof/>
                <w:sz w:val="20"/>
              </w:rPr>
            </w:pPr>
            <w:r w:rsidRPr="00A7778D">
              <w:rPr>
                <w:noProof/>
              </w:rPr>
              <w:t xml:space="preserve">Vuosi </w:t>
            </w:r>
            <w:r w:rsidRPr="00A7778D">
              <w:rPr>
                <w:noProof/>
              </w:rPr>
              <w:br/>
            </w:r>
            <w:r w:rsidRPr="00A7778D">
              <w:rPr>
                <w:b/>
                <w:noProof/>
                <w:sz w:val="20"/>
              </w:rPr>
              <w:t>N+1</w:t>
            </w:r>
          </w:p>
        </w:tc>
        <w:tc>
          <w:tcPr>
            <w:tcW w:w="406" w:type="pct"/>
            <w:shd w:val="clear" w:color="auto" w:fill="auto"/>
            <w:vAlign w:val="center"/>
          </w:tcPr>
          <w:p w14:paraId="616C89A4" w14:textId="77777777" w:rsidR="00FA1843" w:rsidRPr="00A7778D" w:rsidRDefault="00FA1843" w:rsidP="00041DD0">
            <w:pPr>
              <w:spacing w:before="20" w:after="20"/>
              <w:jc w:val="center"/>
              <w:rPr>
                <w:noProof/>
                <w:sz w:val="20"/>
              </w:rPr>
            </w:pPr>
            <w:r w:rsidRPr="00A7778D">
              <w:rPr>
                <w:noProof/>
                <w:sz w:val="20"/>
              </w:rPr>
              <w:t xml:space="preserve">Vuosi </w:t>
            </w:r>
            <w:r w:rsidRPr="00A7778D">
              <w:rPr>
                <w:b/>
                <w:noProof/>
                <w:sz w:val="20"/>
              </w:rPr>
              <w:t>N+2</w:t>
            </w:r>
          </w:p>
        </w:tc>
        <w:tc>
          <w:tcPr>
            <w:tcW w:w="497" w:type="pct"/>
            <w:shd w:val="clear" w:color="auto" w:fill="auto"/>
            <w:vAlign w:val="center"/>
          </w:tcPr>
          <w:p w14:paraId="1BE93CE9" w14:textId="77777777" w:rsidR="00FA1843" w:rsidRPr="00A7778D" w:rsidRDefault="00FA1843" w:rsidP="00041DD0">
            <w:pPr>
              <w:spacing w:before="20" w:after="20"/>
              <w:jc w:val="center"/>
              <w:rPr>
                <w:noProof/>
                <w:sz w:val="20"/>
              </w:rPr>
            </w:pPr>
            <w:r w:rsidRPr="00A7778D">
              <w:rPr>
                <w:noProof/>
                <w:sz w:val="20"/>
              </w:rPr>
              <w:t xml:space="preserve">Vuosi </w:t>
            </w:r>
            <w:r w:rsidRPr="00A7778D">
              <w:rPr>
                <w:b/>
                <w:noProof/>
                <w:sz w:val="20"/>
              </w:rPr>
              <w:t>N+3</w:t>
            </w:r>
          </w:p>
        </w:tc>
        <w:tc>
          <w:tcPr>
            <w:tcW w:w="1294" w:type="pct"/>
            <w:gridSpan w:val="3"/>
            <w:shd w:val="clear" w:color="auto" w:fill="auto"/>
            <w:vAlign w:val="center"/>
          </w:tcPr>
          <w:p w14:paraId="5DD27270" w14:textId="77777777" w:rsidR="00FA1843" w:rsidRPr="00A7778D" w:rsidRDefault="00FA1843" w:rsidP="00041DD0">
            <w:pPr>
              <w:tabs>
                <w:tab w:val="left" w:pos="685"/>
              </w:tabs>
              <w:jc w:val="center"/>
              <w:rPr>
                <w:b/>
                <w:noProof/>
                <w:sz w:val="20"/>
              </w:rPr>
            </w:pPr>
            <w:r w:rsidRPr="00A7778D">
              <w:rPr>
                <w:noProof/>
                <w:sz w:val="20"/>
              </w:rPr>
              <w:t>ja näitä seuraavat vuodet (ilmoitetaan kaikki vuodet, joille ehdotuksen/aloitteen vaikutukset ulottuvat, ks. kohta 1.6)</w:t>
            </w:r>
          </w:p>
        </w:tc>
      </w:tr>
      <w:tr w:rsidR="00FA1843" w:rsidRPr="00A7778D" w14:paraId="223B18E9" w14:textId="77777777" w:rsidTr="00041DD0">
        <w:trPr>
          <w:trHeight w:val="289"/>
          <w:jc w:val="center"/>
        </w:trPr>
        <w:tc>
          <w:tcPr>
            <w:tcW w:w="2043" w:type="pct"/>
            <w:gridSpan w:val="2"/>
            <w:shd w:val="clear" w:color="auto" w:fill="auto"/>
            <w:vAlign w:val="center"/>
          </w:tcPr>
          <w:p w14:paraId="710BAC13" w14:textId="77777777" w:rsidR="00FA1843" w:rsidRPr="00A7778D" w:rsidRDefault="00FA1843" w:rsidP="00580A58">
            <w:pPr>
              <w:pStyle w:val="Text1"/>
              <w:numPr>
                <w:ilvl w:val="0"/>
                <w:numId w:val="23"/>
              </w:numPr>
              <w:tabs>
                <w:tab w:val="left" w:pos="208"/>
              </w:tabs>
              <w:spacing w:beforeLines="20" w:before="48" w:afterLines="20" w:after="48"/>
              <w:ind w:left="208" w:hanging="120"/>
              <w:jc w:val="left"/>
              <w:rPr>
                <w:b/>
                <w:noProof/>
                <w:sz w:val="20"/>
              </w:rPr>
            </w:pPr>
            <w:r w:rsidRPr="00A7778D">
              <w:rPr>
                <w:b/>
                <w:noProof/>
                <w:sz w:val="20"/>
              </w:rPr>
              <w:t>Henkilöstötaulukkoon sisältyvät virat/toimet (virkamiehet ja väliaikaiset toimihenkilöt)</w:t>
            </w:r>
          </w:p>
        </w:tc>
        <w:tc>
          <w:tcPr>
            <w:tcW w:w="377" w:type="pct"/>
            <w:shd w:val="clear" w:color="auto" w:fill="auto"/>
            <w:vAlign w:val="center"/>
          </w:tcPr>
          <w:p w14:paraId="67D54CB6" w14:textId="77777777" w:rsidR="00FA1843" w:rsidRPr="00A7778D" w:rsidRDefault="00FA1843" w:rsidP="00041DD0">
            <w:pPr>
              <w:spacing w:beforeLines="20" w:before="48" w:afterLines="20" w:after="48"/>
              <w:jc w:val="center"/>
              <w:rPr>
                <w:noProof/>
                <w:sz w:val="20"/>
              </w:rPr>
            </w:pPr>
          </w:p>
        </w:tc>
        <w:tc>
          <w:tcPr>
            <w:tcW w:w="377" w:type="pct"/>
            <w:shd w:val="clear" w:color="auto" w:fill="auto"/>
            <w:vAlign w:val="center"/>
          </w:tcPr>
          <w:p w14:paraId="7CECCD09" w14:textId="77777777" w:rsidR="00FA1843" w:rsidRPr="00A7778D" w:rsidRDefault="00FA1843" w:rsidP="00041DD0">
            <w:pPr>
              <w:spacing w:beforeLines="20" w:before="48" w:afterLines="20" w:after="48"/>
              <w:jc w:val="center"/>
              <w:rPr>
                <w:noProof/>
                <w:sz w:val="20"/>
              </w:rPr>
            </w:pPr>
          </w:p>
        </w:tc>
        <w:tc>
          <w:tcPr>
            <w:tcW w:w="406" w:type="pct"/>
            <w:shd w:val="clear" w:color="auto" w:fill="auto"/>
            <w:vAlign w:val="center"/>
          </w:tcPr>
          <w:p w14:paraId="2382DA31" w14:textId="77777777" w:rsidR="00FA1843" w:rsidRPr="00A7778D" w:rsidRDefault="00FA1843" w:rsidP="00041DD0">
            <w:pPr>
              <w:spacing w:beforeLines="20" w:before="48" w:afterLines="20" w:after="48"/>
              <w:jc w:val="center"/>
              <w:rPr>
                <w:noProof/>
                <w:sz w:val="20"/>
              </w:rPr>
            </w:pPr>
          </w:p>
        </w:tc>
        <w:tc>
          <w:tcPr>
            <w:tcW w:w="497" w:type="pct"/>
            <w:shd w:val="clear" w:color="auto" w:fill="auto"/>
            <w:vAlign w:val="center"/>
          </w:tcPr>
          <w:p w14:paraId="6DF95075" w14:textId="77777777" w:rsidR="00FA1843" w:rsidRPr="00A7778D" w:rsidRDefault="00FA1843" w:rsidP="00041DD0">
            <w:pPr>
              <w:spacing w:beforeLines="20" w:before="48" w:afterLines="20" w:after="48"/>
              <w:jc w:val="center"/>
              <w:rPr>
                <w:noProof/>
                <w:sz w:val="20"/>
              </w:rPr>
            </w:pPr>
          </w:p>
        </w:tc>
        <w:tc>
          <w:tcPr>
            <w:tcW w:w="424" w:type="pct"/>
            <w:shd w:val="clear" w:color="auto" w:fill="auto"/>
            <w:vAlign w:val="center"/>
          </w:tcPr>
          <w:p w14:paraId="10907D5C" w14:textId="77777777" w:rsidR="00FA1843" w:rsidRPr="00A7778D" w:rsidRDefault="00FA1843" w:rsidP="00041DD0">
            <w:pPr>
              <w:spacing w:beforeLines="20" w:before="48" w:afterLines="20" w:after="48"/>
              <w:jc w:val="center"/>
              <w:rPr>
                <w:noProof/>
                <w:sz w:val="20"/>
              </w:rPr>
            </w:pPr>
          </w:p>
        </w:tc>
        <w:tc>
          <w:tcPr>
            <w:tcW w:w="423" w:type="pct"/>
            <w:shd w:val="clear" w:color="auto" w:fill="auto"/>
            <w:vAlign w:val="center"/>
          </w:tcPr>
          <w:p w14:paraId="1225F8C8" w14:textId="77777777" w:rsidR="00FA1843" w:rsidRPr="00A7778D" w:rsidRDefault="00FA1843" w:rsidP="00041DD0">
            <w:pPr>
              <w:spacing w:beforeLines="20" w:before="48" w:afterLines="20" w:after="48"/>
              <w:jc w:val="center"/>
              <w:rPr>
                <w:noProof/>
                <w:sz w:val="20"/>
              </w:rPr>
            </w:pPr>
          </w:p>
        </w:tc>
        <w:tc>
          <w:tcPr>
            <w:tcW w:w="452" w:type="pct"/>
            <w:gridSpan w:val="2"/>
            <w:shd w:val="clear" w:color="auto" w:fill="auto"/>
            <w:vAlign w:val="center"/>
          </w:tcPr>
          <w:p w14:paraId="55C5D9A3" w14:textId="77777777" w:rsidR="00FA1843" w:rsidRPr="00A7778D" w:rsidRDefault="00FA1843" w:rsidP="00041DD0">
            <w:pPr>
              <w:spacing w:beforeLines="20" w:before="48" w:afterLines="20" w:after="48"/>
              <w:jc w:val="center"/>
              <w:rPr>
                <w:noProof/>
                <w:sz w:val="20"/>
              </w:rPr>
            </w:pPr>
          </w:p>
        </w:tc>
      </w:tr>
      <w:tr w:rsidR="00FA1843" w:rsidRPr="00A7778D" w14:paraId="101E089A" w14:textId="77777777" w:rsidTr="00041DD0">
        <w:trPr>
          <w:trHeight w:val="289"/>
          <w:jc w:val="center"/>
        </w:trPr>
        <w:tc>
          <w:tcPr>
            <w:tcW w:w="2043" w:type="pct"/>
            <w:gridSpan w:val="2"/>
            <w:shd w:val="clear" w:color="auto" w:fill="auto"/>
            <w:vAlign w:val="center"/>
          </w:tcPr>
          <w:p w14:paraId="50375C30" w14:textId="77777777" w:rsidR="00FA1843" w:rsidRPr="00A7778D" w:rsidRDefault="00FA1843" w:rsidP="00041DD0">
            <w:pPr>
              <w:pStyle w:val="Text1"/>
              <w:spacing w:beforeLines="20" w:before="48" w:afterLines="20" w:after="48"/>
              <w:ind w:left="984"/>
              <w:jc w:val="left"/>
              <w:rPr>
                <w:b/>
                <w:noProof/>
                <w:sz w:val="20"/>
              </w:rPr>
            </w:pPr>
            <w:r w:rsidRPr="00A7778D">
              <w:rPr>
                <w:noProof/>
                <w:sz w:val="20"/>
              </w:rPr>
              <w:t>20 01 02 01 ja 20 01 02 02 (päätoimipaikka ja komission edustustot EU:ssa)</w:t>
            </w:r>
          </w:p>
        </w:tc>
        <w:tc>
          <w:tcPr>
            <w:tcW w:w="377" w:type="pct"/>
            <w:shd w:val="clear" w:color="auto" w:fill="auto"/>
            <w:vAlign w:val="center"/>
          </w:tcPr>
          <w:p w14:paraId="76D88A75" w14:textId="77777777" w:rsidR="00FA1843" w:rsidRPr="00A7778D" w:rsidRDefault="00FA1843" w:rsidP="00041DD0">
            <w:pPr>
              <w:spacing w:beforeLines="20" w:before="48" w:afterLines="20" w:after="48"/>
              <w:jc w:val="center"/>
              <w:rPr>
                <w:noProof/>
                <w:sz w:val="20"/>
              </w:rPr>
            </w:pPr>
          </w:p>
        </w:tc>
        <w:tc>
          <w:tcPr>
            <w:tcW w:w="377" w:type="pct"/>
            <w:shd w:val="clear" w:color="auto" w:fill="auto"/>
            <w:vAlign w:val="center"/>
          </w:tcPr>
          <w:p w14:paraId="6C448F5B" w14:textId="77777777" w:rsidR="00FA1843" w:rsidRPr="00A7778D" w:rsidRDefault="00FA1843" w:rsidP="00041DD0">
            <w:pPr>
              <w:spacing w:beforeLines="20" w:before="48" w:afterLines="20" w:after="48"/>
              <w:jc w:val="center"/>
              <w:rPr>
                <w:noProof/>
                <w:sz w:val="20"/>
              </w:rPr>
            </w:pPr>
          </w:p>
        </w:tc>
        <w:tc>
          <w:tcPr>
            <w:tcW w:w="406" w:type="pct"/>
            <w:shd w:val="clear" w:color="auto" w:fill="auto"/>
            <w:vAlign w:val="center"/>
          </w:tcPr>
          <w:p w14:paraId="1D3C82C8" w14:textId="77777777" w:rsidR="00FA1843" w:rsidRPr="00A7778D" w:rsidRDefault="00FA1843" w:rsidP="00041DD0">
            <w:pPr>
              <w:spacing w:beforeLines="20" w:before="48" w:afterLines="20" w:after="48"/>
              <w:jc w:val="center"/>
              <w:rPr>
                <w:noProof/>
                <w:sz w:val="20"/>
              </w:rPr>
            </w:pPr>
          </w:p>
        </w:tc>
        <w:tc>
          <w:tcPr>
            <w:tcW w:w="497" w:type="pct"/>
            <w:shd w:val="clear" w:color="auto" w:fill="auto"/>
            <w:vAlign w:val="center"/>
          </w:tcPr>
          <w:p w14:paraId="3571FBB6" w14:textId="77777777" w:rsidR="00FA1843" w:rsidRPr="00A7778D" w:rsidRDefault="00FA1843" w:rsidP="00041DD0">
            <w:pPr>
              <w:spacing w:beforeLines="20" w:before="48" w:afterLines="20" w:after="48"/>
              <w:jc w:val="center"/>
              <w:rPr>
                <w:noProof/>
                <w:sz w:val="20"/>
              </w:rPr>
            </w:pPr>
          </w:p>
        </w:tc>
        <w:tc>
          <w:tcPr>
            <w:tcW w:w="424" w:type="pct"/>
            <w:shd w:val="clear" w:color="auto" w:fill="auto"/>
            <w:vAlign w:val="center"/>
          </w:tcPr>
          <w:p w14:paraId="70D252C6" w14:textId="77777777" w:rsidR="00FA1843" w:rsidRPr="00A7778D" w:rsidRDefault="00FA1843" w:rsidP="00041DD0">
            <w:pPr>
              <w:spacing w:beforeLines="20" w:before="48" w:afterLines="20" w:after="48"/>
              <w:jc w:val="center"/>
              <w:rPr>
                <w:noProof/>
                <w:sz w:val="20"/>
              </w:rPr>
            </w:pPr>
          </w:p>
        </w:tc>
        <w:tc>
          <w:tcPr>
            <w:tcW w:w="423" w:type="pct"/>
            <w:shd w:val="clear" w:color="auto" w:fill="auto"/>
            <w:vAlign w:val="center"/>
          </w:tcPr>
          <w:p w14:paraId="4FBE7814" w14:textId="77777777" w:rsidR="00FA1843" w:rsidRPr="00A7778D" w:rsidRDefault="00FA1843" w:rsidP="00041DD0">
            <w:pPr>
              <w:spacing w:beforeLines="20" w:before="48" w:afterLines="20" w:after="48"/>
              <w:jc w:val="center"/>
              <w:rPr>
                <w:noProof/>
                <w:sz w:val="20"/>
              </w:rPr>
            </w:pPr>
          </w:p>
        </w:tc>
        <w:tc>
          <w:tcPr>
            <w:tcW w:w="452" w:type="pct"/>
            <w:gridSpan w:val="2"/>
            <w:shd w:val="clear" w:color="auto" w:fill="auto"/>
            <w:vAlign w:val="center"/>
          </w:tcPr>
          <w:p w14:paraId="591184BC" w14:textId="77777777" w:rsidR="00FA1843" w:rsidRPr="00A7778D" w:rsidRDefault="00FA1843" w:rsidP="00041DD0">
            <w:pPr>
              <w:spacing w:beforeLines="20" w:before="48" w:afterLines="20" w:after="48"/>
              <w:jc w:val="center"/>
              <w:rPr>
                <w:noProof/>
                <w:sz w:val="20"/>
              </w:rPr>
            </w:pPr>
          </w:p>
        </w:tc>
      </w:tr>
      <w:tr w:rsidR="00FA1843" w:rsidRPr="00A7778D" w14:paraId="00323809" w14:textId="77777777" w:rsidTr="00041DD0">
        <w:trPr>
          <w:trHeight w:val="289"/>
          <w:jc w:val="center"/>
        </w:trPr>
        <w:tc>
          <w:tcPr>
            <w:tcW w:w="2043" w:type="pct"/>
            <w:gridSpan w:val="2"/>
            <w:shd w:val="clear" w:color="auto" w:fill="auto"/>
            <w:vAlign w:val="center"/>
          </w:tcPr>
          <w:p w14:paraId="6B3CA96D" w14:textId="77777777" w:rsidR="00FA1843" w:rsidRPr="00A7778D" w:rsidRDefault="00FA1843" w:rsidP="00041DD0">
            <w:pPr>
              <w:pStyle w:val="Text1"/>
              <w:spacing w:beforeLines="20" w:before="48" w:afterLines="20" w:after="48"/>
              <w:ind w:left="984"/>
              <w:jc w:val="left"/>
              <w:rPr>
                <w:noProof/>
                <w:sz w:val="20"/>
              </w:rPr>
            </w:pPr>
            <w:r w:rsidRPr="00A7778D">
              <w:rPr>
                <w:noProof/>
                <w:sz w:val="20"/>
              </w:rPr>
              <w:t>20 01 02 03 (EU:n ulkopuoliset edustustot)</w:t>
            </w:r>
          </w:p>
        </w:tc>
        <w:tc>
          <w:tcPr>
            <w:tcW w:w="377" w:type="pct"/>
            <w:shd w:val="clear" w:color="auto" w:fill="auto"/>
            <w:vAlign w:val="center"/>
          </w:tcPr>
          <w:p w14:paraId="113C9E41" w14:textId="77777777" w:rsidR="00FA1843" w:rsidRPr="00A7778D" w:rsidRDefault="00FA1843" w:rsidP="00041DD0">
            <w:pPr>
              <w:spacing w:beforeLines="20" w:before="48" w:afterLines="20" w:after="48"/>
              <w:jc w:val="center"/>
              <w:rPr>
                <w:noProof/>
                <w:sz w:val="20"/>
              </w:rPr>
            </w:pPr>
          </w:p>
        </w:tc>
        <w:tc>
          <w:tcPr>
            <w:tcW w:w="377" w:type="pct"/>
            <w:shd w:val="clear" w:color="auto" w:fill="auto"/>
            <w:vAlign w:val="center"/>
          </w:tcPr>
          <w:p w14:paraId="5D8FED91" w14:textId="77777777" w:rsidR="00FA1843" w:rsidRPr="00A7778D" w:rsidRDefault="00FA1843" w:rsidP="00041DD0">
            <w:pPr>
              <w:spacing w:beforeLines="20" w:before="48" w:afterLines="20" w:after="48"/>
              <w:jc w:val="center"/>
              <w:rPr>
                <w:noProof/>
                <w:sz w:val="20"/>
              </w:rPr>
            </w:pPr>
          </w:p>
        </w:tc>
        <w:tc>
          <w:tcPr>
            <w:tcW w:w="406" w:type="pct"/>
            <w:shd w:val="clear" w:color="auto" w:fill="auto"/>
            <w:vAlign w:val="center"/>
          </w:tcPr>
          <w:p w14:paraId="7599B83A" w14:textId="77777777" w:rsidR="00FA1843" w:rsidRPr="00A7778D" w:rsidRDefault="00FA1843" w:rsidP="00041DD0">
            <w:pPr>
              <w:spacing w:beforeLines="20" w:before="48" w:afterLines="20" w:after="48"/>
              <w:jc w:val="center"/>
              <w:rPr>
                <w:noProof/>
                <w:sz w:val="20"/>
              </w:rPr>
            </w:pPr>
          </w:p>
        </w:tc>
        <w:tc>
          <w:tcPr>
            <w:tcW w:w="497" w:type="pct"/>
            <w:shd w:val="clear" w:color="auto" w:fill="auto"/>
            <w:vAlign w:val="center"/>
          </w:tcPr>
          <w:p w14:paraId="253D8022" w14:textId="77777777" w:rsidR="00FA1843" w:rsidRPr="00A7778D" w:rsidRDefault="00FA1843" w:rsidP="00041DD0">
            <w:pPr>
              <w:spacing w:beforeLines="20" w:before="48" w:afterLines="20" w:after="48"/>
              <w:jc w:val="center"/>
              <w:rPr>
                <w:noProof/>
                <w:sz w:val="20"/>
              </w:rPr>
            </w:pPr>
          </w:p>
        </w:tc>
        <w:tc>
          <w:tcPr>
            <w:tcW w:w="424" w:type="pct"/>
            <w:shd w:val="clear" w:color="auto" w:fill="auto"/>
            <w:vAlign w:val="center"/>
          </w:tcPr>
          <w:p w14:paraId="436963F4" w14:textId="77777777" w:rsidR="00FA1843" w:rsidRPr="00A7778D" w:rsidRDefault="00FA1843" w:rsidP="00041DD0">
            <w:pPr>
              <w:spacing w:beforeLines="20" w:before="48" w:afterLines="20" w:after="48"/>
              <w:jc w:val="center"/>
              <w:rPr>
                <w:noProof/>
                <w:sz w:val="20"/>
              </w:rPr>
            </w:pPr>
          </w:p>
        </w:tc>
        <w:tc>
          <w:tcPr>
            <w:tcW w:w="423" w:type="pct"/>
            <w:shd w:val="clear" w:color="auto" w:fill="auto"/>
            <w:vAlign w:val="center"/>
          </w:tcPr>
          <w:p w14:paraId="3D2C6C0C" w14:textId="77777777" w:rsidR="00FA1843" w:rsidRPr="00A7778D" w:rsidRDefault="00FA1843" w:rsidP="00041DD0">
            <w:pPr>
              <w:spacing w:beforeLines="20" w:before="48" w:afterLines="20" w:after="48"/>
              <w:jc w:val="center"/>
              <w:rPr>
                <w:noProof/>
                <w:sz w:val="20"/>
              </w:rPr>
            </w:pPr>
          </w:p>
        </w:tc>
        <w:tc>
          <w:tcPr>
            <w:tcW w:w="452" w:type="pct"/>
            <w:gridSpan w:val="2"/>
            <w:shd w:val="clear" w:color="auto" w:fill="auto"/>
            <w:vAlign w:val="center"/>
          </w:tcPr>
          <w:p w14:paraId="6C39CB1E" w14:textId="77777777" w:rsidR="00FA1843" w:rsidRPr="00A7778D" w:rsidRDefault="00FA1843" w:rsidP="00041DD0">
            <w:pPr>
              <w:spacing w:beforeLines="20" w:before="48" w:afterLines="20" w:after="48"/>
              <w:jc w:val="center"/>
              <w:rPr>
                <w:noProof/>
                <w:sz w:val="20"/>
              </w:rPr>
            </w:pPr>
          </w:p>
        </w:tc>
      </w:tr>
      <w:tr w:rsidR="00FA1843" w:rsidRPr="00A7778D" w14:paraId="4BE24E1D" w14:textId="77777777" w:rsidTr="00041DD0">
        <w:trPr>
          <w:trHeight w:val="953"/>
          <w:jc w:val="center"/>
        </w:trPr>
        <w:tc>
          <w:tcPr>
            <w:tcW w:w="2043" w:type="pct"/>
            <w:gridSpan w:val="2"/>
            <w:shd w:val="clear" w:color="auto" w:fill="auto"/>
            <w:vAlign w:val="center"/>
          </w:tcPr>
          <w:p w14:paraId="219C67BF" w14:textId="77777777" w:rsidR="00FA1843" w:rsidRPr="00A7778D" w:rsidRDefault="00FA1843" w:rsidP="00041DD0">
            <w:pPr>
              <w:pStyle w:val="Text1"/>
              <w:spacing w:beforeLines="20" w:before="48" w:afterLines="20" w:after="48"/>
              <w:ind w:left="984"/>
              <w:jc w:val="left"/>
              <w:rPr>
                <w:noProof/>
                <w:sz w:val="20"/>
              </w:rPr>
            </w:pPr>
            <w:r w:rsidRPr="00A7778D">
              <w:rPr>
                <w:noProof/>
                <w:sz w:val="20"/>
              </w:rPr>
              <w:t>01 01 01 01 (epäsuora tutkimustoiminta)</w:t>
            </w:r>
          </w:p>
        </w:tc>
        <w:tc>
          <w:tcPr>
            <w:tcW w:w="377" w:type="pct"/>
            <w:shd w:val="clear" w:color="auto" w:fill="auto"/>
            <w:vAlign w:val="center"/>
          </w:tcPr>
          <w:p w14:paraId="0844BFE4" w14:textId="77777777" w:rsidR="00FA1843" w:rsidRPr="00A7778D" w:rsidRDefault="00FA1843" w:rsidP="00041DD0">
            <w:pPr>
              <w:spacing w:beforeLines="20" w:before="48" w:afterLines="20" w:after="48"/>
              <w:jc w:val="center"/>
              <w:rPr>
                <w:noProof/>
                <w:sz w:val="20"/>
              </w:rPr>
            </w:pPr>
          </w:p>
        </w:tc>
        <w:tc>
          <w:tcPr>
            <w:tcW w:w="377" w:type="pct"/>
            <w:shd w:val="clear" w:color="auto" w:fill="auto"/>
            <w:vAlign w:val="center"/>
          </w:tcPr>
          <w:p w14:paraId="508243DA" w14:textId="77777777" w:rsidR="00FA1843" w:rsidRPr="00A7778D" w:rsidRDefault="00FA1843" w:rsidP="00041DD0">
            <w:pPr>
              <w:spacing w:beforeLines="20" w:before="48" w:afterLines="20" w:after="48"/>
              <w:jc w:val="center"/>
              <w:rPr>
                <w:noProof/>
                <w:sz w:val="20"/>
              </w:rPr>
            </w:pPr>
          </w:p>
        </w:tc>
        <w:tc>
          <w:tcPr>
            <w:tcW w:w="406" w:type="pct"/>
            <w:shd w:val="clear" w:color="auto" w:fill="auto"/>
            <w:vAlign w:val="center"/>
          </w:tcPr>
          <w:p w14:paraId="3071DA9D" w14:textId="77777777" w:rsidR="00FA1843" w:rsidRPr="00A7778D" w:rsidRDefault="00FA1843" w:rsidP="00041DD0">
            <w:pPr>
              <w:spacing w:beforeLines="20" w:before="48" w:afterLines="20" w:after="48"/>
              <w:jc w:val="center"/>
              <w:rPr>
                <w:noProof/>
                <w:sz w:val="20"/>
              </w:rPr>
            </w:pPr>
          </w:p>
        </w:tc>
        <w:tc>
          <w:tcPr>
            <w:tcW w:w="497" w:type="pct"/>
            <w:shd w:val="clear" w:color="auto" w:fill="auto"/>
            <w:vAlign w:val="center"/>
          </w:tcPr>
          <w:p w14:paraId="1ADC7967" w14:textId="77777777" w:rsidR="00FA1843" w:rsidRPr="00A7778D" w:rsidRDefault="00FA1843" w:rsidP="00041DD0">
            <w:pPr>
              <w:spacing w:beforeLines="20" w:before="48" w:afterLines="20" w:after="48"/>
              <w:jc w:val="center"/>
              <w:rPr>
                <w:noProof/>
                <w:sz w:val="20"/>
              </w:rPr>
            </w:pPr>
          </w:p>
        </w:tc>
        <w:tc>
          <w:tcPr>
            <w:tcW w:w="424" w:type="pct"/>
            <w:shd w:val="clear" w:color="auto" w:fill="auto"/>
            <w:vAlign w:val="center"/>
          </w:tcPr>
          <w:p w14:paraId="172A1905" w14:textId="77777777" w:rsidR="00FA1843" w:rsidRPr="00A7778D" w:rsidRDefault="00FA1843" w:rsidP="00041DD0">
            <w:pPr>
              <w:spacing w:beforeLines="20" w:before="48" w:afterLines="20" w:after="48"/>
              <w:jc w:val="center"/>
              <w:rPr>
                <w:noProof/>
                <w:sz w:val="20"/>
              </w:rPr>
            </w:pPr>
          </w:p>
        </w:tc>
        <w:tc>
          <w:tcPr>
            <w:tcW w:w="423" w:type="pct"/>
            <w:shd w:val="clear" w:color="auto" w:fill="auto"/>
            <w:vAlign w:val="center"/>
          </w:tcPr>
          <w:p w14:paraId="450E9BEC" w14:textId="77777777" w:rsidR="00FA1843" w:rsidRPr="00A7778D" w:rsidRDefault="00FA1843" w:rsidP="00041DD0">
            <w:pPr>
              <w:spacing w:beforeLines="20" w:before="48" w:afterLines="20" w:after="48"/>
              <w:jc w:val="center"/>
              <w:rPr>
                <w:noProof/>
                <w:sz w:val="20"/>
              </w:rPr>
            </w:pPr>
          </w:p>
        </w:tc>
        <w:tc>
          <w:tcPr>
            <w:tcW w:w="452" w:type="pct"/>
            <w:gridSpan w:val="2"/>
            <w:shd w:val="clear" w:color="auto" w:fill="auto"/>
            <w:vAlign w:val="center"/>
          </w:tcPr>
          <w:p w14:paraId="5C809508" w14:textId="77777777" w:rsidR="00FA1843" w:rsidRPr="00A7778D" w:rsidRDefault="00FA1843" w:rsidP="00041DD0">
            <w:pPr>
              <w:spacing w:beforeLines="20" w:before="48" w:afterLines="20" w:after="48"/>
              <w:jc w:val="center"/>
              <w:rPr>
                <w:noProof/>
                <w:sz w:val="20"/>
              </w:rPr>
            </w:pPr>
          </w:p>
        </w:tc>
      </w:tr>
      <w:tr w:rsidR="00FA1843" w:rsidRPr="00A7778D" w14:paraId="455C8A35" w14:textId="77777777" w:rsidTr="00041DD0">
        <w:trPr>
          <w:trHeight w:val="289"/>
          <w:jc w:val="center"/>
        </w:trPr>
        <w:tc>
          <w:tcPr>
            <w:tcW w:w="2043" w:type="pct"/>
            <w:gridSpan w:val="2"/>
            <w:shd w:val="clear" w:color="auto" w:fill="auto"/>
            <w:vAlign w:val="center"/>
          </w:tcPr>
          <w:p w14:paraId="43DB9231" w14:textId="77777777" w:rsidR="00FA1843" w:rsidRPr="00A7778D" w:rsidRDefault="00FA1843" w:rsidP="00041DD0">
            <w:pPr>
              <w:pStyle w:val="Text1"/>
              <w:spacing w:beforeLines="20" w:before="48" w:afterLines="20" w:after="48"/>
              <w:ind w:left="984"/>
              <w:jc w:val="left"/>
              <w:rPr>
                <w:noProof/>
                <w:sz w:val="20"/>
              </w:rPr>
            </w:pPr>
            <w:r w:rsidRPr="00A7778D">
              <w:rPr>
                <w:noProof/>
                <w:sz w:val="20"/>
              </w:rPr>
              <w:t>10 01 05 01 (suora tutkimustoiminta)</w:t>
            </w:r>
          </w:p>
        </w:tc>
        <w:tc>
          <w:tcPr>
            <w:tcW w:w="377" w:type="pct"/>
            <w:shd w:val="clear" w:color="auto" w:fill="auto"/>
            <w:vAlign w:val="center"/>
          </w:tcPr>
          <w:p w14:paraId="59842B9B" w14:textId="77777777" w:rsidR="00FA1843" w:rsidRPr="00A7778D" w:rsidRDefault="00FA1843" w:rsidP="00041DD0">
            <w:pPr>
              <w:spacing w:beforeLines="20" w:before="48" w:afterLines="20" w:after="48"/>
              <w:jc w:val="center"/>
              <w:rPr>
                <w:noProof/>
                <w:sz w:val="20"/>
              </w:rPr>
            </w:pPr>
          </w:p>
        </w:tc>
        <w:tc>
          <w:tcPr>
            <w:tcW w:w="377" w:type="pct"/>
            <w:shd w:val="clear" w:color="auto" w:fill="auto"/>
            <w:vAlign w:val="center"/>
          </w:tcPr>
          <w:p w14:paraId="3E89AFED" w14:textId="77777777" w:rsidR="00FA1843" w:rsidRPr="00A7778D" w:rsidRDefault="00FA1843" w:rsidP="00041DD0">
            <w:pPr>
              <w:spacing w:beforeLines="20" w:before="48" w:afterLines="20" w:after="48"/>
              <w:jc w:val="center"/>
              <w:rPr>
                <w:noProof/>
                <w:sz w:val="20"/>
              </w:rPr>
            </w:pPr>
          </w:p>
        </w:tc>
        <w:tc>
          <w:tcPr>
            <w:tcW w:w="406" w:type="pct"/>
            <w:shd w:val="clear" w:color="auto" w:fill="auto"/>
            <w:vAlign w:val="center"/>
          </w:tcPr>
          <w:p w14:paraId="432EF00A" w14:textId="77777777" w:rsidR="00FA1843" w:rsidRPr="00A7778D" w:rsidRDefault="00FA1843" w:rsidP="00041DD0">
            <w:pPr>
              <w:spacing w:beforeLines="20" w:before="48" w:afterLines="20" w:after="48"/>
              <w:jc w:val="center"/>
              <w:rPr>
                <w:noProof/>
                <w:sz w:val="20"/>
              </w:rPr>
            </w:pPr>
          </w:p>
        </w:tc>
        <w:tc>
          <w:tcPr>
            <w:tcW w:w="497" w:type="pct"/>
            <w:shd w:val="clear" w:color="auto" w:fill="auto"/>
            <w:vAlign w:val="center"/>
          </w:tcPr>
          <w:p w14:paraId="7ABB7A68" w14:textId="77777777" w:rsidR="00FA1843" w:rsidRPr="00A7778D" w:rsidRDefault="00FA1843" w:rsidP="00041DD0">
            <w:pPr>
              <w:spacing w:beforeLines="20" w:before="48" w:afterLines="20" w:after="48"/>
              <w:jc w:val="center"/>
              <w:rPr>
                <w:noProof/>
                <w:sz w:val="20"/>
              </w:rPr>
            </w:pPr>
          </w:p>
        </w:tc>
        <w:tc>
          <w:tcPr>
            <w:tcW w:w="424" w:type="pct"/>
            <w:shd w:val="clear" w:color="auto" w:fill="auto"/>
            <w:vAlign w:val="center"/>
          </w:tcPr>
          <w:p w14:paraId="0553F2A1" w14:textId="77777777" w:rsidR="00FA1843" w:rsidRPr="00A7778D" w:rsidRDefault="00FA1843" w:rsidP="00041DD0">
            <w:pPr>
              <w:spacing w:beforeLines="20" w:before="48" w:afterLines="20" w:after="48"/>
              <w:jc w:val="center"/>
              <w:rPr>
                <w:noProof/>
                <w:sz w:val="20"/>
              </w:rPr>
            </w:pPr>
          </w:p>
        </w:tc>
        <w:tc>
          <w:tcPr>
            <w:tcW w:w="423" w:type="pct"/>
            <w:shd w:val="clear" w:color="auto" w:fill="auto"/>
            <w:vAlign w:val="center"/>
          </w:tcPr>
          <w:p w14:paraId="008FADEF" w14:textId="77777777" w:rsidR="00FA1843" w:rsidRPr="00A7778D" w:rsidRDefault="00FA1843" w:rsidP="00041DD0">
            <w:pPr>
              <w:spacing w:beforeLines="20" w:before="48" w:afterLines="20" w:after="48"/>
              <w:jc w:val="center"/>
              <w:rPr>
                <w:noProof/>
                <w:sz w:val="20"/>
              </w:rPr>
            </w:pPr>
          </w:p>
        </w:tc>
        <w:tc>
          <w:tcPr>
            <w:tcW w:w="452" w:type="pct"/>
            <w:gridSpan w:val="2"/>
            <w:shd w:val="clear" w:color="auto" w:fill="auto"/>
            <w:vAlign w:val="center"/>
          </w:tcPr>
          <w:p w14:paraId="23105A15" w14:textId="77777777" w:rsidR="00FA1843" w:rsidRPr="00A7778D" w:rsidRDefault="00FA1843" w:rsidP="00041DD0">
            <w:pPr>
              <w:spacing w:beforeLines="20" w:before="48" w:afterLines="20" w:after="48"/>
              <w:jc w:val="center"/>
              <w:rPr>
                <w:noProof/>
                <w:sz w:val="20"/>
              </w:rPr>
            </w:pPr>
          </w:p>
        </w:tc>
      </w:tr>
      <w:tr w:rsidR="00FA1843" w:rsidRPr="00A7778D" w14:paraId="582DA6A9" w14:textId="77777777" w:rsidTr="00041DD0">
        <w:trPr>
          <w:trHeight w:val="289"/>
          <w:jc w:val="center"/>
        </w:trPr>
        <w:tc>
          <w:tcPr>
            <w:tcW w:w="2043" w:type="pct"/>
            <w:gridSpan w:val="2"/>
            <w:shd w:val="clear" w:color="auto" w:fill="auto"/>
            <w:vAlign w:val="center"/>
          </w:tcPr>
          <w:p w14:paraId="0A2EE98A" w14:textId="77777777" w:rsidR="00FA1843" w:rsidRPr="00A7778D" w:rsidRDefault="00FA1843" w:rsidP="00041DD0">
            <w:pPr>
              <w:pStyle w:val="Text1"/>
              <w:spacing w:beforeLines="20" w:before="48" w:afterLines="20" w:after="48"/>
              <w:ind w:left="984"/>
              <w:jc w:val="left"/>
              <w:rPr>
                <w:noProof/>
                <w:sz w:val="20"/>
              </w:rPr>
            </w:pPr>
          </w:p>
        </w:tc>
        <w:tc>
          <w:tcPr>
            <w:tcW w:w="377" w:type="pct"/>
            <w:shd w:val="clear" w:color="auto" w:fill="auto"/>
            <w:vAlign w:val="center"/>
          </w:tcPr>
          <w:p w14:paraId="44C1F97F" w14:textId="77777777" w:rsidR="00FA1843" w:rsidRPr="00A7778D" w:rsidRDefault="00FA1843" w:rsidP="00041DD0">
            <w:pPr>
              <w:spacing w:beforeLines="20" w:before="48" w:afterLines="20" w:after="48"/>
              <w:jc w:val="center"/>
              <w:rPr>
                <w:noProof/>
                <w:sz w:val="20"/>
              </w:rPr>
            </w:pPr>
          </w:p>
        </w:tc>
        <w:tc>
          <w:tcPr>
            <w:tcW w:w="377" w:type="pct"/>
            <w:shd w:val="clear" w:color="auto" w:fill="auto"/>
            <w:vAlign w:val="center"/>
          </w:tcPr>
          <w:p w14:paraId="608D56F9" w14:textId="77777777" w:rsidR="00FA1843" w:rsidRPr="00A7778D" w:rsidRDefault="00FA1843" w:rsidP="00041DD0">
            <w:pPr>
              <w:spacing w:beforeLines="20" w:before="48" w:afterLines="20" w:after="48"/>
              <w:jc w:val="center"/>
              <w:rPr>
                <w:noProof/>
                <w:sz w:val="20"/>
              </w:rPr>
            </w:pPr>
          </w:p>
        </w:tc>
        <w:tc>
          <w:tcPr>
            <w:tcW w:w="406" w:type="pct"/>
            <w:shd w:val="clear" w:color="auto" w:fill="auto"/>
            <w:vAlign w:val="center"/>
          </w:tcPr>
          <w:p w14:paraId="294E867E" w14:textId="77777777" w:rsidR="00FA1843" w:rsidRPr="00A7778D" w:rsidRDefault="00FA1843" w:rsidP="00041DD0">
            <w:pPr>
              <w:spacing w:beforeLines="20" w:before="48" w:afterLines="20" w:after="48"/>
              <w:jc w:val="center"/>
              <w:rPr>
                <w:noProof/>
                <w:sz w:val="20"/>
              </w:rPr>
            </w:pPr>
          </w:p>
        </w:tc>
        <w:tc>
          <w:tcPr>
            <w:tcW w:w="497" w:type="pct"/>
            <w:shd w:val="clear" w:color="auto" w:fill="auto"/>
            <w:vAlign w:val="center"/>
          </w:tcPr>
          <w:p w14:paraId="448A692A" w14:textId="77777777" w:rsidR="00FA1843" w:rsidRPr="00A7778D" w:rsidRDefault="00FA1843" w:rsidP="00041DD0">
            <w:pPr>
              <w:spacing w:beforeLines="20" w:before="48" w:afterLines="20" w:after="48"/>
              <w:jc w:val="center"/>
              <w:rPr>
                <w:noProof/>
                <w:sz w:val="20"/>
              </w:rPr>
            </w:pPr>
          </w:p>
        </w:tc>
        <w:tc>
          <w:tcPr>
            <w:tcW w:w="424" w:type="pct"/>
            <w:shd w:val="clear" w:color="auto" w:fill="auto"/>
            <w:vAlign w:val="center"/>
          </w:tcPr>
          <w:p w14:paraId="0CF13E7D" w14:textId="77777777" w:rsidR="00FA1843" w:rsidRPr="00A7778D" w:rsidRDefault="00FA1843" w:rsidP="00041DD0">
            <w:pPr>
              <w:spacing w:beforeLines="20" w:before="48" w:afterLines="20" w:after="48"/>
              <w:jc w:val="center"/>
              <w:rPr>
                <w:noProof/>
                <w:sz w:val="20"/>
              </w:rPr>
            </w:pPr>
          </w:p>
        </w:tc>
        <w:tc>
          <w:tcPr>
            <w:tcW w:w="423" w:type="pct"/>
            <w:shd w:val="clear" w:color="auto" w:fill="auto"/>
            <w:vAlign w:val="center"/>
          </w:tcPr>
          <w:p w14:paraId="1DF6E6CD" w14:textId="77777777" w:rsidR="00FA1843" w:rsidRPr="00A7778D" w:rsidRDefault="00FA1843" w:rsidP="00041DD0">
            <w:pPr>
              <w:spacing w:beforeLines="20" w:before="48" w:afterLines="20" w:after="48"/>
              <w:jc w:val="center"/>
              <w:rPr>
                <w:noProof/>
                <w:sz w:val="20"/>
              </w:rPr>
            </w:pPr>
          </w:p>
        </w:tc>
        <w:tc>
          <w:tcPr>
            <w:tcW w:w="452" w:type="pct"/>
            <w:gridSpan w:val="2"/>
            <w:shd w:val="clear" w:color="auto" w:fill="auto"/>
            <w:vAlign w:val="center"/>
          </w:tcPr>
          <w:p w14:paraId="24011274" w14:textId="77777777" w:rsidR="00FA1843" w:rsidRPr="00A7778D" w:rsidRDefault="00FA1843" w:rsidP="00041DD0">
            <w:pPr>
              <w:spacing w:beforeLines="20" w:before="48" w:afterLines="20" w:after="48"/>
              <w:jc w:val="center"/>
              <w:rPr>
                <w:noProof/>
                <w:sz w:val="20"/>
              </w:rPr>
            </w:pPr>
          </w:p>
        </w:tc>
      </w:tr>
      <w:tr w:rsidR="00FA1843" w:rsidRPr="00A7778D" w14:paraId="558F4FBB" w14:textId="77777777" w:rsidTr="00041DD0">
        <w:trPr>
          <w:trHeight w:val="289"/>
          <w:jc w:val="center"/>
        </w:trPr>
        <w:tc>
          <w:tcPr>
            <w:tcW w:w="2043" w:type="pct"/>
            <w:gridSpan w:val="2"/>
            <w:shd w:val="clear" w:color="auto" w:fill="auto"/>
            <w:vAlign w:val="center"/>
          </w:tcPr>
          <w:p w14:paraId="6A5F75E9" w14:textId="77777777" w:rsidR="00FA1843" w:rsidRPr="00A7778D" w:rsidRDefault="00FA1843" w:rsidP="00041DD0">
            <w:pPr>
              <w:pStyle w:val="Text1"/>
              <w:spacing w:beforeLines="20" w:before="48" w:afterLines="20" w:after="48"/>
              <w:ind w:left="208" w:hanging="120"/>
              <w:jc w:val="left"/>
              <w:rPr>
                <w:noProof/>
                <w:sz w:val="20"/>
              </w:rPr>
            </w:pPr>
            <w:r w:rsidRPr="00A7778D">
              <w:rPr>
                <w:b/>
                <w:noProof/>
                <w:sz w:val="20"/>
              </w:rPr>
              <w:sym w:font="Wingdings" w:char="F09F"/>
            </w:r>
            <w:r w:rsidRPr="00A7778D">
              <w:rPr>
                <w:noProof/>
              </w:rPr>
              <w:t xml:space="preserve"> </w:t>
            </w:r>
            <w:r w:rsidRPr="00A7778D">
              <w:rPr>
                <w:b/>
                <w:noProof/>
                <w:sz w:val="20"/>
              </w:rPr>
              <w:t>Ulkopuolinen henkilöstö (kokoaikaiseksi muutettuna)</w:t>
            </w:r>
            <w:r w:rsidRPr="00A7778D">
              <w:rPr>
                <w:rStyle w:val="FootnoteReference0"/>
                <w:b/>
                <w:noProof/>
                <w:sz w:val="20"/>
              </w:rPr>
              <w:footnoteReference w:id="66"/>
            </w:r>
          </w:p>
        </w:tc>
        <w:tc>
          <w:tcPr>
            <w:tcW w:w="377" w:type="pct"/>
            <w:shd w:val="clear" w:color="auto" w:fill="auto"/>
            <w:vAlign w:val="center"/>
          </w:tcPr>
          <w:p w14:paraId="6B3B67A6" w14:textId="77777777" w:rsidR="00FA1843" w:rsidRPr="00A7778D" w:rsidRDefault="00FA1843" w:rsidP="00041DD0">
            <w:pPr>
              <w:spacing w:beforeLines="20" w:before="48" w:afterLines="20" w:after="48"/>
              <w:jc w:val="center"/>
              <w:rPr>
                <w:noProof/>
                <w:sz w:val="20"/>
              </w:rPr>
            </w:pPr>
          </w:p>
        </w:tc>
        <w:tc>
          <w:tcPr>
            <w:tcW w:w="377" w:type="pct"/>
            <w:shd w:val="clear" w:color="auto" w:fill="auto"/>
            <w:vAlign w:val="center"/>
          </w:tcPr>
          <w:p w14:paraId="61043CBF" w14:textId="77777777" w:rsidR="00FA1843" w:rsidRPr="00A7778D" w:rsidRDefault="00FA1843" w:rsidP="00041DD0">
            <w:pPr>
              <w:spacing w:beforeLines="20" w:before="48" w:afterLines="20" w:after="48"/>
              <w:jc w:val="center"/>
              <w:rPr>
                <w:noProof/>
                <w:sz w:val="20"/>
              </w:rPr>
            </w:pPr>
          </w:p>
        </w:tc>
        <w:tc>
          <w:tcPr>
            <w:tcW w:w="406" w:type="pct"/>
            <w:shd w:val="clear" w:color="auto" w:fill="auto"/>
            <w:vAlign w:val="center"/>
          </w:tcPr>
          <w:p w14:paraId="7A9B4586" w14:textId="77777777" w:rsidR="00FA1843" w:rsidRPr="00A7778D" w:rsidRDefault="00FA1843" w:rsidP="00041DD0">
            <w:pPr>
              <w:spacing w:beforeLines="20" w:before="48" w:afterLines="20" w:after="48"/>
              <w:jc w:val="center"/>
              <w:rPr>
                <w:noProof/>
                <w:sz w:val="20"/>
              </w:rPr>
            </w:pPr>
          </w:p>
        </w:tc>
        <w:tc>
          <w:tcPr>
            <w:tcW w:w="497" w:type="pct"/>
            <w:shd w:val="clear" w:color="auto" w:fill="auto"/>
            <w:vAlign w:val="center"/>
          </w:tcPr>
          <w:p w14:paraId="31C7133A" w14:textId="77777777" w:rsidR="00FA1843" w:rsidRPr="00A7778D" w:rsidRDefault="00FA1843" w:rsidP="00041DD0">
            <w:pPr>
              <w:spacing w:beforeLines="20" w:before="48" w:afterLines="20" w:after="48"/>
              <w:jc w:val="center"/>
              <w:rPr>
                <w:noProof/>
                <w:sz w:val="20"/>
              </w:rPr>
            </w:pPr>
          </w:p>
        </w:tc>
        <w:tc>
          <w:tcPr>
            <w:tcW w:w="424" w:type="pct"/>
            <w:shd w:val="clear" w:color="auto" w:fill="auto"/>
            <w:vAlign w:val="center"/>
          </w:tcPr>
          <w:p w14:paraId="3D396120" w14:textId="77777777" w:rsidR="00FA1843" w:rsidRPr="00A7778D" w:rsidRDefault="00FA1843" w:rsidP="00041DD0">
            <w:pPr>
              <w:spacing w:beforeLines="20" w:before="48" w:afterLines="20" w:after="48"/>
              <w:jc w:val="center"/>
              <w:rPr>
                <w:noProof/>
                <w:sz w:val="20"/>
              </w:rPr>
            </w:pPr>
          </w:p>
        </w:tc>
        <w:tc>
          <w:tcPr>
            <w:tcW w:w="423" w:type="pct"/>
            <w:shd w:val="clear" w:color="auto" w:fill="auto"/>
            <w:vAlign w:val="center"/>
          </w:tcPr>
          <w:p w14:paraId="5D4FE649" w14:textId="77777777" w:rsidR="00FA1843" w:rsidRPr="00A7778D" w:rsidRDefault="00FA1843" w:rsidP="00041DD0">
            <w:pPr>
              <w:spacing w:beforeLines="20" w:before="48" w:afterLines="20" w:after="48"/>
              <w:jc w:val="center"/>
              <w:rPr>
                <w:noProof/>
                <w:sz w:val="20"/>
              </w:rPr>
            </w:pPr>
          </w:p>
        </w:tc>
        <w:tc>
          <w:tcPr>
            <w:tcW w:w="452" w:type="pct"/>
            <w:gridSpan w:val="2"/>
            <w:shd w:val="clear" w:color="auto" w:fill="auto"/>
            <w:vAlign w:val="center"/>
          </w:tcPr>
          <w:p w14:paraId="5D425A4E" w14:textId="77777777" w:rsidR="00FA1843" w:rsidRPr="00A7778D" w:rsidRDefault="00FA1843" w:rsidP="00041DD0">
            <w:pPr>
              <w:spacing w:beforeLines="20" w:before="48" w:afterLines="20" w:after="48"/>
              <w:jc w:val="center"/>
              <w:rPr>
                <w:noProof/>
                <w:sz w:val="20"/>
              </w:rPr>
            </w:pPr>
          </w:p>
        </w:tc>
      </w:tr>
      <w:tr w:rsidR="00FA1843" w:rsidRPr="00A7778D" w14:paraId="11C36130" w14:textId="77777777" w:rsidTr="00041DD0">
        <w:trPr>
          <w:trHeight w:val="289"/>
          <w:jc w:val="center"/>
        </w:trPr>
        <w:tc>
          <w:tcPr>
            <w:tcW w:w="2043" w:type="pct"/>
            <w:gridSpan w:val="2"/>
            <w:shd w:val="clear" w:color="auto" w:fill="auto"/>
            <w:vAlign w:val="center"/>
          </w:tcPr>
          <w:p w14:paraId="75F29A43" w14:textId="77777777" w:rsidR="00FA1843" w:rsidRPr="00A7778D" w:rsidRDefault="00FA1843" w:rsidP="00041DD0">
            <w:pPr>
              <w:pStyle w:val="Text1"/>
              <w:spacing w:beforeLines="20" w:before="48" w:afterLines="20" w:after="48"/>
              <w:ind w:left="986"/>
              <w:jc w:val="left"/>
              <w:rPr>
                <w:b/>
                <w:noProof/>
                <w:sz w:val="20"/>
              </w:rPr>
            </w:pPr>
            <w:r w:rsidRPr="00A7778D">
              <w:rPr>
                <w:noProof/>
                <w:sz w:val="20"/>
              </w:rPr>
              <w:t>20 02 01 (kokonaismäärärahoista katettavat sopimussuhteiset toimihenkilöt, kansalliset asiantuntijat ja vuokrahenkilöstö)</w:t>
            </w:r>
          </w:p>
        </w:tc>
        <w:tc>
          <w:tcPr>
            <w:tcW w:w="377" w:type="pct"/>
            <w:shd w:val="clear" w:color="auto" w:fill="auto"/>
            <w:vAlign w:val="center"/>
          </w:tcPr>
          <w:p w14:paraId="7714FAAA" w14:textId="77777777" w:rsidR="00FA1843" w:rsidRPr="00A7778D" w:rsidRDefault="00FA1843" w:rsidP="00041DD0">
            <w:pPr>
              <w:spacing w:beforeLines="20" w:before="48" w:afterLines="20" w:after="48"/>
              <w:jc w:val="center"/>
              <w:rPr>
                <w:noProof/>
                <w:sz w:val="20"/>
              </w:rPr>
            </w:pPr>
          </w:p>
        </w:tc>
        <w:tc>
          <w:tcPr>
            <w:tcW w:w="377" w:type="pct"/>
            <w:shd w:val="clear" w:color="auto" w:fill="auto"/>
            <w:vAlign w:val="center"/>
          </w:tcPr>
          <w:p w14:paraId="7AE1558C" w14:textId="77777777" w:rsidR="00FA1843" w:rsidRPr="00A7778D" w:rsidRDefault="00FA1843" w:rsidP="00041DD0">
            <w:pPr>
              <w:spacing w:beforeLines="20" w:before="48" w:afterLines="20" w:after="48"/>
              <w:jc w:val="center"/>
              <w:rPr>
                <w:noProof/>
                <w:sz w:val="20"/>
              </w:rPr>
            </w:pPr>
          </w:p>
        </w:tc>
        <w:tc>
          <w:tcPr>
            <w:tcW w:w="406" w:type="pct"/>
            <w:shd w:val="clear" w:color="auto" w:fill="auto"/>
            <w:vAlign w:val="center"/>
          </w:tcPr>
          <w:p w14:paraId="319BDD90" w14:textId="77777777" w:rsidR="00FA1843" w:rsidRPr="00A7778D" w:rsidRDefault="00FA1843" w:rsidP="00041DD0">
            <w:pPr>
              <w:spacing w:beforeLines="20" w:before="48" w:afterLines="20" w:after="48"/>
              <w:jc w:val="center"/>
              <w:rPr>
                <w:noProof/>
                <w:sz w:val="20"/>
              </w:rPr>
            </w:pPr>
          </w:p>
        </w:tc>
        <w:tc>
          <w:tcPr>
            <w:tcW w:w="497" w:type="pct"/>
            <w:shd w:val="clear" w:color="auto" w:fill="auto"/>
            <w:vAlign w:val="center"/>
          </w:tcPr>
          <w:p w14:paraId="438FA0F9" w14:textId="77777777" w:rsidR="00FA1843" w:rsidRPr="00A7778D" w:rsidRDefault="00FA1843" w:rsidP="00041DD0">
            <w:pPr>
              <w:spacing w:beforeLines="20" w:before="48" w:afterLines="20" w:after="48"/>
              <w:jc w:val="center"/>
              <w:rPr>
                <w:noProof/>
                <w:sz w:val="20"/>
              </w:rPr>
            </w:pPr>
          </w:p>
        </w:tc>
        <w:tc>
          <w:tcPr>
            <w:tcW w:w="424" w:type="pct"/>
            <w:shd w:val="clear" w:color="auto" w:fill="auto"/>
            <w:vAlign w:val="center"/>
          </w:tcPr>
          <w:p w14:paraId="781F4B1E" w14:textId="77777777" w:rsidR="00FA1843" w:rsidRPr="00A7778D" w:rsidRDefault="00FA1843" w:rsidP="00041DD0">
            <w:pPr>
              <w:spacing w:beforeLines="20" w:before="48" w:afterLines="20" w:after="48"/>
              <w:jc w:val="center"/>
              <w:rPr>
                <w:noProof/>
                <w:sz w:val="20"/>
              </w:rPr>
            </w:pPr>
          </w:p>
        </w:tc>
        <w:tc>
          <w:tcPr>
            <w:tcW w:w="423" w:type="pct"/>
            <w:shd w:val="clear" w:color="auto" w:fill="auto"/>
            <w:vAlign w:val="center"/>
          </w:tcPr>
          <w:p w14:paraId="6391B5DB" w14:textId="77777777" w:rsidR="00FA1843" w:rsidRPr="00A7778D" w:rsidRDefault="00FA1843" w:rsidP="00041DD0">
            <w:pPr>
              <w:spacing w:beforeLines="20" w:before="48" w:afterLines="20" w:after="48"/>
              <w:jc w:val="center"/>
              <w:rPr>
                <w:noProof/>
                <w:sz w:val="20"/>
              </w:rPr>
            </w:pPr>
          </w:p>
        </w:tc>
        <w:tc>
          <w:tcPr>
            <w:tcW w:w="452" w:type="pct"/>
            <w:gridSpan w:val="2"/>
            <w:shd w:val="clear" w:color="auto" w:fill="auto"/>
            <w:vAlign w:val="center"/>
          </w:tcPr>
          <w:p w14:paraId="67FA8B6A" w14:textId="77777777" w:rsidR="00FA1843" w:rsidRPr="00A7778D" w:rsidRDefault="00FA1843" w:rsidP="00041DD0">
            <w:pPr>
              <w:spacing w:beforeLines="20" w:before="48" w:afterLines="20" w:after="48"/>
              <w:jc w:val="center"/>
              <w:rPr>
                <w:noProof/>
                <w:sz w:val="20"/>
              </w:rPr>
            </w:pPr>
          </w:p>
        </w:tc>
      </w:tr>
      <w:tr w:rsidR="00FA1843" w:rsidRPr="00A7778D" w14:paraId="19853004" w14:textId="77777777" w:rsidTr="00041DD0">
        <w:trPr>
          <w:trHeight w:val="289"/>
          <w:jc w:val="center"/>
        </w:trPr>
        <w:tc>
          <w:tcPr>
            <w:tcW w:w="2043" w:type="pct"/>
            <w:gridSpan w:val="2"/>
            <w:shd w:val="clear" w:color="auto" w:fill="auto"/>
            <w:vAlign w:val="center"/>
          </w:tcPr>
          <w:p w14:paraId="0F7435B3" w14:textId="77777777" w:rsidR="00FA1843" w:rsidRPr="00A7778D" w:rsidRDefault="00FA1843" w:rsidP="00041DD0">
            <w:pPr>
              <w:pStyle w:val="Text1"/>
              <w:spacing w:beforeLines="20" w:before="48" w:afterLines="20" w:after="48"/>
              <w:ind w:left="986"/>
              <w:jc w:val="left"/>
              <w:rPr>
                <w:noProof/>
                <w:sz w:val="20"/>
              </w:rPr>
            </w:pPr>
            <w:r w:rsidRPr="00A7778D">
              <w:rPr>
                <w:noProof/>
                <w:sz w:val="20"/>
              </w:rPr>
              <w:t>20 02 03 (sopimussuhteiset ja paikalliset toimihenkilöt, kansalliset asiantuntijat, vuokrahenkilöstö ja nuoremmat asiantuntijat EU:n ulkopuolisissa edustustoissa)</w:t>
            </w:r>
          </w:p>
        </w:tc>
        <w:tc>
          <w:tcPr>
            <w:tcW w:w="377" w:type="pct"/>
            <w:shd w:val="clear" w:color="auto" w:fill="auto"/>
            <w:vAlign w:val="center"/>
          </w:tcPr>
          <w:p w14:paraId="783CBD89" w14:textId="77777777" w:rsidR="00FA1843" w:rsidRPr="00A7778D" w:rsidRDefault="00FA1843" w:rsidP="00041DD0">
            <w:pPr>
              <w:spacing w:beforeLines="20" w:before="48" w:afterLines="20" w:after="48"/>
              <w:jc w:val="center"/>
              <w:rPr>
                <w:noProof/>
                <w:sz w:val="20"/>
              </w:rPr>
            </w:pPr>
          </w:p>
        </w:tc>
        <w:tc>
          <w:tcPr>
            <w:tcW w:w="377" w:type="pct"/>
            <w:shd w:val="clear" w:color="auto" w:fill="auto"/>
            <w:vAlign w:val="center"/>
          </w:tcPr>
          <w:p w14:paraId="4D4022BC" w14:textId="77777777" w:rsidR="00FA1843" w:rsidRPr="00A7778D" w:rsidRDefault="00FA1843" w:rsidP="00041DD0">
            <w:pPr>
              <w:spacing w:beforeLines="20" w:before="48" w:afterLines="20" w:after="48"/>
              <w:jc w:val="center"/>
              <w:rPr>
                <w:noProof/>
                <w:sz w:val="20"/>
              </w:rPr>
            </w:pPr>
          </w:p>
        </w:tc>
        <w:tc>
          <w:tcPr>
            <w:tcW w:w="406" w:type="pct"/>
            <w:shd w:val="clear" w:color="auto" w:fill="auto"/>
            <w:vAlign w:val="center"/>
          </w:tcPr>
          <w:p w14:paraId="30816AC7" w14:textId="77777777" w:rsidR="00FA1843" w:rsidRPr="00A7778D" w:rsidRDefault="00FA1843" w:rsidP="00041DD0">
            <w:pPr>
              <w:spacing w:beforeLines="20" w:before="48" w:afterLines="20" w:after="48"/>
              <w:jc w:val="center"/>
              <w:rPr>
                <w:noProof/>
                <w:sz w:val="20"/>
              </w:rPr>
            </w:pPr>
          </w:p>
        </w:tc>
        <w:tc>
          <w:tcPr>
            <w:tcW w:w="497" w:type="pct"/>
            <w:shd w:val="clear" w:color="auto" w:fill="auto"/>
            <w:vAlign w:val="center"/>
          </w:tcPr>
          <w:p w14:paraId="6FEA1E05" w14:textId="77777777" w:rsidR="00FA1843" w:rsidRPr="00A7778D" w:rsidRDefault="00FA1843" w:rsidP="00041DD0">
            <w:pPr>
              <w:spacing w:beforeLines="20" w:before="48" w:afterLines="20" w:after="48"/>
              <w:jc w:val="center"/>
              <w:rPr>
                <w:noProof/>
                <w:sz w:val="20"/>
              </w:rPr>
            </w:pPr>
          </w:p>
        </w:tc>
        <w:tc>
          <w:tcPr>
            <w:tcW w:w="424" w:type="pct"/>
            <w:shd w:val="clear" w:color="auto" w:fill="auto"/>
            <w:vAlign w:val="center"/>
          </w:tcPr>
          <w:p w14:paraId="038E9BD5" w14:textId="77777777" w:rsidR="00FA1843" w:rsidRPr="00A7778D" w:rsidRDefault="00FA1843" w:rsidP="00041DD0">
            <w:pPr>
              <w:spacing w:beforeLines="20" w:before="48" w:afterLines="20" w:after="48"/>
              <w:jc w:val="center"/>
              <w:rPr>
                <w:noProof/>
                <w:sz w:val="20"/>
              </w:rPr>
            </w:pPr>
          </w:p>
        </w:tc>
        <w:tc>
          <w:tcPr>
            <w:tcW w:w="423" w:type="pct"/>
            <w:shd w:val="clear" w:color="auto" w:fill="auto"/>
            <w:vAlign w:val="center"/>
          </w:tcPr>
          <w:p w14:paraId="10FCF128" w14:textId="77777777" w:rsidR="00FA1843" w:rsidRPr="00A7778D" w:rsidRDefault="00FA1843" w:rsidP="00041DD0">
            <w:pPr>
              <w:spacing w:beforeLines="20" w:before="48" w:afterLines="20" w:after="48"/>
              <w:jc w:val="center"/>
              <w:rPr>
                <w:noProof/>
                <w:sz w:val="20"/>
              </w:rPr>
            </w:pPr>
          </w:p>
        </w:tc>
        <w:tc>
          <w:tcPr>
            <w:tcW w:w="452" w:type="pct"/>
            <w:gridSpan w:val="2"/>
            <w:shd w:val="clear" w:color="auto" w:fill="auto"/>
            <w:vAlign w:val="center"/>
          </w:tcPr>
          <w:p w14:paraId="52BC368A" w14:textId="77777777" w:rsidR="00FA1843" w:rsidRPr="00A7778D" w:rsidRDefault="00FA1843" w:rsidP="00041DD0">
            <w:pPr>
              <w:spacing w:beforeLines="20" w:before="48" w:afterLines="20" w:after="48"/>
              <w:jc w:val="center"/>
              <w:rPr>
                <w:noProof/>
                <w:sz w:val="20"/>
              </w:rPr>
            </w:pPr>
          </w:p>
        </w:tc>
      </w:tr>
      <w:tr w:rsidR="00FA1843" w:rsidRPr="00A7778D" w14:paraId="2390A3B9" w14:textId="77777777" w:rsidTr="00041DD0">
        <w:trPr>
          <w:trHeight w:val="289"/>
          <w:jc w:val="center"/>
        </w:trPr>
        <w:tc>
          <w:tcPr>
            <w:tcW w:w="1018" w:type="pct"/>
            <w:vMerge w:val="restart"/>
            <w:shd w:val="clear" w:color="auto" w:fill="auto"/>
            <w:vAlign w:val="center"/>
          </w:tcPr>
          <w:p w14:paraId="258FC1CD" w14:textId="77777777" w:rsidR="00FA1843" w:rsidRPr="00A7778D" w:rsidRDefault="00FA1843" w:rsidP="00041DD0">
            <w:pPr>
              <w:pStyle w:val="Text1"/>
              <w:spacing w:beforeLines="20" w:before="48" w:afterLines="20" w:after="48"/>
              <w:ind w:left="986"/>
              <w:jc w:val="left"/>
              <w:rPr>
                <w:b/>
                <w:noProof/>
                <w:sz w:val="20"/>
              </w:rPr>
            </w:pPr>
            <w:r w:rsidRPr="00A7778D">
              <w:rPr>
                <w:noProof/>
                <w:sz w:val="20"/>
              </w:rPr>
              <w:t>Budjettikohdat (täsmennettävä)</w:t>
            </w:r>
            <w:r w:rsidRPr="00A7778D">
              <w:rPr>
                <w:b/>
                <w:noProof/>
                <w:sz w:val="20"/>
              </w:rPr>
              <w:t xml:space="preserve"> </w:t>
            </w:r>
            <w:r w:rsidRPr="00A7778D">
              <w:rPr>
                <w:rStyle w:val="FootnoteReference0"/>
                <w:b/>
                <w:noProof/>
                <w:sz w:val="20"/>
              </w:rPr>
              <w:footnoteReference w:id="67"/>
            </w:r>
          </w:p>
        </w:tc>
        <w:tc>
          <w:tcPr>
            <w:tcW w:w="1025" w:type="pct"/>
            <w:shd w:val="clear" w:color="auto" w:fill="auto"/>
            <w:vAlign w:val="center"/>
          </w:tcPr>
          <w:p w14:paraId="170A9FBB" w14:textId="77777777" w:rsidR="00FA1843" w:rsidRPr="00A7778D" w:rsidRDefault="00FA1843" w:rsidP="00041DD0">
            <w:pPr>
              <w:pStyle w:val="Text1"/>
              <w:spacing w:beforeLines="20" w:before="48" w:afterLines="20" w:after="48"/>
              <w:ind w:left="598"/>
              <w:jc w:val="left"/>
              <w:rPr>
                <w:b/>
                <w:noProof/>
                <w:sz w:val="20"/>
              </w:rPr>
            </w:pPr>
            <w:r w:rsidRPr="00A7778D">
              <w:rPr>
                <w:noProof/>
                <w:sz w:val="20"/>
              </w:rPr>
              <w:t>– päätoimipaikassa</w:t>
            </w:r>
            <w:r w:rsidRPr="00A7778D">
              <w:rPr>
                <w:rStyle w:val="FootnoteReference0"/>
                <w:noProof/>
                <w:sz w:val="20"/>
              </w:rPr>
              <w:footnoteReference w:id="68"/>
            </w:r>
            <w:r w:rsidRPr="00A7778D">
              <w:rPr>
                <w:noProof/>
              </w:rPr>
              <w:t xml:space="preserve"> </w:t>
            </w:r>
            <w:r w:rsidRPr="00A7778D">
              <w:rPr>
                <w:noProof/>
              </w:rPr>
              <w:br/>
            </w:r>
          </w:p>
        </w:tc>
        <w:tc>
          <w:tcPr>
            <w:tcW w:w="377" w:type="pct"/>
            <w:shd w:val="clear" w:color="auto" w:fill="auto"/>
            <w:vAlign w:val="center"/>
          </w:tcPr>
          <w:p w14:paraId="0D9E7CA3" w14:textId="77777777" w:rsidR="00FA1843" w:rsidRPr="00A7778D" w:rsidRDefault="00FA1843" w:rsidP="00041DD0">
            <w:pPr>
              <w:pStyle w:val="Text1"/>
              <w:spacing w:beforeLines="20" w:before="48" w:afterLines="20" w:after="48"/>
              <w:rPr>
                <w:noProof/>
                <w:sz w:val="20"/>
              </w:rPr>
            </w:pPr>
          </w:p>
        </w:tc>
        <w:tc>
          <w:tcPr>
            <w:tcW w:w="377" w:type="pct"/>
            <w:shd w:val="clear" w:color="auto" w:fill="auto"/>
            <w:vAlign w:val="center"/>
          </w:tcPr>
          <w:p w14:paraId="1420396E" w14:textId="77777777" w:rsidR="00FA1843" w:rsidRPr="00A7778D" w:rsidRDefault="00FA1843" w:rsidP="00041DD0">
            <w:pPr>
              <w:spacing w:beforeLines="20" w:before="48" w:afterLines="20" w:after="48"/>
              <w:jc w:val="center"/>
              <w:rPr>
                <w:noProof/>
                <w:sz w:val="20"/>
              </w:rPr>
            </w:pPr>
          </w:p>
        </w:tc>
        <w:tc>
          <w:tcPr>
            <w:tcW w:w="406" w:type="pct"/>
            <w:shd w:val="clear" w:color="auto" w:fill="auto"/>
            <w:vAlign w:val="center"/>
          </w:tcPr>
          <w:p w14:paraId="3347FDFD" w14:textId="77777777" w:rsidR="00FA1843" w:rsidRPr="00A7778D" w:rsidRDefault="00FA1843" w:rsidP="00041DD0">
            <w:pPr>
              <w:spacing w:beforeLines="20" w:before="48" w:afterLines="20" w:after="48"/>
              <w:jc w:val="center"/>
              <w:rPr>
                <w:noProof/>
                <w:sz w:val="20"/>
              </w:rPr>
            </w:pPr>
          </w:p>
        </w:tc>
        <w:tc>
          <w:tcPr>
            <w:tcW w:w="497" w:type="pct"/>
            <w:shd w:val="clear" w:color="auto" w:fill="auto"/>
            <w:vAlign w:val="center"/>
          </w:tcPr>
          <w:p w14:paraId="6BE7A242" w14:textId="77777777" w:rsidR="00FA1843" w:rsidRPr="00A7778D" w:rsidRDefault="00FA1843" w:rsidP="00041DD0">
            <w:pPr>
              <w:spacing w:beforeLines="20" w:before="48" w:afterLines="20" w:after="48"/>
              <w:jc w:val="center"/>
              <w:rPr>
                <w:noProof/>
                <w:sz w:val="20"/>
              </w:rPr>
            </w:pPr>
          </w:p>
        </w:tc>
        <w:tc>
          <w:tcPr>
            <w:tcW w:w="424" w:type="pct"/>
            <w:shd w:val="clear" w:color="auto" w:fill="auto"/>
            <w:vAlign w:val="center"/>
          </w:tcPr>
          <w:p w14:paraId="3048A587" w14:textId="77777777" w:rsidR="00FA1843" w:rsidRPr="00A7778D" w:rsidRDefault="00FA1843" w:rsidP="00041DD0">
            <w:pPr>
              <w:spacing w:beforeLines="20" w:before="48" w:afterLines="20" w:after="48"/>
              <w:jc w:val="center"/>
              <w:rPr>
                <w:noProof/>
                <w:sz w:val="20"/>
              </w:rPr>
            </w:pPr>
          </w:p>
        </w:tc>
        <w:tc>
          <w:tcPr>
            <w:tcW w:w="423" w:type="pct"/>
            <w:shd w:val="clear" w:color="auto" w:fill="auto"/>
            <w:vAlign w:val="center"/>
          </w:tcPr>
          <w:p w14:paraId="6E030714" w14:textId="77777777" w:rsidR="00FA1843" w:rsidRPr="00A7778D" w:rsidRDefault="00FA1843" w:rsidP="00041DD0">
            <w:pPr>
              <w:spacing w:beforeLines="20" w:before="48" w:afterLines="20" w:after="48"/>
              <w:jc w:val="center"/>
              <w:rPr>
                <w:noProof/>
                <w:sz w:val="20"/>
              </w:rPr>
            </w:pPr>
          </w:p>
        </w:tc>
        <w:tc>
          <w:tcPr>
            <w:tcW w:w="452" w:type="pct"/>
            <w:gridSpan w:val="2"/>
            <w:shd w:val="clear" w:color="auto" w:fill="auto"/>
            <w:vAlign w:val="center"/>
          </w:tcPr>
          <w:p w14:paraId="05337EB5" w14:textId="77777777" w:rsidR="00FA1843" w:rsidRPr="00A7778D" w:rsidRDefault="00FA1843" w:rsidP="00041DD0">
            <w:pPr>
              <w:spacing w:beforeLines="20" w:before="48" w:afterLines="20" w:after="48"/>
              <w:jc w:val="center"/>
              <w:rPr>
                <w:noProof/>
                <w:sz w:val="20"/>
              </w:rPr>
            </w:pPr>
          </w:p>
        </w:tc>
      </w:tr>
      <w:tr w:rsidR="00FA1843" w:rsidRPr="00A7778D" w14:paraId="17917ED2" w14:textId="77777777" w:rsidTr="00041DD0">
        <w:trPr>
          <w:trHeight w:val="289"/>
          <w:jc w:val="center"/>
        </w:trPr>
        <w:tc>
          <w:tcPr>
            <w:tcW w:w="1018" w:type="pct"/>
            <w:vMerge/>
            <w:shd w:val="clear" w:color="auto" w:fill="auto"/>
            <w:vAlign w:val="center"/>
          </w:tcPr>
          <w:p w14:paraId="7EE5ABFF" w14:textId="77777777" w:rsidR="00FA1843" w:rsidRPr="00A7778D" w:rsidRDefault="00FA1843" w:rsidP="00041DD0">
            <w:pPr>
              <w:rPr>
                <w:b/>
                <w:noProof/>
                <w:sz w:val="20"/>
              </w:rPr>
            </w:pPr>
          </w:p>
        </w:tc>
        <w:tc>
          <w:tcPr>
            <w:tcW w:w="1025" w:type="pct"/>
            <w:shd w:val="clear" w:color="auto" w:fill="auto"/>
            <w:vAlign w:val="center"/>
          </w:tcPr>
          <w:p w14:paraId="4C0453E4" w14:textId="77777777" w:rsidR="00FA1843" w:rsidRPr="00A7778D" w:rsidRDefault="00FA1843" w:rsidP="00041DD0">
            <w:pPr>
              <w:pStyle w:val="Text1"/>
              <w:spacing w:beforeLines="20" w:before="48" w:afterLines="20" w:after="48"/>
              <w:ind w:left="598"/>
              <w:jc w:val="left"/>
              <w:rPr>
                <w:b/>
                <w:noProof/>
                <w:sz w:val="20"/>
              </w:rPr>
            </w:pPr>
            <w:r w:rsidRPr="00A7778D">
              <w:rPr>
                <w:noProof/>
                <w:sz w:val="20"/>
              </w:rPr>
              <w:t xml:space="preserve">– EU:n ulkopuolisissa edustustoissa </w:t>
            </w:r>
          </w:p>
        </w:tc>
        <w:tc>
          <w:tcPr>
            <w:tcW w:w="377" w:type="pct"/>
            <w:shd w:val="clear" w:color="auto" w:fill="auto"/>
            <w:vAlign w:val="center"/>
          </w:tcPr>
          <w:p w14:paraId="5D132E37" w14:textId="77777777" w:rsidR="00FA1843" w:rsidRPr="00A7778D" w:rsidRDefault="00FA1843" w:rsidP="00041DD0">
            <w:pPr>
              <w:pStyle w:val="Text1"/>
              <w:spacing w:beforeLines="20" w:before="48" w:afterLines="20" w:after="48"/>
              <w:rPr>
                <w:noProof/>
                <w:sz w:val="20"/>
              </w:rPr>
            </w:pPr>
          </w:p>
        </w:tc>
        <w:tc>
          <w:tcPr>
            <w:tcW w:w="377" w:type="pct"/>
            <w:shd w:val="clear" w:color="auto" w:fill="auto"/>
            <w:vAlign w:val="center"/>
          </w:tcPr>
          <w:p w14:paraId="43E0CC65" w14:textId="77777777" w:rsidR="00FA1843" w:rsidRPr="00A7778D" w:rsidRDefault="00FA1843" w:rsidP="00041DD0">
            <w:pPr>
              <w:spacing w:beforeLines="20" w:before="48" w:afterLines="20" w:after="48"/>
              <w:jc w:val="center"/>
              <w:rPr>
                <w:noProof/>
                <w:sz w:val="20"/>
              </w:rPr>
            </w:pPr>
          </w:p>
        </w:tc>
        <w:tc>
          <w:tcPr>
            <w:tcW w:w="406" w:type="pct"/>
            <w:shd w:val="clear" w:color="auto" w:fill="auto"/>
            <w:vAlign w:val="center"/>
          </w:tcPr>
          <w:p w14:paraId="220E256C" w14:textId="77777777" w:rsidR="00FA1843" w:rsidRPr="00A7778D" w:rsidRDefault="00FA1843" w:rsidP="00041DD0">
            <w:pPr>
              <w:spacing w:beforeLines="20" w:before="48" w:afterLines="20" w:after="48"/>
              <w:jc w:val="center"/>
              <w:rPr>
                <w:noProof/>
                <w:sz w:val="20"/>
              </w:rPr>
            </w:pPr>
          </w:p>
        </w:tc>
        <w:tc>
          <w:tcPr>
            <w:tcW w:w="497" w:type="pct"/>
            <w:shd w:val="clear" w:color="auto" w:fill="auto"/>
            <w:vAlign w:val="center"/>
          </w:tcPr>
          <w:p w14:paraId="13BE54D6" w14:textId="77777777" w:rsidR="00FA1843" w:rsidRPr="00A7778D" w:rsidRDefault="00FA1843" w:rsidP="00041DD0">
            <w:pPr>
              <w:spacing w:beforeLines="20" w:before="48" w:afterLines="20" w:after="48"/>
              <w:jc w:val="center"/>
              <w:rPr>
                <w:noProof/>
                <w:sz w:val="20"/>
              </w:rPr>
            </w:pPr>
          </w:p>
        </w:tc>
        <w:tc>
          <w:tcPr>
            <w:tcW w:w="424" w:type="pct"/>
            <w:shd w:val="clear" w:color="auto" w:fill="auto"/>
            <w:vAlign w:val="center"/>
          </w:tcPr>
          <w:p w14:paraId="07C95CDA" w14:textId="77777777" w:rsidR="00FA1843" w:rsidRPr="00A7778D" w:rsidRDefault="00FA1843" w:rsidP="00041DD0">
            <w:pPr>
              <w:spacing w:beforeLines="20" w:before="48" w:afterLines="20" w:after="48"/>
              <w:jc w:val="center"/>
              <w:rPr>
                <w:noProof/>
                <w:sz w:val="20"/>
              </w:rPr>
            </w:pPr>
          </w:p>
        </w:tc>
        <w:tc>
          <w:tcPr>
            <w:tcW w:w="423" w:type="pct"/>
            <w:shd w:val="clear" w:color="auto" w:fill="auto"/>
            <w:vAlign w:val="center"/>
          </w:tcPr>
          <w:p w14:paraId="52FBD922" w14:textId="77777777" w:rsidR="00FA1843" w:rsidRPr="00A7778D" w:rsidRDefault="00FA1843" w:rsidP="00041DD0">
            <w:pPr>
              <w:spacing w:beforeLines="20" w:before="48" w:afterLines="20" w:after="48"/>
              <w:jc w:val="center"/>
              <w:rPr>
                <w:noProof/>
                <w:sz w:val="20"/>
              </w:rPr>
            </w:pPr>
          </w:p>
        </w:tc>
        <w:tc>
          <w:tcPr>
            <w:tcW w:w="452" w:type="pct"/>
            <w:gridSpan w:val="2"/>
            <w:shd w:val="clear" w:color="auto" w:fill="auto"/>
            <w:vAlign w:val="center"/>
          </w:tcPr>
          <w:p w14:paraId="22C5C133" w14:textId="77777777" w:rsidR="00FA1843" w:rsidRPr="00A7778D" w:rsidRDefault="00FA1843" w:rsidP="00041DD0">
            <w:pPr>
              <w:spacing w:beforeLines="20" w:before="48" w:afterLines="20" w:after="48"/>
              <w:jc w:val="center"/>
              <w:rPr>
                <w:noProof/>
                <w:sz w:val="20"/>
              </w:rPr>
            </w:pPr>
          </w:p>
        </w:tc>
      </w:tr>
      <w:tr w:rsidR="00FA1843" w:rsidRPr="00A7778D" w14:paraId="185D3CA0" w14:textId="77777777" w:rsidTr="00041DD0">
        <w:trPr>
          <w:trHeight w:val="289"/>
          <w:jc w:val="center"/>
        </w:trPr>
        <w:tc>
          <w:tcPr>
            <w:tcW w:w="2043" w:type="pct"/>
            <w:gridSpan w:val="2"/>
            <w:shd w:val="clear" w:color="auto" w:fill="auto"/>
            <w:vAlign w:val="center"/>
          </w:tcPr>
          <w:p w14:paraId="43BB0818" w14:textId="77777777" w:rsidR="00FA1843" w:rsidRPr="00A7778D" w:rsidRDefault="00FA1843" w:rsidP="00041DD0">
            <w:pPr>
              <w:pStyle w:val="Text1"/>
              <w:spacing w:beforeLines="20" w:before="48" w:afterLines="20" w:after="48"/>
              <w:ind w:left="986"/>
              <w:jc w:val="left"/>
              <w:rPr>
                <w:noProof/>
                <w:sz w:val="20"/>
              </w:rPr>
            </w:pPr>
            <w:r w:rsidRPr="00A7778D">
              <w:rPr>
                <w:b/>
                <w:bCs/>
                <w:noProof/>
                <w:sz w:val="20"/>
              </w:rPr>
              <w:t>01 01 01 02</w:t>
            </w:r>
            <w:r w:rsidRPr="00A7778D">
              <w:rPr>
                <w:noProof/>
                <w:sz w:val="20"/>
              </w:rPr>
              <w:t xml:space="preserve"> (epäsuora tutkimustoiminta: sopimussuhteiset toimihenkilöt, kansalliset asiantuntijat ja vuokrahenkilöstö)</w:t>
            </w:r>
          </w:p>
        </w:tc>
        <w:tc>
          <w:tcPr>
            <w:tcW w:w="377" w:type="pct"/>
            <w:shd w:val="clear" w:color="auto" w:fill="auto"/>
            <w:vAlign w:val="center"/>
          </w:tcPr>
          <w:p w14:paraId="79325755" w14:textId="77777777" w:rsidR="00FA1843" w:rsidRPr="00A7778D" w:rsidRDefault="00FA1843" w:rsidP="00041DD0">
            <w:pPr>
              <w:spacing w:beforeLines="20" w:before="48" w:afterLines="20" w:after="48"/>
              <w:jc w:val="center"/>
              <w:rPr>
                <w:noProof/>
                <w:sz w:val="20"/>
              </w:rPr>
            </w:pPr>
          </w:p>
        </w:tc>
        <w:tc>
          <w:tcPr>
            <w:tcW w:w="377" w:type="pct"/>
            <w:shd w:val="clear" w:color="auto" w:fill="auto"/>
            <w:vAlign w:val="center"/>
          </w:tcPr>
          <w:p w14:paraId="1B4D572F" w14:textId="77777777" w:rsidR="00FA1843" w:rsidRPr="00A7778D" w:rsidRDefault="00FA1843" w:rsidP="00041DD0">
            <w:pPr>
              <w:spacing w:beforeLines="20" w:before="48" w:afterLines="20" w:after="48"/>
              <w:jc w:val="center"/>
              <w:rPr>
                <w:noProof/>
                <w:sz w:val="20"/>
              </w:rPr>
            </w:pPr>
          </w:p>
        </w:tc>
        <w:tc>
          <w:tcPr>
            <w:tcW w:w="406" w:type="pct"/>
            <w:shd w:val="clear" w:color="auto" w:fill="auto"/>
            <w:vAlign w:val="center"/>
          </w:tcPr>
          <w:p w14:paraId="011670EF" w14:textId="77777777" w:rsidR="00FA1843" w:rsidRPr="00A7778D" w:rsidRDefault="00FA1843" w:rsidP="00041DD0">
            <w:pPr>
              <w:spacing w:beforeLines="20" w:before="48" w:afterLines="20" w:after="48"/>
              <w:jc w:val="center"/>
              <w:rPr>
                <w:noProof/>
                <w:sz w:val="20"/>
              </w:rPr>
            </w:pPr>
          </w:p>
        </w:tc>
        <w:tc>
          <w:tcPr>
            <w:tcW w:w="497" w:type="pct"/>
            <w:shd w:val="clear" w:color="auto" w:fill="auto"/>
            <w:vAlign w:val="center"/>
          </w:tcPr>
          <w:p w14:paraId="54F71F8B" w14:textId="77777777" w:rsidR="00FA1843" w:rsidRPr="00A7778D" w:rsidRDefault="00FA1843" w:rsidP="00041DD0">
            <w:pPr>
              <w:spacing w:beforeLines="20" w:before="48" w:afterLines="20" w:after="48"/>
              <w:jc w:val="center"/>
              <w:rPr>
                <w:noProof/>
                <w:sz w:val="20"/>
              </w:rPr>
            </w:pPr>
          </w:p>
        </w:tc>
        <w:tc>
          <w:tcPr>
            <w:tcW w:w="424" w:type="pct"/>
            <w:shd w:val="clear" w:color="auto" w:fill="auto"/>
            <w:vAlign w:val="center"/>
          </w:tcPr>
          <w:p w14:paraId="27820379" w14:textId="77777777" w:rsidR="00FA1843" w:rsidRPr="00A7778D" w:rsidRDefault="00FA1843" w:rsidP="00041DD0">
            <w:pPr>
              <w:spacing w:beforeLines="20" w:before="48" w:afterLines="20" w:after="48"/>
              <w:jc w:val="center"/>
              <w:rPr>
                <w:noProof/>
                <w:sz w:val="20"/>
              </w:rPr>
            </w:pPr>
          </w:p>
        </w:tc>
        <w:tc>
          <w:tcPr>
            <w:tcW w:w="423" w:type="pct"/>
            <w:shd w:val="clear" w:color="auto" w:fill="auto"/>
            <w:vAlign w:val="center"/>
          </w:tcPr>
          <w:p w14:paraId="41CBEE15" w14:textId="77777777" w:rsidR="00FA1843" w:rsidRPr="00A7778D" w:rsidRDefault="00FA1843" w:rsidP="00041DD0">
            <w:pPr>
              <w:spacing w:beforeLines="20" w:before="48" w:afterLines="20" w:after="48"/>
              <w:jc w:val="center"/>
              <w:rPr>
                <w:noProof/>
                <w:sz w:val="20"/>
              </w:rPr>
            </w:pPr>
          </w:p>
        </w:tc>
        <w:tc>
          <w:tcPr>
            <w:tcW w:w="452" w:type="pct"/>
            <w:gridSpan w:val="2"/>
            <w:shd w:val="clear" w:color="auto" w:fill="auto"/>
            <w:vAlign w:val="center"/>
          </w:tcPr>
          <w:p w14:paraId="47796D27" w14:textId="77777777" w:rsidR="00FA1843" w:rsidRPr="00A7778D" w:rsidRDefault="00FA1843" w:rsidP="00041DD0">
            <w:pPr>
              <w:spacing w:beforeLines="20" w:before="48" w:afterLines="20" w:after="48"/>
              <w:jc w:val="center"/>
              <w:rPr>
                <w:noProof/>
                <w:sz w:val="20"/>
              </w:rPr>
            </w:pPr>
          </w:p>
        </w:tc>
      </w:tr>
      <w:tr w:rsidR="00FA1843" w:rsidRPr="00A7778D" w14:paraId="7FF1C95F" w14:textId="77777777" w:rsidTr="00041DD0">
        <w:trPr>
          <w:trHeight w:val="289"/>
          <w:jc w:val="center"/>
        </w:trPr>
        <w:tc>
          <w:tcPr>
            <w:tcW w:w="2043" w:type="pct"/>
            <w:gridSpan w:val="2"/>
            <w:shd w:val="clear" w:color="auto" w:fill="auto"/>
            <w:vAlign w:val="center"/>
          </w:tcPr>
          <w:p w14:paraId="4BEB763B" w14:textId="77777777" w:rsidR="00FA1843" w:rsidRPr="00A7778D" w:rsidRDefault="00FA1843" w:rsidP="00041DD0">
            <w:pPr>
              <w:pStyle w:val="Text1"/>
              <w:spacing w:beforeLines="20" w:before="48" w:afterLines="20" w:after="48"/>
              <w:ind w:left="986"/>
              <w:jc w:val="left"/>
              <w:rPr>
                <w:noProof/>
                <w:sz w:val="20"/>
              </w:rPr>
            </w:pPr>
            <w:r w:rsidRPr="00A7778D">
              <w:rPr>
                <w:noProof/>
                <w:sz w:val="20"/>
              </w:rPr>
              <w:t>10 01 05 02 (suora tutkimustoiminta: sopimussuhteiset toimihenkilöt, kansalliset asiantuntijat ja vuokrahenkilöstö)</w:t>
            </w:r>
          </w:p>
        </w:tc>
        <w:tc>
          <w:tcPr>
            <w:tcW w:w="377" w:type="pct"/>
            <w:shd w:val="clear" w:color="auto" w:fill="auto"/>
            <w:vAlign w:val="center"/>
          </w:tcPr>
          <w:p w14:paraId="23238070" w14:textId="77777777" w:rsidR="00FA1843" w:rsidRPr="00A7778D" w:rsidRDefault="00FA1843" w:rsidP="00041DD0">
            <w:pPr>
              <w:spacing w:beforeLines="20" w:before="48" w:afterLines="20" w:after="48"/>
              <w:jc w:val="center"/>
              <w:rPr>
                <w:noProof/>
                <w:sz w:val="20"/>
              </w:rPr>
            </w:pPr>
          </w:p>
        </w:tc>
        <w:tc>
          <w:tcPr>
            <w:tcW w:w="377" w:type="pct"/>
            <w:shd w:val="clear" w:color="auto" w:fill="auto"/>
            <w:vAlign w:val="center"/>
          </w:tcPr>
          <w:p w14:paraId="24031BB6" w14:textId="77777777" w:rsidR="00FA1843" w:rsidRPr="00A7778D" w:rsidRDefault="00FA1843" w:rsidP="00041DD0">
            <w:pPr>
              <w:spacing w:beforeLines="20" w:before="48" w:afterLines="20" w:after="48"/>
              <w:jc w:val="center"/>
              <w:rPr>
                <w:noProof/>
                <w:sz w:val="20"/>
              </w:rPr>
            </w:pPr>
          </w:p>
        </w:tc>
        <w:tc>
          <w:tcPr>
            <w:tcW w:w="406" w:type="pct"/>
            <w:shd w:val="clear" w:color="auto" w:fill="auto"/>
            <w:vAlign w:val="center"/>
          </w:tcPr>
          <w:p w14:paraId="264AD27C" w14:textId="77777777" w:rsidR="00FA1843" w:rsidRPr="00A7778D" w:rsidRDefault="00FA1843" w:rsidP="00041DD0">
            <w:pPr>
              <w:spacing w:beforeLines="20" w:before="48" w:afterLines="20" w:after="48"/>
              <w:jc w:val="center"/>
              <w:rPr>
                <w:noProof/>
                <w:sz w:val="20"/>
              </w:rPr>
            </w:pPr>
          </w:p>
        </w:tc>
        <w:tc>
          <w:tcPr>
            <w:tcW w:w="497" w:type="pct"/>
            <w:shd w:val="clear" w:color="auto" w:fill="auto"/>
            <w:vAlign w:val="center"/>
          </w:tcPr>
          <w:p w14:paraId="1F79AFD2" w14:textId="77777777" w:rsidR="00FA1843" w:rsidRPr="00A7778D" w:rsidRDefault="00FA1843" w:rsidP="00041DD0">
            <w:pPr>
              <w:spacing w:beforeLines="20" w:before="48" w:afterLines="20" w:after="48"/>
              <w:jc w:val="center"/>
              <w:rPr>
                <w:noProof/>
                <w:sz w:val="20"/>
              </w:rPr>
            </w:pPr>
          </w:p>
        </w:tc>
        <w:tc>
          <w:tcPr>
            <w:tcW w:w="424" w:type="pct"/>
            <w:shd w:val="clear" w:color="auto" w:fill="auto"/>
            <w:vAlign w:val="center"/>
          </w:tcPr>
          <w:p w14:paraId="1A5ADDCA" w14:textId="77777777" w:rsidR="00FA1843" w:rsidRPr="00A7778D" w:rsidRDefault="00FA1843" w:rsidP="00041DD0">
            <w:pPr>
              <w:spacing w:beforeLines="20" w:before="48" w:afterLines="20" w:after="48"/>
              <w:jc w:val="center"/>
              <w:rPr>
                <w:noProof/>
                <w:sz w:val="20"/>
              </w:rPr>
            </w:pPr>
          </w:p>
        </w:tc>
        <w:tc>
          <w:tcPr>
            <w:tcW w:w="423" w:type="pct"/>
            <w:shd w:val="clear" w:color="auto" w:fill="auto"/>
            <w:vAlign w:val="center"/>
          </w:tcPr>
          <w:p w14:paraId="2AFB4156" w14:textId="77777777" w:rsidR="00FA1843" w:rsidRPr="00A7778D" w:rsidRDefault="00FA1843" w:rsidP="00041DD0">
            <w:pPr>
              <w:spacing w:beforeLines="20" w:before="48" w:afterLines="20" w:after="48"/>
              <w:jc w:val="center"/>
              <w:rPr>
                <w:noProof/>
                <w:sz w:val="20"/>
              </w:rPr>
            </w:pPr>
          </w:p>
        </w:tc>
        <w:tc>
          <w:tcPr>
            <w:tcW w:w="452" w:type="pct"/>
            <w:gridSpan w:val="2"/>
            <w:shd w:val="clear" w:color="auto" w:fill="auto"/>
            <w:vAlign w:val="center"/>
          </w:tcPr>
          <w:p w14:paraId="04064781" w14:textId="77777777" w:rsidR="00FA1843" w:rsidRPr="00A7778D" w:rsidRDefault="00FA1843" w:rsidP="00041DD0">
            <w:pPr>
              <w:spacing w:beforeLines="20" w:before="48" w:afterLines="20" w:after="48"/>
              <w:jc w:val="center"/>
              <w:rPr>
                <w:noProof/>
                <w:sz w:val="20"/>
              </w:rPr>
            </w:pPr>
          </w:p>
        </w:tc>
      </w:tr>
      <w:tr w:rsidR="00FA1843" w:rsidRPr="00A7778D" w14:paraId="332B33C9" w14:textId="77777777" w:rsidTr="00041DD0">
        <w:trPr>
          <w:trHeight w:val="289"/>
          <w:jc w:val="center"/>
        </w:trPr>
        <w:tc>
          <w:tcPr>
            <w:tcW w:w="2043" w:type="pct"/>
            <w:gridSpan w:val="2"/>
            <w:tcBorders>
              <w:bottom w:val="double" w:sz="4" w:space="0" w:color="auto"/>
            </w:tcBorders>
            <w:shd w:val="clear" w:color="auto" w:fill="auto"/>
            <w:vAlign w:val="center"/>
          </w:tcPr>
          <w:p w14:paraId="79C73379" w14:textId="77777777" w:rsidR="00FA1843" w:rsidRPr="00A7778D" w:rsidRDefault="00FA1843" w:rsidP="00041DD0">
            <w:pPr>
              <w:pStyle w:val="Text1"/>
              <w:spacing w:beforeLines="20" w:before="48" w:afterLines="20" w:after="48"/>
              <w:ind w:left="984"/>
              <w:jc w:val="left"/>
              <w:rPr>
                <w:noProof/>
                <w:sz w:val="20"/>
              </w:rPr>
            </w:pPr>
            <w:r w:rsidRPr="00A7778D">
              <w:rPr>
                <w:noProof/>
                <w:sz w:val="20"/>
              </w:rPr>
              <w:t>Muu budjettikohta (mikä?)</w:t>
            </w:r>
          </w:p>
        </w:tc>
        <w:tc>
          <w:tcPr>
            <w:tcW w:w="377" w:type="pct"/>
            <w:tcBorders>
              <w:bottom w:val="double" w:sz="4" w:space="0" w:color="auto"/>
            </w:tcBorders>
            <w:shd w:val="clear" w:color="auto" w:fill="auto"/>
            <w:vAlign w:val="center"/>
          </w:tcPr>
          <w:p w14:paraId="6A0EB3CC" w14:textId="77777777" w:rsidR="00FA1843" w:rsidRPr="00A7778D" w:rsidRDefault="00FA1843" w:rsidP="00041DD0">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14:paraId="51148947" w14:textId="77777777" w:rsidR="00FA1843" w:rsidRPr="00A7778D" w:rsidRDefault="00FA1843" w:rsidP="00041DD0">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14:paraId="1BE33F6A" w14:textId="77777777" w:rsidR="00FA1843" w:rsidRPr="00A7778D" w:rsidRDefault="00FA1843" w:rsidP="00041DD0">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14:paraId="78047815" w14:textId="77777777" w:rsidR="00FA1843" w:rsidRPr="00A7778D" w:rsidRDefault="00FA1843" w:rsidP="00041DD0">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14:paraId="5E7FAEC5" w14:textId="77777777" w:rsidR="00FA1843" w:rsidRPr="00A7778D" w:rsidRDefault="00FA1843" w:rsidP="00041DD0">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14:paraId="6360A031" w14:textId="77777777" w:rsidR="00FA1843" w:rsidRPr="00A7778D" w:rsidRDefault="00FA1843" w:rsidP="00041DD0">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14:paraId="0CEE75D5" w14:textId="77777777" w:rsidR="00FA1843" w:rsidRPr="00A7778D" w:rsidRDefault="00FA1843" w:rsidP="00041DD0">
            <w:pPr>
              <w:spacing w:beforeLines="20" w:before="48" w:afterLines="20" w:after="48"/>
              <w:jc w:val="center"/>
              <w:rPr>
                <w:noProof/>
                <w:sz w:val="20"/>
              </w:rPr>
            </w:pPr>
          </w:p>
        </w:tc>
      </w:tr>
      <w:tr w:rsidR="00FA1843" w:rsidRPr="00A7778D" w14:paraId="248FBE41" w14:textId="77777777" w:rsidTr="00041DD0">
        <w:trPr>
          <w:trHeight w:val="289"/>
          <w:jc w:val="center"/>
        </w:trPr>
        <w:tc>
          <w:tcPr>
            <w:tcW w:w="2043" w:type="pct"/>
            <w:gridSpan w:val="2"/>
            <w:tcBorders>
              <w:top w:val="double" w:sz="4" w:space="0" w:color="auto"/>
            </w:tcBorders>
            <w:shd w:val="clear" w:color="auto" w:fill="auto"/>
            <w:vAlign w:val="center"/>
          </w:tcPr>
          <w:p w14:paraId="1B6E83D5" w14:textId="77777777" w:rsidR="00FA1843" w:rsidRPr="00A7778D" w:rsidRDefault="00FA1843" w:rsidP="00041DD0">
            <w:pPr>
              <w:pStyle w:val="Text1"/>
              <w:spacing w:beforeLines="20" w:before="48" w:afterLines="20" w:after="48"/>
              <w:ind w:left="986"/>
              <w:jc w:val="left"/>
              <w:rPr>
                <w:noProof/>
                <w:sz w:val="20"/>
              </w:rPr>
            </w:pPr>
            <w:r w:rsidRPr="00A7778D">
              <w:rPr>
                <w:b/>
                <w:noProof/>
                <w:sz w:val="20"/>
              </w:rPr>
              <w:t>YHTEENSÄ</w:t>
            </w:r>
          </w:p>
        </w:tc>
        <w:tc>
          <w:tcPr>
            <w:tcW w:w="377" w:type="pct"/>
            <w:tcBorders>
              <w:top w:val="double" w:sz="4" w:space="0" w:color="auto"/>
            </w:tcBorders>
            <w:shd w:val="clear" w:color="auto" w:fill="auto"/>
            <w:vAlign w:val="center"/>
          </w:tcPr>
          <w:p w14:paraId="79C445BC" w14:textId="77777777" w:rsidR="00FA1843" w:rsidRPr="00A7778D" w:rsidRDefault="00FA1843" w:rsidP="00041DD0">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14:paraId="79B448CF" w14:textId="77777777" w:rsidR="00FA1843" w:rsidRPr="00A7778D" w:rsidRDefault="00FA1843" w:rsidP="00041DD0">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14:paraId="145A35CC" w14:textId="77777777" w:rsidR="00FA1843" w:rsidRPr="00A7778D" w:rsidRDefault="00FA1843" w:rsidP="00041DD0">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14:paraId="63CE8BAE" w14:textId="77777777" w:rsidR="00FA1843" w:rsidRPr="00A7778D" w:rsidRDefault="00FA1843" w:rsidP="00041DD0">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14:paraId="05D17160" w14:textId="77777777" w:rsidR="00FA1843" w:rsidRPr="00A7778D" w:rsidRDefault="00FA1843" w:rsidP="00041DD0">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14:paraId="4EF71736" w14:textId="77777777" w:rsidR="00FA1843" w:rsidRPr="00A7778D" w:rsidRDefault="00FA1843" w:rsidP="00041DD0">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14:paraId="78425A51" w14:textId="77777777" w:rsidR="00FA1843" w:rsidRPr="00A7778D" w:rsidRDefault="00FA1843" w:rsidP="00041DD0">
            <w:pPr>
              <w:spacing w:beforeLines="20" w:before="48" w:afterLines="20" w:after="48"/>
              <w:jc w:val="center"/>
              <w:rPr>
                <w:b/>
                <w:noProof/>
                <w:sz w:val="20"/>
              </w:rPr>
            </w:pPr>
          </w:p>
        </w:tc>
      </w:tr>
    </w:tbl>
    <w:p w14:paraId="39827B96" w14:textId="77777777" w:rsidR="00FA1843" w:rsidRPr="00A7778D" w:rsidRDefault="00FA1843" w:rsidP="00FA1843">
      <w:pPr>
        <w:pStyle w:val="Text1"/>
        <w:rPr>
          <w:noProof/>
          <w:sz w:val="22"/>
        </w:rPr>
      </w:pPr>
      <w:r w:rsidRPr="00A7778D">
        <w:rPr>
          <w:noProof/>
          <w:sz w:val="22"/>
        </w:rPr>
        <w:t>Henkilöresurssien tarve katetaan toimen hallinnointiin jo osoitetulla pääosaston henkilöstöllä ja/tai pääosastossa toteutettujen henkilöstön uudelleenjärjestelyjen tuloksena saadulla henkilöstöllä sekä tarvittaessa sellaisilla lisäresursseilla, jotka toimea hallinnoiva pääosasto voi saada käyttöönsä vuotuisessa määrärahojen jakomenettelyssä talousarvion puitteissa.</w:t>
      </w:r>
    </w:p>
    <w:p w14:paraId="5DCBF744" w14:textId="77777777" w:rsidR="00FA1843" w:rsidRPr="00A7778D" w:rsidRDefault="00FA1843" w:rsidP="00FA1843">
      <w:pPr>
        <w:rPr>
          <w:noProof/>
          <w:sz w:val="20"/>
        </w:rPr>
      </w:pPr>
      <w:r w:rsidRPr="00A7778D">
        <w:rPr>
          <w:noProof/>
          <w:sz w:val="20"/>
        </w:rPr>
        <w:t>Kuvaus henkilöstön tehtävistä:</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FA1843" w:rsidRPr="00A7778D" w14:paraId="35D4439E" w14:textId="77777777" w:rsidTr="00041DD0">
        <w:tc>
          <w:tcPr>
            <w:tcW w:w="3240" w:type="dxa"/>
          </w:tcPr>
          <w:p w14:paraId="74D9DA5F" w14:textId="77777777" w:rsidR="00FA1843" w:rsidRPr="00A7778D" w:rsidRDefault="00FA1843" w:rsidP="00041DD0">
            <w:pPr>
              <w:rPr>
                <w:noProof/>
                <w:sz w:val="20"/>
              </w:rPr>
            </w:pPr>
            <w:r w:rsidRPr="00A7778D">
              <w:rPr>
                <w:noProof/>
                <w:sz w:val="20"/>
              </w:rPr>
              <w:t>Virkamiehet ja väliaikaiset toimihenkilöt</w:t>
            </w:r>
          </w:p>
        </w:tc>
        <w:tc>
          <w:tcPr>
            <w:tcW w:w="7200" w:type="dxa"/>
          </w:tcPr>
          <w:p w14:paraId="649B5337" w14:textId="77777777" w:rsidR="00FA1843" w:rsidRPr="00A7778D" w:rsidRDefault="00FA1843" w:rsidP="00041DD0">
            <w:pPr>
              <w:rPr>
                <w:noProof/>
                <w:sz w:val="20"/>
              </w:rPr>
            </w:pPr>
          </w:p>
        </w:tc>
      </w:tr>
      <w:tr w:rsidR="00FA1843" w:rsidRPr="00A7778D" w14:paraId="269092AE" w14:textId="77777777" w:rsidTr="00041DD0">
        <w:tc>
          <w:tcPr>
            <w:tcW w:w="3240" w:type="dxa"/>
          </w:tcPr>
          <w:p w14:paraId="2B32C7B0" w14:textId="77777777" w:rsidR="00FA1843" w:rsidRPr="00A7778D" w:rsidRDefault="00FA1843" w:rsidP="00041DD0">
            <w:pPr>
              <w:spacing w:before="60" w:after="60"/>
              <w:rPr>
                <w:noProof/>
                <w:sz w:val="20"/>
              </w:rPr>
            </w:pPr>
            <w:r w:rsidRPr="00A7778D">
              <w:rPr>
                <w:noProof/>
                <w:sz w:val="20"/>
              </w:rPr>
              <w:t>Ulkopuolinen henkilöstö</w:t>
            </w:r>
          </w:p>
        </w:tc>
        <w:tc>
          <w:tcPr>
            <w:tcW w:w="7200" w:type="dxa"/>
          </w:tcPr>
          <w:p w14:paraId="562362C2" w14:textId="77777777" w:rsidR="00FA1843" w:rsidRPr="00A7778D" w:rsidRDefault="00FA1843" w:rsidP="00041DD0">
            <w:pPr>
              <w:rPr>
                <w:noProof/>
                <w:sz w:val="20"/>
              </w:rPr>
            </w:pPr>
          </w:p>
        </w:tc>
      </w:tr>
    </w:tbl>
    <w:p w14:paraId="1357EDC3" w14:textId="77777777" w:rsidR="00FA1843" w:rsidRPr="00A7778D" w:rsidRDefault="00FA1843" w:rsidP="00FA1843">
      <w:pPr>
        <w:rPr>
          <w:noProof/>
        </w:rPr>
      </w:pPr>
    </w:p>
    <w:p w14:paraId="2F490F6F" w14:textId="77777777" w:rsidR="00FA1843" w:rsidRPr="00A7778D" w:rsidRDefault="00FA1843" w:rsidP="00FA1843">
      <w:pPr>
        <w:rPr>
          <w:noProof/>
        </w:rPr>
        <w:sectPr w:rsidR="00FA1843" w:rsidRPr="00A7778D" w:rsidSect="00084EF2">
          <w:pgSz w:w="11907" w:h="16839"/>
          <w:pgMar w:top="1134" w:right="1417" w:bottom="1134" w:left="1417" w:header="709" w:footer="709" w:gutter="0"/>
          <w:cols w:space="720"/>
          <w:docGrid w:linePitch="326"/>
        </w:sectPr>
      </w:pPr>
      <w:r w:rsidRPr="00A7778D">
        <w:rPr>
          <w:noProof/>
        </w:rPr>
        <w:t xml:space="preserve">Kokoaikaiseksi muunnetun henkilöstön kustannusten laskentamenetelmä olisi kuvattava liitteessä V olevassa 3 kohdassa. </w:t>
      </w:r>
    </w:p>
    <w:p w14:paraId="20E1D4A4" w14:textId="43C7E516" w:rsidR="00FA1843" w:rsidRPr="00A7778D" w:rsidRDefault="002A7F8C" w:rsidP="002A7F8C">
      <w:pPr>
        <w:pStyle w:val="ManualHeading3"/>
        <w:rPr>
          <w:bCs/>
          <w:noProof/>
          <w:szCs w:val="24"/>
        </w:rPr>
      </w:pPr>
      <w:bookmarkStart w:id="66" w:name="_Toc514938689"/>
      <w:bookmarkStart w:id="67" w:name="_Toc520485448"/>
      <w:r w:rsidRPr="00A7778D">
        <w:rPr>
          <w:noProof/>
        </w:rPr>
        <w:t>3.2.4.</w:t>
      </w:r>
      <w:r w:rsidRPr="00A7778D">
        <w:rPr>
          <w:noProof/>
        </w:rPr>
        <w:tab/>
        <w:t>Yhteensopivuus nykyisen monivuotisen rahoituskehyksen kanssa</w:t>
      </w:r>
      <w:bookmarkEnd w:id="66"/>
      <w:bookmarkEnd w:id="67"/>
      <w:r w:rsidRPr="00A7778D">
        <w:rPr>
          <w:noProof/>
        </w:rPr>
        <w:t xml:space="preserve"> </w:t>
      </w:r>
    </w:p>
    <w:p w14:paraId="12A75DB7" w14:textId="77777777" w:rsidR="00FA1843" w:rsidRPr="00A7778D" w:rsidRDefault="00FA1843" w:rsidP="00580A58">
      <w:pPr>
        <w:pStyle w:val="ListDash1"/>
        <w:numPr>
          <w:ilvl w:val="0"/>
          <w:numId w:val="21"/>
        </w:numPr>
        <w:rPr>
          <w:noProof/>
        </w:rPr>
      </w:pPr>
      <w:r w:rsidRPr="00A7778D">
        <w:rPr>
          <w:noProof/>
        </w:rPr>
        <w:sym w:font="Wingdings" w:char="F0FE"/>
      </w:r>
      <w:r w:rsidRPr="00A7778D">
        <w:rPr>
          <w:noProof/>
        </w:rPr>
        <w:tab/>
        <w:t>Ehdotus/aloite on nykyisen monivuotisen rahoituskehyksen mukainen.</w:t>
      </w:r>
    </w:p>
    <w:p w14:paraId="39C2E98E" w14:textId="77777777" w:rsidR="00FA1843" w:rsidRPr="00A7778D" w:rsidRDefault="00FA1843" w:rsidP="00580A58">
      <w:pPr>
        <w:pStyle w:val="ListDash1"/>
        <w:numPr>
          <w:ilvl w:val="0"/>
          <w:numId w:val="21"/>
        </w:numPr>
        <w:rPr>
          <w:noProof/>
        </w:rPr>
      </w:pPr>
      <w:r w:rsidRPr="00A7778D">
        <w:rPr>
          <w:noProof/>
        </w:rPr>
        <w:sym w:font="Wingdings" w:char="F0A8"/>
      </w:r>
      <w:r w:rsidRPr="00A7778D">
        <w:rPr>
          <w:noProof/>
        </w:rPr>
        <w:tab/>
        <w:t>Ehdotus/aloite edellyttää rahoituskehyksen asianomaisen otsakkeen rahoitussuunnitelman muuttamista.</w:t>
      </w:r>
    </w:p>
    <w:p w14:paraId="0586CFA5"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sz w:val="20"/>
        </w:rPr>
      </w:pPr>
      <w:r w:rsidRPr="00A7778D">
        <w:rPr>
          <w:noProof/>
          <w:sz w:val="20"/>
        </w:rPr>
        <w:t>Selvitys rahoitussuunnitelmaan tarvittavista muutoksista, mainittava myös kyseeseen tulevat budjettikohdat ja määrät.</w:t>
      </w:r>
    </w:p>
    <w:p w14:paraId="1FD8A55D"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sz w:val="20"/>
        </w:rPr>
      </w:pPr>
      <w:r w:rsidRPr="00A7778D">
        <w:rPr>
          <w:noProof/>
          <w:sz w:val="20"/>
        </w:rPr>
        <w:t>Ei sovelleta</w:t>
      </w:r>
    </w:p>
    <w:p w14:paraId="554CB202" w14:textId="77777777" w:rsidR="00FA1843" w:rsidRPr="00A7778D" w:rsidRDefault="00FA1843" w:rsidP="00580A58">
      <w:pPr>
        <w:pStyle w:val="ListDash1"/>
        <w:numPr>
          <w:ilvl w:val="0"/>
          <w:numId w:val="21"/>
        </w:numPr>
        <w:rPr>
          <w:noProof/>
        </w:rPr>
      </w:pPr>
      <w:r w:rsidRPr="00A7778D">
        <w:rPr>
          <w:noProof/>
        </w:rPr>
        <w:sym w:font="Wingdings" w:char="F0A8"/>
      </w:r>
      <w:r w:rsidRPr="00A7778D">
        <w:rPr>
          <w:noProof/>
        </w:rPr>
        <w:tab/>
        <w:t>Ehdotus/aloite edellyttää joustovälineen varojen käyttöön ottamista tai monivuotisen rahoituskehyksen tarkistamista</w:t>
      </w:r>
      <w:r w:rsidRPr="00A7778D">
        <w:rPr>
          <w:rStyle w:val="FootnoteReference0"/>
          <w:noProof/>
        </w:rPr>
        <w:footnoteReference w:id="69"/>
      </w:r>
      <w:r w:rsidRPr="00A7778D">
        <w:rPr>
          <w:noProof/>
        </w:rPr>
        <w:t>.</w:t>
      </w:r>
    </w:p>
    <w:p w14:paraId="7A55CCAB"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sz w:val="20"/>
        </w:rPr>
      </w:pPr>
      <w:r w:rsidRPr="00A7778D">
        <w:rPr>
          <w:noProof/>
          <w:sz w:val="20"/>
        </w:rPr>
        <w:t>Selvitys tarvittavista toimenpiteistä, mainittava myös kyseeseen tulevat rahoituskehyksen otsakkeet, budjettikohdat ja määrät</w:t>
      </w:r>
    </w:p>
    <w:p w14:paraId="4899A313" w14:textId="77777777"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sz w:val="20"/>
        </w:rPr>
      </w:pPr>
      <w:r w:rsidRPr="00A7778D">
        <w:rPr>
          <w:noProof/>
          <w:sz w:val="20"/>
        </w:rPr>
        <w:t>Ei sovelleta</w:t>
      </w:r>
    </w:p>
    <w:p w14:paraId="4911D98E" w14:textId="2DC0429A" w:rsidR="00FA1843" w:rsidRPr="00A7778D" w:rsidRDefault="002A7F8C" w:rsidP="002A7F8C">
      <w:pPr>
        <w:pStyle w:val="ManualHeading3"/>
        <w:rPr>
          <w:bCs/>
          <w:noProof/>
          <w:szCs w:val="24"/>
        </w:rPr>
      </w:pPr>
      <w:bookmarkStart w:id="68" w:name="_Toc514938690"/>
      <w:bookmarkStart w:id="69" w:name="_Toc520485449"/>
      <w:r w:rsidRPr="00A7778D">
        <w:rPr>
          <w:noProof/>
        </w:rPr>
        <w:t>3.2.5.</w:t>
      </w:r>
      <w:r w:rsidRPr="00A7778D">
        <w:rPr>
          <w:noProof/>
        </w:rPr>
        <w:tab/>
        <w:t>Ulkopuolisten tahojen rahoitusosuudet</w:t>
      </w:r>
      <w:bookmarkEnd w:id="68"/>
      <w:bookmarkEnd w:id="69"/>
      <w:r w:rsidRPr="00A7778D">
        <w:rPr>
          <w:noProof/>
        </w:rPr>
        <w:t xml:space="preserve"> </w:t>
      </w:r>
    </w:p>
    <w:p w14:paraId="4CD40BA1" w14:textId="77777777" w:rsidR="00FA1843" w:rsidRPr="00A7778D" w:rsidRDefault="00FA1843" w:rsidP="00580A58">
      <w:pPr>
        <w:pStyle w:val="ListDash1"/>
        <w:numPr>
          <w:ilvl w:val="0"/>
          <w:numId w:val="21"/>
        </w:numPr>
        <w:rPr>
          <w:noProof/>
        </w:rPr>
      </w:pPr>
      <w:r w:rsidRPr="00A7778D">
        <w:rPr>
          <w:noProof/>
        </w:rPr>
        <w:sym w:font="Wingdings" w:char="F0A8"/>
      </w:r>
      <w:r w:rsidRPr="00A7778D">
        <w:rPr>
          <w:noProof/>
        </w:rPr>
        <w:tab/>
        <w:t xml:space="preserve">Ehdotuksen/aloitteen rahoittamiseen ei osallistu ulkopuolisia tahoja </w:t>
      </w:r>
    </w:p>
    <w:p w14:paraId="7DCF00AB" w14:textId="77777777" w:rsidR="00FA1843" w:rsidRPr="00A7778D" w:rsidRDefault="00FA1843" w:rsidP="00580A58">
      <w:pPr>
        <w:pStyle w:val="ListDash1"/>
        <w:numPr>
          <w:ilvl w:val="0"/>
          <w:numId w:val="21"/>
        </w:numPr>
        <w:rPr>
          <w:noProof/>
        </w:rPr>
      </w:pPr>
      <w:r w:rsidRPr="00A7778D">
        <w:rPr>
          <w:noProof/>
        </w:rPr>
        <w:sym w:font="Wingdings" w:char="F0FE"/>
      </w:r>
      <w:r w:rsidRPr="00A7778D">
        <w:rPr>
          <w:noProof/>
        </w:rPr>
        <w:tab/>
        <w:t>Ehdotuksen/aloitteen rahoittamiseen osallistuu ulkopuolisia tahoja seuraavasti (arvio):</w:t>
      </w:r>
    </w:p>
    <w:p w14:paraId="09599084" w14:textId="77777777" w:rsidR="00FA1843" w:rsidRPr="00A7778D" w:rsidRDefault="00FA1843" w:rsidP="00FA1843">
      <w:pPr>
        <w:jc w:val="right"/>
        <w:rPr>
          <w:noProof/>
          <w:sz w:val="20"/>
        </w:rPr>
      </w:pPr>
      <w:r w:rsidRPr="00A7778D">
        <w:rPr>
          <w:noProof/>
          <w:sz w:val="20"/>
        </w:rPr>
        <w:t>milj. euroa (kolmen desimaalin tarkkuudella)</w:t>
      </w:r>
    </w:p>
    <w:tbl>
      <w:tblPr>
        <w:tblW w:w="8782"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0"/>
        <w:gridCol w:w="972"/>
        <w:gridCol w:w="972"/>
        <w:gridCol w:w="972"/>
        <w:gridCol w:w="972"/>
        <w:gridCol w:w="972"/>
        <w:gridCol w:w="972"/>
      </w:tblGrid>
      <w:tr w:rsidR="00FA1843" w:rsidRPr="00A7778D" w14:paraId="23F83949" w14:textId="77777777" w:rsidTr="00041DD0">
        <w:trPr>
          <w:cantSplit/>
        </w:trPr>
        <w:tc>
          <w:tcPr>
            <w:tcW w:w="2950" w:type="dxa"/>
            <w:vAlign w:val="center"/>
          </w:tcPr>
          <w:p w14:paraId="4C09DD1D" w14:textId="77777777" w:rsidR="00FA1843" w:rsidRPr="00A7778D" w:rsidRDefault="00FA1843" w:rsidP="00041DD0">
            <w:pPr>
              <w:spacing w:before="60" w:after="60"/>
              <w:rPr>
                <w:noProof/>
                <w:sz w:val="20"/>
                <w:szCs w:val="20"/>
              </w:rPr>
            </w:pPr>
          </w:p>
        </w:tc>
        <w:tc>
          <w:tcPr>
            <w:tcW w:w="972" w:type="dxa"/>
            <w:vAlign w:val="center"/>
          </w:tcPr>
          <w:p w14:paraId="31746E1D" w14:textId="77777777" w:rsidR="00FA1843" w:rsidRPr="00A7778D" w:rsidRDefault="00FA1843" w:rsidP="00041DD0">
            <w:pPr>
              <w:jc w:val="center"/>
              <w:rPr>
                <w:noProof/>
                <w:sz w:val="20"/>
                <w:szCs w:val="20"/>
              </w:rPr>
            </w:pPr>
            <w:r w:rsidRPr="00A7778D">
              <w:rPr>
                <w:noProof/>
                <w:sz w:val="20"/>
              </w:rPr>
              <w:t>2023</w:t>
            </w:r>
          </w:p>
        </w:tc>
        <w:tc>
          <w:tcPr>
            <w:tcW w:w="972" w:type="dxa"/>
            <w:vAlign w:val="center"/>
          </w:tcPr>
          <w:p w14:paraId="5AB11A70" w14:textId="77777777" w:rsidR="00FA1843" w:rsidRPr="00A7778D" w:rsidRDefault="00FA1843" w:rsidP="00041DD0">
            <w:pPr>
              <w:jc w:val="center"/>
              <w:rPr>
                <w:noProof/>
                <w:sz w:val="20"/>
                <w:szCs w:val="20"/>
              </w:rPr>
            </w:pPr>
            <w:r w:rsidRPr="00A7778D">
              <w:rPr>
                <w:noProof/>
                <w:sz w:val="20"/>
              </w:rPr>
              <w:t>2024</w:t>
            </w:r>
          </w:p>
        </w:tc>
        <w:tc>
          <w:tcPr>
            <w:tcW w:w="972" w:type="dxa"/>
            <w:vAlign w:val="center"/>
          </w:tcPr>
          <w:p w14:paraId="5750149A" w14:textId="77777777" w:rsidR="00FA1843" w:rsidRPr="00A7778D" w:rsidRDefault="00FA1843" w:rsidP="00041DD0">
            <w:pPr>
              <w:jc w:val="center"/>
              <w:rPr>
                <w:noProof/>
                <w:sz w:val="20"/>
                <w:szCs w:val="20"/>
              </w:rPr>
            </w:pPr>
            <w:r w:rsidRPr="00A7778D">
              <w:rPr>
                <w:noProof/>
                <w:sz w:val="20"/>
              </w:rPr>
              <w:t>2025</w:t>
            </w:r>
          </w:p>
        </w:tc>
        <w:tc>
          <w:tcPr>
            <w:tcW w:w="972" w:type="dxa"/>
            <w:vAlign w:val="center"/>
          </w:tcPr>
          <w:p w14:paraId="36333096" w14:textId="77777777" w:rsidR="00FA1843" w:rsidRPr="00A7778D" w:rsidRDefault="00FA1843" w:rsidP="00041DD0">
            <w:pPr>
              <w:jc w:val="center"/>
              <w:rPr>
                <w:noProof/>
                <w:sz w:val="20"/>
                <w:szCs w:val="20"/>
              </w:rPr>
            </w:pPr>
            <w:r w:rsidRPr="00A7778D">
              <w:rPr>
                <w:noProof/>
                <w:sz w:val="20"/>
              </w:rPr>
              <w:t>2026</w:t>
            </w:r>
          </w:p>
        </w:tc>
        <w:tc>
          <w:tcPr>
            <w:tcW w:w="972" w:type="dxa"/>
            <w:vAlign w:val="center"/>
          </w:tcPr>
          <w:p w14:paraId="64DBBFC2" w14:textId="77777777" w:rsidR="00FA1843" w:rsidRPr="00A7778D" w:rsidRDefault="00FA1843" w:rsidP="00041DD0">
            <w:pPr>
              <w:jc w:val="center"/>
              <w:rPr>
                <w:noProof/>
                <w:sz w:val="20"/>
                <w:szCs w:val="20"/>
              </w:rPr>
            </w:pPr>
            <w:r w:rsidRPr="00A7778D">
              <w:rPr>
                <w:noProof/>
                <w:sz w:val="20"/>
              </w:rPr>
              <w:t>2027</w:t>
            </w:r>
          </w:p>
        </w:tc>
        <w:tc>
          <w:tcPr>
            <w:tcW w:w="972" w:type="dxa"/>
            <w:vAlign w:val="center"/>
          </w:tcPr>
          <w:p w14:paraId="5D586A70" w14:textId="77777777" w:rsidR="00FA1843" w:rsidRPr="00A7778D" w:rsidRDefault="00FA1843" w:rsidP="00041DD0">
            <w:pPr>
              <w:spacing w:before="60" w:after="60"/>
              <w:jc w:val="center"/>
              <w:rPr>
                <w:b/>
                <w:bCs/>
                <w:noProof/>
                <w:sz w:val="20"/>
                <w:szCs w:val="20"/>
              </w:rPr>
            </w:pPr>
            <w:r w:rsidRPr="00A7778D">
              <w:rPr>
                <w:b/>
                <w:noProof/>
                <w:sz w:val="20"/>
              </w:rPr>
              <w:t>Yhteensä</w:t>
            </w:r>
          </w:p>
        </w:tc>
      </w:tr>
      <w:tr w:rsidR="00FA1843" w:rsidRPr="00A7778D" w14:paraId="167487AC" w14:textId="77777777" w:rsidTr="00041DD0">
        <w:trPr>
          <w:cantSplit/>
        </w:trPr>
        <w:tc>
          <w:tcPr>
            <w:tcW w:w="2950" w:type="dxa"/>
            <w:vAlign w:val="center"/>
          </w:tcPr>
          <w:p w14:paraId="04BA5CE5" w14:textId="77777777" w:rsidR="00FA1843" w:rsidRPr="00A7778D" w:rsidRDefault="00FA1843" w:rsidP="00041DD0">
            <w:pPr>
              <w:jc w:val="left"/>
              <w:rPr>
                <w:noProof/>
                <w:sz w:val="18"/>
                <w:szCs w:val="18"/>
              </w:rPr>
            </w:pPr>
            <w:r w:rsidRPr="00A7778D">
              <w:rPr>
                <w:noProof/>
                <w:sz w:val="18"/>
              </w:rPr>
              <w:t xml:space="preserve">Arvio valvontamaksuilla katetuista kustannuksista </w:t>
            </w:r>
          </w:p>
        </w:tc>
        <w:tc>
          <w:tcPr>
            <w:tcW w:w="972" w:type="dxa"/>
            <w:vAlign w:val="center"/>
          </w:tcPr>
          <w:p w14:paraId="7C8A7995" w14:textId="77777777" w:rsidR="00FA1843" w:rsidRPr="00A7778D" w:rsidRDefault="00FA1843" w:rsidP="00041DD0">
            <w:pPr>
              <w:spacing w:before="60" w:after="60"/>
              <w:jc w:val="right"/>
              <w:rPr>
                <w:noProof/>
                <w:sz w:val="20"/>
                <w:szCs w:val="20"/>
              </w:rPr>
            </w:pPr>
          </w:p>
        </w:tc>
        <w:tc>
          <w:tcPr>
            <w:tcW w:w="972" w:type="dxa"/>
            <w:vAlign w:val="center"/>
          </w:tcPr>
          <w:p w14:paraId="67673267" w14:textId="77777777" w:rsidR="00FA1843" w:rsidRPr="00A7778D" w:rsidRDefault="00FA1843" w:rsidP="00041DD0">
            <w:pPr>
              <w:spacing w:before="60" w:after="60"/>
              <w:jc w:val="right"/>
              <w:rPr>
                <w:noProof/>
                <w:sz w:val="20"/>
                <w:szCs w:val="20"/>
              </w:rPr>
            </w:pPr>
          </w:p>
        </w:tc>
        <w:tc>
          <w:tcPr>
            <w:tcW w:w="972" w:type="dxa"/>
            <w:vAlign w:val="center"/>
          </w:tcPr>
          <w:p w14:paraId="7D057B32" w14:textId="4BBA4A7A" w:rsidR="00FA1843" w:rsidRPr="00A7778D" w:rsidRDefault="00FA1843" w:rsidP="008A11FA">
            <w:pPr>
              <w:jc w:val="center"/>
              <w:rPr>
                <w:noProof/>
                <w:sz w:val="20"/>
                <w:szCs w:val="20"/>
              </w:rPr>
            </w:pPr>
            <w:r w:rsidRPr="00A7778D">
              <w:rPr>
                <w:noProof/>
                <w:sz w:val="20"/>
              </w:rPr>
              <w:t xml:space="preserve">1,911 </w:t>
            </w:r>
          </w:p>
          <w:p w14:paraId="56542EF0" w14:textId="77777777" w:rsidR="00FA1843" w:rsidRPr="00A7778D" w:rsidRDefault="00FA1843" w:rsidP="008A11FA">
            <w:pPr>
              <w:jc w:val="center"/>
              <w:rPr>
                <w:noProof/>
                <w:sz w:val="20"/>
                <w:szCs w:val="20"/>
              </w:rPr>
            </w:pPr>
          </w:p>
        </w:tc>
        <w:tc>
          <w:tcPr>
            <w:tcW w:w="972" w:type="dxa"/>
            <w:vAlign w:val="center"/>
          </w:tcPr>
          <w:p w14:paraId="76999E1A" w14:textId="0026A1FB" w:rsidR="00FA1843" w:rsidRPr="00A7778D" w:rsidRDefault="00FA1843" w:rsidP="008A11FA">
            <w:pPr>
              <w:jc w:val="center"/>
              <w:rPr>
                <w:noProof/>
                <w:sz w:val="20"/>
                <w:szCs w:val="20"/>
              </w:rPr>
            </w:pPr>
            <w:r w:rsidRPr="00A7778D">
              <w:rPr>
                <w:noProof/>
                <w:sz w:val="20"/>
              </w:rPr>
              <w:t xml:space="preserve">3,833 </w:t>
            </w:r>
          </w:p>
          <w:p w14:paraId="5B0022D8" w14:textId="77777777" w:rsidR="00FA1843" w:rsidRPr="00A7778D" w:rsidRDefault="00FA1843" w:rsidP="008A11FA">
            <w:pPr>
              <w:jc w:val="center"/>
              <w:rPr>
                <w:noProof/>
                <w:sz w:val="20"/>
                <w:szCs w:val="20"/>
              </w:rPr>
            </w:pPr>
          </w:p>
        </w:tc>
        <w:tc>
          <w:tcPr>
            <w:tcW w:w="972" w:type="dxa"/>
            <w:vAlign w:val="center"/>
          </w:tcPr>
          <w:p w14:paraId="1B722DB8" w14:textId="357909D6" w:rsidR="00FA1843" w:rsidRPr="00A7778D" w:rsidRDefault="00FA1843" w:rsidP="008A11FA">
            <w:pPr>
              <w:jc w:val="center"/>
              <w:rPr>
                <w:noProof/>
                <w:sz w:val="20"/>
                <w:szCs w:val="20"/>
              </w:rPr>
            </w:pPr>
            <w:r w:rsidRPr="00A7778D">
              <w:rPr>
                <w:noProof/>
                <w:sz w:val="20"/>
              </w:rPr>
              <w:t xml:space="preserve">3,685 </w:t>
            </w:r>
          </w:p>
          <w:p w14:paraId="0650A3F8" w14:textId="77777777" w:rsidR="00FA1843" w:rsidRPr="00A7778D" w:rsidRDefault="00FA1843" w:rsidP="008A11FA">
            <w:pPr>
              <w:jc w:val="center"/>
              <w:rPr>
                <w:noProof/>
                <w:sz w:val="20"/>
                <w:szCs w:val="20"/>
              </w:rPr>
            </w:pPr>
          </w:p>
        </w:tc>
        <w:tc>
          <w:tcPr>
            <w:tcW w:w="972" w:type="dxa"/>
            <w:vAlign w:val="center"/>
          </w:tcPr>
          <w:p w14:paraId="7DFCD379" w14:textId="34CFAC9F" w:rsidR="00FA1843" w:rsidRPr="00A7778D" w:rsidRDefault="00FA1843" w:rsidP="008A11FA">
            <w:pPr>
              <w:jc w:val="center"/>
              <w:rPr>
                <w:noProof/>
                <w:sz w:val="20"/>
                <w:szCs w:val="20"/>
              </w:rPr>
            </w:pPr>
            <w:r w:rsidRPr="00A7778D">
              <w:rPr>
                <w:noProof/>
                <w:sz w:val="20"/>
              </w:rPr>
              <w:t>9,430</w:t>
            </w:r>
          </w:p>
          <w:p w14:paraId="6749D4C5" w14:textId="77777777" w:rsidR="00FA1843" w:rsidRPr="00A7778D" w:rsidRDefault="00FA1843" w:rsidP="008A11FA">
            <w:pPr>
              <w:jc w:val="center"/>
              <w:rPr>
                <w:noProof/>
                <w:sz w:val="20"/>
                <w:szCs w:val="20"/>
              </w:rPr>
            </w:pPr>
          </w:p>
        </w:tc>
      </w:tr>
      <w:tr w:rsidR="00FA1843" w:rsidRPr="00A7778D" w14:paraId="6F20841F" w14:textId="77777777" w:rsidTr="00041DD0">
        <w:trPr>
          <w:cantSplit/>
        </w:trPr>
        <w:tc>
          <w:tcPr>
            <w:tcW w:w="2950" w:type="dxa"/>
            <w:vAlign w:val="center"/>
          </w:tcPr>
          <w:p w14:paraId="0F859FDD" w14:textId="77777777" w:rsidR="00FA1843" w:rsidRPr="00A7778D" w:rsidRDefault="00FA1843" w:rsidP="00041DD0">
            <w:pPr>
              <w:spacing w:before="60" w:after="60"/>
              <w:rPr>
                <w:b/>
                <w:bCs/>
                <w:noProof/>
                <w:sz w:val="20"/>
                <w:szCs w:val="20"/>
              </w:rPr>
            </w:pPr>
            <w:r w:rsidRPr="00A7778D">
              <w:rPr>
                <w:b/>
                <w:noProof/>
                <w:sz w:val="20"/>
              </w:rPr>
              <w:t>Yhteisrahoituksella katettavat määrärahat YHTEENSÄ (mukaan lukien työnantajan eläkemaksut)</w:t>
            </w:r>
          </w:p>
        </w:tc>
        <w:tc>
          <w:tcPr>
            <w:tcW w:w="972" w:type="dxa"/>
            <w:vAlign w:val="center"/>
          </w:tcPr>
          <w:p w14:paraId="1452949D" w14:textId="77777777" w:rsidR="00FA1843" w:rsidRPr="00A7778D" w:rsidRDefault="00FA1843" w:rsidP="00041DD0">
            <w:pPr>
              <w:spacing w:before="60" w:after="60"/>
              <w:jc w:val="right"/>
              <w:rPr>
                <w:b/>
                <w:bCs/>
                <w:noProof/>
                <w:sz w:val="20"/>
                <w:szCs w:val="20"/>
              </w:rPr>
            </w:pPr>
          </w:p>
        </w:tc>
        <w:tc>
          <w:tcPr>
            <w:tcW w:w="972" w:type="dxa"/>
            <w:vAlign w:val="center"/>
          </w:tcPr>
          <w:p w14:paraId="3F1C0EC5" w14:textId="77777777" w:rsidR="00FA1843" w:rsidRPr="00A7778D" w:rsidRDefault="00FA1843" w:rsidP="00041DD0">
            <w:pPr>
              <w:spacing w:before="60" w:after="60"/>
              <w:jc w:val="right"/>
              <w:rPr>
                <w:b/>
                <w:bCs/>
                <w:noProof/>
                <w:sz w:val="20"/>
                <w:szCs w:val="20"/>
              </w:rPr>
            </w:pPr>
          </w:p>
        </w:tc>
        <w:tc>
          <w:tcPr>
            <w:tcW w:w="972" w:type="dxa"/>
            <w:vAlign w:val="center"/>
          </w:tcPr>
          <w:p w14:paraId="7A22DB00" w14:textId="1E1E112D" w:rsidR="00FA1843" w:rsidRPr="00A7778D" w:rsidRDefault="00FA1843" w:rsidP="008A11FA">
            <w:pPr>
              <w:jc w:val="center"/>
              <w:rPr>
                <w:noProof/>
                <w:sz w:val="20"/>
                <w:szCs w:val="20"/>
              </w:rPr>
            </w:pPr>
            <w:r w:rsidRPr="00A7778D">
              <w:rPr>
                <w:noProof/>
                <w:sz w:val="20"/>
              </w:rPr>
              <w:t xml:space="preserve">1,911 </w:t>
            </w:r>
          </w:p>
          <w:p w14:paraId="26388829" w14:textId="77777777" w:rsidR="00FA1843" w:rsidRPr="00A7778D" w:rsidRDefault="00FA1843" w:rsidP="008A11FA">
            <w:pPr>
              <w:jc w:val="center"/>
              <w:rPr>
                <w:noProof/>
                <w:sz w:val="20"/>
                <w:szCs w:val="20"/>
              </w:rPr>
            </w:pPr>
          </w:p>
        </w:tc>
        <w:tc>
          <w:tcPr>
            <w:tcW w:w="972" w:type="dxa"/>
            <w:vAlign w:val="center"/>
          </w:tcPr>
          <w:p w14:paraId="77EA5ED9" w14:textId="0285B4C8" w:rsidR="00FA1843" w:rsidRPr="00A7778D" w:rsidRDefault="00FA1843" w:rsidP="008A11FA">
            <w:pPr>
              <w:jc w:val="center"/>
              <w:rPr>
                <w:noProof/>
                <w:sz w:val="20"/>
                <w:szCs w:val="20"/>
              </w:rPr>
            </w:pPr>
            <w:r w:rsidRPr="00A7778D">
              <w:rPr>
                <w:noProof/>
                <w:sz w:val="20"/>
              </w:rPr>
              <w:t xml:space="preserve">3,833 </w:t>
            </w:r>
          </w:p>
          <w:p w14:paraId="75459E72" w14:textId="77777777" w:rsidR="00FA1843" w:rsidRPr="00A7778D" w:rsidRDefault="00FA1843" w:rsidP="008A11FA">
            <w:pPr>
              <w:jc w:val="center"/>
              <w:rPr>
                <w:noProof/>
                <w:sz w:val="20"/>
                <w:szCs w:val="20"/>
              </w:rPr>
            </w:pPr>
          </w:p>
        </w:tc>
        <w:tc>
          <w:tcPr>
            <w:tcW w:w="972" w:type="dxa"/>
            <w:vAlign w:val="center"/>
          </w:tcPr>
          <w:p w14:paraId="4351DE41" w14:textId="5E75106E" w:rsidR="00FA1843" w:rsidRPr="00A7778D" w:rsidRDefault="00FA1843" w:rsidP="008A11FA">
            <w:pPr>
              <w:jc w:val="center"/>
              <w:rPr>
                <w:noProof/>
                <w:sz w:val="20"/>
                <w:szCs w:val="20"/>
              </w:rPr>
            </w:pPr>
            <w:r w:rsidRPr="00A7778D">
              <w:rPr>
                <w:noProof/>
                <w:sz w:val="20"/>
              </w:rPr>
              <w:t xml:space="preserve">3,685 </w:t>
            </w:r>
          </w:p>
          <w:p w14:paraId="36C84279" w14:textId="77777777" w:rsidR="00FA1843" w:rsidRPr="00A7778D" w:rsidRDefault="00FA1843" w:rsidP="008A11FA">
            <w:pPr>
              <w:jc w:val="center"/>
              <w:rPr>
                <w:noProof/>
                <w:sz w:val="20"/>
                <w:szCs w:val="20"/>
              </w:rPr>
            </w:pPr>
          </w:p>
        </w:tc>
        <w:tc>
          <w:tcPr>
            <w:tcW w:w="972" w:type="dxa"/>
            <w:vAlign w:val="center"/>
          </w:tcPr>
          <w:p w14:paraId="286527A1" w14:textId="4C043982" w:rsidR="00FA1843" w:rsidRPr="00A7778D" w:rsidRDefault="00FA1843" w:rsidP="008A11FA">
            <w:pPr>
              <w:jc w:val="center"/>
              <w:rPr>
                <w:noProof/>
                <w:sz w:val="20"/>
                <w:szCs w:val="20"/>
              </w:rPr>
            </w:pPr>
            <w:r w:rsidRPr="00A7778D">
              <w:rPr>
                <w:noProof/>
                <w:sz w:val="20"/>
              </w:rPr>
              <w:t xml:space="preserve">9,430 </w:t>
            </w:r>
          </w:p>
          <w:p w14:paraId="4BAE0C73" w14:textId="77777777" w:rsidR="00FA1843" w:rsidRPr="00A7778D" w:rsidRDefault="00FA1843" w:rsidP="008A11FA">
            <w:pPr>
              <w:jc w:val="center"/>
              <w:rPr>
                <w:noProof/>
                <w:sz w:val="20"/>
                <w:szCs w:val="20"/>
              </w:rPr>
            </w:pPr>
          </w:p>
        </w:tc>
      </w:tr>
    </w:tbl>
    <w:p w14:paraId="4D798C20" w14:textId="77525CD5" w:rsidR="00FA1843" w:rsidRPr="00A7778D" w:rsidRDefault="00FA1843" w:rsidP="002A7F8C">
      <w:pPr>
        <w:pStyle w:val="ManualHeading2"/>
        <w:rPr>
          <w:bCs/>
          <w:noProof/>
          <w:szCs w:val="24"/>
        </w:rPr>
      </w:pPr>
      <w:r w:rsidRPr="00A7778D">
        <w:rPr>
          <w:noProof/>
        </w:rPr>
        <w:br w:type="page"/>
      </w:r>
      <w:bookmarkStart w:id="70" w:name="_Toc514938691"/>
      <w:bookmarkStart w:id="71" w:name="_Toc520485450"/>
      <w:r w:rsidRPr="00A7778D">
        <w:rPr>
          <w:noProof/>
        </w:rPr>
        <w:t>3.3.</w:t>
      </w:r>
      <w:r w:rsidRPr="00A7778D">
        <w:rPr>
          <w:noProof/>
        </w:rPr>
        <w:tab/>
        <w:t>Arvioidut vaikutukset tuloihin</w:t>
      </w:r>
      <w:bookmarkEnd w:id="70"/>
      <w:bookmarkEnd w:id="71"/>
      <w:r w:rsidRPr="00A7778D">
        <w:rPr>
          <w:noProof/>
        </w:rPr>
        <w:t xml:space="preserve"> </w:t>
      </w:r>
    </w:p>
    <w:p w14:paraId="4B0192FF" w14:textId="77777777" w:rsidR="00FA1843" w:rsidRPr="00A7778D" w:rsidRDefault="00FA1843" w:rsidP="00580A58">
      <w:pPr>
        <w:pStyle w:val="ListDash1"/>
        <w:numPr>
          <w:ilvl w:val="0"/>
          <w:numId w:val="21"/>
        </w:numPr>
        <w:rPr>
          <w:noProof/>
        </w:rPr>
      </w:pPr>
      <w:r w:rsidRPr="00A7778D">
        <w:rPr>
          <w:noProof/>
        </w:rPr>
        <w:sym w:font="Wingdings" w:char="F0FE"/>
      </w:r>
      <w:r w:rsidRPr="00A7778D">
        <w:rPr>
          <w:noProof/>
        </w:rPr>
        <w:tab/>
        <w:t>Ehdotuksella/aloitteella ei ole vaikutuksia tuloihin.</w:t>
      </w:r>
    </w:p>
    <w:p w14:paraId="167125A5" w14:textId="77777777" w:rsidR="00FA1843" w:rsidRPr="00A7778D" w:rsidRDefault="00FA1843" w:rsidP="00580A58">
      <w:pPr>
        <w:pStyle w:val="ListDash1"/>
        <w:numPr>
          <w:ilvl w:val="0"/>
          <w:numId w:val="21"/>
        </w:numPr>
        <w:rPr>
          <w:noProof/>
        </w:rPr>
      </w:pPr>
      <w:r w:rsidRPr="00A7778D">
        <w:rPr>
          <w:noProof/>
        </w:rPr>
        <w:sym w:font="Wingdings" w:char="F0A8"/>
      </w:r>
      <w:r w:rsidRPr="00A7778D">
        <w:rPr>
          <w:noProof/>
        </w:rPr>
        <w:tab/>
        <w:t>Ehdotuksella/aloitteella on vaikutuksia tuloihin seuraavasti:</w:t>
      </w:r>
    </w:p>
    <w:p w14:paraId="0DBDD8BA" w14:textId="77777777" w:rsidR="00FA1843" w:rsidRPr="00A7778D" w:rsidRDefault="00FA1843" w:rsidP="00580A58">
      <w:pPr>
        <w:pStyle w:val="ListNumberLevel3"/>
        <w:numPr>
          <w:ilvl w:val="2"/>
          <w:numId w:val="19"/>
        </w:numPr>
        <w:rPr>
          <w:noProof/>
        </w:rPr>
      </w:pPr>
      <w:r w:rsidRPr="00A7778D">
        <w:rPr>
          <w:noProof/>
        </w:rPr>
        <w:sym w:font="Wingdings" w:char="F0A8"/>
      </w:r>
      <w:r w:rsidRPr="00A7778D">
        <w:rPr>
          <w:noProof/>
        </w:rPr>
        <w:tab/>
        <w:t xml:space="preserve">vaikutukset omiin varoihin </w:t>
      </w:r>
    </w:p>
    <w:p w14:paraId="47300A5F" w14:textId="77777777" w:rsidR="00FA1843" w:rsidRPr="00A7778D" w:rsidRDefault="00FA1843" w:rsidP="00580A58">
      <w:pPr>
        <w:pStyle w:val="ListNumberLevel3"/>
        <w:numPr>
          <w:ilvl w:val="2"/>
          <w:numId w:val="19"/>
        </w:numPr>
        <w:rPr>
          <w:noProof/>
        </w:rPr>
      </w:pPr>
      <w:r w:rsidRPr="00A7778D">
        <w:rPr>
          <w:noProof/>
        </w:rPr>
        <w:sym w:font="Wingdings" w:char="F0A8"/>
      </w:r>
      <w:r w:rsidRPr="00A7778D">
        <w:rPr>
          <w:noProof/>
        </w:rPr>
        <w:tab/>
        <w:t xml:space="preserve">vaikutukset muihin tuloihin </w:t>
      </w:r>
    </w:p>
    <w:p w14:paraId="190ABE33" w14:textId="3E9BB30E" w:rsidR="00FA1843" w:rsidRPr="00A7778D" w:rsidRDefault="00FA1843" w:rsidP="00580A58">
      <w:pPr>
        <w:pStyle w:val="ListNumberLevel3"/>
        <w:numPr>
          <w:ilvl w:val="2"/>
          <w:numId w:val="19"/>
        </w:numPr>
        <w:rPr>
          <w:noProof/>
        </w:rPr>
      </w:pPr>
      <w:r w:rsidRPr="00A7778D">
        <w:rPr>
          <w:noProof/>
        </w:rPr>
        <w:sym w:font="Wingdings" w:char="F0A8"/>
      </w:r>
      <w:r w:rsidRPr="00A7778D">
        <w:rPr>
          <w:noProof/>
        </w:rPr>
        <w:t xml:space="preserve">        tulot on kohdennettu menopuolen budjettikohtiin </w:t>
      </w:r>
    </w:p>
    <w:p w14:paraId="4C2F5C48" w14:textId="77777777" w:rsidR="00FA1843" w:rsidRPr="00A7778D" w:rsidRDefault="00FA1843" w:rsidP="00FA1843">
      <w:pPr>
        <w:jc w:val="right"/>
        <w:rPr>
          <w:i/>
          <w:noProof/>
          <w:sz w:val="20"/>
        </w:rPr>
      </w:pPr>
      <w:r w:rsidRPr="00A7778D">
        <w:rPr>
          <w:noProof/>
          <w:sz w:val="20"/>
        </w:rPr>
        <w:t>milj. euroa (kolmen desimaalin tarkkuudella)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FA1843" w:rsidRPr="00A7778D" w14:paraId="21FF1B08" w14:textId="77777777" w:rsidTr="00041DD0">
        <w:trPr>
          <w:trHeight w:val="388"/>
        </w:trPr>
        <w:tc>
          <w:tcPr>
            <w:tcW w:w="2144" w:type="dxa"/>
            <w:vMerge w:val="restart"/>
            <w:vAlign w:val="center"/>
          </w:tcPr>
          <w:p w14:paraId="4FF40102" w14:textId="77777777" w:rsidR="00FA1843" w:rsidRPr="00A7778D" w:rsidRDefault="00FA1843" w:rsidP="00041DD0">
            <w:pPr>
              <w:spacing w:before="40" w:after="40"/>
              <w:rPr>
                <w:noProof/>
                <w:sz w:val="18"/>
              </w:rPr>
            </w:pPr>
            <w:r w:rsidRPr="00A7778D">
              <w:rPr>
                <w:noProof/>
                <w:sz w:val="18"/>
              </w:rPr>
              <w:t>Tulopuolen budjettikohta:</w:t>
            </w:r>
          </w:p>
        </w:tc>
        <w:tc>
          <w:tcPr>
            <w:tcW w:w="1276" w:type="dxa"/>
            <w:vMerge w:val="restart"/>
            <w:vAlign w:val="center"/>
          </w:tcPr>
          <w:p w14:paraId="5ED7952C" w14:textId="77777777" w:rsidR="00FA1843" w:rsidRPr="00A7778D" w:rsidRDefault="00FA1843" w:rsidP="00041DD0">
            <w:pPr>
              <w:jc w:val="center"/>
              <w:rPr>
                <w:noProof/>
                <w:sz w:val="18"/>
              </w:rPr>
            </w:pPr>
            <w:r w:rsidRPr="00A7778D">
              <w:rPr>
                <w:noProof/>
                <w:sz w:val="18"/>
              </w:rPr>
              <w:t>Käytettävissä olevat määrärahat kuluvana varainhoitovuonna</w:t>
            </w:r>
          </w:p>
        </w:tc>
        <w:tc>
          <w:tcPr>
            <w:tcW w:w="7200" w:type="dxa"/>
            <w:gridSpan w:val="7"/>
            <w:vAlign w:val="center"/>
          </w:tcPr>
          <w:p w14:paraId="0F82A4F6" w14:textId="77777777" w:rsidR="00FA1843" w:rsidRPr="00A7778D" w:rsidRDefault="00FA1843" w:rsidP="00041DD0">
            <w:pPr>
              <w:jc w:val="center"/>
              <w:rPr>
                <w:noProof/>
                <w:sz w:val="18"/>
              </w:rPr>
            </w:pPr>
            <w:r w:rsidRPr="00A7778D">
              <w:rPr>
                <w:noProof/>
                <w:sz w:val="18"/>
              </w:rPr>
              <w:t>Ehdotuksen/aloitteen vaikutus</w:t>
            </w:r>
            <w:r w:rsidRPr="00A7778D">
              <w:rPr>
                <w:rStyle w:val="FootnoteReference0"/>
                <w:noProof/>
                <w:sz w:val="18"/>
              </w:rPr>
              <w:footnoteReference w:id="70"/>
            </w:r>
          </w:p>
        </w:tc>
      </w:tr>
      <w:tr w:rsidR="00FA1843" w:rsidRPr="00A7778D" w14:paraId="046C02A6" w14:textId="77777777" w:rsidTr="00041DD0">
        <w:trPr>
          <w:trHeight w:val="388"/>
        </w:trPr>
        <w:tc>
          <w:tcPr>
            <w:tcW w:w="2144" w:type="dxa"/>
            <w:vMerge/>
            <w:vAlign w:val="center"/>
          </w:tcPr>
          <w:p w14:paraId="52BCB515" w14:textId="77777777" w:rsidR="00FA1843" w:rsidRPr="00A7778D" w:rsidRDefault="00FA1843" w:rsidP="00041DD0">
            <w:pPr>
              <w:rPr>
                <w:noProof/>
                <w:sz w:val="18"/>
              </w:rPr>
            </w:pPr>
          </w:p>
        </w:tc>
        <w:tc>
          <w:tcPr>
            <w:tcW w:w="1276" w:type="dxa"/>
            <w:vMerge/>
            <w:vAlign w:val="center"/>
          </w:tcPr>
          <w:p w14:paraId="2C7BC2CB" w14:textId="77777777" w:rsidR="00FA1843" w:rsidRPr="00A7778D" w:rsidRDefault="00FA1843" w:rsidP="00041DD0">
            <w:pPr>
              <w:rPr>
                <w:noProof/>
                <w:sz w:val="18"/>
              </w:rPr>
            </w:pPr>
          </w:p>
        </w:tc>
        <w:tc>
          <w:tcPr>
            <w:tcW w:w="1080" w:type="dxa"/>
            <w:vAlign w:val="center"/>
          </w:tcPr>
          <w:p w14:paraId="22ECA942" w14:textId="77777777" w:rsidR="00FA1843" w:rsidRPr="00A7778D" w:rsidRDefault="00FA1843" w:rsidP="00041DD0">
            <w:pPr>
              <w:jc w:val="center"/>
              <w:rPr>
                <w:noProof/>
                <w:sz w:val="18"/>
              </w:rPr>
            </w:pPr>
            <w:r w:rsidRPr="00A7778D">
              <w:rPr>
                <w:noProof/>
              </w:rPr>
              <w:t xml:space="preserve">Vuosi </w:t>
            </w:r>
            <w:r w:rsidRPr="00A7778D">
              <w:rPr>
                <w:noProof/>
              </w:rPr>
              <w:br/>
            </w:r>
            <w:r w:rsidRPr="00A7778D">
              <w:rPr>
                <w:b/>
                <w:noProof/>
                <w:sz w:val="18"/>
              </w:rPr>
              <w:t>N</w:t>
            </w:r>
          </w:p>
        </w:tc>
        <w:tc>
          <w:tcPr>
            <w:tcW w:w="900" w:type="dxa"/>
            <w:vAlign w:val="center"/>
          </w:tcPr>
          <w:p w14:paraId="6C2615B3" w14:textId="77777777" w:rsidR="00FA1843" w:rsidRPr="00A7778D" w:rsidRDefault="00FA1843" w:rsidP="00041DD0">
            <w:pPr>
              <w:jc w:val="center"/>
              <w:rPr>
                <w:noProof/>
                <w:sz w:val="18"/>
              </w:rPr>
            </w:pPr>
            <w:r w:rsidRPr="00A7778D">
              <w:rPr>
                <w:noProof/>
              </w:rPr>
              <w:t xml:space="preserve">Vuosi </w:t>
            </w:r>
            <w:r w:rsidRPr="00A7778D">
              <w:rPr>
                <w:noProof/>
              </w:rPr>
              <w:br/>
            </w:r>
            <w:r w:rsidRPr="00A7778D">
              <w:rPr>
                <w:b/>
                <w:noProof/>
                <w:sz w:val="18"/>
              </w:rPr>
              <w:t>N+1</w:t>
            </w:r>
          </w:p>
        </w:tc>
        <w:tc>
          <w:tcPr>
            <w:tcW w:w="900" w:type="dxa"/>
            <w:vAlign w:val="center"/>
          </w:tcPr>
          <w:p w14:paraId="0C1B743C" w14:textId="77777777" w:rsidR="00FA1843" w:rsidRPr="00A7778D" w:rsidRDefault="00FA1843" w:rsidP="00041DD0">
            <w:pPr>
              <w:jc w:val="center"/>
              <w:rPr>
                <w:noProof/>
                <w:sz w:val="18"/>
              </w:rPr>
            </w:pPr>
            <w:r w:rsidRPr="00A7778D">
              <w:rPr>
                <w:noProof/>
              </w:rPr>
              <w:t xml:space="preserve">Vuosi </w:t>
            </w:r>
            <w:r w:rsidRPr="00A7778D">
              <w:rPr>
                <w:noProof/>
              </w:rPr>
              <w:br/>
            </w:r>
            <w:r w:rsidRPr="00A7778D">
              <w:rPr>
                <w:b/>
                <w:noProof/>
                <w:sz w:val="18"/>
              </w:rPr>
              <w:t>N+2</w:t>
            </w:r>
          </w:p>
        </w:tc>
        <w:tc>
          <w:tcPr>
            <w:tcW w:w="1080" w:type="dxa"/>
            <w:vAlign w:val="center"/>
          </w:tcPr>
          <w:p w14:paraId="1446CD2F" w14:textId="77777777" w:rsidR="00FA1843" w:rsidRPr="00A7778D" w:rsidRDefault="00FA1843" w:rsidP="00041DD0">
            <w:pPr>
              <w:jc w:val="center"/>
              <w:rPr>
                <w:noProof/>
                <w:sz w:val="18"/>
              </w:rPr>
            </w:pPr>
            <w:r w:rsidRPr="00A7778D">
              <w:rPr>
                <w:noProof/>
              </w:rPr>
              <w:t xml:space="preserve">Vuosi </w:t>
            </w:r>
            <w:r w:rsidRPr="00A7778D">
              <w:rPr>
                <w:noProof/>
              </w:rPr>
              <w:br/>
            </w:r>
            <w:r w:rsidRPr="00A7778D">
              <w:rPr>
                <w:b/>
                <w:noProof/>
                <w:sz w:val="18"/>
              </w:rPr>
              <w:t>N+3</w:t>
            </w:r>
          </w:p>
        </w:tc>
        <w:tc>
          <w:tcPr>
            <w:tcW w:w="3240" w:type="dxa"/>
            <w:gridSpan w:val="3"/>
            <w:vAlign w:val="center"/>
          </w:tcPr>
          <w:p w14:paraId="7B3A3E11" w14:textId="77777777" w:rsidR="00FA1843" w:rsidRPr="00A7778D" w:rsidRDefault="00FA1843" w:rsidP="00041DD0">
            <w:pPr>
              <w:jc w:val="center"/>
              <w:rPr>
                <w:b/>
                <w:noProof/>
                <w:sz w:val="18"/>
              </w:rPr>
            </w:pPr>
            <w:r w:rsidRPr="00A7778D">
              <w:rPr>
                <w:noProof/>
                <w:sz w:val="18"/>
              </w:rPr>
              <w:t>Ilmoitetaan kaikki vuodet, joille ehdotuksen/aloitteen vaikutukset ulottuvat (ks. kohta 1.6)</w:t>
            </w:r>
          </w:p>
        </w:tc>
      </w:tr>
      <w:tr w:rsidR="00FA1843" w:rsidRPr="00A7778D" w14:paraId="7EBDB0CE" w14:textId="77777777" w:rsidTr="00041DD0">
        <w:trPr>
          <w:trHeight w:val="388"/>
        </w:trPr>
        <w:tc>
          <w:tcPr>
            <w:tcW w:w="2144" w:type="dxa"/>
            <w:vAlign w:val="center"/>
          </w:tcPr>
          <w:p w14:paraId="3EAE4025" w14:textId="77777777" w:rsidR="00FA1843" w:rsidRPr="00A7778D" w:rsidRDefault="00FA1843" w:rsidP="00041DD0">
            <w:pPr>
              <w:spacing w:before="40" w:after="40"/>
              <w:rPr>
                <w:noProof/>
                <w:sz w:val="18"/>
              </w:rPr>
            </w:pPr>
            <w:r w:rsidRPr="00A7778D">
              <w:rPr>
                <w:noProof/>
                <w:sz w:val="18"/>
              </w:rPr>
              <w:t>Momentti ….</w:t>
            </w:r>
          </w:p>
        </w:tc>
        <w:tc>
          <w:tcPr>
            <w:tcW w:w="1276" w:type="dxa"/>
          </w:tcPr>
          <w:p w14:paraId="3DDF9ADE" w14:textId="77777777" w:rsidR="00FA1843" w:rsidRPr="00A7778D" w:rsidRDefault="00FA1843" w:rsidP="00041DD0">
            <w:pPr>
              <w:spacing w:beforeLines="40" w:before="96" w:afterLines="40" w:after="96"/>
              <w:jc w:val="center"/>
              <w:rPr>
                <w:i/>
                <w:noProof/>
                <w:sz w:val="18"/>
              </w:rPr>
            </w:pPr>
          </w:p>
        </w:tc>
        <w:tc>
          <w:tcPr>
            <w:tcW w:w="1080" w:type="dxa"/>
          </w:tcPr>
          <w:p w14:paraId="4644FECE" w14:textId="77777777" w:rsidR="00FA1843" w:rsidRPr="00A7778D" w:rsidRDefault="00FA1843" w:rsidP="00041DD0">
            <w:pPr>
              <w:spacing w:beforeLines="40" w:before="96" w:afterLines="40" w:after="96"/>
              <w:jc w:val="center"/>
              <w:rPr>
                <w:noProof/>
                <w:sz w:val="18"/>
              </w:rPr>
            </w:pPr>
          </w:p>
        </w:tc>
        <w:tc>
          <w:tcPr>
            <w:tcW w:w="900" w:type="dxa"/>
          </w:tcPr>
          <w:p w14:paraId="5FEFFB9A" w14:textId="77777777" w:rsidR="00FA1843" w:rsidRPr="00A7778D" w:rsidRDefault="00FA1843" w:rsidP="00041DD0">
            <w:pPr>
              <w:spacing w:beforeLines="40" w:before="96" w:afterLines="40" w:after="96"/>
              <w:jc w:val="center"/>
              <w:rPr>
                <w:noProof/>
                <w:sz w:val="18"/>
              </w:rPr>
            </w:pPr>
          </w:p>
        </w:tc>
        <w:tc>
          <w:tcPr>
            <w:tcW w:w="900" w:type="dxa"/>
          </w:tcPr>
          <w:p w14:paraId="149429D3" w14:textId="77777777" w:rsidR="00FA1843" w:rsidRPr="00A7778D" w:rsidRDefault="00FA1843" w:rsidP="00041DD0">
            <w:pPr>
              <w:spacing w:beforeLines="40" w:before="96" w:afterLines="40" w:after="96"/>
              <w:jc w:val="center"/>
              <w:rPr>
                <w:noProof/>
                <w:sz w:val="18"/>
              </w:rPr>
            </w:pPr>
          </w:p>
        </w:tc>
        <w:tc>
          <w:tcPr>
            <w:tcW w:w="1080" w:type="dxa"/>
          </w:tcPr>
          <w:p w14:paraId="13154631" w14:textId="77777777" w:rsidR="00FA1843" w:rsidRPr="00A7778D" w:rsidRDefault="00FA1843" w:rsidP="00041DD0">
            <w:pPr>
              <w:spacing w:beforeLines="40" w:before="96" w:afterLines="40" w:after="96"/>
              <w:jc w:val="center"/>
              <w:rPr>
                <w:noProof/>
                <w:sz w:val="18"/>
              </w:rPr>
            </w:pPr>
          </w:p>
        </w:tc>
        <w:tc>
          <w:tcPr>
            <w:tcW w:w="1080" w:type="dxa"/>
          </w:tcPr>
          <w:p w14:paraId="323284AB" w14:textId="77777777" w:rsidR="00FA1843" w:rsidRPr="00A7778D" w:rsidRDefault="00FA1843" w:rsidP="00041DD0">
            <w:pPr>
              <w:spacing w:beforeLines="40" w:before="96" w:afterLines="40" w:after="96"/>
              <w:jc w:val="center"/>
              <w:rPr>
                <w:noProof/>
                <w:sz w:val="18"/>
              </w:rPr>
            </w:pPr>
          </w:p>
        </w:tc>
        <w:tc>
          <w:tcPr>
            <w:tcW w:w="1080" w:type="dxa"/>
          </w:tcPr>
          <w:p w14:paraId="571856CE" w14:textId="77777777" w:rsidR="00FA1843" w:rsidRPr="00A7778D" w:rsidRDefault="00FA1843" w:rsidP="00041DD0">
            <w:pPr>
              <w:spacing w:beforeLines="40" w:before="96" w:afterLines="40" w:after="96"/>
              <w:jc w:val="center"/>
              <w:rPr>
                <w:noProof/>
                <w:sz w:val="18"/>
              </w:rPr>
            </w:pPr>
          </w:p>
        </w:tc>
        <w:tc>
          <w:tcPr>
            <w:tcW w:w="1080" w:type="dxa"/>
          </w:tcPr>
          <w:p w14:paraId="5BC71000" w14:textId="77777777" w:rsidR="00FA1843" w:rsidRPr="00A7778D" w:rsidRDefault="00FA1843" w:rsidP="00041DD0">
            <w:pPr>
              <w:spacing w:beforeLines="40" w:before="96" w:afterLines="40" w:after="96"/>
              <w:jc w:val="center"/>
              <w:rPr>
                <w:noProof/>
                <w:sz w:val="18"/>
              </w:rPr>
            </w:pPr>
          </w:p>
        </w:tc>
      </w:tr>
    </w:tbl>
    <w:p w14:paraId="4E34C2C0" w14:textId="77777777" w:rsidR="00FA1843" w:rsidRPr="00A7778D" w:rsidRDefault="00FA1843" w:rsidP="00FA1843">
      <w:pPr>
        <w:pStyle w:val="Text1"/>
        <w:rPr>
          <w:noProof/>
          <w:sz w:val="20"/>
        </w:rPr>
      </w:pPr>
      <w:r w:rsidRPr="00A7778D">
        <w:rPr>
          <w:noProof/>
          <w:sz w:val="20"/>
        </w:rPr>
        <w:t>Vastaava(t) menopuolen budjettikohta (budjettikohdat) käyttötarkoitukseensa sidottujen sekalaisten tulojen tapauksessa:</w:t>
      </w:r>
    </w:p>
    <w:p w14:paraId="59201996" w14:textId="7D960C51"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p>
    <w:p w14:paraId="3F828787" w14:textId="77777777" w:rsidR="00FA1843" w:rsidRPr="00A7778D" w:rsidRDefault="00FA1843" w:rsidP="00FA1843">
      <w:pPr>
        <w:pStyle w:val="Text1"/>
        <w:rPr>
          <w:noProof/>
          <w:sz w:val="20"/>
        </w:rPr>
      </w:pPr>
      <w:r w:rsidRPr="00A7778D">
        <w:rPr>
          <w:noProof/>
          <w:sz w:val="20"/>
        </w:rPr>
        <w:t>Selvitys tuloihin kohdistuvan vaikutuksen laskentamenetelmästä</w:t>
      </w:r>
    </w:p>
    <w:p w14:paraId="0D961F70" w14:textId="1C6B553A" w:rsidR="00FA1843" w:rsidRPr="00A7778D" w:rsidRDefault="00FA1843" w:rsidP="00FA1843">
      <w:pPr>
        <w:pStyle w:val="Text1"/>
        <w:pBdr>
          <w:top w:val="single" w:sz="4" w:space="1" w:color="auto"/>
          <w:left w:val="single" w:sz="4" w:space="4" w:color="auto"/>
          <w:bottom w:val="single" w:sz="4" w:space="1" w:color="auto"/>
          <w:right w:val="single" w:sz="4" w:space="4" w:color="auto"/>
        </w:pBdr>
        <w:rPr>
          <w:noProof/>
        </w:rPr>
      </w:pPr>
    </w:p>
    <w:p w14:paraId="5340B38C" w14:textId="77777777" w:rsidR="00FA1843" w:rsidRPr="00A7778D" w:rsidRDefault="00FA1843" w:rsidP="00FA1843">
      <w:pPr>
        <w:rPr>
          <w:noProof/>
        </w:rPr>
      </w:pPr>
    </w:p>
    <w:p w14:paraId="7434F3F9" w14:textId="77777777" w:rsidR="00FA1843" w:rsidRPr="00A7778D" w:rsidRDefault="00FA1843" w:rsidP="00FA1843">
      <w:pPr>
        <w:spacing w:before="0" w:after="200" w:line="276" w:lineRule="auto"/>
        <w:jc w:val="left"/>
        <w:rPr>
          <w:noProof/>
        </w:rPr>
      </w:pPr>
      <w:r w:rsidRPr="00A7778D">
        <w:rPr>
          <w:noProof/>
        </w:rPr>
        <w:br w:type="page"/>
      </w:r>
    </w:p>
    <w:p w14:paraId="2E8089CD" w14:textId="77777777" w:rsidR="00FA1843" w:rsidRPr="00A7778D" w:rsidRDefault="00FA1843" w:rsidP="00FA1843">
      <w:pPr>
        <w:rPr>
          <w:b/>
          <w:noProof/>
          <w:u w:val="single"/>
        </w:rPr>
      </w:pPr>
      <w:r w:rsidRPr="00A7778D">
        <w:rPr>
          <w:b/>
          <w:noProof/>
          <w:u w:val="single"/>
        </w:rPr>
        <w:t xml:space="preserve">Rahoitusselvityksen liite </w:t>
      </w:r>
    </w:p>
    <w:p w14:paraId="0BFD9F8A" w14:textId="77777777" w:rsidR="00FA1843" w:rsidRPr="00A7778D" w:rsidRDefault="00FA1843" w:rsidP="00FA1843">
      <w:pPr>
        <w:rPr>
          <w:noProof/>
          <w:u w:val="single"/>
        </w:rPr>
      </w:pPr>
      <w:r w:rsidRPr="00A7778D">
        <w:rPr>
          <w:noProof/>
          <w:u w:val="single"/>
        </w:rPr>
        <w:t>Yleiset oletukset</w:t>
      </w:r>
    </w:p>
    <w:p w14:paraId="1BDE182C" w14:textId="77777777" w:rsidR="00FA1843" w:rsidRPr="00A7778D" w:rsidRDefault="00FA1843" w:rsidP="004E776C">
      <w:pPr>
        <w:pStyle w:val="ListBullet"/>
        <w:rPr>
          <w:noProof/>
        </w:rPr>
      </w:pPr>
      <w:r w:rsidRPr="00A7778D">
        <w:rPr>
          <w:noProof/>
        </w:rPr>
        <w:t>Lainsäädäntö tulee voimaan vuoden 2024 jälkipuoliskolla.</w:t>
      </w:r>
    </w:p>
    <w:p w14:paraId="32521BD0" w14:textId="77777777" w:rsidR="00FA1843" w:rsidRPr="00A7778D" w:rsidRDefault="00FA1843" w:rsidP="004E776C">
      <w:pPr>
        <w:pStyle w:val="ListBullet"/>
        <w:rPr>
          <w:noProof/>
        </w:rPr>
      </w:pPr>
      <w:r w:rsidRPr="00A7778D">
        <w:rPr>
          <w:noProof/>
        </w:rPr>
        <w:t>Suora valvonta ja maksut alkavat kuusi kuukautta myöhemmin vuonna 2025.</w:t>
      </w:r>
    </w:p>
    <w:p w14:paraId="1301CD83" w14:textId="77777777" w:rsidR="00FA1843" w:rsidRPr="00A7778D" w:rsidRDefault="00FA1843" w:rsidP="004E776C">
      <w:pPr>
        <w:pStyle w:val="ListBullet"/>
        <w:rPr>
          <w:noProof/>
        </w:rPr>
      </w:pPr>
      <w:r w:rsidRPr="00A7778D">
        <w:rPr>
          <w:noProof/>
          <w:u w:val="single"/>
        </w:rPr>
        <w:t>Lisähenkilöstömenot</w:t>
      </w:r>
      <w:r w:rsidRPr="00A7778D">
        <w:rPr>
          <w:noProof/>
        </w:rPr>
        <w:t xml:space="preserve"> (osasto 1) on laskettu käyttämällä tammikuusta 2023 alkaen sovellettuja keskimääräisiä henkilöstökustannuksia, jotka ovat 171 000 euroa väliaikaista toimihenkilöä kohti ja 91 000 euroa sopimussuhteista toimihenkilöä kohti (eli keskimääräiset tavanomaiset kokonaiskustannukset väliaikaista toimihenkilöä ja sopimussuhteista toimihenkilöä kohti miinus 29 000 euron vakiokustannukset, jotka liittyvät uusien kokoaikavastaavien toimitila- ja tietotekniikkakustannuksiin).  </w:t>
      </w:r>
    </w:p>
    <w:p w14:paraId="4735D0FD" w14:textId="77777777" w:rsidR="00FA1843" w:rsidRPr="00A7778D" w:rsidRDefault="00FA1843" w:rsidP="004E776C">
      <w:pPr>
        <w:rPr>
          <w:noProof/>
        </w:rPr>
      </w:pPr>
      <w:r w:rsidRPr="00A7778D">
        <w:rPr>
          <w:noProof/>
        </w:rPr>
        <w:t>Näihin vakiokustannuksiin sovellettiin nykyistä korjauskerrointa (118,7), jota sovelletaan Pariisissa. Kustannuksiin tehdään 2 prosentin indeksikorjaus vuoden 2023 jälkeen alkaen (kuten unionin talousarviota suunniteltaessa on tavanomainen käytäntö, koska inflaatio saattaa olla joinakin vuosina pienempi ja joinakin suurempi).</w:t>
      </w:r>
    </w:p>
    <w:p w14:paraId="769F4ECD" w14:textId="77777777" w:rsidR="00FA1843" w:rsidRPr="00A7778D" w:rsidRDefault="00FA1843" w:rsidP="004E776C">
      <w:pPr>
        <w:pStyle w:val="ListBullet"/>
        <w:rPr>
          <w:noProof/>
        </w:rPr>
      </w:pPr>
      <w:r w:rsidRPr="00A7778D">
        <w:rPr>
          <w:noProof/>
        </w:rPr>
        <w:t xml:space="preserve">Ylimääräiset infrastruktuuri- ja toimintakustannukset (osasto 2) on laskettu soveltamalla 29 000 euron vakiokustannuksia, jotka liittyvät rakennuksiin ja tietotekniikkakustannuksiin kokoaikavastaavaa kohti, sekä 2 prosentin indeksikorjausta vuoden 2023 jälkeen.  Näihin on lisätty 2 500 euron vakiokustannus kokoaikavastaavaa kohti sellaisten muiden hallinnollisten kustannusten osalta, joita ei kateta vakiokustannusten määrärahoista. (Myös näihin tehdään 2 prosentin indeksikorjaus vuoden 2023 jälkeen). </w:t>
      </w:r>
    </w:p>
    <w:p w14:paraId="589F06F5" w14:textId="77777777" w:rsidR="00FA1843" w:rsidRPr="00A7778D" w:rsidRDefault="00FA1843" w:rsidP="00FA1843">
      <w:pPr>
        <w:ind w:left="360"/>
        <w:rPr>
          <w:noProof/>
        </w:rPr>
      </w:pPr>
      <w:r w:rsidRPr="00A7778D">
        <w:rPr>
          <w:noProof/>
        </w:rPr>
        <w:t xml:space="preserve">Ennustettu vaikutus, joka kohdistuu unionin talousarvioon, on arvioitu seuraavasti: </w:t>
      </w:r>
    </w:p>
    <w:p w14:paraId="67DAC1D7" w14:textId="77777777" w:rsidR="00FA1843" w:rsidRPr="00A7778D" w:rsidRDefault="00FA1843" w:rsidP="007B3C9B">
      <w:pPr>
        <w:rPr>
          <w:noProof/>
          <w:u w:val="single"/>
        </w:rPr>
      </w:pPr>
      <w:r w:rsidRPr="00A7778D">
        <w:rPr>
          <w:noProof/>
          <w:u w:val="single"/>
        </w:rPr>
        <w:t xml:space="preserve">Osasto I – Henkilöstömenot </w:t>
      </w:r>
    </w:p>
    <w:p w14:paraId="4E4B30F8" w14:textId="77777777" w:rsidR="00FA1843" w:rsidRPr="00A7778D" w:rsidRDefault="00FA1843" w:rsidP="007B3C9B">
      <w:pPr>
        <w:pStyle w:val="ListBullet"/>
        <w:rPr>
          <w:noProof/>
        </w:rPr>
      </w:pPr>
      <w:r w:rsidRPr="00A7778D">
        <w:rPr>
          <w:noProof/>
        </w:rPr>
        <w:t xml:space="preserve">Laskelmat perustuvat seuraaviin tietoihin: EU:ssa toimii 59 yhteisöä, joista 30 on sijoittautunut EU:hun ja 29 EU:n ulkopuolelle.  EU:n ulkopuolelle sijoittautuneet yhteisöt voivat tarjota palveluita EU:ssa kolmella tavalla: a) vastaavuus b) hyväksyntä c) tunnustaminen. Valvontatehtävien intensiteetti vaihtelee palveluntarjoajien sijainnin mukaan (EU:ssa vai EU:n ulkopuolella).  </w:t>
      </w:r>
    </w:p>
    <w:p w14:paraId="35A26818" w14:textId="77777777" w:rsidR="00FA1843" w:rsidRPr="00A7778D" w:rsidRDefault="00FA1843" w:rsidP="007B3C9B">
      <w:pPr>
        <w:rPr>
          <w:noProof/>
        </w:rPr>
      </w:pPr>
      <w:r w:rsidRPr="00A7778D">
        <w:rPr>
          <w:noProof/>
        </w:rPr>
        <w:t>EU:hun sijoittautuneet yhteisöt: 30 EU:hun sijoittautunutta ESG-palveluntarjoajaa (3 suurta + 6 keskisuurta + 9 pientä + 12 mikroyritystä): i) vuonna (n) kuusi kuukautta 30 EU:hun sijoittautuneiden yhteisöjen lupiin (sopimussuhteiset toimihenkilöt) + 6 kuukautta jo luvan saaneiden yhteisöjen valvontaan (väliaikaiset toimihenkilöt). ii) Vuonna (n)+1 30 yhteisön valvonta. iii) Vuonna (n)+2 30 yhteisön valvonta.</w:t>
      </w:r>
    </w:p>
    <w:p w14:paraId="32803DEE" w14:textId="77777777" w:rsidR="00FA1843" w:rsidRPr="00A7778D" w:rsidRDefault="00FA1843" w:rsidP="007B3C9B">
      <w:pPr>
        <w:pStyle w:val="ListBullet"/>
        <w:rPr>
          <w:noProof/>
        </w:rPr>
      </w:pPr>
      <w:r w:rsidRPr="00A7778D">
        <w:rPr>
          <w:noProof/>
        </w:rPr>
        <w:t xml:space="preserve">EU:n palveluntarjoajien oletukset: Komissio arvioi arvopaperimarkkinaviranomaisen tietojen perusteella, että suuren ESG-luokituksen tarjoajan valvontaan tarvittaisiin 1,7 kokoaikavastaavaa työntekijää ja pienen ESG-luokitusten tarjoajan valvontaan 0,2 kokoaikavastaavaa työntekijää. Tämä perustuu olettamukseen, että ESG-luokitukset eivät ole järjestelmän kannalta yhtä tärkeitä kuin luottoluokitukset ja edellyttävät näin ollen alhaisempaa valvontaintensiteettiä kuin arvopaperimarkkinaviranomainen tällä hetkellä soveltaa luottoluokituslaitoksiin. Komissio on näin ollen soveltanut 50 prosentin vähennystä luottoluokituslaitosten edellyttämään kokoaikavastaavien määrään . </w:t>
      </w:r>
    </w:p>
    <w:p w14:paraId="7CD4ABCC" w14:textId="77777777" w:rsidR="00FA1843" w:rsidRPr="00A7778D" w:rsidRDefault="00FA1843" w:rsidP="007B3C9B">
      <w:pPr>
        <w:pStyle w:val="ListBullet"/>
        <w:rPr>
          <w:noProof/>
        </w:rPr>
      </w:pPr>
      <w:r w:rsidRPr="00A7778D">
        <w:rPr>
          <w:noProof/>
        </w:rPr>
        <w:t>EU:n ulkopuolisten ESG-luokitusten tarjoajiin liittyvät oletukset:</w:t>
      </w:r>
    </w:p>
    <w:p w14:paraId="05CFB73C" w14:textId="77777777" w:rsidR="00FA1843" w:rsidRPr="00A7778D" w:rsidRDefault="00FA1843" w:rsidP="007B3C9B">
      <w:pPr>
        <w:rPr>
          <w:noProof/>
        </w:rPr>
      </w:pPr>
      <w:r w:rsidRPr="00A7778D">
        <w:rPr>
          <w:noProof/>
        </w:rPr>
        <w:t>On katsottu, että EU:n ulkopuolisten ESG-luokitusten tarjoajien osalta tarvitaan 0,1 kokoaikavastaavaa (puolet EU:hun sijoittautuneelle mikrotason ESG-luokitusten tarjoajalle osoitetusta ajasta), ja kun otetaan huomioon 29 EU:n ulkopuolelle sijoittautunutta ESG-luokitusten tarjoajaa, on käytetty kiinteää 3 000 euron maksua jokaista EU:n ulkopuolista ESG-palveluntarjoajaa kohti (puolet sertifioiduilta luottoluokituslaitoksilta perittävistä maksuista (6 000 euroa)).</w:t>
      </w:r>
    </w:p>
    <w:p w14:paraId="0CB531AC" w14:textId="77777777" w:rsidR="00FA1843" w:rsidRPr="00A7778D" w:rsidRDefault="00FA1843" w:rsidP="007B3C9B">
      <w:pPr>
        <w:pStyle w:val="ListBullet"/>
        <w:rPr>
          <w:noProof/>
        </w:rPr>
      </w:pPr>
      <w:r w:rsidRPr="00A7778D">
        <w:rPr>
          <w:noProof/>
        </w:rPr>
        <w:t>On huomattava, että ESG-luokitustoimeksiannon piiriin kuuluvan henkilöstön määrä (useampia sopimussuhteisia toimihenkilöitä ja väliaikaisia toimihenkilöitä) poikkeaa luottoluokituslaitoksiin sovellettavasta lähestymistavasta. Molemmissa tapauksissa arvopaperimarkkinaviranomaisella on suoran valvonnan toimeksianto, mutta luottoluokituslaitosten tapauksessa sillä on kuitenkin huomattavasti enemmän väliaikaisia toimihenkilöitä kuin sopimussuhteisia toimihenkilöitä (37 väliaikaista toimihenkilöä ja 14 sopimussuhteista toimihenkilöä), jotta voidaan varmistaa, että käytettävissä on jatkuvasti pätevää ja kokenutta henkilöstöä.</w:t>
      </w:r>
    </w:p>
    <w:p w14:paraId="1E3F41CB" w14:textId="77777777" w:rsidR="00FA1843" w:rsidRPr="00A7778D" w:rsidRDefault="00FA1843" w:rsidP="007B3C9B">
      <w:pPr>
        <w:pStyle w:val="ListBullet"/>
        <w:rPr>
          <w:noProof/>
        </w:rPr>
      </w:pPr>
      <w:r w:rsidRPr="00A7778D">
        <w:rPr>
          <w:noProof/>
        </w:rPr>
        <w:t>On todennäköistä, että toimilupien myöntämiseen liittyvä kertaluonteinen työ on suurimmillaan ensimmäisenä vuonna (vuosi 2025). Sen vuoksi on tärkeää, että arvopaperimarkkinaviranomaiselle annetaan alusta alkaen 19 kokoaikavastaavaa työntekijää tämän huipputason hallitsemiseksi. On todennäköistä, että rekisteröintiin ja hyväksymiseen liittyvä alkuvaiheen raskas työmäärä kevenee vuonna 2027, ja väliaikaisten sopimussuhteisten toimihenkilöiden määrää voitaisiin vähentää niin, että kokoaikaisten työntekijöiden kokonaismäärä voidaan vähentää 17:ään. ESMA vastaa kuitenkin vuonna 2027 kaikkien vuosina 2025 ja 2026 rekisteröityjen ja toimiluvan saaneiden yhteisöjen valvonnasta, minkä vuoksi ehdotettu vähennys ei voi olla liian merkittävä.</w:t>
      </w:r>
    </w:p>
    <w:p w14:paraId="7BCBC5F6" w14:textId="77777777" w:rsidR="00FA1843" w:rsidRPr="00A7778D" w:rsidRDefault="00FA1843" w:rsidP="007B3C9B">
      <w:pPr>
        <w:pStyle w:val="ListBullet"/>
        <w:rPr>
          <w:noProof/>
        </w:rPr>
      </w:pPr>
      <w:r w:rsidRPr="00A7778D">
        <w:rPr>
          <w:noProof/>
        </w:rPr>
        <w:t xml:space="preserve">Verrattuna luottoluokituslaitosten suorassa valvonnassa toimivien kokoaikavastaavien työntekijöiden määrään ESG-luokitusten tarjoajien suoraa valvontaa harjoittavien kokoaikaisten työntekijöiden määrää on vähennetty yli 50 prosenttia (luottolaitosten osalta yhteensä 51 kokoaikaista työntekijää ja ESG-luokitusten tarjoajien osalta 19 kokoaikaista työntekijää vuonna 2025/2026 ja 17 kokoaikaista työntekijää vuonna 2027). Tätä pidetään vähimmäishenkilöstönä, joka voi taata 59 yhteisön markkinoiden asianmukaisen suoran valvonnan. </w:t>
      </w:r>
    </w:p>
    <w:p w14:paraId="7E0A3069" w14:textId="77777777" w:rsidR="00FA1843" w:rsidRPr="00A7778D" w:rsidRDefault="00FA1843" w:rsidP="007B3C9B">
      <w:pPr>
        <w:rPr>
          <w:noProof/>
          <w:u w:val="single"/>
        </w:rPr>
      </w:pPr>
      <w:r w:rsidRPr="00A7778D">
        <w:rPr>
          <w:noProof/>
          <w:u w:val="single"/>
        </w:rPr>
        <w:t xml:space="preserve">Osasto III – Toimintamenot </w:t>
      </w:r>
    </w:p>
    <w:p w14:paraId="67F02B12" w14:textId="77777777" w:rsidR="00FA1843" w:rsidRPr="00A7778D" w:rsidRDefault="00FA1843" w:rsidP="007B3C9B">
      <w:pPr>
        <w:pStyle w:val="ListBullet"/>
        <w:rPr>
          <w:noProof/>
        </w:rPr>
      </w:pPr>
      <w:r w:rsidRPr="00A7778D">
        <w:rPr>
          <w:noProof/>
        </w:rPr>
        <w:t xml:space="preserve">Perustelu 35 000 euron menoille, jotka liittyvät yhteisöjen lisäämiseen valvontaraportointijärjestelmään. Nämä kustannukset ovat tarpeen, jotta järjestelmään, jota arvopaperimarkkinaviranomainen käyttää valvontaan liittyvässä raportoinnissa, luodaan BWise-moduuli. Kun otetaan huomioon uusi suoran valvonnan toimeksianto, valvontaan liittyvää raportointijärjestelmää on laajennettava. Alkuperäisten kustannusten lisäksi aiheutuu toistuva vuotuinen ylläpitomaksu, jonka suuruus on 5 000 euroa. </w:t>
      </w:r>
    </w:p>
    <w:p w14:paraId="03B1465B" w14:textId="77777777" w:rsidR="00FA1843" w:rsidRPr="00A7778D" w:rsidRDefault="00FA1843" w:rsidP="007B3C9B">
      <w:pPr>
        <w:pStyle w:val="ListBullet"/>
        <w:rPr>
          <w:noProof/>
        </w:rPr>
      </w:pPr>
      <w:r w:rsidRPr="00A7778D">
        <w:rPr>
          <w:noProof/>
        </w:rPr>
        <w:t>Raportointijärjestelmä antaa arvopaperimarkkinaviranomaiselle mahdollisuuden käsitellä yhteisöiltä saatuja valvonta-asiakirjoja ja auttaa vähentämään manuaalista työtä sähköpostiviestien avaamisessa ja tallentamisessa manuaalisesti. Näin ollen se auttaa alentamaan kokoaikaiseksi muutetun henkilöstön kustannuksia.</w:t>
      </w:r>
    </w:p>
    <w:p w14:paraId="42E4CB5A" w14:textId="77777777" w:rsidR="00FA1843" w:rsidRPr="00A7778D" w:rsidRDefault="00FA1843" w:rsidP="00FA1843">
      <w:pPr>
        <w:rPr>
          <w:noProof/>
        </w:rPr>
      </w:pPr>
    </w:p>
    <w:p w14:paraId="5E5A21AC" w14:textId="77777777" w:rsidR="00FA1843" w:rsidRPr="00A7778D" w:rsidRDefault="00FA1843" w:rsidP="00FA1843">
      <w:pPr>
        <w:rPr>
          <w:noProof/>
        </w:rPr>
        <w:sectPr w:rsidR="00FA1843" w:rsidRPr="00A7778D" w:rsidSect="00084EF2">
          <w:pgSz w:w="11907" w:h="16839"/>
          <w:pgMar w:top="1134" w:right="1417" w:bottom="1134" w:left="1417" w:header="709" w:footer="709" w:gutter="0"/>
          <w:cols w:space="708"/>
          <w:docGrid w:linePitch="360"/>
        </w:sectPr>
      </w:pPr>
    </w:p>
    <w:p w14:paraId="42CAA57E" w14:textId="77777777" w:rsidR="00FA1843" w:rsidRPr="00A7778D" w:rsidRDefault="00FA1843" w:rsidP="00463E6F">
      <w:pPr>
        <w:pStyle w:val="ManualHeading2"/>
        <w:rPr>
          <w:noProof/>
        </w:rPr>
      </w:pPr>
      <w:r w:rsidRPr="00A7778D">
        <w:rPr>
          <w:noProof/>
        </w:rPr>
        <w:t>Arvioidut menot, jotka katetaan kaikista arvopaperimarkkinaviranomaisen suorista valvontatehtävistä perittävillä maksuilla</w:t>
      </w:r>
    </w:p>
    <w:p w14:paraId="733B9CBA" w14:textId="77777777" w:rsidR="00FA1843" w:rsidRPr="00A7778D" w:rsidRDefault="00FA1843" w:rsidP="00FA1843">
      <w:pPr>
        <w:jc w:val="right"/>
        <w:rPr>
          <w:noProof/>
          <w:sz w:val="20"/>
        </w:rPr>
      </w:pPr>
      <w:r w:rsidRPr="00A7778D">
        <w:rPr>
          <w:noProof/>
          <w:sz w:val="20"/>
        </w:rPr>
        <w:t xml:space="preserve">euroa </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559"/>
        <w:gridCol w:w="1276"/>
        <w:gridCol w:w="1346"/>
        <w:gridCol w:w="1347"/>
        <w:gridCol w:w="1346"/>
        <w:gridCol w:w="1347"/>
        <w:gridCol w:w="1346"/>
        <w:gridCol w:w="1347"/>
      </w:tblGrid>
      <w:tr w:rsidR="00FA1843" w:rsidRPr="00A7778D" w14:paraId="37623487" w14:textId="77777777" w:rsidTr="00041DD0">
        <w:tc>
          <w:tcPr>
            <w:tcW w:w="3054" w:type="dxa"/>
            <w:vAlign w:val="center"/>
          </w:tcPr>
          <w:p w14:paraId="50F87020" w14:textId="77777777" w:rsidR="00FA1843" w:rsidRPr="00A7778D" w:rsidRDefault="00FA1843" w:rsidP="00041DD0">
            <w:pPr>
              <w:jc w:val="center"/>
              <w:rPr>
                <w:noProof/>
                <w:sz w:val="20"/>
                <w:szCs w:val="20"/>
              </w:rPr>
            </w:pPr>
            <w:r w:rsidRPr="00A7778D">
              <w:rPr>
                <w:noProof/>
                <w:sz w:val="20"/>
              </w:rPr>
              <w:t>Arvopaperimarkkinaviranomainen</w:t>
            </w:r>
          </w:p>
        </w:tc>
        <w:tc>
          <w:tcPr>
            <w:tcW w:w="1559" w:type="dxa"/>
            <w:vAlign w:val="center"/>
          </w:tcPr>
          <w:p w14:paraId="65F24C78" w14:textId="77777777" w:rsidR="00FA1843" w:rsidRPr="00A7778D" w:rsidRDefault="00FA1843" w:rsidP="00041DD0">
            <w:pPr>
              <w:rPr>
                <w:noProof/>
                <w:sz w:val="20"/>
                <w:szCs w:val="20"/>
              </w:rPr>
            </w:pPr>
          </w:p>
        </w:tc>
        <w:tc>
          <w:tcPr>
            <w:tcW w:w="1276" w:type="dxa"/>
            <w:vAlign w:val="center"/>
          </w:tcPr>
          <w:p w14:paraId="1B6C976D" w14:textId="77777777" w:rsidR="00FA1843" w:rsidRPr="00A7778D" w:rsidRDefault="00FA1843" w:rsidP="00041DD0">
            <w:pPr>
              <w:jc w:val="center"/>
              <w:rPr>
                <w:noProof/>
                <w:sz w:val="20"/>
                <w:szCs w:val="20"/>
              </w:rPr>
            </w:pPr>
          </w:p>
        </w:tc>
        <w:tc>
          <w:tcPr>
            <w:tcW w:w="1346" w:type="dxa"/>
            <w:vAlign w:val="center"/>
          </w:tcPr>
          <w:p w14:paraId="2FF9DF6E" w14:textId="77777777" w:rsidR="00FA1843" w:rsidRPr="00A7778D" w:rsidRDefault="00FA1843" w:rsidP="00041DD0">
            <w:pPr>
              <w:jc w:val="center"/>
              <w:rPr>
                <w:noProof/>
                <w:sz w:val="20"/>
                <w:szCs w:val="20"/>
              </w:rPr>
            </w:pPr>
            <w:r w:rsidRPr="00A7778D">
              <w:rPr>
                <w:noProof/>
                <w:sz w:val="20"/>
              </w:rPr>
              <w:t>2023</w:t>
            </w:r>
          </w:p>
        </w:tc>
        <w:tc>
          <w:tcPr>
            <w:tcW w:w="1347" w:type="dxa"/>
            <w:vAlign w:val="center"/>
          </w:tcPr>
          <w:p w14:paraId="1FFD4698" w14:textId="77777777" w:rsidR="00FA1843" w:rsidRPr="00A7778D" w:rsidRDefault="00FA1843" w:rsidP="00041DD0">
            <w:pPr>
              <w:jc w:val="center"/>
              <w:rPr>
                <w:noProof/>
                <w:sz w:val="20"/>
                <w:szCs w:val="20"/>
              </w:rPr>
            </w:pPr>
            <w:r w:rsidRPr="00A7778D">
              <w:rPr>
                <w:noProof/>
                <w:sz w:val="20"/>
              </w:rPr>
              <w:t>2024</w:t>
            </w:r>
          </w:p>
        </w:tc>
        <w:tc>
          <w:tcPr>
            <w:tcW w:w="1346" w:type="dxa"/>
            <w:vAlign w:val="center"/>
          </w:tcPr>
          <w:p w14:paraId="528A0192" w14:textId="77777777" w:rsidR="00FA1843" w:rsidRPr="00A7778D" w:rsidRDefault="00FA1843" w:rsidP="00041DD0">
            <w:pPr>
              <w:jc w:val="center"/>
              <w:rPr>
                <w:noProof/>
                <w:sz w:val="20"/>
                <w:szCs w:val="20"/>
              </w:rPr>
            </w:pPr>
            <w:r w:rsidRPr="00A7778D">
              <w:rPr>
                <w:noProof/>
                <w:sz w:val="20"/>
              </w:rPr>
              <w:t>2025</w:t>
            </w:r>
          </w:p>
        </w:tc>
        <w:tc>
          <w:tcPr>
            <w:tcW w:w="1347" w:type="dxa"/>
            <w:vAlign w:val="center"/>
          </w:tcPr>
          <w:p w14:paraId="136B1B67" w14:textId="77777777" w:rsidR="00FA1843" w:rsidRPr="00A7778D" w:rsidRDefault="00FA1843" w:rsidP="00041DD0">
            <w:pPr>
              <w:jc w:val="center"/>
              <w:rPr>
                <w:noProof/>
                <w:sz w:val="20"/>
                <w:szCs w:val="20"/>
              </w:rPr>
            </w:pPr>
            <w:r w:rsidRPr="00A7778D">
              <w:rPr>
                <w:noProof/>
                <w:sz w:val="20"/>
              </w:rPr>
              <w:t>2026</w:t>
            </w:r>
          </w:p>
        </w:tc>
        <w:tc>
          <w:tcPr>
            <w:tcW w:w="1346" w:type="dxa"/>
            <w:vAlign w:val="center"/>
          </w:tcPr>
          <w:p w14:paraId="0F06FE56" w14:textId="77777777" w:rsidR="00FA1843" w:rsidRPr="00A7778D" w:rsidRDefault="00FA1843" w:rsidP="00041DD0">
            <w:pPr>
              <w:jc w:val="center"/>
              <w:rPr>
                <w:noProof/>
                <w:sz w:val="20"/>
                <w:szCs w:val="20"/>
              </w:rPr>
            </w:pPr>
            <w:r w:rsidRPr="00A7778D">
              <w:rPr>
                <w:noProof/>
                <w:sz w:val="20"/>
              </w:rPr>
              <w:t>2027</w:t>
            </w:r>
          </w:p>
        </w:tc>
        <w:tc>
          <w:tcPr>
            <w:tcW w:w="1347" w:type="dxa"/>
            <w:vAlign w:val="center"/>
          </w:tcPr>
          <w:p w14:paraId="1A57DA66" w14:textId="77777777" w:rsidR="00FA1843" w:rsidRPr="00A7778D" w:rsidRDefault="00FA1843" w:rsidP="00041DD0">
            <w:pPr>
              <w:jc w:val="center"/>
              <w:rPr>
                <w:b/>
                <w:noProof/>
                <w:sz w:val="20"/>
                <w:szCs w:val="20"/>
              </w:rPr>
            </w:pPr>
            <w:r w:rsidRPr="00A7778D">
              <w:rPr>
                <w:b/>
                <w:noProof/>
                <w:sz w:val="20"/>
              </w:rPr>
              <w:t>YHTEENSÄ</w:t>
            </w:r>
          </w:p>
        </w:tc>
      </w:tr>
      <w:tr w:rsidR="00341E44" w:rsidRPr="00A7778D" w14:paraId="30987190" w14:textId="77777777" w:rsidTr="00041DD0">
        <w:trPr>
          <w:trHeight w:val="277"/>
        </w:trPr>
        <w:tc>
          <w:tcPr>
            <w:tcW w:w="3054" w:type="dxa"/>
            <w:vMerge w:val="restart"/>
            <w:vAlign w:val="center"/>
          </w:tcPr>
          <w:p w14:paraId="4D85DEBB" w14:textId="77777777" w:rsidR="00341E44" w:rsidRPr="00A7778D" w:rsidRDefault="00341E44" w:rsidP="00341E44">
            <w:pPr>
              <w:jc w:val="left"/>
              <w:rPr>
                <w:noProof/>
                <w:sz w:val="20"/>
                <w:szCs w:val="20"/>
              </w:rPr>
            </w:pPr>
            <w:r w:rsidRPr="00A7778D">
              <w:rPr>
                <w:noProof/>
                <w:sz w:val="20"/>
              </w:rPr>
              <w:t>Osasto 1: Henkilöstömenot</w:t>
            </w:r>
            <w:r w:rsidRPr="00A7778D">
              <w:rPr>
                <w:rStyle w:val="FootnoteReference0"/>
                <w:noProof/>
                <w:sz w:val="20"/>
              </w:rPr>
              <w:t xml:space="preserve"> </w:t>
            </w:r>
          </w:p>
        </w:tc>
        <w:tc>
          <w:tcPr>
            <w:tcW w:w="1559" w:type="dxa"/>
            <w:vAlign w:val="center"/>
          </w:tcPr>
          <w:p w14:paraId="23BE94E9" w14:textId="77777777" w:rsidR="00341E44" w:rsidRPr="00A7778D" w:rsidRDefault="00341E44" w:rsidP="00341E44">
            <w:pPr>
              <w:spacing w:before="20" w:after="20"/>
              <w:rPr>
                <w:noProof/>
                <w:sz w:val="18"/>
                <w:szCs w:val="18"/>
              </w:rPr>
            </w:pPr>
            <w:r w:rsidRPr="00A7778D">
              <w:rPr>
                <w:noProof/>
                <w:sz w:val="18"/>
              </w:rPr>
              <w:t>Sitoumukset</w:t>
            </w:r>
          </w:p>
        </w:tc>
        <w:tc>
          <w:tcPr>
            <w:tcW w:w="1276" w:type="dxa"/>
            <w:vAlign w:val="center"/>
          </w:tcPr>
          <w:p w14:paraId="6163747A" w14:textId="77777777" w:rsidR="00341E44" w:rsidRPr="00A7778D" w:rsidRDefault="00341E44" w:rsidP="00341E44">
            <w:pPr>
              <w:spacing w:before="20" w:after="20"/>
              <w:jc w:val="center"/>
              <w:rPr>
                <w:noProof/>
                <w:sz w:val="18"/>
                <w:szCs w:val="18"/>
              </w:rPr>
            </w:pPr>
            <w:r w:rsidRPr="00A7778D">
              <w:rPr>
                <w:noProof/>
                <w:sz w:val="18"/>
              </w:rPr>
              <w:t>1)</w:t>
            </w:r>
          </w:p>
        </w:tc>
        <w:tc>
          <w:tcPr>
            <w:tcW w:w="1346" w:type="dxa"/>
            <w:vAlign w:val="center"/>
          </w:tcPr>
          <w:p w14:paraId="3F785140" w14:textId="77777777" w:rsidR="00341E44" w:rsidRPr="00A7778D" w:rsidRDefault="00341E44" w:rsidP="00341E44">
            <w:pPr>
              <w:spacing w:before="20" w:after="20"/>
              <w:jc w:val="right"/>
              <w:rPr>
                <w:noProof/>
                <w:sz w:val="18"/>
                <w:szCs w:val="18"/>
              </w:rPr>
            </w:pPr>
          </w:p>
        </w:tc>
        <w:tc>
          <w:tcPr>
            <w:tcW w:w="1347" w:type="dxa"/>
            <w:vAlign w:val="center"/>
          </w:tcPr>
          <w:p w14:paraId="05D1D16E" w14:textId="77777777" w:rsidR="00341E44" w:rsidRPr="00A7778D" w:rsidRDefault="00341E44" w:rsidP="00341E44">
            <w:pPr>
              <w:spacing w:before="0" w:after="0"/>
              <w:jc w:val="right"/>
              <w:rPr>
                <w:noProof/>
                <w:color w:val="000000"/>
                <w:sz w:val="18"/>
                <w:szCs w:val="18"/>
              </w:rPr>
            </w:pPr>
          </w:p>
        </w:tc>
        <w:tc>
          <w:tcPr>
            <w:tcW w:w="1346" w:type="dxa"/>
            <w:vAlign w:val="center"/>
          </w:tcPr>
          <w:p w14:paraId="707BE677" w14:textId="77777777" w:rsidR="00341E44" w:rsidRPr="00A7778D" w:rsidRDefault="00341E44" w:rsidP="00341E44">
            <w:pPr>
              <w:jc w:val="right"/>
              <w:rPr>
                <w:noProof/>
                <w:color w:val="000000"/>
                <w:sz w:val="18"/>
                <w:szCs w:val="18"/>
              </w:rPr>
            </w:pPr>
          </w:p>
          <w:p w14:paraId="32400069" w14:textId="5C4543E3" w:rsidR="00341E44" w:rsidRPr="00A7778D" w:rsidRDefault="00341E44" w:rsidP="00341E44">
            <w:pPr>
              <w:jc w:val="right"/>
              <w:rPr>
                <w:noProof/>
                <w:color w:val="000000"/>
                <w:sz w:val="18"/>
                <w:szCs w:val="18"/>
              </w:rPr>
            </w:pPr>
            <w:r w:rsidRPr="00A7778D">
              <w:rPr>
                <w:noProof/>
                <w:color w:val="000000"/>
                <w:sz w:val="18"/>
              </w:rPr>
              <w:t>1 603 618</w:t>
            </w:r>
          </w:p>
        </w:tc>
        <w:tc>
          <w:tcPr>
            <w:tcW w:w="1347" w:type="dxa"/>
            <w:vAlign w:val="center"/>
          </w:tcPr>
          <w:p w14:paraId="03C32DCD" w14:textId="77777777" w:rsidR="00341E44" w:rsidRPr="00A7778D" w:rsidRDefault="00341E44" w:rsidP="00341E44">
            <w:pPr>
              <w:jc w:val="right"/>
              <w:rPr>
                <w:noProof/>
                <w:color w:val="000000"/>
                <w:sz w:val="18"/>
                <w:szCs w:val="18"/>
              </w:rPr>
            </w:pPr>
          </w:p>
          <w:p w14:paraId="6737B31D" w14:textId="71C0D32F" w:rsidR="00341E44" w:rsidRPr="00A7778D" w:rsidRDefault="00341E44" w:rsidP="00341E44">
            <w:pPr>
              <w:jc w:val="right"/>
              <w:rPr>
                <w:noProof/>
                <w:color w:val="000000"/>
                <w:sz w:val="18"/>
                <w:szCs w:val="18"/>
              </w:rPr>
            </w:pPr>
            <w:r w:rsidRPr="00A7778D">
              <w:rPr>
                <w:noProof/>
                <w:color w:val="000000"/>
                <w:sz w:val="18"/>
              </w:rPr>
              <w:t>3 271 382</w:t>
            </w:r>
          </w:p>
        </w:tc>
        <w:tc>
          <w:tcPr>
            <w:tcW w:w="1346" w:type="dxa"/>
            <w:vAlign w:val="center"/>
          </w:tcPr>
          <w:p w14:paraId="00262DE6" w14:textId="77777777" w:rsidR="00341E44" w:rsidRPr="00A7778D" w:rsidRDefault="00341E44" w:rsidP="00341E44">
            <w:pPr>
              <w:jc w:val="right"/>
              <w:rPr>
                <w:noProof/>
                <w:color w:val="000000"/>
                <w:sz w:val="18"/>
                <w:szCs w:val="18"/>
              </w:rPr>
            </w:pPr>
          </w:p>
          <w:p w14:paraId="37048E64" w14:textId="53BB72DF" w:rsidR="00341E44" w:rsidRPr="00A7778D" w:rsidRDefault="00341E44" w:rsidP="00341E44">
            <w:pPr>
              <w:jc w:val="right"/>
              <w:rPr>
                <w:noProof/>
                <w:color w:val="000000"/>
                <w:sz w:val="18"/>
                <w:szCs w:val="18"/>
              </w:rPr>
            </w:pPr>
            <w:r w:rsidRPr="00A7778D">
              <w:rPr>
                <w:noProof/>
                <w:color w:val="000000"/>
                <w:sz w:val="18"/>
              </w:rPr>
              <w:t>3 145 675</w:t>
            </w:r>
          </w:p>
        </w:tc>
        <w:tc>
          <w:tcPr>
            <w:tcW w:w="1347" w:type="dxa"/>
            <w:vAlign w:val="center"/>
          </w:tcPr>
          <w:p w14:paraId="09847495" w14:textId="77777777" w:rsidR="00341E44" w:rsidRPr="00A7778D" w:rsidRDefault="00341E44" w:rsidP="00341E44">
            <w:pPr>
              <w:jc w:val="right"/>
              <w:rPr>
                <w:b/>
                <w:noProof/>
                <w:color w:val="000000"/>
                <w:sz w:val="18"/>
                <w:szCs w:val="18"/>
              </w:rPr>
            </w:pPr>
          </w:p>
          <w:p w14:paraId="1416250F" w14:textId="3979387E" w:rsidR="00341E44" w:rsidRPr="00A7778D" w:rsidRDefault="00341E44" w:rsidP="00341E44">
            <w:pPr>
              <w:jc w:val="right"/>
              <w:rPr>
                <w:b/>
                <w:noProof/>
                <w:color w:val="000000"/>
                <w:sz w:val="18"/>
                <w:szCs w:val="18"/>
              </w:rPr>
            </w:pPr>
            <w:r w:rsidRPr="00A7778D">
              <w:rPr>
                <w:b/>
                <w:noProof/>
                <w:color w:val="000000"/>
                <w:sz w:val="18"/>
              </w:rPr>
              <w:t>8 020 675</w:t>
            </w:r>
          </w:p>
        </w:tc>
      </w:tr>
      <w:tr w:rsidR="00341E44" w:rsidRPr="00A7778D" w14:paraId="13A9FD76" w14:textId="77777777" w:rsidTr="00041DD0">
        <w:tc>
          <w:tcPr>
            <w:tcW w:w="3054" w:type="dxa"/>
            <w:vMerge/>
            <w:vAlign w:val="center"/>
          </w:tcPr>
          <w:p w14:paraId="6349753B" w14:textId="77777777" w:rsidR="00341E44" w:rsidRPr="00A7778D" w:rsidRDefault="00341E44" w:rsidP="00341E44">
            <w:pPr>
              <w:jc w:val="left"/>
              <w:rPr>
                <w:noProof/>
                <w:sz w:val="20"/>
                <w:szCs w:val="20"/>
              </w:rPr>
            </w:pPr>
          </w:p>
        </w:tc>
        <w:tc>
          <w:tcPr>
            <w:tcW w:w="1559" w:type="dxa"/>
            <w:vAlign w:val="center"/>
          </w:tcPr>
          <w:p w14:paraId="1423430F" w14:textId="77777777" w:rsidR="00341E44" w:rsidRPr="00A7778D" w:rsidRDefault="00341E44" w:rsidP="00341E44">
            <w:pPr>
              <w:spacing w:before="20" w:after="20"/>
              <w:rPr>
                <w:noProof/>
                <w:sz w:val="18"/>
                <w:szCs w:val="18"/>
              </w:rPr>
            </w:pPr>
            <w:r w:rsidRPr="00A7778D">
              <w:rPr>
                <w:noProof/>
                <w:sz w:val="18"/>
              </w:rPr>
              <w:t>Maksut</w:t>
            </w:r>
          </w:p>
        </w:tc>
        <w:tc>
          <w:tcPr>
            <w:tcW w:w="1276" w:type="dxa"/>
            <w:vAlign w:val="center"/>
          </w:tcPr>
          <w:p w14:paraId="27D05C22" w14:textId="77777777" w:rsidR="00341E44" w:rsidRPr="00A7778D" w:rsidRDefault="00341E44" w:rsidP="00341E44">
            <w:pPr>
              <w:spacing w:before="20" w:after="20"/>
              <w:jc w:val="center"/>
              <w:rPr>
                <w:noProof/>
                <w:sz w:val="18"/>
                <w:szCs w:val="18"/>
              </w:rPr>
            </w:pPr>
            <w:r w:rsidRPr="00A7778D">
              <w:rPr>
                <w:noProof/>
                <w:sz w:val="18"/>
              </w:rPr>
              <w:t>2)</w:t>
            </w:r>
          </w:p>
        </w:tc>
        <w:tc>
          <w:tcPr>
            <w:tcW w:w="1346" w:type="dxa"/>
            <w:vAlign w:val="center"/>
          </w:tcPr>
          <w:p w14:paraId="7F6B5B57" w14:textId="77777777" w:rsidR="00341E44" w:rsidRPr="00A7778D" w:rsidRDefault="00341E44" w:rsidP="00341E44">
            <w:pPr>
              <w:spacing w:before="20" w:after="20"/>
              <w:jc w:val="right"/>
              <w:rPr>
                <w:noProof/>
                <w:sz w:val="18"/>
                <w:szCs w:val="18"/>
              </w:rPr>
            </w:pPr>
          </w:p>
        </w:tc>
        <w:tc>
          <w:tcPr>
            <w:tcW w:w="1347" w:type="dxa"/>
            <w:vAlign w:val="center"/>
          </w:tcPr>
          <w:p w14:paraId="549C1463" w14:textId="77777777" w:rsidR="00341E44" w:rsidRPr="00A7778D" w:rsidRDefault="00341E44" w:rsidP="00341E44">
            <w:pPr>
              <w:spacing w:before="0" w:after="0"/>
              <w:jc w:val="right"/>
              <w:rPr>
                <w:noProof/>
                <w:color w:val="000000"/>
                <w:sz w:val="18"/>
                <w:szCs w:val="18"/>
              </w:rPr>
            </w:pPr>
          </w:p>
        </w:tc>
        <w:tc>
          <w:tcPr>
            <w:tcW w:w="1346" w:type="dxa"/>
            <w:vAlign w:val="center"/>
          </w:tcPr>
          <w:p w14:paraId="02C6F681" w14:textId="121D5DC5" w:rsidR="00341E44" w:rsidRPr="00A7778D" w:rsidRDefault="00341E44" w:rsidP="00341E44">
            <w:pPr>
              <w:jc w:val="right"/>
              <w:rPr>
                <w:noProof/>
                <w:color w:val="000000"/>
                <w:sz w:val="18"/>
                <w:szCs w:val="18"/>
              </w:rPr>
            </w:pPr>
            <w:r w:rsidRPr="00A7778D">
              <w:rPr>
                <w:noProof/>
                <w:color w:val="000000"/>
                <w:sz w:val="18"/>
              </w:rPr>
              <w:t>1 603 618</w:t>
            </w:r>
          </w:p>
        </w:tc>
        <w:tc>
          <w:tcPr>
            <w:tcW w:w="1347" w:type="dxa"/>
            <w:vAlign w:val="center"/>
          </w:tcPr>
          <w:p w14:paraId="25EB72DB" w14:textId="09BFD895" w:rsidR="00341E44" w:rsidRPr="00A7778D" w:rsidRDefault="00341E44" w:rsidP="00341E44">
            <w:pPr>
              <w:jc w:val="right"/>
              <w:rPr>
                <w:noProof/>
                <w:color w:val="000000"/>
                <w:sz w:val="18"/>
                <w:szCs w:val="18"/>
              </w:rPr>
            </w:pPr>
            <w:r w:rsidRPr="00A7778D">
              <w:rPr>
                <w:noProof/>
                <w:color w:val="000000"/>
                <w:sz w:val="18"/>
              </w:rPr>
              <w:t>3 271 382</w:t>
            </w:r>
          </w:p>
        </w:tc>
        <w:tc>
          <w:tcPr>
            <w:tcW w:w="1346" w:type="dxa"/>
            <w:vAlign w:val="center"/>
          </w:tcPr>
          <w:p w14:paraId="54A1F3AE" w14:textId="1CDAA527" w:rsidR="00341E44" w:rsidRPr="00A7778D" w:rsidRDefault="00341E44" w:rsidP="00341E44">
            <w:pPr>
              <w:jc w:val="right"/>
              <w:rPr>
                <w:noProof/>
                <w:color w:val="000000"/>
                <w:sz w:val="18"/>
                <w:szCs w:val="18"/>
              </w:rPr>
            </w:pPr>
            <w:r w:rsidRPr="00A7778D">
              <w:rPr>
                <w:noProof/>
                <w:color w:val="000000"/>
                <w:sz w:val="18"/>
              </w:rPr>
              <w:t>3 145 675</w:t>
            </w:r>
          </w:p>
        </w:tc>
        <w:tc>
          <w:tcPr>
            <w:tcW w:w="1347" w:type="dxa"/>
            <w:vAlign w:val="center"/>
          </w:tcPr>
          <w:p w14:paraId="640E4CED" w14:textId="64BDA109" w:rsidR="00341E44" w:rsidRPr="00A7778D" w:rsidRDefault="00341E44" w:rsidP="00341E44">
            <w:pPr>
              <w:jc w:val="right"/>
              <w:rPr>
                <w:b/>
                <w:noProof/>
                <w:color w:val="000000"/>
                <w:sz w:val="18"/>
                <w:szCs w:val="18"/>
              </w:rPr>
            </w:pPr>
            <w:r w:rsidRPr="00A7778D">
              <w:rPr>
                <w:b/>
                <w:noProof/>
                <w:color w:val="000000"/>
                <w:sz w:val="18"/>
              </w:rPr>
              <w:t>8 020 675</w:t>
            </w:r>
          </w:p>
        </w:tc>
      </w:tr>
      <w:tr w:rsidR="00FA1843" w:rsidRPr="00A7778D" w14:paraId="4BA80843" w14:textId="77777777" w:rsidTr="00041DD0">
        <w:tc>
          <w:tcPr>
            <w:tcW w:w="3054" w:type="dxa"/>
            <w:vMerge w:val="restart"/>
            <w:vAlign w:val="center"/>
          </w:tcPr>
          <w:p w14:paraId="7B6D57C7" w14:textId="77777777" w:rsidR="00FA1843" w:rsidRPr="00A7778D" w:rsidRDefault="00FA1843" w:rsidP="00041DD0">
            <w:pPr>
              <w:jc w:val="left"/>
              <w:rPr>
                <w:noProof/>
                <w:sz w:val="20"/>
                <w:szCs w:val="20"/>
              </w:rPr>
            </w:pPr>
            <w:r w:rsidRPr="00A7778D">
              <w:rPr>
                <w:noProof/>
                <w:sz w:val="20"/>
              </w:rPr>
              <w:t>Osasto 2: Infrastruktuuri- ja toimintamenot</w:t>
            </w:r>
          </w:p>
        </w:tc>
        <w:tc>
          <w:tcPr>
            <w:tcW w:w="1559" w:type="dxa"/>
            <w:vAlign w:val="center"/>
          </w:tcPr>
          <w:p w14:paraId="2CCD6B2D" w14:textId="77777777" w:rsidR="00FA1843" w:rsidRPr="00A7778D" w:rsidRDefault="00FA1843" w:rsidP="00041DD0">
            <w:pPr>
              <w:spacing w:before="20" w:after="20"/>
              <w:rPr>
                <w:noProof/>
                <w:sz w:val="18"/>
                <w:szCs w:val="18"/>
              </w:rPr>
            </w:pPr>
            <w:r w:rsidRPr="00A7778D">
              <w:rPr>
                <w:noProof/>
                <w:sz w:val="18"/>
              </w:rPr>
              <w:t>Sitoumukset</w:t>
            </w:r>
          </w:p>
        </w:tc>
        <w:tc>
          <w:tcPr>
            <w:tcW w:w="1276" w:type="dxa"/>
            <w:vAlign w:val="center"/>
          </w:tcPr>
          <w:p w14:paraId="5F9556D1" w14:textId="77777777" w:rsidR="00FA1843" w:rsidRPr="00A7778D" w:rsidRDefault="00FA1843" w:rsidP="00041DD0">
            <w:pPr>
              <w:spacing w:before="20" w:after="20"/>
              <w:jc w:val="center"/>
              <w:rPr>
                <w:noProof/>
                <w:sz w:val="18"/>
                <w:szCs w:val="18"/>
              </w:rPr>
            </w:pPr>
            <w:r w:rsidRPr="00A7778D">
              <w:rPr>
                <w:noProof/>
                <w:sz w:val="18"/>
              </w:rPr>
              <w:t>1a)</w:t>
            </w:r>
          </w:p>
        </w:tc>
        <w:tc>
          <w:tcPr>
            <w:tcW w:w="1346" w:type="dxa"/>
            <w:vAlign w:val="center"/>
          </w:tcPr>
          <w:p w14:paraId="7F3075F9" w14:textId="77777777" w:rsidR="00FA1843" w:rsidRPr="00A7778D" w:rsidRDefault="00FA1843" w:rsidP="00041DD0">
            <w:pPr>
              <w:spacing w:before="20" w:after="20"/>
              <w:jc w:val="right"/>
              <w:rPr>
                <w:noProof/>
                <w:sz w:val="18"/>
                <w:szCs w:val="18"/>
              </w:rPr>
            </w:pPr>
          </w:p>
        </w:tc>
        <w:tc>
          <w:tcPr>
            <w:tcW w:w="1347" w:type="dxa"/>
            <w:vAlign w:val="center"/>
          </w:tcPr>
          <w:p w14:paraId="012AE0CD" w14:textId="77777777" w:rsidR="00FA1843" w:rsidRPr="00A7778D" w:rsidRDefault="00FA1843" w:rsidP="00041DD0">
            <w:pPr>
              <w:spacing w:before="0" w:after="0"/>
              <w:jc w:val="right"/>
              <w:rPr>
                <w:noProof/>
                <w:color w:val="000000"/>
                <w:sz w:val="18"/>
                <w:szCs w:val="18"/>
              </w:rPr>
            </w:pPr>
          </w:p>
        </w:tc>
        <w:tc>
          <w:tcPr>
            <w:tcW w:w="1346" w:type="dxa"/>
            <w:vAlign w:val="center"/>
          </w:tcPr>
          <w:p w14:paraId="64FEB804" w14:textId="77777777" w:rsidR="00FA1843" w:rsidRPr="00A7778D" w:rsidRDefault="00FA1843" w:rsidP="00041DD0">
            <w:pPr>
              <w:jc w:val="right"/>
              <w:rPr>
                <w:noProof/>
                <w:color w:val="000000"/>
                <w:sz w:val="18"/>
                <w:szCs w:val="18"/>
              </w:rPr>
            </w:pPr>
            <w:r w:rsidRPr="00A7778D">
              <w:rPr>
                <w:noProof/>
                <w:color w:val="000000"/>
                <w:sz w:val="18"/>
              </w:rPr>
              <w:t xml:space="preserve">         273 105 </w:t>
            </w:r>
          </w:p>
          <w:p w14:paraId="1AE65D5B" w14:textId="77777777" w:rsidR="00FA1843" w:rsidRPr="00A7778D" w:rsidRDefault="00FA1843" w:rsidP="00041DD0">
            <w:pPr>
              <w:jc w:val="right"/>
              <w:rPr>
                <w:noProof/>
                <w:color w:val="000000"/>
                <w:sz w:val="18"/>
                <w:szCs w:val="18"/>
              </w:rPr>
            </w:pPr>
          </w:p>
        </w:tc>
        <w:tc>
          <w:tcPr>
            <w:tcW w:w="1347" w:type="dxa"/>
            <w:vAlign w:val="center"/>
          </w:tcPr>
          <w:p w14:paraId="12981A38" w14:textId="77777777" w:rsidR="00FA1843" w:rsidRPr="00A7778D" w:rsidRDefault="00FA1843" w:rsidP="00041DD0">
            <w:pPr>
              <w:jc w:val="right"/>
              <w:rPr>
                <w:noProof/>
                <w:color w:val="000000"/>
                <w:sz w:val="18"/>
                <w:szCs w:val="18"/>
              </w:rPr>
            </w:pPr>
            <w:r w:rsidRPr="00A7778D">
              <w:rPr>
                <w:noProof/>
                <w:color w:val="000000"/>
                <w:sz w:val="18"/>
              </w:rPr>
              <w:t xml:space="preserve">           557 134 </w:t>
            </w:r>
          </w:p>
          <w:p w14:paraId="7032859F" w14:textId="77777777" w:rsidR="00FA1843" w:rsidRPr="00A7778D" w:rsidRDefault="00FA1843" w:rsidP="00041DD0">
            <w:pPr>
              <w:jc w:val="right"/>
              <w:rPr>
                <w:noProof/>
                <w:color w:val="000000"/>
                <w:sz w:val="18"/>
                <w:szCs w:val="18"/>
              </w:rPr>
            </w:pPr>
          </w:p>
        </w:tc>
        <w:tc>
          <w:tcPr>
            <w:tcW w:w="1346" w:type="dxa"/>
            <w:vAlign w:val="center"/>
          </w:tcPr>
          <w:p w14:paraId="5D3D1634" w14:textId="77777777" w:rsidR="00FA1843" w:rsidRPr="00A7778D" w:rsidRDefault="00FA1843" w:rsidP="00041DD0">
            <w:pPr>
              <w:jc w:val="right"/>
              <w:rPr>
                <w:noProof/>
                <w:color w:val="000000"/>
                <w:sz w:val="18"/>
                <w:szCs w:val="18"/>
              </w:rPr>
            </w:pPr>
            <w:r w:rsidRPr="00A7778D">
              <w:rPr>
                <w:noProof/>
                <w:color w:val="000000"/>
                <w:sz w:val="18"/>
              </w:rPr>
              <w:t>534 849</w:t>
            </w:r>
          </w:p>
          <w:p w14:paraId="0B89A308" w14:textId="77777777" w:rsidR="00FA1843" w:rsidRPr="00A7778D" w:rsidRDefault="00FA1843" w:rsidP="00041DD0">
            <w:pPr>
              <w:jc w:val="right"/>
              <w:rPr>
                <w:noProof/>
                <w:color w:val="000000"/>
                <w:sz w:val="18"/>
                <w:szCs w:val="18"/>
              </w:rPr>
            </w:pPr>
          </w:p>
        </w:tc>
        <w:tc>
          <w:tcPr>
            <w:tcW w:w="1347" w:type="dxa"/>
            <w:vAlign w:val="center"/>
          </w:tcPr>
          <w:p w14:paraId="3A403117" w14:textId="77777777" w:rsidR="00FA1843" w:rsidRPr="00A7778D" w:rsidRDefault="00FA1843" w:rsidP="00041DD0">
            <w:pPr>
              <w:jc w:val="right"/>
              <w:rPr>
                <w:b/>
                <w:noProof/>
                <w:color w:val="000000"/>
                <w:sz w:val="18"/>
                <w:szCs w:val="18"/>
              </w:rPr>
            </w:pPr>
            <w:r w:rsidRPr="00A7778D">
              <w:rPr>
                <w:b/>
                <w:noProof/>
                <w:color w:val="000000"/>
                <w:sz w:val="18"/>
              </w:rPr>
              <w:t xml:space="preserve">1 365 088 </w:t>
            </w:r>
          </w:p>
        </w:tc>
      </w:tr>
      <w:tr w:rsidR="00FA1843" w:rsidRPr="00A7778D" w14:paraId="651BD0A2" w14:textId="77777777" w:rsidTr="00041DD0">
        <w:tc>
          <w:tcPr>
            <w:tcW w:w="3054" w:type="dxa"/>
            <w:vMerge/>
            <w:vAlign w:val="center"/>
          </w:tcPr>
          <w:p w14:paraId="0851C211" w14:textId="77777777" w:rsidR="00FA1843" w:rsidRPr="00A7778D" w:rsidRDefault="00FA1843" w:rsidP="00041DD0">
            <w:pPr>
              <w:jc w:val="left"/>
              <w:rPr>
                <w:noProof/>
                <w:sz w:val="20"/>
                <w:szCs w:val="20"/>
              </w:rPr>
            </w:pPr>
          </w:p>
        </w:tc>
        <w:tc>
          <w:tcPr>
            <w:tcW w:w="1559" w:type="dxa"/>
            <w:vAlign w:val="center"/>
          </w:tcPr>
          <w:p w14:paraId="438EC3D8" w14:textId="77777777" w:rsidR="00FA1843" w:rsidRPr="00A7778D" w:rsidRDefault="00FA1843" w:rsidP="00041DD0">
            <w:pPr>
              <w:spacing w:before="20" w:after="20"/>
              <w:rPr>
                <w:noProof/>
                <w:sz w:val="18"/>
                <w:szCs w:val="18"/>
              </w:rPr>
            </w:pPr>
            <w:r w:rsidRPr="00A7778D">
              <w:rPr>
                <w:noProof/>
                <w:sz w:val="18"/>
              </w:rPr>
              <w:t>Maksut</w:t>
            </w:r>
          </w:p>
        </w:tc>
        <w:tc>
          <w:tcPr>
            <w:tcW w:w="1276" w:type="dxa"/>
            <w:vAlign w:val="center"/>
          </w:tcPr>
          <w:p w14:paraId="56FBFBC0" w14:textId="77777777" w:rsidR="00FA1843" w:rsidRPr="00A7778D" w:rsidRDefault="00FA1843" w:rsidP="00041DD0">
            <w:pPr>
              <w:spacing w:before="20" w:after="20"/>
              <w:jc w:val="center"/>
              <w:rPr>
                <w:noProof/>
                <w:sz w:val="18"/>
                <w:szCs w:val="18"/>
              </w:rPr>
            </w:pPr>
            <w:r w:rsidRPr="00A7778D">
              <w:rPr>
                <w:noProof/>
                <w:sz w:val="18"/>
              </w:rPr>
              <w:t>2 a)</w:t>
            </w:r>
          </w:p>
        </w:tc>
        <w:tc>
          <w:tcPr>
            <w:tcW w:w="1346" w:type="dxa"/>
            <w:vAlign w:val="center"/>
          </w:tcPr>
          <w:p w14:paraId="1BF5DD21" w14:textId="77777777" w:rsidR="00FA1843" w:rsidRPr="00A7778D" w:rsidRDefault="00FA1843" w:rsidP="00041DD0">
            <w:pPr>
              <w:spacing w:before="20" w:after="20"/>
              <w:jc w:val="right"/>
              <w:rPr>
                <w:noProof/>
                <w:sz w:val="18"/>
                <w:szCs w:val="18"/>
              </w:rPr>
            </w:pPr>
          </w:p>
        </w:tc>
        <w:tc>
          <w:tcPr>
            <w:tcW w:w="1347" w:type="dxa"/>
            <w:vAlign w:val="center"/>
          </w:tcPr>
          <w:p w14:paraId="4230EF70" w14:textId="77777777" w:rsidR="00FA1843" w:rsidRPr="00A7778D" w:rsidRDefault="00FA1843" w:rsidP="00041DD0">
            <w:pPr>
              <w:spacing w:before="0" w:after="0"/>
              <w:jc w:val="right"/>
              <w:rPr>
                <w:noProof/>
                <w:color w:val="000000"/>
                <w:sz w:val="18"/>
                <w:szCs w:val="18"/>
              </w:rPr>
            </w:pPr>
          </w:p>
        </w:tc>
        <w:tc>
          <w:tcPr>
            <w:tcW w:w="1346" w:type="dxa"/>
            <w:vAlign w:val="center"/>
          </w:tcPr>
          <w:p w14:paraId="6A5E7B38" w14:textId="77777777" w:rsidR="00FA1843" w:rsidRPr="00A7778D" w:rsidRDefault="00FA1843" w:rsidP="00041DD0">
            <w:pPr>
              <w:jc w:val="right"/>
              <w:rPr>
                <w:noProof/>
                <w:color w:val="000000"/>
                <w:sz w:val="18"/>
                <w:szCs w:val="18"/>
              </w:rPr>
            </w:pPr>
            <w:r w:rsidRPr="00A7778D">
              <w:rPr>
                <w:noProof/>
                <w:color w:val="000000"/>
                <w:sz w:val="18"/>
              </w:rPr>
              <w:t xml:space="preserve">         273 105 </w:t>
            </w:r>
          </w:p>
          <w:p w14:paraId="45AA03E3" w14:textId="77777777" w:rsidR="00FA1843" w:rsidRPr="00A7778D" w:rsidRDefault="00FA1843" w:rsidP="00041DD0">
            <w:pPr>
              <w:jc w:val="right"/>
              <w:rPr>
                <w:noProof/>
                <w:color w:val="000000"/>
                <w:sz w:val="18"/>
                <w:szCs w:val="18"/>
              </w:rPr>
            </w:pPr>
          </w:p>
        </w:tc>
        <w:tc>
          <w:tcPr>
            <w:tcW w:w="1347" w:type="dxa"/>
            <w:vAlign w:val="center"/>
          </w:tcPr>
          <w:p w14:paraId="2663EE90" w14:textId="77777777" w:rsidR="00FA1843" w:rsidRPr="00A7778D" w:rsidRDefault="00FA1843" w:rsidP="00041DD0">
            <w:pPr>
              <w:jc w:val="right"/>
              <w:rPr>
                <w:noProof/>
                <w:color w:val="000000"/>
                <w:sz w:val="18"/>
                <w:szCs w:val="18"/>
              </w:rPr>
            </w:pPr>
            <w:r w:rsidRPr="00A7778D">
              <w:rPr>
                <w:noProof/>
                <w:color w:val="000000"/>
                <w:sz w:val="18"/>
              </w:rPr>
              <w:t xml:space="preserve">            557 134 </w:t>
            </w:r>
          </w:p>
          <w:p w14:paraId="62C3CEA5" w14:textId="77777777" w:rsidR="00FA1843" w:rsidRPr="00A7778D" w:rsidRDefault="00FA1843" w:rsidP="00041DD0">
            <w:pPr>
              <w:jc w:val="right"/>
              <w:rPr>
                <w:noProof/>
                <w:color w:val="000000"/>
                <w:sz w:val="18"/>
                <w:szCs w:val="18"/>
              </w:rPr>
            </w:pPr>
          </w:p>
        </w:tc>
        <w:tc>
          <w:tcPr>
            <w:tcW w:w="1346" w:type="dxa"/>
            <w:vAlign w:val="center"/>
          </w:tcPr>
          <w:p w14:paraId="0CDB82F6" w14:textId="77777777" w:rsidR="00FA1843" w:rsidRPr="00A7778D" w:rsidRDefault="00FA1843" w:rsidP="00041DD0">
            <w:pPr>
              <w:jc w:val="right"/>
              <w:rPr>
                <w:noProof/>
                <w:color w:val="000000"/>
                <w:sz w:val="18"/>
                <w:szCs w:val="18"/>
              </w:rPr>
            </w:pPr>
            <w:r w:rsidRPr="00A7778D">
              <w:rPr>
                <w:noProof/>
                <w:color w:val="000000"/>
                <w:sz w:val="18"/>
              </w:rPr>
              <w:t>534 849</w:t>
            </w:r>
          </w:p>
          <w:p w14:paraId="5C3BC3E0" w14:textId="77777777" w:rsidR="00FA1843" w:rsidRPr="00A7778D" w:rsidRDefault="00FA1843" w:rsidP="00041DD0">
            <w:pPr>
              <w:jc w:val="right"/>
              <w:rPr>
                <w:noProof/>
                <w:color w:val="000000"/>
                <w:sz w:val="18"/>
                <w:szCs w:val="18"/>
              </w:rPr>
            </w:pPr>
          </w:p>
        </w:tc>
        <w:tc>
          <w:tcPr>
            <w:tcW w:w="1347" w:type="dxa"/>
            <w:vAlign w:val="center"/>
          </w:tcPr>
          <w:p w14:paraId="7BD63E2A" w14:textId="77777777" w:rsidR="00FA1843" w:rsidRPr="00A7778D" w:rsidRDefault="00FA1843" w:rsidP="00041DD0">
            <w:pPr>
              <w:jc w:val="right"/>
              <w:rPr>
                <w:b/>
                <w:noProof/>
                <w:color w:val="000000"/>
                <w:sz w:val="18"/>
                <w:szCs w:val="18"/>
              </w:rPr>
            </w:pPr>
            <w:r w:rsidRPr="00A7778D">
              <w:rPr>
                <w:b/>
                <w:noProof/>
                <w:color w:val="000000"/>
                <w:sz w:val="18"/>
              </w:rPr>
              <w:t xml:space="preserve">1 365 088 </w:t>
            </w:r>
          </w:p>
        </w:tc>
      </w:tr>
      <w:tr w:rsidR="00FA1843" w:rsidRPr="00A7778D" w14:paraId="5BD9BD03" w14:textId="77777777" w:rsidTr="00041DD0">
        <w:trPr>
          <w:trHeight w:val="319"/>
        </w:trPr>
        <w:tc>
          <w:tcPr>
            <w:tcW w:w="3054" w:type="dxa"/>
            <w:vMerge w:val="restart"/>
            <w:vAlign w:val="center"/>
          </w:tcPr>
          <w:p w14:paraId="771FCEF5" w14:textId="77777777" w:rsidR="00FA1843" w:rsidRPr="00A7778D" w:rsidRDefault="00FA1843" w:rsidP="00041DD0">
            <w:pPr>
              <w:spacing w:before="60" w:after="60"/>
              <w:jc w:val="left"/>
              <w:rPr>
                <w:noProof/>
                <w:sz w:val="20"/>
                <w:szCs w:val="20"/>
              </w:rPr>
            </w:pPr>
            <w:r w:rsidRPr="00A7778D">
              <w:rPr>
                <w:noProof/>
                <w:sz w:val="20"/>
              </w:rPr>
              <w:t>Osasto 3 – Toimintamenot</w:t>
            </w:r>
          </w:p>
        </w:tc>
        <w:tc>
          <w:tcPr>
            <w:tcW w:w="1559" w:type="dxa"/>
            <w:vAlign w:val="center"/>
          </w:tcPr>
          <w:p w14:paraId="1A5393BA" w14:textId="77777777" w:rsidR="00FA1843" w:rsidRPr="00A7778D" w:rsidRDefault="00FA1843" w:rsidP="00041DD0">
            <w:pPr>
              <w:spacing w:before="40" w:after="40"/>
              <w:rPr>
                <w:noProof/>
                <w:sz w:val="18"/>
                <w:szCs w:val="18"/>
              </w:rPr>
            </w:pPr>
            <w:r w:rsidRPr="00A7778D">
              <w:rPr>
                <w:noProof/>
                <w:sz w:val="18"/>
              </w:rPr>
              <w:t>Sitoumukset</w:t>
            </w:r>
          </w:p>
        </w:tc>
        <w:tc>
          <w:tcPr>
            <w:tcW w:w="1276" w:type="dxa"/>
            <w:vAlign w:val="center"/>
          </w:tcPr>
          <w:p w14:paraId="135710D4" w14:textId="77777777" w:rsidR="00FA1843" w:rsidRPr="00A7778D" w:rsidRDefault="00FA1843" w:rsidP="00041DD0">
            <w:pPr>
              <w:spacing w:before="40" w:after="40"/>
              <w:jc w:val="center"/>
              <w:rPr>
                <w:noProof/>
                <w:sz w:val="18"/>
                <w:szCs w:val="18"/>
              </w:rPr>
            </w:pPr>
            <w:r w:rsidRPr="00A7778D">
              <w:rPr>
                <w:noProof/>
                <w:sz w:val="18"/>
              </w:rPr>
              <w:t>3 a)</w:t>
            </w:r>
          </w:p>
        </w:tc>
        <w:tc>
          <w:tcPr>
            <w:tcW w:w="1346" w:type="dxa"/>
            <w:vAlign w:val="center"/>
          </w:tcPr>
          <w:p w14:paraId="0E2D48B8" w14:textId="77777777" w:rsidR="00FA1843" w:rsidRPr="00A7778D" w:rsidRDefault="00FA1843" w:rsidP="00041DD0">
            <w:pPr>
              <w:spacing w:before="40" w:after="40"/>
              <w:jc w:val="right"/>
              <w:rPr>
                <w:b/>
                <w:noProof/>
                <w:sz w:val="18"/>
                <w:szCs w:val="18"/>
              </w:rPr>
            </w:pPr>
          </w:p>
        </w:tc>
        <w:tc>
          <w:tcPr>
            <w:tcW w:w="1347" w:type="dxa"/>
            <w:vAlign w:val="center"/>
          </w:tcPr>
          <w:p w14:paraId="7A4B7B0E" w14:textId="77777777" w:rsidR="00FA1843" w:rsidRPr="00A7778D" w:rsidRDefault="00FA1843" w:rsidP="00041DD0">
            <w:pPr>
              <w:spacing w:before="0" w:after="0"/>
              <w:jc w:val="right"/>
              <w:rPr>
                <w:noProof/>
                <w:color w:val="000000"/>
                <w:sz w:val="18"/>
                <w:szCs w:val="18"/>
              </w:rPr>
            </w:pPr>
          </w:p>
        </w:tc>
        <w:tc>
          <w:tcPr>
            <w:tcW w:w="1346" w:type="dxa"/>
            <w:vAlign w:val="center"/>
          </w:tcPr>
          <w:p w14:paraId="3CBCBB7A" w14:textId="77777777" w:rsidR="00FA1843" w:rsidRPr="00A7778D" w:rsidRDefault="00FA1843" w:rsidP="00041DD0">
            <w:pPr>
              <w:jc w:val="right"/>
              <w:rPr>
                <w:noProof/>
                <w:color w:val="000000"/>
                <w:sz w:val="18"/>
                <w:szCs w:val="18"/>
              </w:rPr>
            </w:pPr>
            <w:r w:rsidRPr="00A7778D">
              <w:rPr>
                <w:noProof/>
                <w:color w:val="000000"/>
                <w:sz w:val="18"/>
              </w:rPr>
              <w:t>35 000</w:t>
            </w:r>
          </w:p>
        </w:tc>
        <w:tc>
          <w:tcPr>
            <w:tcW w:w="1347" w:type="dxa"/>
            <w:vAlign w:val="center"/>
          </w:tcPr>
          <w:p w14:paraId="2F7106AC" w14:textId="77777777" w:rsidR="00FA1843" w:rsidRPr="00A7778D" w:rsidRDefault="00FA1843" w:rsidP="00041DD0">
            <w:pPr>
              <w:jc w:val="right"/>
              <w:rPr>
                <w:noProof/>
                <w:color w:val="000000"/>
                <w:sz w:val="18"/>
                <w:szCs w:val="18"/>
              </w:rPr>
            </w:pPr>
            <w:r w:rsidRPr="00A7778D">
              <w:rPr>
                <w:noProof/>
                <w:color w:val="000000"/>
                <w:sz w:val="18"/>
              </w:rPr>
              <w:t>5 000</w:t>
            </w:r>
          </w:p>
        </w:tc>
        <w:tc>
          <w:tcPr>
            <w:tcW w:w="1346" w:type="dxa"/>
            <w:vAlign w:val="center"/>
          </w:tcPr>
          <w:p w14:paraId="1E19B5AD" w14:textId="77777777" w:rsidR="00FA1843" w:rsidRPr="00A7778D" w:rsidRDefault="00FA1843" w:rsidP="00041DD0">
            <w:pPr>
              <w:jc w:val="right"/>
              <w:rPr>
                <w:noProof/>
                <w:color w:val="000000"/>
                <w:sz w:val="18"/>
                <w:szCs w:val="18"/>
              </w:rPr>
            </w:pPr>
            <w:r w:rsidRPr="00A7778D">
              <w:rPr>
                <w:noProof/>
                <w:color w:val="000000"/>
                <w:sz w:val="18"/>
              </w:rPr>
              <w:t>5 000</w:t>
            </w:r>
          </w:p>
        </w:tc>
        <w:tc>
          <w:tcPr>
            <w:tcW w:w="1347" w:type="dxa"/>
            <w:vAlign w:val="center"/>
          </w:tcPr>
          <w:p w14:paraId="5B5B625F" w14:textId="77777777" w:rsidR="00FA1843" w:rsidRPr="00A7778D" w:rsidRDefault="00FA1843" w:rsidP="00041DD0">
            <w:pPr>
              <w:jc w:val="right"/>
              <w:rPr>
                <w:b/>
                <w:noProof/>
                <w:color w:val="000000"/>
                <w:sz w:val="18"/>
                <w:szCs w:val="18"/>
              </w:rPr>
            </w:pPr>
            <w:r w:rsidRPr="00A7778D">
              <w:rPr>
                <w:b/>
                <w:noProof/>
                <w:color w:val="000000"/>
                <w:sz w:val="18"/>
              </w:rPr>
              <w:t>45 000</w:t>
            </w:r>
          </w:p>
        </w:tc>
      </w:tr>
      <w:tr w:rsidR="00FA1843" w:rsidRPr="00A7778D" w14:paraId="17A7CFCB" w14:textId="77777777" w:rsidTr="00041DD0">
        <w:trPr>
          <w:trHeight w:val="319"/>
        </w:trPr>
        <w:tc>
          <w:tcPr>
            <w:tcW w:w="3054" w:type="dxa"/>
            <w:vMerge/>
            <w:vAlign w:val="center"/>
          </w:tcPr>
          <w:p w14:paraId="4B350883" w14:textId="77777777" w:rsidR="00FA1843" w:rsidRPr="00A7778D" w:rsidRDefault="00FA1843" w:rsidP="00041DD0">
            <w:pPr>
              <w:spacing w:before="60" w:after="60"/>
              <w:rPr>
                <w:b/>
                <w:noProof/>
                <w:sz w:val="20"/>
                <w:szCs w:val="20"/>
              </w:rPr>
            </w:pPr>
          </w:p>
        </w:tc>
        <w:tc>
          <w:tcPr>
            <w:tcW w:w="1559" w:type="dxa"/>
            <w:vAlign w:val="center"/>
          </w:tcPr>
          <w:p w14:paraId="4C945D0F" w14:textId="77777777" w:rsidR="00FA1843" w:rsidRPr="00A7778D" w:rsidRDefault="00FA1843" w:rsidP="00041DD0">
            <w:pPr>
              <w:spacing w:before="40" w:after="40"/>
              <w:rPr>
                <w:noProof/>
                <w:sz w:val="18"/>
                <w:szCs w:val="18"/>
              </w:rPr>
            </w:pPr>
            <w:r w:rsidRPr="00A7778D">
              <w:rPr>
                <w:noProof/>
                <w:sz w:val="18"/>
              </w:rPr>
              <w:t>Maksut</w:t>
            </w:r>
          </w:p>
        </w:tc>
        <w:tc>
          <w:tcPr>
            <w:tcW w:w="1276" w:type="dxa"/>
            <w:vAlign w:val="center"/>
          </w:tcPr>
          <w:p w14:paraId="72C2EF9F" w14:textId="77777777" w:rsidR="00FA1843" w:rsidRPr="00A7778D" w:rsidRDefault="00FA1843" w:rsidP="00041DD0">
            <w:pPr>
              <w:spacing w:before="40" w:after="40"/>
              <w:jc w:val="center"/>
              <w:rPr>
                <w:noProof/>
                <w:sz w:val="18"/>
                <w:szCs w:val="18"/>
              </w:rPr>
            </w:pPr>
            <w:r w:rsidRPr="00A7778D">
              <w:rPr>
                <w:noProof/>
                <w:sz w:val="18"/>
              </w:rPr>
              <w:t>3b)</w:t>
            </w:r>
          </w:p>
        </w:tc>
        <w:tc>
          <w:tcPr>
            <w:tcW w:w="1346" w:type="dxa"/>
            <w:vAlign w:val="center"/>
          </w:tcPr>
          <w:p w14:paraId="3B6FAB89" w14:textId="77777777" w:rsidR="00FA1843" w:rsidRPr="00A7778D" w:rsidRDefault="00FA1843" w:rsidP="00041DD0">
            <w:pPr>
              <w:spacing w:before="40" w:after="40"/>
              <w:jc w:val="right"/>
              <w:rPr>
                <w:b/>
                <w:noProof/>
                <w:sz w:val="18"/>
                <w:szCs w:val="18"/>
              </w:rPr>
            </w:pPr>
          </w:p>
        </w:tc>
        <w:tc>
          <w:tcPr>
            <w:tcW w:w="1347" w:type="dxa"/>
            <w:vAlign w:val="center"/>
          </w:tcPr>
          <w:p w14:paraId="46147B83" w14:textId="77777777" w:rsidR="00FA1843" w:rsidRPr="00A7778D" w:rsidRDefault="00FA1843" w:rsidP="00041DD0">
            <w:pPr>
              <w:spacing w:before="0" w:after="0"/>
              <w:jc w:val="right"/>
              <w:rPr>
                <w:noProof/>
                <w:color w:val="000000"/>
                <w:sz w:val="18"/>
                <w:szCs w:val="18"/>
              </w:rPr>
            </w:pPr>
          </w:p>
        </w:tc>
        <w:tc>
          <w:tcPr>
            <w:tcW w:w="1346" w:type="dxa"/>
            <w:vAlign w:val="center"/>
          </w:tcPr>
          <w:p w14:paraId="1AD33B24" w14:textId="77777777" w:rsidR="00FA1843" w:rsidRPr="00A7778D" w:rsidRDefault="00FA1843" w:rsidP="00041DD0">
            <w:pPr>
              <w:jc w:val="right"/>
              <w:rPr>
                <w:noProof/>
                <w:color w:val="000000"/>
                <w:sz w:val="18"/>
                <w:szCs w:val="18"/>
              </w:rPr>
            </w:pPr>
            <w:r w:rsidRPr="00A7778D">
              <w:rPr>
                <w:noProof/>
                <w:color w:val="000000"/>
                <w:sz w:val="18"/>
              </w:rPr>
              <w:t>35 000</w:t>
            </w:r>
          </w:p>
        </w:tc>
        <w:tc>
          <w:tcPr>
            <w:tcW w:w="1347" w:type="dxa"/>
            <w:vAlign w:val="center"/>
          </w:tcPr>
          <w:p w14:paraId="349092CB" w14:textId="77777777" w:rsidR="00FA1843" w:rsidRPr="00A7778D" w:rsidRDefault="00FA1843" w:rsidP="00041DD0">
            <w:pPr>
              <w:jc w:val="right"/>
              <w:rPr>
                <w:noProof/>
                <w:color w:val="000000"/>
                <w:sz w:val="18"/>
                <w:szCs w:val="18"/>
              </w:rPr>
            </w:pPr>
            <w:r w:rsidRPr="00A7778D">
              <w:rPr>
                <w:noProof/>
                <w:color w:val="000000"/>
                <w:sz w:val="18"/>
              </w:rPr>
              <w:t>5 000</w:t>
            </w:r>
          </w:p>
        </w:tc>
        <w:tc>
          <w:tcPr>
            <w:tcW w:w="1346" w:type="dxa"/>
            <w:vAlign w:val="center"/>
          </w:tcPr>
          <w:p w14:paraId="295C50DC" w14:textId="77777777" w:rsidR="00FA1843" w:rsidRPr="00A7778D" w:rsidRDefault="00FA1843" w:rsidP="00041DD0">
            <w:pPr>
              <w:jc w:val="right"/>
              <w:rPr>
                <w:noProof/>
                <w:color w:val="000000"/>
                <w:sz w:val="18"/>
                <w:szCs w:val="18"/>
              </w:rPr>
            </w:pPr>
            <w:r w:rsidRPr="00A7778D">
              <w:rPr>
                <w:noProof/>
                <w:color w:val="000000"/>
                <w:sz w:val="18"/>
              </w:rPr>
              <w:t>5 000</w:t>
            </w:r>
          </w:p>
        </w:tc>
        <w:tc>
          <w:tcPr>
            <w:tcW w:w="1347" w:type="dxa"/>
            <w:vAlign w:val="center"/>
          </w:tcPr>
          <w:p w14:paraId="5596DCF7" w14:textId="77777777" w:rsidR="00FA1843" w:rsidRPr="00A7778D" w:rsidRDefault="00FA1843" w:rsidP="00041DD0">
            <w:pPr>
              <w:jc w:val="right"/>
              <w:rPr>
                <w:b/>
                <w:noProof/>
                <w:color w:val="000000"/>
                <w:sz w:val="18"/>
                <w:szCs w:val="18"/>
              </w:rPr>
            </w:pPr>
            <w:r w:rsidRPr="00A7778D">
              <w:rPr>
                <w:b/>
                <w:noProof/>
                <w:color w:val="000000"/>
                <w:sz w:val="18"/>
              </w:rPr>
              <w:t>45 000</w:t>
            </w:r>
          </w:p>
        </w:tc>
      </w:tr>
      <w:tr w:rsidR="00FA1843" w:rsidRPr="00A7778D" w14:paraId="6DF06B10" w14:textId="77777777" w:rsidTr="00041DD0">
        <w:tc>
          <w:tcPr>
            <w:tcW w:w="3054" w:type="dxa"/>
            <w:vAlign w:val="center"/>
          </w:tcPr>
          <w:p w14:paraId="1BDB4CFB" w14:textId="77777777" w:rsidR="00FA1843" w:rsidRPr="00A7778D" w:rsidRDefault="00FA1843" w:rsidP="00041DD0">
            <w:pPr>
              <w:jc w:val="center"/>
              <w:rPr>
                <w:noProof/>
                <w:sz w:val="20"/>
                <w:szCs w:val="20"/>
              </w:rPr>
            </w:pPr>
            <w:r w:rsidRPr="00A7778D">
              <w:rPr>
                <w:b/>
                <w:noProof/>
                <w:sz w:val="20"/>
              </w:rPr>
              <w:t>Määrärahat YHTEENSÄ</w:t>
            </w:r>
          </w:p>
        </w:tc>
        <w:tc>
          <w:tcPr>
            <w:tcW w:w="1559" w:type="dxa"/>
            <w:vAlign w:val="center"/>
          </w:tcPr>
          <w:p w14:paraId="4724EF6E" w14:textId="77777777" w:rsidR="00FA1843" w:rsidRPr="00A7778D" w:rsidRDefault="00FA1843" w:rsidP="00041DD0">
            <w:pPr>
              <w:rPr>
                <w:noProof/>
                <w:sz w:val="18"/>
                <w:szCs w:val="18"/>
              </w:rPr>
            </w:pPr>
            <w:r w:rsidRPr="00A7778D">
              <w:rPr>
                <w:noProof/>
                <w:sz w:val="18"/>
              </w:rPr>
              <w:t>Sitoumukset</w:t>
            </w:r>
          </w:p>
        </w:tc>
        <w:tc>
          <w:tcPr>
            <w:tcW w:w="1276" w:type="dxa"/>
            <w:vAlign w:val="center"/>
          </w:tcPr>
          <w:p w14:paraId="6F023C47" w14:textId="77777777" w:rsidR="00FA1843" w:rsidRPr="00A7778D" w:rsidRDefault="00FA1843" w:rsidP="00041DD0">
            <w:pPr>
              <w:jc w:val="center"/>
              <w:rPr>
                <w:noProof/>
                <w:sz w:val="18"/>
                <w:szCs w:val="18"/>
              </w:rPr>
            </w:pPr>
            <w:r w:rsidRPr="00A7778D">
              <w:rPr>
                <w:noProof/>
                <w:sz w:val="18"/>
              </w:rPr>
              <w:t>=1+1a +3a</w:t>
            </w:r>
          </w:p>
        </w:tc>
        <w:tc>
          <w:tcPr>
            <w:tcW w:w="1346" w:type="dxa"/>
            <w:vAlign w:val="center"/>
          </w:tcPr>
          <w:p w14:paraId="43CF7085" w14:textId="77777777" w:rsidR="00FA1843" w:rsidRPr="00A7778D" w:rsidRDefault="00FA1843" w:rsidP="00041DD0">
            <w:pPr>
              <w:spacing w:before="20" w:after="20"/>
              <w:jc w:val="right"/>
              <w:rPr>
                <w:noProof/>
                <w:sz w:val="18"/>
                <w:szCs w:val="18"/>
              </w:rPr>
            </w:pPr>
          </w:p>
        </w:tc>
        <w:tc>
          <w:tcPr>
            <w:tcW w:w="1347" w:type="dxa"/>
            <w:vAlign w:val="center"/>
          </w:tcPr>
          <w:p w14:paraId="081C7A8F" w14:textId="77777777" w:rsidR="00FA1843" w:rsidRPr="00A7778D" w:rsidRDefault="00FA1843" w:rsidP="00041DD0">
            <w:pPr>
              <w:spacing w:before="0" w:after="0"/>
              <w:jc w:val="right"/>
              <w:rPr>
                <w:b/>
                <w:noProof/>
                <w:color w:val="000000"/>
                <w:sz w:val="18"/>
                <w:szCs w:val="18"/>
              </w:rPr>
            </w:pPr>
          </w:p>
        </w:tc>
        <w:tc>
          <w:tcPr>
            <w:tcW w:w="1346" w:type="dxa"/>
            <w:vAlign w:val="center"/>
          </w:tcPr>
          <w:p w14:paraId="47966411" w14:textId="77777777" w:rsidR="00FA1843" w:rsidRPr="00A7778D" w:rsidRDefault="00FA1843" w:rsidP="00041DD0">
            <w:pPr>
              <w:jc w:val="right"/>
              <w:rPr>
                <w:b/>
                <w:noProof/>
                <w:color w:val="000000"/>
                <w:sz w:val="18"/>
                <w:szCs w:val="18"/>
              </w:rPr>
            </w:pPr>
          </w:p>
          <w:p w14:paraId="6F89A8C7" w14:textId="77777777" w:rsidR="00FA1843" w:rsidRPr="00A7778D" w:rsidDel="007D518B" w:rsidRDefault="00FA1843" w:rsidP="00041DD0">
            <w:pPr>
              <w:jc w:val="right"/>
              <w:rPr>
                <w:b/>
                <w:noProof/>
                <w:color w:val="000000"/>
                <w:sz w:val="18"/>
                <w:szCs w:val="18"/>
              </w:rPr>
            </w:pPr>
            <w:r w:rsidRPr="00A7778D">
              <w:rPr>
                <w:b/>
                <w:noProof/>
                <w:color w:val="000000"/>
                <w:sz w:val="18"/>
              </w:rPr>
              <w:t>1 911 724</w:t>
            </w:r>
          </w:p>
          <w:p w14:paraId="0F1CDAE0" w14:textId="77777777" w:rsidR="00FA1843" w:rsidRPr="00A7778D" w:rsidRDefault="00FA1843" w:rsidP="00041DD0">
            <w:pPr>
              <w:jc w:val="right"/>
              <w:rPr>
                <w:b/>
                <w:noProof/>
                <w:color w:val="000000"/>
                <w:sz w:val="18"/>
                <w:szCs w:val="18"/>
              </w:rPr>
            </w:pPr>
          </w:p>
        </w:tc>
        <w:tc>
          <w:tcPr>
            <w:tcW w:w="1347" w:type="dxa"/>
            <w:vAlign w:val="center"/>
          </w:tcPr>
          <w:p w14:paraId="61056B29" w14:textId="77777777" w:rsidR="00FA1843" w:rsidRPr="00A7778D" w:rsidDel="007D518B" w:rsidRDefault="00FA1843" w:rsidP="00041DD0">
            <w:pPr>
              <w:jc w:val="right"/>
              <w:rPr>
                <w:b/>
                <w:noProof/>
                <w:color w:val="000000"/>
                <w:sz w:val="18"/>
                <w:szCs w:val="18"/>
              </w:rPr>
            </w:pPr>
          </w:p>
          <w:p w14:paraId="27ECEF0B" w14:textId="77777777" w:rsidR="00FA1843" w:rsidRPr="00A7778D" w:rsidRDefault="00FA1843" w:rsidP="00041DD0">
            <w:pPr>
              <w:jc w:val="right"/>
              <w:rPr>
                <w:b/>
                <w:bCs/>
                <w:noProof/>
                <w:color w:val="000000"/>
                <w:sz w:val="18"/>
                <w:szCs w:val="18"/>
              </w:rPr>
            </w:pPr>
            <w:r w:rsidRPr="00A7778D">
              <w:rPr>
                <w:b/>
                <w:noProof/>
                <w:color w:val="000000"/>
                <w:sz w:val="18"/>
              </w:rPr>
              <w:t xml:space="preserve">3 833 516  </w:t>
            </w:r>
          </w:p>
          <w:p w14:paraId="479B4918" w14:textId="77777777" w:rsidR="00FA1843" w:rsidRPr="00A7778D" w:rsidRDefault="00FA1843" w:rsidP="00041DD0">
            <w:pPr>
              <w:jc w:val="right"/>
              <w:rPr>
                <w:b/>
                <w:noProof/>
                <w:color w:val="000000"/>
                <w:sz w:val="18"/>
                <w:szCs w:val="18"/>
              </w:rPr>
            </w:pPr>
          </w:p>
        </w:tc>
        <w:tc>
          <w:tcPr>
            <w:tcW w:w="1346" w:type="dxa"/>
            <w:vAlign w:val="center"/>
          </w:tcPr>
          <w:p w14:paraId="2B4FFE3A" w14:textId="77777777" w:rsidR="00FA1843" w:rsidRPr="00A7778D" w:rsidRDefault="00FA1843" w:rsidP="00041DD0">
            <w:pPr>
              <w:jc w:val="right"/>
              <w:rPr>
                <w:b/>
                <w:noProof/>
                <w:color w:val="000000"/>
                <w:sz w:val="18"/>
                <w:szCs w:val="18"/>
              </w:rPr>
            </w:pPr>
          </w:p>
          <w:p w14:paraId="36D8CF1D" w14:textId="77777777" w:rsidR="00FA1843" w:rsidRPr="00A7778D" w:rsidRDefault="00FA1843" w:rsidP="00041DD0">
            <w:pPr>
              <w:jc w:val="right"/>
              <w:rPr>
                <w:b/>
                <w:noProof/>
                <w:color w:val="000000"/>
                <w:sz w:val="18"/>
                <w:szCs w:val="18"/>
              </w:rPr>
            </w:pPr>
            <w:r w:rsidRPr="00A7778D">
              <w:rPr>
                <w:b/>
                <w:noProof/>
                <w:color w:val="000000"/>
                <w:sz w:val="18"/>
              </w:rPr>
              <w:t xml:space="preserve">3 685 523 </w:t>
            </w:r>
          </w:p>
          <w:p w14:paraId="368E4F6C" w14:textId="77777777" w:rsidR="00FA1843" w:rsidRPr="00A7778D" w:rsidRDefault="00FA1843" w:rsidP="00041DD0">
            <w:pPr>
              <w:jc w:val="right"/>
              <w:rPr>
                <w:b/>
                <w:noProof/>
                <w:color w:val="000000"/>
                <w:sz w:val="18"/>
                <w:szCs w:val="18"/>
              </w:rPr>
            </w:pPr>
          </w:p>
        </w:tc>
        <w:tc>
          <w:tcPr>
            <w:tcW w:w="1347" w:type="dxa"/>
            <w:vAlign w:val="center"/>
          </w:tcPr>
          <w:p w14:paraId="0C89AB71" w14:textId="77777777" w:rsidR="00FA1843" w:rsidRPr="00A7778D" w:rsidRDefault="00FA1843" w:rsidP="00041DD0">
            <w:pPr>
              <w:jc w:val="right"/>
              <w:rPr>
                <w:b/>
                <w:noProof/>
                <w:color w:val="000000"/>
                <w:sz w:val="18"/>
                <w:szCs w:val="18"/>
              </w:rPr>
            </w:pPr>
          </w:p>
          <w:p w14:paraId="1882D34A" w14:textId="77777777" w:rsidR="00FA1843" w:rsidRPr="00A7778D" w:rsidRDefault="00FA1843" w:rsidP="00041DD0">
            <w:pPr>
              <w:jc w:val="right"/>
              <w:rPr>
                <w:b/>
                <w:noProof/>
                <w:color w:val="000000"/>
                <w:sz w:val="18"/>
                <w:szCs w:val="18"/>
              </w:rPr>
            </w:pPr>
            <w:r w:rsidRPr="00A7778D">
              <w:rPr>
                <w:b/>
                <w:noProof/>
                <w:color w:val="000000"/>
                <w:sz w:val="18"/>
              </w:rPr>
              <w:t xml:space="preserve">9 430 763 </w:t>
            </w:r>
          </w:p>
        </w:tc>
      </w:tr>
      <w:tr w:rsidR="00FA1843" w:rsidRPr="00A7778D" w14:paraId="19AAD44C" w14:textId="77777777" w:rsidTr="00041DD0">
        <w:trPr>
          <w:trHeight w:val="659"/>
        </w:trPr>
        <w:tc>
          <w:tcPr>
            <w:tcW w:w="3054" w:type="dxa"/>
            <w:vAlign w:val="center"/>
          </w:tcPr>
          <w:p w14:paraId="3B4832F5" w14:textId="77777777" w:rsidR="00FA1843" w:rsidRPr="00A7778D" w:rsidRDefault="00FA1843" w:rsidP="00041DD0">
            <w:pPr>
              <w:rPr>
                <w:b/>
                <w:noProof/>
                <w:sz w:val="20"/>
                <w:szCs w:val="20"/>
              </w:rPr>
            </w:pPr>
          </w:p>
        </w:tc>
        <w:tc>
          <w:tcPr>
            <w:tcW w:w="1559" w:type="dxa"/>
            <w:vAlign w:val="center"/>
          </w:tcPr>
          <w:p w14:paraId="5BD7BB71" w14:textId="77777777" w:rsidR="00FA1843" w:rsidRPr="00A7778D" w:rsidRDefault="00FA1843" w:rsidP="00041DD0">
            <w:pPr>
              <w:rPr>
                <w:noProof/>
                <w:sz w:val="18"/>
                <w:szCs w:val="18"/>
              </w:rPr>
            </w:pPr>
            <w:r w:rsidRPr="00A7778D">
              <w:rPr>
                <w:noProof/>
                <w:sz w:val="18"/>
              </w:rPr>
              <w:t>Maksut</w:t>
            </w:r>
          </w:p>
        </w:tc>
        <w:tc>
          <w:tcPr>
            <w:tcW w:w="1276" w:type="dxa"/>
            <w:vAlign w:val="center"/>
          </w:tcPr>
          <w:p w14:paraId="7E3EC11A" w14:textId="77777777" w:rsidR="00FA1843" w:rsidRPr="00A7778D" w:rsidRDefault="00FA1843" w:rsidP="00041DD0">
            <w:pPr>
              <w:jc w:val="center"/>
              <w:rPr>
                <w:noProof/>
                <w:sz w:val="18"/>
                <w:szCs w:val="18"/>
              </w:rPr>
            </w:pPr>
            <w:r w:rsidRPr="00A7778D">
              <w:rPr>
                <w:noProof/>
                <w:sz w:val="18"/>
              </w:rPr>
              <w:t>=2+2a +3b</w:t>
            </w:r>
          </w:p>
        </w:tc>
        <w:tc>
          <w:tcPr>
            <w:tcW w:w="1346" w:type="dxa"/>
            <w:vAlign w:val="center"/>
          </w:tcPr>
          <w:p w14:paraId="48830798" w14:textId="77777777" w:rsidR="00FA1843" w:rsidRPr="00A7778D" w:rsidRDefault="00FA1843" w:rsidP="00041DD0">
            <w:pPr>
              <w:spacing w:before="20" w:after="20"/>
              <w:jc w:val="right"/>
              <w:rPr>
                <w:noProof/>
                <w:sz w:val="18"/>
                <w:szCs w:val="18"/>
              </w:rPr>
            </w:pPr>
          </w:p>
        </w:tc>
        <w:tc>
          <w:tcPr>
            <w:tcW w:w="1347" w:type="dxa"/>
            <w:vAlign w:val="center"/>
          </w:tcPr>
          <w:p w14:paraId="65C72384" w14:textId="77777777" w:rsidR="00FA1843" w:rsidRPr="00A7778D" w:rsidRDefault="00FA1843" w:rsidP="00041DD0">
            <w:pPr>
              <w:spacing w:before="0" w:after="0"/>
              <w:jc w:val="right"/>
              <w:rPr>
                <w:b/>
                <w:noProof/>
                <w:color w:val="000000"/>
                <w:sz w:val="18"/>
                <w:szCs w:val="18"/>
              </w:rPr>
            </w:pPr>
          </w:p>
        </w:tc>
        <w:tc>
          <w:tcPr>
            <w:tcW w:w="1346" w:type="dxa"/>
            <w:vAlign w:val="center"/>
          </w:tcPr>
          <w:p w14:paraId="23AA5BDE" w14:textId="77777777" w:rsidR="00FA1843" w:rsidRPr="00A7778D" w:rsidRDefault="00FA1843" w:rsidP="00041DD0">
            <w:pPr>
              <w:jc w:val="right"/>
              <w:rPr>
                <w:b/>
                <w:noProof/>
                <w:color w:val="000000"/>
                <w:sz w:val="18"/>
                <w:szCs w:val="18"/>
              </w:rPr>
            </w:pPr>
            <w:r w:rsidRPr="00A7778D">
              <w:rPr>
                <w:b/>
                <w:noProof/>
                <w:color w:val="000000"/>
                <w:sz w:val="18"/>
              </w:rPr>
              <w:t xml:space="preserve">1 911 724 </w:t>
            </w:r>
          </w:p>
        </w:tc>
        <w:tc>
          <w:tcPr>
            <w:tcW w:w="1347" w:type="dxa"/>
            <w:vAlign w:val="center"/>
          </w:tcPr>
          <w:p w14:paraId="5993101D" w14:textId="77777777" w:rsidR="00FA1843" w:rsidRPr="00A7778D" w:rsidRDefault="00FA1843" w:rsidP="00041DD0">
            <w:pPr>
              <w:jc w:val="right"/>
              <w:rPr>
                <w:b/>
                <w:noProof/>
                <w:color w:val="000000"/>
                <w:sz w:val="18"/>
                <w:szCs w:val="18"/>
              </w:rPr>
            </w:pPr>
            <w:r w:rsidRPr="00A7778D">
              <w:rPr>
                <w:b/>
                <w:noProof/>
                <w:color w:val="000000"/>
                <w:sz w:val="18"/>
              </w:rPr>
              <w:t xml:space="preserve">3 833 516 </w:t>
            </w:r>
          </w:p>
        </w:tc>
        <w:tc>
          <w:tcPr>
            <w:tcW w:w="1346" w:type="dxa"/>
            <w:vAlign w:val="center"/>
          </w:tcPr>
          <w:p w14:paraId="79DE18C6" w14:textId="77777777" w:rsidR="00FA1843" w:rsidRPr="00A7778D" w:rsidRDefault="00FA1843" w:rsidP="00041DD0">
            <w:pPr>
              <w:jc w:val="right"/>
              <w:rPr>
                <w:b/>
                <w:noProof/>
                <w:color w:val="000000"/>
                <w:sz w:val="18"/>
                <w:szCs w:val="18"/>
              </w:rPr>
            </w:pPr>
            <w:r w:rsidRPr="00A7778D">
              <w:rPr>
                <w:b/>
                <w:noProof/>
                <w:color w:val="000000"/>
                <w:sz w:val="18"/>
              </w:rPr>
              <w:t xml:space="preserve"> </w:t>
            </w:r>
          </w:p>
          <w:p w14:paraId="586967E1" w14:textId="77777777" w:rsidR="00FA1843" w:rsidRPr="00A7778D" w:rsidRDefault="00FA1843" w:rsidP="00041DD0">
            <w:pPr>
              <w:jc w:val="right"/>
              <w:rPr>
                <w:b/>
                <w:noProof/>
                <w:color w:val="000000"/>
                <w:sz w:val="18"/>
                <w:szCs w:val="18"/>
              </w:rPr>
            </w:pPr>
            <w:r w:rsidRPr="00A7778D">
              <w:rPr>
                <w:b/>
                <w:noProof/>
                <w:color w:val="000000"/>
                <w:sz w:val="18"/>
              </w:rPr>
              <w:t xml:space="preserve"> 3 685 523 </w:t>
            </w:r>
          </w:p>
          <w:p w14:paraId="5EC2F7A1" w14:textId="77777777" w:rsidR="00FA1843" w:rsidRPr="00A7778D" w:rsidRDefault="00FA1843" w:rsidP="00041DD0">
            <w:pPr>
              <w:jc w:val="right"/>
              <w:rPr>
                <w:b/>
                <w:noProof/>
                <w:color w:val="000000"/>
                <w:sz w:val="18"/>
                <w:szCs w:val="18"/>
              </w:rPr>
            </w:pPr>
          </w:p>
        </w:tc>
        <w:tc>
          <w:tcPr>
            <w:tcW w:w="1347" w:type="dxa"/>
            <w:vAlign w:val="center"/>
          </w:tcPr>
          <w:p w14:paraId="78A2D3F8" w14:textId="77777777" w:rsidR="00FA1843" w:rsidRPr="00A7778D" w:rsidRDefault="00FA1843" w:rsidP="00041DD0">
            <w:pPr>
              <w:jc w:val="right"/>
              <w:rPr>
                <w:b/>
                <w:noProof/>
                <w:color w:val="000000"/>
                <w:sz w:val="18"/>
                <w:szCs w:val="18"/>
              </w:rPr>
            </w:pPr>
            <w:r w:rsidRPr="00A7778D">
              <w:rPr>
                <w:b/>
                <w:noProof/>
                <w:color w:val="000000"/>
                <w:sz w:val="18"/>
              </w:rPr>
              <w:t xml:space="preserve">9 430 763 </w:t>
            </w:r>
          </w:p>
        </w:tc>
      </w:tr>
    </w:tbl>
    <w:p w14:paraId="499F1D2F" w14:textId="77777777" w:rsidR="00FA1843" w:rsidRPr="00A7778D" w:rsidRDefault="00FA1843" w:rsidP="00FA1843">
      <w:pPr>
        <w:spacing w:before="0" w:after="200" w:line="276" w:lineRule="auto"/>
        <w:jc w:val="left"/>
        <w:rPr>
          <w:noProof/>
        </w:rPr>
      </w:pPr>
    </w:p>
    <w:p w14:paraId="782F690A" w14:textId="77777777" w:rsidR="009F50E4" w:rsidRPr="00A7778D" w:rsidRDefault="009F50E4" w:rsidP="009F50E4">
      <w:pPr>
        <w:rPr>
          <w:noProof/>
        </w:rPr>
      </w:pPr>
    </w:p>
    <w:sectPr w:rsidR="009F50E4" w:rsidRPr="00A7778D" w:rsidSect="00084EF2">
      <w:headerReference w:type="default" r:id="rId20"/>
      <w:footerReference w:type="default" r:id="rId21"/>
      <w:headerReference w:type="first" r:id="rId22"/>
      <w:footerReference w:type="first" r:id="rId23"/>
      <w:pgSz w:w="16839" w:h="11907" w:orient="landscape"/>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EBE33" w14:textId="77777777" w:rsidR="00041DD0" w:rsidRDefault="00041DD0" w:rsidP="00587167">
      <w:pPr>
        <w:spacing w:before="0" w:after="0"/>
      </w:pPr>
      <w:r>
        <w:separator/>
      </w:r>
    </w:p>
    <w:p w14:paraId="22436F04" w14:textId="77777777" w:rsidR="00041DD0" w:rsidRDefault="00041DD0"/>
  </w:endnote>
  <w:endnote w:type="continuationSeparator" w:id="0">
    <w:p w14:paraId="694EFDD6" w14:textId="77777777" w:rsidR="00041DD0" w:rsidRDefault="00041DD0" w:rsidP="00587167">
      <w:pPr>
        <w:spacing w:before="0" w:after="0"/>
      </w:pPr>
      <w:r>
        <w:continuationSeparator/>
      </w:r>
    </w:p>
    <w:p w14:paraId="166CF7A7" w14:textId="77777777" w:rsidR="00041DD0" w:rsidRDefault="00041DD0"/>
  </w:endnote>
  <w:endnote w:type="continuationNotice" w:id="1">
    <w:p w14:paraId="671E0BB1" w14:textId="77777777" w:rsidR="00041DD0" w:rsidRDefault="00041DD0">
      <w:pPr>
        <w:spacing w:before="0" w:after="0"/>
      </w:pPr>
    </w:p>
    <w:p w14:paraId="06B3697C" w14:textId="77777777" w:rsidR="00041DD0" w:rsidRDefault="00041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7A5A" w14:textId="17DD4969" w:rsidR="00041DD0" w:rsidRPr="00084EF2" w:rsidRDefault="00084EF2" w:rsidP="00084EF2">
    <w:pPr>
      <w:pStyle w:val="Footer"/>
      <w:rPr>
        <w:rFonts w:ascii="Arial" w:hAnsi="Arial" w:cs="Arial"/>
        <w:b/>
        <w:sz w:val="48"/>
      </w:rPr>
    </w:pPr>
    <w:r w:rsidRPr="00084EF2">
      <w:rPr>
        <w:rFonts w:ascii="Arial" w:hAnsi="Arial" w:cs="Arial"/>
        <w:b/>
        <w:sz w:val="48"/>
      </w:rPr>
      <w:t>FI</w:t>
    </w:r>
    <w:r w:rsidRPr="00084EF2">
      <w:rPr>
        <w:rFonts w:ascii="Arial" w:hAnsi="Arial" w:cs="Arial"/>
        <w:b/>
        <w:sz w:val="48"/>
      </w:rPr>
      <w:tab/>
    </w:r>
    <w:r w:rsidRPr="00084EF2">
      <w:rPr>
        <w:rFonts w:ascii="Arial" w:hAnsi="Arial" w:cs="Arial"/>
        <w:b/>
        <w:sz w:val="48"/>
      </w:rPr>
      <w:tab/>
    </w:r>
    <w:r w:rsidRPr="00084EF2">
      <w:tab/>
    </w:r>
    <w:r w:rsidRPr="00084EF2">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CFFE" w14:textId="2D6E2836" w:rsidR="00084EF2" w:rsidRPr="00084EF2" w:rsidRDefault="00084EF2" w:rsidP="00084EF2">
    <w:pPr>
      <w:pStyle w:val="Footer"/>
      <w:rPr>
        <w:rFonts w:ascii="Arial" w:hAnsi="Arial" w:cs="Arial"/>
        <w:b/>
        <w:sz w:val="48"/>
      </w:rPr>
    </w:pPr>
    <w:r w:rsidRPr="00084EF2">
      <w:rPr>
        <w:rFonts w:ascii="Arial" w:hAnsi="Arial" w:cs="Arial"/>
        <w:b/>
        <w:sz w:val="48"/>
      </w:rPr>
      <w:t>FI</w:t>
    </w:r>
    <w:r w:rsidRPr="00084EF2">
      <w:rPr>
        <w:rFonts w:ascii="Arial" w:hAnsi="Arial" w:cs="Arial"/>
        <w:b/>
        <w:sz w:val="48"/>
      </w:rPr>
      <w:tab/>
    </w:r>
    <w:r>
      <w:fldChar w:fldCharType="begin"/>
    </w:r>
    <w:r>
      <w:instrText xml:space="preserve"> PAGE  \* MERGEFORMAT </w:instrText>
    </w:r>
    <w:r>
      <w:fldChar w:fldCharType="separate"/>
    </w:r>
    <w:r w:rsidR="001C6A2C">
      <w:rPr>
        <w:noProof/>
      </w:rPr>
      <w:t>56</w:t>
    </w:r>
    <w:r>
      <w:fldChar w:fldCharType="end"/>
    </w:r>
    <w:r>
      <w:tab/>
    </w:r>
    <w:r w:rsidRPr="00084EF2">
      <w:tab/>
    </w:r>
    <w:r w:rsidRPr="00084EF2">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FF8C" w14:textId="77777777" w:rsidR="00084EF2" w:rsidRPr="00084EF2" w:rsidRDefault="00084EF2" w:rsidP="00084E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3837" w14:textId="26693E03" w:rsidR="00A42CA2" w:rsidRPr="00084EF2" w:rsidRDefault="00084EF2" w:rsidP="00084EF2">
    <w:pPr>
      <w:pStyle w:val="FooterLandscape"/>
      <w:rPr>
        <w:rFonts w:ascii="Arial" w:hAnsi="Arial" w:cs="Arial"/>
        <w:b/>
        <w:sz w:val="48"/>
      </w:rPr>
    </w:pPr>
    <w:r w:rsidRPr="00084EF2">
      <w:rPr>
        <w:rFonts w:ascii="Arial" w:hAnsi="Arial" w:cs="Arial"/>
        <w:b/>
        <w:sz w:val="48"/>
      </w:rPr>
      <w:t>FI</w:t>
    </w:r>
    <w:r w:rsidRPr="00084EF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84EF2">
      <w:tab/>
    </w:r>
    <w:r w:rsidRPr="00084EF2">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B942" w14:textId="77777777" w:rsidR="00084EF2" w:rsidRPr="00084EF2" w:rsidRDefault="00084EF2" w:rsidP="00084EF2">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C2D73" w14:textId="4DE32E37" w:rsidR="00A42CA2" w:rsidRPr="00084EF2" w:rsidRDefault="00084EF2" w:rsidP="00084EF2">
    <w:pPr>
      <w:pStyle w:val="Footer"/>
      <w:rPr>
        <w:rFonts w:ascii="Arial" w:hAnsi="Arial" w:cs="Arial"/>
        <w:b/>
        <w:sz w:val="48"/>
      </w:rPr>
    </w:pPr>
    <w:r w:rsidRPr="00084EF2">
      <w:rPr>
        <w:rFonts w:ascii="Arial" w:hAnsi="Arial" w:cs="Arial"/>
        <w:b/>
        <w:sz w:val="48"/>
      </w:rPr>
      <w:t>FI</w:t>
    </w:r>
    <w:r w:rsidRPr="00084EF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84EF2">
      <w:tab/>
    </w:r>
    <w:r w:rsidRPr="00084EF2">
      <w:rPr>
        <w:rFonts w:ascii="Arial" w:hAnsi="Arial" w:cs="Arial"/>
        <w:b/>
        <w:sz w:val="48"/>
      </w:rPr>
      <w:t>FI</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830B" w14:textId="77777777" w:rsidR="00084EF2" w:rsidRPr="00084EF2" w:rsidRDefault="00084EF2" w:rsidP="00084EF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A0D0E" w14:textId="6C590713" w:rsidR="00084EF2" w:rsidRPr="00084EF2" w:rsidRDefault="00084EF2" w:rsidP="00084EF2">
    <w:pPr>
      <w:pStyle w:val="FooterLandscape"/>
      <w:rPr>
        <w:rFonts w:ascii="Arial" w:hAnsi="Arial" w:cs="Arial"/>
        <w:b/>
        <w:sz w:val="48"/>
      </w:rPr>
    </w:pPr>
    <w:r w:rsidRPr="00084EF2">
      <w:rPr>
        <w:rFonts w:ascii="Arial" w:hAnsi="Arial" w:cs="Arial"/>
        <w:b/>
        <w:sz w:val="48"/>
      </w:rPr>
      <w:t>FI</w:t>
    </w:r>
    <w:r w:rsidRPr="00084EF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84EF2">
      <w:tab/>
    </w:r>
    <w:r w:rsidRPr="00084EF2">
      <w:rPr>
        <w:rFonts w:ascii="Arial" w:hAnsi="Arial" w:cs="Arial"/>
        <w:b/>
        <w:sz w:val="48"/>
      </w:rPr>
      <w:t>FI</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2CDD" w14:textId="77777777" w:rsidR="00084EF2" w:rsidRPr="00084EF2" w:rsidRDefault="00084EF2" w:rsidP="00084EF2">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E72D1" w14:textId="77777777" w:rsidR="00041DD0" w:rsidRDefault="00041DD0" w:rsidP="00587167">
      <w:pPr>
        <w:spacing w:before="0" w:after="0"/>
      </w:pPr>
      <w:r>
        <w:separator/>
      </w:r>
    </w:p>
    <w:p w14:paraId="31377925" w14:textId="77777777" w:rsidR="00041DD0" w:rsidRDefault="00041DD0"/>
  </w:footnote>
  <w:footnote w:type="continuationSeparator" w:id="0">
    <w:p w14:paraId="0834D589" w14:textId="77777777" w:rsidR="00041DD0" w:rsidRDefault="00041DD0" w:rsidP="00587167">
      <w:pPr>
        <w:spacing w:before="0" w:after="0"/>
      </w:pPr>
      <w:r>
        <w:continuationSeparator/>
      </w:r>
    </w:p>
    <w:p w14:paraId="6DF09AF8" w14:textId="77777777" w:rsidR="00041DD0" w:rsidRDefault="00041DD0"/>
  </w:footnote>
  <w:footnote w:type="continuationNotice" w:id="1">
    <w:p w14:paraId="466DB546" w14:textId="77777777" w:rsidR="00041DD0" w:rsidRDefault="00041DD0">
      <w:pPr>
        <w:spacing w:before="0" w:after="0"/>
      </w:pPr>
    </w:p>
    <w:p w14:paraId="79D00D40" w14:textId="77777777" w:rsidR="00041DD0" w:rsidRDefault="00041DD0"/>
  </w:footnote>
  <w:footnote w:id="2">
    <w:p w14:paraId="153E962A" w14:textId="77777777" w:rsidR="00041DD0" w:rsidRPr="00D564BF" w:rsidRDefault="00041DD0" w:rsidP="0077292E">
      <w:pPr>
        <w:pStyle w:val="FootnoteText"/>
        <w:ind w:left="567" w:hanging="567"/>
      </w:pPr>
      <w:r>
        <w:rPr>
          <w:rStyle w:val="FootnoteReference0"/>
        </w:rPr>
        <w:footnoteRef/>
      </w:r>
      <w:r>
        <w:tab/>
      </w:r>
      <w:r>
        <w:rPr>
          <w:rStyle w:val="FootnoteReference0"/>
          <w:vertAlign w:val="baseline"/>
        </w:rPr>
        <w:t xml:space="preserve">Komission tiedonanto – Kestävään talouteen siirtymisen rahoitusstrategia, </w:t>
      </w:r>
      <w:hyperlink r:id="rId1" w:history="1">
        <w:r>
          <w:rPr>
            <w:rStyle w:val="FootnoteReference0"/>
            <w:vertAlign w:val="baseline"/>
          </w:rPr>
          <w:t>COM(2021) 390 final</w:t>
        </w:r>
      </w:hyperlink>
      <w:r>
        <w:rPr>
          <w:rStyle w:val="FootnoteReference0"/>
          <w:vertAlign w:val="baseline"/>
        </w:rPr>
        <w:t>.</w:t>
      </w:r>
      <w:r>
        <w:rPr>
          <w:color w:val="0000FF"/>
          <w:u w:val="single"/>
        </w:rPr>
        <w:t xml:space="preserve"> </w:t>
      </w:r>
    </w:p>
  </w:footnote>
  <w:footnote w:id="3">
    <w:p w14:paraId="1D137DA3" w14:textId="77777777" w:rsidR="00041DD0" w:rsidRPr="00604B91" w:rsidRDefault="00041DD0" w:rsidP="0077292E">
      <w:pPr>
        <w:pStyle w:val="FootnoteText"/>
        <w:ind w:left="567" w:hanging="567"/>
        <w:rPr>
          <w:rStyle w:val="FootnoteReference0"/>
          <w:rFonts w:eastAsiaTheme="minorEastAsia"/>
        </w:rPr>
      </w:pPr>
      <w:r>
        <w:rPr>
          <w:rStyle w:val="FootnoteReference0"/>
        </w:rPr>
        <w:footnoteRef/>
      </w:r>
      <w:r>
        <w:tab/>
      </w:r>
      <w:r>
        <w:rPr>
          <w:rStyle w:val="FootnoteReference0"/>
          <w:vertAlign w:val="baseline"/>
        </w:rPr>
        <w:t>Komission tiedonanto Euroopan vihreän kehityksen ohjelmasta, COM(2019)</w:t>
      </w:r>
      <w:r>
        <w:t xml:space="preserve"> </w:t>
      </w:r>
      <w:r>
        <w:rPr>
          <w:rStyle w:val="FootnoteReference0"/>
          <w:vertAlign w:val="baseline"/>
        </w:rPr>
        <w:t>640 final.</w:t>
      </w:r>
    </w:p>
  </w:footnote>
  <w:footnote w:id="4">
    <w:p w14:paraId="0FC7886C" w14:textId="77777777" w:rsidR="00041DD0" w:rsidRDefault="00041DD0" w:rsidP="0077292E">
      <w:pPr>
        <w:pStyle w:val="FootnoteText"/>
        <w:ind w:left="567" w:hanging="567"/>
      </w:pPr>
      <w:r>
        <w:rPr>
          <w:rStyle w:val="FootnoteReference0"/>
        </w:rPr>
        <w:footnoteRef/>
      </w:r>
      <w:r>
        <w:tab/>
      </w:r>
      <w:r>
        <w:rPr>
          <w:rStyle w:val="FootnoteReference0"/>
          <w:vertAlign w:val="baseline"/>
        </w:rPr>
        <w:t>Nämä osatekijät ovat: 1) kestävän toiminnan luokitusjärjestelmä, 2) rahoitusalan ulkopuolisia yrityksiä ja rahoitusalan yrityksiä koskeva tietojen antamisen kehys ja 3) sijoitusvälineet, mukaan lukien vertailuarvot, standardit ja merkinnät.</w:t>
      </w:r>
    </w:p>
  </w:footnote>
  <w:footnote w:id="5">
    <w:p w14:paraId="74C93F2B" w14:textId="77777777" w:rsidR="00041DD0" w:rsidRPr="003B39C2" w:rsidRDefault="00041DD0" w:rsidP="0077292E">
      <w:pPr>
        <w:pStyle w:val="FootnoteText"/>
        <w:ind w:left="567" w:hanging="567"/>
        <w:rPr>
          <w:rStyle w:val="FootnoteReference0"/>
          <w:rFonts w:eastAsiaTheme="minorEastAsia"/>
        </w:rPr>
      </w:pPr>
      <w:r>
        <w:rPr>
          <w:rStyle w:val="FootnoteReference0"/>
        </w:rPr>
        <w:footnoteRef/>
      </w:r>
      <w:r>
        <w:tab/>
      </w:r>
      <w:r>
        <w:rPr>
          <w:rStyle w:val="FootnoteReference0"/>
          <w:vertAlign w:val="baseline"/>
        </w:rPr>
        <w:t>Euroopan parlamentin ja neuvoston direktiivi (EU) 2022/2464, annettu 14 päivänä joulukuuta 2022, asetuksen (EU) N:o 537/2014, direktiivin 2004/109/EY, direktiivin 2006/43/EY ja direktiivin 2013/34/EU muuttamisesta yritysten kestävyysraportoinnin osalta.</w:t>
      </w:r>
    </w:p>
  </w:footnote>
  <w:footnote w:id="6">
    <w:p w14:paraId="67894DB4" w14:textId="77777777" w:rsidR="00041DD0" w:rsidRPr="003B39C2" w:rsidRDefault="00041DD0" w:rsidP="0077292E">
      <w:pPr>
        <w:pStyle w:val="FootnoteText"/>
        <w:ind w:left="567" w:hanging="567"/>
        <w:rPr>
          <w:rStyle w:val="FootnoteReference0"/>
          <w:rFonts w:eastAsiaTheme="minorEastAsia"/>
          <w:vertAlign w:val="baseline"/>
        </w:rPr>
      </w:pPr>
      <w:r>
        <w:rPr>
          <w:rStyle w:val="FootnoteReference0"/>
        </w:rPr>
        <w:footnoteRef/>
      </w:r>
      <w:r>
        <w:tab/>
      </w:r>
      <w:r>
        <w:rPr>
          <w:rStyle w:val="FootnoteReference0"/>
          <w:vertAlign w:val="baseline"/>
        </w:rPr>
        <w:t>Euroopan parlamentin ja neuvoston asetus (EU) 2020/852, annettu 18 päivänä kesäkuuta 2020, kestävää sijoittamista helpottavasta kehyksestä ja asetuksen (EU) 2019/2088 muuttamisesta.</w:t>
      </w:r>
    </w:p>
  </w:footnote>
  <w:footnote w:id="7">
    <w:p w14:paraId="1976E09D" w14:textId="77777777" w:rsidR="00041DD0" w:rsidRPr="003B39C2" w:rsidRDefault="00041DD0" w:rsidP="0077292E">
      <w:pPr>
        <w:pStyle w:val="FootnoteText"/>
        <w:ind w:left="567" w:hanging="567"/>
        <w:rPr>
          <w:rStyle w:val="FootnoteReference0"/>
          <w:rFonts w:eastAsiaTheme="minorEastAsia"/>
          <w:vertAlign w:val="baseline"/>
        </w:rPr>
      </w:pPr>
      <w:r>
        <w:rPr>
          <w:rStyle w:val="FootnoteReference0"/>
        </w:rPr>
        <w:footnoteRef/>
      </w:r>
      <w:r>
        <w:tab/>
      </w:r>
      <w:r>
        <w:rPr>
          <w:rStyle w:val="FootnoteReference0"/>
          <w:vertAlign w:val="baseline"/>
        </w:rPr>
        <w:t>Euroopan parlamentin ja neuvoston asetus (EU) 2019/2088, annettu 27 päivänä marraskuuta 2019, kestävyyteen liittyvien tietojen antamisesta rahoituspalvelusektorilla.</w:t>
      </w:r>
    </w:p>
  </w:footnote>
  <w:footnote w:id="8">
    <w:p w14:paraId="0093A1EF" w14:textId="77777777" w:rsidR="00041DD0" w:rsidRPr="00782C6A" w:rsidRDefault="00041DD0" w:rsidP="0077292E">
      <w:pPr>
        <w:pStyle w:val="FootnoteText"/>
        <w:ind w:left="567" w:hanging="567"/>
      </w:pPr>
      <w:r>
        <w:rPr>
          <w:rStyle w:val="FootnoteReference0"/>
        </w:rPr>
        <w:footnoteRef/>
      </w:r>
      <w:r>
        <w:tab/>
      </w:r>
      <w:r>
        <w:rPr>
          <w:rStyle w:val="FootnoteReference0"/>
          <w:vertAlign w:val="baseline"/>
        </w:rPr>
        <w:t>Ehdotus Euroopan parlamentin ja neuvoston asetukseksi eurooppalaisista vihreistä joukkolainoista, COM(2021) 391 final.</w:t>
      </w:r>
    </w:p>
  </w:footnote>
  <w:footnote w:id="9">
    <w:p w14:paraId="3AB7F876" w14:textId="77777777" w:rsidR="00041DD0" w:rsidRPr="00782C6A" w:rsidRDefault="00041DD0" w:rsidP="0077292E">
      <w:pPr>
        <w:pStyle w:val="FootnoteText"/>
        <w:ind w:left="567" w:hanging="567"/>
      </w:pPr>
      <w:r>
        <w:rPr>
          <w:rStyle w:val="FootnoteReference0"/>
        </w:rPr>
        <w:footnoteRef/>
      </w:r>
      <w:r>
        <w:tab/>
      </w:r>
      <w:r>
        <w:rPr>
          <w:rStyle w:val="FootnoteReference0"/>
          <w:vertAlign w:val="baseline"/>
        </w:rPr>
        <w:t>Komission delegoitu asetus (EU) 2020/1818, annettu 17 päivänä heinäkuuta 2020, Euroopan parlamentin ja neuvoston asetuksen (EU) 2016/1011 täydentämisestä EU:n ilmastosiirtymää koskevien vertailuarvojen ja EU:n Pariisin sopimuksen mukaisten vertailuarvojen vähimmäisvaatimusten osalta.</w:t>
      </w:r>
    </w:p>
  </w:footnote>
  <w:footnote w:id="10">
    <w:p w14:paraId="3EC387E8" w14:textId="77777777" w:rsidR="00041DD0" w:rsidRPr="00701D7D" w:rsidRDefault="00041DD0" w:rsidP="0077292E">
      <w:pPr>
        <w:pStyle w:val="FootnoteText"/>
        <w:ind w:left="567" w:hanging="567"/>
      </w:pPr>
      <w:r>
        <w:rPr>
          <w:rStyle w:val="FootnoteReference0"/>
        </w:rPr>
        <w:footnoteRef/>
      </w:r>
      <w:r>
        <w:tab/>
      </w:r>
      <w:r>
        <w:rPr>
          <w:rStyle w:val="FootnoteReference0"/>
          <w:vertAlign w:val="baseline"/>
        </w:rPr>
        <w:t>Komission delegoitu asetus (EU) 2020/1816, annettu 17 päivänä heinäkuuta 2020, Euroopan parlamentin ja neuvoston asetuksen (EU) 2016/1011 täydentämisestä vertailuarvoselvityksessä annettavan selostuksen osalta ilmoitettaessa, miten ympäristöön, yhteiskuntaan ja hyvään hallintotapaan liittyvät tekijät otetaan huomioon kussakin tarjotussa ja julkaistussa vertailuarvossa</w:t>
      </w:r>
      <w:r>
        <w:t>.</w:t>
      </w:r>
    </w:p>
  </w:footnote>
  <w:footnote w:id="11">
    <w:p w14:paraId="6E41A7B2" w14:textId="42A32446" w:rsidR="00041DD0" w:rsidRPr="00A7778D" w:rsidRDefault="00041DD0" w:rsidP="0077292E">
      <w:pPr>
        <w:pStyle w:val="FootnoteText"/>
        <w:ind w:left="567" w:hanging="567"/>
      </w:pPr>
      <w:r w:rsidRPr="00A42CA2">
        <w:rPr>
          <w:rStyle w:val="FootnoteReference0"/>
        </w:rPr>
        <w:footnoteRef/>
      </w:r>
      <w:r w:rsidR="00A42CA2">
        <w:tab/>
      </w:r>
      <w:r w:rsidRPr="00A7778D">
        <w:t>Katso vaikutustenarvioinnin ongelman määrittelyä koskeva 2 jakso.</w:t>
      </w:r>
    </w:p>
  </w:footnote>
  <w:footnote w:id="12">
    <w:p w14:paraId="67CB3E63" w14:textId="77777777" w:rsidR="00041DD0" w:rsidRPr="00A7778D" w:rsidRDefault="00041DD0" w:rsidP="0077292E">
      <w:pPr>
        <w:pStyle w:val="FootnoteText"/>
        <w:ind w:left="567" w:hanging="567"/>
      </w:pPr>
      <w:r>
        <w:rPr>
          <w:rStyle w:val="FootnoteReference0"/>
        </w:rPr>
        <w:footnoteRef/>
      </w:r>
      <w:r w:rsidRPr="00A7778D">
        <w:tab/>
        <w:t xml:space="preserve">Komission yksiköiden valmisteluasiakirja SWD(2023)[XXX]. </w:t>
      </w:r>
    </w:p>
  </w:footnote>
  <w:footnote w:id="13">
    <w:p w14:paraId="637BAD39" w14:textId="77777777" w:rsidR="00041DD0" w:rsidRPr="00A7778D" w:rsidRDefault="00041DD0" w:rsidP="0077292E">
      <w:pPr>
        <w:pStyle w:val="FootnoteText"/>
        <w:ind w:left="567" w:hanging="567"/>
      </w:pPr>
      <w:r>
        <w:rPr>
          <w:rStyle w:val="FootnoteReference0"/>
        </w:rPr>
        <w:footnoteRef/>
      </w:r>
      <w:r w:rsidRPr="00A7778D">
        <w:tab/>
      </w:r>
      <w:hyperlink r:id="rId2" w:anchor=":~:text=Risk%2Dbased%20supervision%20refers%20to,managing%20the%20risks%20identified%3B%20and" w:history="1">
        <w:r w:rsidRPr="00A7778D">
          <w:rPr>
            <w:rStyle w:val="Hyperlink"/>
          </w:rPr>
          <w:t>Arvopaperimarkkinaviranomaisen riskiperusteinen ja datavetoinen lähestymistapa valvonnassa</w:t>
        </w:r>
      </w:hyperlink>
      <w:r w:rsidRPr="00A7778D">
        <w:t>.</w:t>
      </w:r>
    </w:p>
  </w:footnote>
  <w:footnote w:id="14">
    <w:p w14:paraId="1AB1480A" w14:textId="77777777" w:rsidR="00041DD0" w:rsidRPr="003B0B22" w:rsidRDefault="00041DD0" w:rsidP="0077292E">
      <w:pPr>
        <w:pStyle w:val="FootnoteText"/>
        <w:ind w:left="567" w:hanging="567"/>
        <w:rPr>
          <w:rStyle w:val="FootnoteReference0"/>
          <w:rFonts w:eastAsiaTheme="minorEastAsia"/>
          <w:vertAlign w:val="baseline"/>
        </w:rPr>
      </w:pPr>
      <w:r>
        <w:rPr>
          <w:rStyle w:val="FootnoteReference0"/>
        </w:rPr>
        <w:footnoteRef/>
      </w:r>
      <w:r>
        <w:tab/>
      </w:r>
      <w:r>
        <w:rPr>
          <w:rStyle w:val="FootnoteReference0"/>
          <w:vertAlign w:val="baseline"/>
        </w:rPr>
        <w:t>Pieni ryhmä kvantteja kehittää datavetoisen ESG-luokitusmallin, jolla on alusta alkaen erittäin laaja kattavuus.</w:t>
      </w:r>
    </w:p>
  </w:footnote>
  <w:footnote w:id="15">
    <w:p w14:paraId="1E25636E" w14:textId="77777777" w:rsidR="00041DD0" w:rsidRPr="003B0B22" w:rsidRDefault="00041DD0" w:rsidP="0077292E">
      <w:pPr>
        <w:pStyle w:val="FootnoteText"/>
        <w:ind w:left="567" w:hanging="567"/>
      </w:pPr>
      <w:r>
        <w:rPr>
          <w:rStyle w:val="FootnoteReference0"/>
        </w:rPr>
        <w:footnoteRef/>
      </w:r>
      <w:r>
        <w:tab/>
      </w:r>
      <w:r>
        <w:rPr>
          <w:rStyle w:val="FootnoteReference0"/>
          <w:vertAlign w:val="baseline"/>
        </w:rPr>
        <w:t>Innovatiivinen mutta tuloja tuottamaton yritys, jonka perustamisesta kuluu yli seitsemän vuotta sen ESG-luokitusmallin viimeistelyyn.</w:t>
      </w:r>
    </w:p>
  </w:footnote>
  <w:footnote w:id="16">
    <w:p w14:paraId="1B64247E" w14:textId="77777777" w:rsidR="00041DD0" w:rsidRPr="003B0B22" w:rsidRDefault="00041DD0" w:rsidP="0077292E">
      <w:pPr>
        <w:pStyle w:val="FootnoteText"/>
        <w:ind w:left="567" w:hanging="567"/>
      </w:pPr>
      <w:r>
        <w:rPr>
          <w:rStyle w:val="FootnoteReference0"/>
        </w:rPr>
        <w:footnoteRef/>
      </w:r>
      <w:r>
        <w:tab/>
      </w:r>
      <w:r>
        <w:rPr>
          <w:rStyle w:val="FootnoteReference0"/>
          <w:vertAlign w:val="baseline"/>
        </w:rPr>
        <w:t>Tämä tehdään tiiviissä yhteistyössä kestävän rahoituksen foorumin kanssa, joka seuraa kestäviin sijoituksiin suuntautuvien pääomavirtojen suuntauksia</w:t>
      </w:r>
      <w:r>
        <w:t xml:space="preserve"> </w:t>
      </w:r>
      <w:r>
        <w:rPr>
          <w:rStyle w:val="FootnoteReference0"/>
          <w:vertAlign w:val="baseline"/>
        </w:rPr>
        <w:t>luokitusjärjestelmäasetuksen 20 artiklan mukaisesti.</w:t>
      </w:r>
    </w:p>
  </w:footnote>
  <w:footnote w:id="17">
    <w:p w14:paraId="6BD8ABB8" w14:textId="77485793" w:rsidR="00041DD0" w:rsidRPr="00A42CA2" w:rsidRDefault="00041DD0" w:rsidP="0077292E">
      <w:pPr>
        <w:pStyle w:val="FootnoteText"/>
        <w:ind w:left="567" w:hanging="567"/>
        <w:rPr>
          <w:lang w:val="en-IE"/>
        </w:rPr>
      </w:pPr>
      <w:r>
        <w:rPr>
          <w:rStyle w:val="FootnoteReference0"/>
        </w:rPr>
        <w:footnoteRef/>
      </w:r>
      <w:r w:rsidRPr="00A42CA2">
        <w:rPr>
          <w:lang w:val="en-IE"/>
        </w:rPr>
        <w:tab/>
        <w:t>EUVL C , , s. .</w:t>
      </w:r>
    </w:p>
  </w:footnote>
  <w:footnote w:id="18">
    <w:p w14:paraId="7240A9A7" w14:textId="77777777" w:rsidR="00041DD0" w:rsidRPr="00A42CA2" w:rsidRDefault="00041DD0" w:rsidP="0077292E">
      <w:pPr>
        <w:pStyle w:val="FootnoteText"/>
        <w:ind w:left="567" w:hanging="567"/>
        <w:rPr>
          <w:lang w:val="en-IE"/>
        </w:rPr>
      </w:pPr>
      <w:r>
        <w:rPr>
          <w:rStyle w:val="FootnoteReference0"/>
        </w:rPr>
        <w:footnoteRef/>
      </w:r>
      <w:r w:rsidRPr="00A42CA2">
        <w:rPr>
          <w:lang w:val="en-IE"/>
        </w:rPr>
        <w:tab/>
        <w:t>Transforming our World: The 2030 Agenda for Sustainable Development (UN 2015).</w:t>
      </w:r>
    </w:p>
  </w:footnote>
  <w:footnote w:id="19">
    <w:p w14:paraId="35B95697" w14:textId="77777777" w:rsidR="00041DD0" w:rsidRPr="00A42CA2" w:rsidRDefault="00041DD0" w:rsidP="0077292E">
      <w:pPr>
        <w:pStyle w:val="FootnoteText"/>
        <w:ind w:left="567" w:hanging="567"/>
        <w:rPr>
          <w:lang w:val="en-IE"/>
        </w:rPr>
      </w:pPr>
      <w:r>
        <w:rPr>
          <w:rStyle w:val="FootnoteReference0"/>
        </w:rPr>
        <w:footnoteRef/>
      </w:r>
      <w:r w:rsidRPr="00A42CA2">
        <w:rPr>
          <w:lang w:val="en-IE"/>
        </w:rPr>
        <w:tab/>
        <w:t xml:space="preserve">COM(2016) 739 final. </w:t>
      </w:r>
    </w:p>
  </w:footnote>
  <w:footnote w:id="20">
    <w:p w14:paraId="223BC07D" w14:textId="77777777" w:rsidR="00041DD0" w:rsidRPr="00A7778D" w:rsidRDefault="00041DD0" w:rsidP="0077292E">
      <w:pPr>
        <w:pStyle w:val="FootnoteText"/>
        <w:ind w:left="567" w:hanging="567"/>
      </w:pPr>
      <w:r>
        <w:rPr>
          <w:rStyle w:val="FootnoteReference0"/>
        </w:rPr>
        <w:footnoteRef/>
      </w:r>
      <w:r w:rsidRPr="00A42CA2">
        <w:rPr>
          <w:lang w:val="en-IE"/>
        </w:rPr>
        <w:tab/>
        <w:t xml:space="preserve">CO EUR 17, CONCL. </w:t>
      </w:r>
      <w:r w:rsidRPr="00A7778D">
        <w:t xml:space="preserve">5. </w:t>
      </w:r>
    </w:p>
  </w:footnote>
  <w:footnote w:id="21">
    <w:p w14:paraId="695448E2" w14:textId="77777777" w:rsidR="00041DD0" w:rsidRPr="00A7778D" w:rsidRDefault="00041DD0" w:rsidP="0077292E">
      <w:pPr>
        <w:pStyle w:val="FootnoteText"/>
        <w:ind w:left="567" w:hanging="567"/>
        <w:rPr>
          <w:rStyle w:val="FootnoteReference0"/>
          <w:rFonts w:eastAsiaTheme="minorEastAsia"/>
          <w:vertAlign w:val="baseline"/>
        </w:rPr>
      </w:pPr>
      <w:r>
        <w:rPr>
          <w:rStyle w:val="FootnoteReference0"/>
        </w:rPr>
        <w:footnoteRef/>
      </w:r>
      <w:r w:rsidRPr="00A7778D">
        <w:tab/>
      </w:r>
      <w:r w:rsidRPr="00A7778D">
        <w:rPr>
          <w:rStyle w:val="FootnoteReference0"/>
          <w:vertAlign w:val="baseline"/>
        </w:rPr>
        <w:t xml:space="preserve">Komission tiedonanto, </w:t>
      </w:r>
      <w:r w:rsidRPr="00A7778D">
        <w:t xml:space="preserve">annettu 11 päivänä joulukuuta 2019 </w:t>
      </w:r>
      <w:r w:rsidRPr="00A7778D">
        <w:rPr>
          <w:rStyle w:val="FootnoteReference0"/>
          <w:vertAlign w:val="baseline"/>
        </w:rPr>
        <w:t>Euroopan vihreän kehityksen ohjelmasta, COM(2019)</w:t>
      </w:r>
      <w:r w:rsidRPr="00A7778D">
        <w:t xml:space="preserve"> </w:t>
      </w:r>
      <w:r w:rsidRPr="00A7778D">
        <w:rPr>
          <w:rStyle w:val="FootnoteReference0"/>
          <w:vertAlign w:val="baseline"/>
        </w:rPr>
        <w:t>640 final.</w:t>
      </w:r>
    </w:p>
  </w:footnote>
  <w:footnote w:id="22">
    <w:p w14:paraId="429E71A6" w14:textId="13DF62D8" w:rsidR="00041DD0" w:rsidRPr="00A7778D" w:rsidRDefault="00041DD0">
      <w:pPr>
        <w:pStyle w:val="FootnoteText"/>
      </w:pPr>
      <w:r>
        <w:rPr>
          <w:rStyle w:val="FootnoteReference0"/>
        </w:rPr>
        <w:footnoteRef/>
      </w:r>
      <w:r w:rsidRPr="00A7778D">
        <w:tab/>
        <w:t>Sukupuolten tasa-arvostrategia, hlbtiq-henkilöiden tasa-arvoa koskeva strategia, romaneja koskeva strategiakehys ja vammaisten henkilöiden oikeuksia koskeva strategia.</w:t>
      </w:r>
    </w:p>
  </w:footnote>
  <w:footnote w:id="23">
    <w:p w14:paraId="617CFF42" w14:textId="2E0B733A" w:rsidR="00041DD0" w:rsidRPr="00A7778D" w:rsidRDefault="00041DD0" w:rsidP="0077292E">
      <w:pPr>
        <w:pStyle w:val="FootnoteText"/>
        <w:ind w:left="567" w:hanging="567"/>
      </w:pPr>
      <w:r>
        <w:rPr>
          <w:rStyle w:val="FootnoteReference0"/>
        </w:rPr>
        <w:footnoteRef/>
      </w:r>
      <w:r w:rsidRPr="00A7778D">
        <w:tab/>
        <w:t>Euroopan komissio, Toimintasuunnitelma: Kestävän kasvun rahoitus, COM(2018) 97 final.</w:t>
      </w:r>
    </w:p>
  </w:footnote>
  <w:footnote w:id="24">
    <w:p w14:paraId="13597C2B" w14:textId="77777777" w:rsidR="00041DD0" w:rsidRPr="00A7778D" w:rsidRDefault="00041DD0" w:rsidP="0077292E">
      <w:pPr>
        <w:pStyle w:val="FootnoteText"/>
        <w:ind w:left="567" w:hanging="567"/>
        <w:rPr>
          <w:rStyle w:val="FootnoteReference0"/>
          <w:rFonts w:eastAsiaTheme="minorEastAsia"/>
          <w:vertAlign w:val="baseline"/>
        </w:rPr>
      </w:pPr>
      <w:r>
        <w:rPr>
          <w:rStyle w:val="FootnoteReference0"/>
        </w:rPr>
        <w:footnoteRef/>
      </w:r>
      <w:r w:rsidRPr="00A7778D">
        <w:tab/>
      </w:r>
      <w:r w:rsidRPr="00A7778D">
        <w:rPr>
          <w:rStyle w:val="FootnoteReference0"/>
          <w:vertAlign w:val="baseline"/>
        </w:rPr>
        <w:t xml:space="preserve">Euroopan komissio, rahoitusvakauden, rahoituspalvelujen ja pääomamarkkinaunionin pääosasto, ”Study on sustainability-related ratings, data and research”, Euroopan unionin julkaisutoimisto, 2021, </w:t>
      </w:r>
      <w:hyperlink r:id="rId3" w:history="1">
        <w:r w:rsidRPr="00A7778D">
          <w:rPr>
            <w:rStyle w:val="FootnoteReference0"/>
            <w:vertAlign w:val="baseline"/>
          </w:rPr>
          <w:t>https://data.europa.eu/doi/10.2874/14850</w:t>
        </w:r>
      </w:hyperlink>
      <w:r w:rsidRPr="00A7778D">
        <w:t>.</w:t>
      </w:r>
    </w:p>
  </w:footnote>
  <w:footnote w:id="25">
    <w:p w14:paraId="6AFD3464" w14:textId="77777777" w:rsidR="00041DD0" w:rsidRPr="00A7778D" w:rsidRDefault="00041DD0" w:rsidP="0077292E">
      <w:pPr>
        <w:pStyle w:val="FootnoteText"/>
        <w:ind w:left="567" w:hanging="567"/>
      </w:pPr>
      <w:r>
        <w:rPr>
          <w:rStyle w:val="FootnoteReference0"/>
        </w:rPr>
        <w:footnoteRef/>
      </w:r>
      <w:r w:rsidRPr="00A7778D">
        <w:tab/>
      </w:r>
      <w:r w:rsidRPr="00A7778D">
        <w:rPr>
          <w:rStyle w:val="FootnoteReference0"/>
          <w:vertAlign w:val="baseline"/>
        </w:rPr>
        <w:t xml:space="preserve">Komission tiedonanto – Kestävään talouteen siirtymisen rahoitusstrategia, </w:t>
      </w:r>
      <w:hyperlink r:id="rId4" w:history="1">
        <w:r w:rsidRPr="00A7778D">
          <w:rPr>
            <w:rStyle w:val="FootnoteReference0"/>
            <w:vertAlign w:val="baseline"/>
          </w:rPr>
          <w:t>COM(2021) 390 final</w:t>
        </w:r>
      </w:hyperlink>
      <w:r w:rsidRPr="00A7778D">
        <w:t xml:space="preserve">. </w:t>
      </w:r>
    </w:p>
  </w:footnote>
  <w:footnote w:id="26">
    <w:p w14:paraId="0ECFD811" w14:textId="77777777" w:rsidR="00041DD0" w:rsidRPr="00A7778D" w:rsidRDefault="00041DD0" w:rsidP="0077292E">
      <w:pPr>
        <w:pStyle w:val="FootnoteText"/>
        <w:ind w:left="567" w:hanging="567"/>
      </w:pPr>
      <w:r>
        <w:rPr>
          <w:rStyle w:val="FootnoteReference0"/>
        </w:rPr>
        <w:footnoteRef/>
      </w:r>
      <w:r w:rsidRPr="00A7778D">
        <w:tab/>
      </w:r>
      <w:hyperlink r:id="rId5" w:history="1">
        <w:r w:rsidRPr="00A7778D">
          <w:rPr>
            <w:rStyle w:val="Hyperlink"/>
          </w:rPr>
          <w:t>IOSCOn raportti ESG-luokitusten ja tietotuotteiden tarjoajista</w:t>
        </w:r>
      </w:hyperlink>
      <w:r w:rsidRPr="00A7778D">
        <w:rPr>
          <w:rStyle w:val="Hyperlink"/>
        </w:rPr>
        <w:t xml:space="preserve">, saatavilla osoitteessa: </w:t>
      </w:r>
      <w:hyperlink r:id="rId6" w:history="1">
        <w:r w:rsidRPr="00A7778D">
          <w:rPr>
            <w:rStyle w:val="Hyperlink"/>
          </w:rPr>
          <w:t>https://www.iosco.org/library/pubdocs/pdf/IOSCOPD690.pdf</w:t>
        </w:r>
      </w:hyperlink>
      <w:r w:rsidRPr="00A7778D">
        <w:rPr>
          <w:rStyle w:val="Hyperlink"/>
        </w:rPr>
        <w:t xml:space="preserve">. </w:t>
      </w:r>
    </w:p>
  </w:footnote>
  <w:footnote w:id="27">
    <w:p w14:paraId="56A0C1D7" w14:textId="2F528162" w:rsidR="00041DD0" w:rsidRPr="00A7778D" w:rsidRDefault="00041DD0" w:rsidP="00603013">
      <w:pPr>
        <w:pStyle w:val="FootnoteText"/>
        <w:ind w:left="567" w:hanging="567"/>
      </w:pPr>
      <w:r>
        <w:rPr>
          <w:rStyle w:val="FootnoteReference0"/>
        </w:rPr>
        <w:footnoteRef/>
      </w:r>
      <w:r>
        <w:tab/>
      </w:r>
      <w:r w:rsidRPr="00A7778D">
        <w:t>Euroopan parlamentin ja neuvoston direktiivi 2013/34/EU, annettu 26 päivänä kesäkuuta 2013, tietyntyyppisten yritysten vuositilinpäätöksistä, konsernitilinpäätöksistä ja niihin liittyvistä kertomuksista, Euroopan parlamentin ja neuvoston direktiivin 2006/43/EY muuttamisesta ja neuvoston direktiivien 78/660/ETY ja 83/349/ETY kumoamisesta (EUVL L 182, 29.6.2013, s. 19).</w:t>
      </w:r>
    </w:p>
  </w:footnote>
  <w:footnote w:id="28">
    <w:p w14:paraId="6F2D2384" w14:textId="525CDEF7" w:rsidR="00041DD0" w:rsidRPr="00A7778D" w:rsidRDefault="00041DD0">
      <w:pPr>
        <w:pStyle w:val="FootnoteText"/>
      </w:pPr>
      <w:r>
        <w:rPr>
          <w:rStyle w:val="FootnoteReference0"/>
        </w:rPr>
        <w:footnoteRef/>
      </w:r>
      <w:r>
        <w:tab/>
      </w:r>
      <w:r w:rsidRPr="00A7778D">
        <w:t>Euroopan parlamentin ja neuvoston asetus (EU) XX/XXXX rahoituspalvelujen, pääomamarkkinoiden ja kestävyyden kannalta merkityksellisiin julkisesti saatavilla tietoihin oleviin keskitetyn pääsyn tarjoavan eurooppalaisen keskitetyn yhteyspisteen perustamisesta (EUVL L [...], [...], s. [...]).</w:t>
      </w:r>
    </w:p>
  </w:footnote>
  <w:footnote w:id="29">
    <w:p w14:paraId="703941C0" w14:textId="77777777" w:rsidR="00041DD0" w:rsidRPr="00A7778D" w:rsidRDefault="00041DD0" w:rsidP="0077292E">
      <w:pPr>
        <w:pStyle w:val="FootnoteText"/>
        <w:ind w:left="567" w:hanging="567"/>
      </w:pPr>
      <w:r>
        <w:rPr>
          <w:rStyle w:val="FootnoteReference0"/>
        </w:rPr>
        <w:footnoteRef/>
      </w:r>
      <w:r w:rsidRPr="00A7778D">
        <w:tab/>
        <w:t>Euroopan parlamentin ja neuvoston asetus (EU) N:o 1095/2010, annettu 24 päivänä marraskuuta 2010, Euroopan valvontaviranomaisen (Euroopan arvopaperimarkkinaviranomainen) perustamisesta sekä päätöksen N:o 716/2009/EY muuttamisesta ja komission päätöksen 2009/77/EY kumoamisesta (EUVL L 331, 15.12.2010, s. 84).</w:t>
      </w:r>
    </w:p>
  </w:footnote>
  <w:footnote w:id="30">
    <w:p w14:paraId="5F9C4B20" w14:textId="138FF8BB" w:rsidR="00041DD0" w:rsidRPr="00A7778D" w:rsidRDefault="00041DD0" w:rsidP="0077292E">
      <w:pPr>
        <w:pStyle w:val="FootnoteText"/>
        <w:ind w:left="567" w:hanging="567"/>
      </w:pPr>
      <w:r>
        <w:rPr>
          <w:rStyle w:val="FootnoteReference0"/>
        </w:rPr>
        <w:footnoteRef/>
      </w:r>
      <w:r>
        <w:tab/>
      </w:r>
      <w:r w:rsidRPr="00A7778D">
        <w:t>EUVL L 123, 12.5.2016, s. 1.</w:t>
      </w:r>
    </w:p>
  </w:footnote>
  <w:footnote w:id="31">
    <w:p w14:paraId="09FAE584" w14:textId="77777777" w:rsidR="00041DD0" w:rsidRPr="00A7778D" w:rsidRDefault="00041DD0" w:rsidP="00EC7841">
      <w:pPr>
        <w:pStyle w:val="FootnoteText"/>
        <w:ind w:left="567" w:hanging="567"/>
      </w:pPr>
      <w:r>
        <w:rPr>
          <w:rStyle w:val="FootnoteReference0"/>
        </w:rPr>
        <w:footnoteRef/>
      </w:r>
      <w:r w:rsidRPr="00A7778D">
        <w:tab/>
        <w:t>Euroopan parlamentin ja neuvoston asetus (EY) N:o 1060/2009, annettu 16 päivänä syyskuuta 2009, luottoluokituslaitoksista (EUVL L 302, 17.11.2009, s. 1).</w:t>
      </w:r>
    </w:p>
  </w:footnote>
  <w:footnote w:id="32">
    <w:p w14:paraId="7943B917" w14:textId="77777777" w:rsidR="00041DD0" w:rsidRPr="00A7778D" w:rsidRDefault="00041DD0" w:rsidP="0077292E">
      <w:pPr>
        <w:pStyle w:val="FootnoteText"/>
        <w:ind w:left="567" w:hanging="567"/>
      </w:pPr>
      <w:r>
        <w:rPr>
          <w:rStyle w:val="FootnoteReference0"/>
        </w:rPr>
        <w:footnoteRef/>
      </w:r>
      <w:r w:rsidRPr="00A7778D">
        <w:tab/>
        <w:t>Euroopan parlamentin ja neuvoston asetus (EU) N:o 575/2013, annettu 26 päivänä kesäkuuta 2013, luottolaitosten ja sijoituspalveluyritysten vakavaraisuusvaatimuksista ja asetuksen (EU) N:o 648/2012 muuttamisesta (EUVL L 176, 27.6.2013, s. 1).</w:t>
      </w:r>
    </w:p>
  </w:footnote>
  <w:footnote w:id="33">
    <w:p w14:paraId="362093C7" w14:textId="77777777" w:rsidR="00041DD0" w:rsidRPr="00A7778D" w:rsidRDefault="00041DD0" w:rsidP="0077292E">
      <w:pPr>
        <w:pStyle w:val="FootnoteText"/>
        <w:ind w:left="567" w:hanging="567"/>
      </w:pPr>
      <w:r>
        <w:rPr>
          <w:rStyle w:val="FootnoteReference0"/>
        </w:rPr>
        <w:footnoteRef/>
      </w:r>
      <w:r w:rsidRPr="00A7778D">
        <w:tab/>
        <w:t>Euroopan parlamentin ja neuvoston direktiivi 2014/65/EU, annettu 15 päivänä toukokuuta 2014, rahoitusvälineiden markkinoista sekä direktiivin 2002/92/EY ja direktiivin 2011/61/EU muuttamisesta (EUVL L 173, 12.6.2014, s. 349).</w:t>
      </w:r>
    </w:p>
  </w:footnote>
  <w:footnote w:id="34">
    <w:p w14:paraId="1AD20CD7" w14:textId="77777777" w:rsidR="00041DD0" w:rsidRPr="00A7778D" w:rsidRDefault="00041DD0" w:rsidP="00226FD4">
      <w:pPr>
        <w:pStyle w:val="FootnoteText"/>
        <w:ind w:left="567" w:hanging="567"/>
      </w:pPr>
      <w:r>
        <w:rPr>
          <w:rStyle w:val="FootnoteReference0"/>
        </w:rPr>
        <w:footnoteRef/>
      </w:r>
      <w:r w:rsidRPr="00A7778D">
        <w:tab/>
        <w:t>Euroopan parlamentin ja neuvoston direktiivi 2011/61/EU, annettu 8 päivänä kesäkuuta 2011, vaihtoehtoisten sijoitusrahastojen hoitajista ja direktiivin 2003/41/EY ja 2009/65/EY sekä asetuksen (EY) N:o 1060/2009 ja (EU) N:o 1095/2010 muuttamisesta (EUVL L 174, 1.7.2011, s. 1).</w:t>
      </w:r>
    </w:p>
  </w:footnote>
  <w:footnote w:id="35">
    <w:p w14:paraId="07435BE4" w14:textId="77777777" w:rsidR="00041DD0" w:rsidRPr="00A7778D" w:rsidRDefault="00041DD0" w:rsidP="0077292E">
      <w:pPr>
        <w:pStyle w:val="FootnoteText"/>
        <w:ind w:left="567" w:hanging="567"/>
      </w:pPr>
      <w:r>
        <w:rPr>
          <w:rStyle w:val="FootnoteReference0"/>
        </w:rPr>
        <w:footnoteRef/>
      </w:r>
      <w:r w:rsidRPr="00A7778D">
        <w:tab/>
        <w:t>Euroopan parlamentin ja neuvoston asetus (EU) N:o 345/2013, annettu 17 päivänä huhtikuuta 2013, eurooppalaisista riskipääomarahastoista (EUVL L 115, 25.4.2013, s. 1).</w:t>
      </w:r>
    </w:p>
  </w:footnote>
  <w:footnote w:id="36">
    <w:p w14:paraId="3E28EDC1" w14:textId="77777777" w:rsidR="00041DD0" w:rsidRPr="00A7778D" w:rsidRDefault="00041DD0" w:rsidP="0077292E">
      <w:pPr>
        <w:pStyle w:val="FootnoteText"/>
        <w:ind w:left="567" w:hanging="567"/>
      </w:pPr>
      <w:r>
        <w:rPr>
          <w:rStyle w:val="FootnoteReference0"/>
        </w:rPr>
        <w:footnoteRef/>
      </w:r>
      <w:r w:rsidRPr="00A7778D">
        <w:tab/>
        <w:t>Euroopan parlamentin ja neuvoston asetus (EU) N:o 346/2013, annettu 17 päivänä huhtikuuta 2013, eurooppalaisista yhteiskunnalliseen yrittäjyyteen erikoistuneista rahastoista (EUVL L 115, 25.4.2013, s. 18).</w:t>
      </w:r>
    </w:p>
  </w:footnote>
  <w:footnote w:id="37">
    <w:p w14:paraId="4335DA3B" w14:textId="77777777" w:rsidR="00041DD0" w:rsidRPr="00A7778D" w:rsidRDefault="00041DD0" w:rsidP="0077292E">
      <w:pPr>
        <w:pStyle w:val="FootnoteText"/>
        <w:ind w:left="567" w:hanging="567"/>
      </w:pPr>
      <w:r>
        <w:rPr>
          <w:rStyle w:val="FootnoteReference0"/>
        </w:rPr>
        <w:footnoteRef/>
      </w:r>
      <w:r w:rsidRPr="00A7778D">
        <w:tab/>
        <w:t>Euroopan parlamentin ja neuvoston asetus (EU) 2015/760, annettu 29 päivänä huhtikuuta 2015, eurooppalaisista pitkäaikaissijoitusrahastoista (EUVL L 123, 19.5.2015, s. 98).</w:t>
      </w:r>
    </w:p>
  </w:footnote>
  <w:footnote w:id="38">
    <w:p w14:paraId="0401F077" w14:textId="77777777" w:rsidR="00041DD0" w:rsidRPr="00A7778D" w:rsidRDefault="00041DD0" w:rsidP="0077292E">
      <w:pPr>
        <w:pStyle w:val="FootnoteText"/>
        <w:ind w:left="567" w:hanging="567"/>
      </w:pPr>
      <w:r>
        <w:rPr>
          <w:rStyle w:val="FootnoteReference0"/>
        </w:rPr>
        <w:footnoteRef/>
      </w:r>
      <w:r w:rsidRPr="00A7778D">
        <w:tab/>
        <w:t>Euroopan parlamentin ja neuvoston direktiivi 2009/65/EY, annettu 13 päivänä heinäkuuta 2009, siirtokelpoisiin arvopapereihin kohdistuvaa yhteistä sijoitustoimintaa harjoittavia yrityksiä (yhteissijoitusyritykset) koskevien lakien, asetusten ja hallinnollisten määräysten yhteensovittamisesta (EUVL L 302, 17.11.2009, s. 32).</w:t>
      </w:r>
    </w:p>
  </w:footnote>
  <w:footnote w:id="39">
    <w:p w14:paraId="5972AF57" w14:textId="77777777" w:rsidR="00041DD0" w:rsidRPr="00A7778D" w:rsidRDefault="00041DD0" w:rsidP="0077292E">
      <w:pPr>
        <w:pStyle w:val="FootnoteText"/>
        <w:ind w:left="567" w:hanging="567"/>
      </w:pPr>
      <w:r>
        <w:rPr>
          <w:rStyle w:val="FootnoteReference0"/>
        </w:rPr>
        <w:footnoteRef/>
      </w:r>
      <w:r w:rsidRPr="00A7778D">
        <w:tab/>
        <w:t>Euroopan parlamentin ja neuvoston direktiivi 2009/138/EY, annettu 25 päivänä marraskuuta 2009, vakuutus- ja jälleenvakuutustoiminnan aloittamisesta ja harjoittamisesta (Solvenssi II) (EUVL L 335, 17.12.2009, s. 1).</w:t>
      </w:r>
    </w:p>
  </w:footnote>
  <w:footnote w:id="40">
    <w:p w14:paraId="1FBD7998" w14:textId="77777777" w:rsidR="00041DD0" w:rsidRPr="00A7778D" w:rsidRDefault="00041DD0" w:rsidP="0077292E">
      <w:pPr>
        <w:pStyle w:val="FootnoteText"/>
        <w:ind w:left="567" w:hanging="567"/>
      </w:pPr>
      <w:r>
        <w:rPr>
          <w:rStyle w:val="FootnoteReference0"/>
        </w:rPr>
        <w:footnoteRef/>
      </w:r>
      <w:r w:rsidRPr="00A7778D">
        <w:tab/>
        <w:t>Euroopan parlamentin ja neuvoston direktiivi (EU) 2016/2341, annettu 14 päivänä joulukuuta 2016, ammatillisia lisäeläkkeitä tarjoavien laitosten toiminnasta ja valvonnasta (EUVL L 354, 23.12.2016, s. 37).</w:t>
      </w:r>
    </w:p>
  </w:footnote>
  <w:footnote w:id="41">
    <w:p w14:paraId="42EE7FA8" w14:textId="77777777" w:rsidR="00041DD0" w:rsidRPr="00A7778D" w:rsidRDefault="00041DD0" w:rsidP="0077292E">
      <w:pPr>
        <w:pStyle w:val="FootnoteText"/>
        <w:ind w:left="567" w:hanging="567"/>
      </w:pPr>
      <w:r>
        <w:rPr>
          <w:rStyle w:val="FootnoteReference0"/>
        </w:rPr>
        <w:footnoteRef/>
      </w:r>
      <w:r w:rsidRPr="00A7778D">
        <w:tab/>
        <w:t>Euroopan parlamentin ja neuvoston asetus (EY) N:o 883/2004, annettu 29 päivänä huhtikuuta 2004, sosiaaliturvajärjestelmien yhteensovittamisesta (EYVL L 166, 30.4.2004, s. 1).</w:t>
      </w:r>
    </w:p>
  </w:footnote>
  <w:footnote w:id="42">
    <w:p w14:paraId="52A415CA" w14:textId="77777777" w:rsidR="00041DD0" w:rsidRPr="00A7778D" w:rsidRDefault="00041DD0" w:rsidP="0077292E">
      <w:pPr>
        <w:pStyle w:val="FootnoteText"/>
        <w:ind w:left="567" w:hanging="567"/>
      </w:pPr>
      <w:r>
        <w:rPr>
          <w:rStyle w:val="FootnoteReference0"/>
        </w:rPr>
        <w:footnoteRef/>
      </w:r>
      <w:r w:rsidRPr="00A7778D">
        <w:tab/>
        <w:t>Euroopan parlamentin ja neuvoston asetus (EY) N:o 987/2009, annettu 16 päivänä syyskuuta 2009, sosiaaliturvajärjestelmien yhteensovittamisesta annetun asetuksen (EY) N:o 883/2004 täytäntöönpanomenettelystä (EUVL L 284, 30.10.2009, s. 1).</w:t>
      </w:r>
    </w:p>
  </w:footnote>
  <w:footnote w:id="43">
    <w:p w14:paraId="7BE4C457" w14:textId="77777777" w:rsidR="00041DD0" w:rsidRPr="00A7778D" w:rsidRDefault="00041DD0" w:rsidP="0077292E">
      <w:pPr>
        <w:pStyle w:val="FootnoteText"/>
        <w:ind w:left="567" w:hanging="567"/>
      </w:pPr>
      <w:r>
        <w:rPr>
          <w:rStyle w:val="FootnoteReference0"/>
        </w:rPr>
        <w:footnoteRef/>
      </w:r>
      <w:r w:rsidRPr="00A7778D">
        <w:tab/>
        <w:t>Euroopan parlamentin ja neuvoston asetus (EU) N:o 648/2012, annettu 4 päivänä heinäkuuta 2012, OTC-johdannaisista, keskusvastapuolista ja kauppatietorekistereistä (EUVL L 201, 27.7.2012, s. 1).</w:t>
      </w:r>
    </w:p>
  </w:footnote>
  <w:footnote w:id="44">
    <w:p w14:paraId="124D3545" w14:textId="77777777" w:rsidR="00041DD0" w:rsidRPr="00A7778D" w:rsidRDefault="00041DD0" w:rsidP="0077292E">
      <w:pPr>
        <w:pStyle w:val="FootnoteText"/>
        <w:ind w:left="567" w:hanging="567"/>
      </w:pPr>
      <w:r>
        <w:rPr>
          <w:rStyle w:val="FootnoteReference0"/>
        </w:rPr>
        <w:footnoteRef/>
      </w:r>
      <w:r w:rsidRPr="00A7778D">
        <w:tab/>
        <w:t>Euroopan parlamentin ja neuvoston asetus (EU) N:o 909/2014, annettu 23 päivänä heinäkuuta 2014, arvopaperitoimituksen parantamisesta Euroopan unionissa sekä arvopaperikeskuksista ja direktiivien 98/26/EY ja 2014/65/EU sekä asetuksen (EU) N:o 236/2012 muuttamisesta (EUVL L 257, 28.8.2014, s. 1).</w:t>
      </w:r>
    </w:p>
  </w:footnote>
  <w:footnote w:id="45">
    <w:p w14:paraId="37014EB1" w14:textId="77777777" w:rsidR="00041DD0" w:rsidRPr="00A7778D" w:rsidRDefault="00041DD0" w:rsidP="0077292E">
      <w:pPr>
        <w:pStyle w:val="FootnoteText"/>
        <w:ind w:left="567" w:hanging="567"/>
      </w:pPr>
      <w:r>
        <w:rPr>
          <w:rStyle w:val="FootnoteReference0"/>
        </w:rPr>
        <w:footnoteRef/>
      </w:r>
      <w:r w:rsidRPr="00A7778D">
        <w:tab/>
        <w:t>Euroopan parlamentin ja neuvoston asetus (EU) 2017/2402, annettu 12 päivänä joulukuuta 2017, yleisestä arvopaperistamista koskevasta kehyksestä ja erityisestä kehyksestä yksinkertaiselle, läpinäkyvälle ja standardoidulle arvopaperistamiselle sekä direktiivien 2009/65/EY, 2009/138/EY ja 2011/61/EU ja asetusten (EY) N:o 1060/2009 ja (EU) N:o 648/2012 muuttamisesta (EUVL L 347, 28.12.2017, s. 35).</w:t>
      </w:r>
    </w:p>
  </w:footnote>
  <w:footnote w:id="46">
    <w:p w14:paraId="48349FBC" w14:textId="77777777" w:rsidR="00041DD0" w:rsidRPr="00A7778D" w:rsidRDefault="00041DD0" w:rsidP="0077292E">
      <w:pPr>
        <w:pStyle w:val="FootnoteText"/>
        <w:ind w:left="567" w:hanging="567"/>
      </w:pPr>
      <w:r>
        <w:rPr>
          <w:rStyle w:val="FootnoteReference0"/>
        </w:rPr>
        <w:footnoteRef/>
      </w:r>
      <w:r w:rsidRPr="00A7778D">
        <w:tab/>
        <w:t>Euroopan parlamentin ja neuvoston direktiivi (EU) 2015/2366, annettu 25 päivänä marraskuuta 2015, maksupalveluista sisämarkkinoilla, direktiivien 2002/65/EY, 2009/110/EY ja 2013/36/EU ja asetuksen (EU) N:o 1093/2010 muuttamisesta sekä direktiivin 2007/64/EY kumoamisesta (EUVL L 337, 23.12.2015, s. 35).</w:t>
      </w:r>
    </w:p>
  </w:footnote>
  <w:footnote w:id="47">
    <w:p w14:paraId="25E0DB6C" w14:textId="77777777" w:rsidR="00041DD0" w:rsidRPr="00A7778D" w:rsidRDefault="00041DD0" w:rsidP="0077292E">
      <w:pPr>
        <w:pStyle w:val="FootnoteText"/>
        <w:ind w:left="567" w:hanging="567"/>
      </w:pPr>
      <w:r>
        <w:rPr>
          <w:rStyle w:val="FootnoteReference0"/>
        </w:rPr>
        <w:footnoteRef/>
      </w:r>
      <w:r w:rsidRPr="00A7778D">
        <w:tab/>
        <w:t>Euroopan parlamentin ja neuvoston direktiivi 2009/110/EY, annettu 16 päivänä syyskuuta 2009, sähköisen rahan liikkeeseenlaskijalaitosten liiketoiminnan aloittamisesta, harjoittamisesta ja toiminnan vakauden valvonnasta, direktiivien 2005/60/EY ja 2006/48/EY muuttamisesta sekä direktiivin 2000/46/EY kumoamisesta (EUVL L 267, 10.10.2009, s. 7).</w:t>
      </w:r>
    </w:p>
  </w:footnote>
  <w:footnote w:id="48">
    <w:p w14:paraId="3E4E75D5" w14:textId="77777777" w:rsidR="00041DD0" w:rsidRPr="00A7778D" w:rsidRDefault="00041DD0" w:rsidP="0077292E">
      <w:pPr>
        <w:pStyle w:val="FootnoteText"/>
        <w:ind w:left="567" w:hanging="567"/>
      </w:pPr>
      <w:r>
        <w:rPr>
          <w:rStyle w:val="FootnoteReference0"/>
        </w:rPr>
        <w:footnoteRef/>
      </w:r>
      <w:r w:rsidRPr="00A7778D">
        <w:tab/>
        <w:t>Euroopan parlamentin ja neuvoston asetus (EU) 2020/1503, annettu 7 päivänä lokakuuta 2020, yrityksille suunnatun joukkorahoituspalvelun eurooppalaisista tarjoajista sekä asetuksen (EU) 2017/1129 ja direktiivin (EU) 2019/1937 muuttamisesta (EUVL L 347, 20.10.2020, s. 1).</w:t>
      </w:r>
    </w:p>
  </w:footnote>
  <w:footnote w:id="49">
    <w:p w14:paraId="630B3DAD" w14:textId="77777777" w:rsidR="00041DD0" w:rsidRPr="00A7778D" w:rsidRDefault="00041DD0" w:rsidP="0077292E">
      <w:pPr>
        <w:pStyle w:val="FootnoteText"/>
        <w:ind w:left="567" w:hanging="567"/>
      </w:pPr>
      <w:r>
        <w:rPr>
          <w:rStyle w:val="FootnoteReference0"/>
        </w:rPr>
        <w:footnoteRef/>
      </w:r>
      <w:r w:rsidRPr="00A7778D">
        <w:tab/>
        <w:t>COM/2020/593 final.</w:t>
      </w:r>
    </w:p>
  </w:footnote>
  <w:footnote w:id="50">
    <w:p w14:paraId="4149F2C2" w14:textId="77777777" w:rsidR="00041DD0" w:rsidRPr="00A7778D" w:rsidRDefault="00041DD0" w:rsidP="0077292E">
      <w:pPr>
        <w:pStyle w:val="FootnoteText"/>
        <w:ind w:left="567" w:hanging="567"/>
      </w:pPr>
      <w:r>
        <w:rPr>
          <w:rStyle w:val="FootnoteReference0"/>
        </w:rPr>
        <w:footnoteRef/>
      </w:r>
      <w:r w:rsidRPr="00A7778D">
        <w:tab/>
        <w:t>Euroopan parlamentin ja neuvoston asetus (EU) 2016/1011, annettu 8 päivänä kesäkuuta 2016, rahoitusvälineissä ja rahoitussopimuksissa vertailuarvoina tai sijoitusrahastojen arvonkehityksen mittaamisessa käytettävistä indekseistä ja direktiivien 2008/48/EY ja 2014/17/EU sekä asetuksen (EU) N:o 596/2014 muuttamisesta (EUVL L 171, 29.6.2016, s. 1).</w:t>
      </w:r>
    </w:p>
  </w:footnote>
  <w:footnote w:id="51">
    <w:p w14:paraId="4CF2DF4E" w14:textId="77777777" w:rsidR="00041DD0" w:rsidRPr="00A7778D" w:rsidRDefault="00041DD0" w:rsidP="00B73B86">
      <w:pPr>
        <w:pStyle w:val="FootnoteText"/>
        <w:ind w:left="567" w:hanging="567"/>
      </w:pPr>
      <w:r>
        <w:rPr>
          <w:rStyle w:val="FootnoteReference0"/>
        </w:rPr>
        <w:footnoteRef/>
      </w:r>
      <w:r w:rsidRPr="00A7778D">
        <w:tab/>
        <w:t>Neuvoston asetus N:o 1 Euroopan talousyhteisössä käytettäviä kieliä koskevista järjestelyistä (EYVL 17, 6.10.1958, s. 385).</w:t>
      </w:r>
    </w:p>
  </w:footnote>
  <w:footnote w:id="52">
    <w:p w14:paraId="1C6DA395" w14:textId="77777777" w:rsidR="00041DD0" w:rsidRPr="00A7778D" w:rsidRDefault="00041DD0" w:rsidP="0077292E">
      <w:pPr>
        <w:pStyle w:val="FootnoteText"/>
        <w:ind w:left="567" w:hanging="567"/>
      </w:pPr>
      <w:r>
        <w:rPr>
          <w:rStyle w:val="FootnoteReference0"/>
        </w:rPr>
        <w:footnoteRef/>
      </w:r>
      <w:r w:rsidRPr="00A7778D">
        <w:tab/>
        <w:t>Euroopan parlamentin ja neuvoston asetus (EU) 2018/1725, annettu 23 päivänä lokakuuta 2018, luonnollisten henkilöiden suojelusta unionin toimielinten, elinten ja laitosten suorittamassa henkilötietojen käsittelyssä ja näiden tietojen vapaasta liikkuvuudesta sekä asetuksen (EY) N:o 45/2001 ja päätöksen N:o 1247/2002/EY kumoamisesta (EUVL L 295, 21.11.2018, s. 39).</w:t>
      </w:r>
    </w:p>
  </w:footnote>
  <w:footnote w:id="53">
    <w:p w14:paraId="3529425A" w14:textId="514A4129" w:rsidR="00041DD0" w:rsidRPr="00A7778D" w:rsidRDefault="00041DD0" w:rsidP="0077292E">
      <w:pPr>
        <w:pStyle w:val="FootnoteText"/>
        <w:ind w:left="567" w:hanging="567"/>
      </w:pPr>
      <w:r>
        <w:rPr>
          <w:rStyle w:val="FootnoteReference0"/>
        </w:rPr>
        <w:footnoteRef/>
      </w:r>
      <w:r>
        <w:tab/>
      </w:r>
      <w:r w:rsidRPr="00A7778D">
        <w:t>Euroopan parlamentin ja neuvoston direktiivi (EU) 2016/943, annettu 8 päivänä kesäkuuta 2016, julkistamattoman taitotiedon ja liiketoimintatiedon (liikesalaisuuksien) suojaamisesta laittomalta hankinnalta, käytöltä ja ilmaisemiselta (EUVL L 157, 15.6.2016, s. 1).</w:t>
      </w:r>
    </w:p>
  </w:footnote>
  <w:footnote w:id="54">
    <w:p w14:paraId="0AE34B85" w14:textId="77777777" w:rsidR="00041DD0" w:rsidRPr="00A7778D" w:rsidRDefault="00041DD0" w:rsidP="0077292E">
      <w:pPr>
        <w:pStyle w:val="FootnoteText"/>
        <w:ind w:left="567" w:hanging="567"/>
      </w:pPr>
      <w:r>
        <w:rPr>
          <w:rStyle w:val="FootnoteReference0"/>
        </w:rPr>
        <w:footnoteRef/>
      </w:r>
      <w:r w:rsidRPr="00A7778D">
        <w:tab/>
        <w:t>Euroopan parlamentin ja neuvoston asetus (EU) N:o 596/2014, annettu 16 päivänä huhtikuuta 2014, markkinoiden väärinkäytöstä (markkinoiden väärinkäyttöasetus) sekä Euroopan parlamentin ja neuvoston direktiivin 2003/6/EY ja komission direktiivien 2003/124/EY, 2003/125/EY ja 2004/72/EY kumoamisesta (EUVL L 173, 12.6.2014, s. 1).</w:t>
      </w:r>
    </w:p>
  </w:footnote>
  <w:footnote w:id="55">
    <w:p w14:paraId="4CD4D21B" w14:textId="77777777" w:rsidR="00041DD0" w:rsidRPr="00A7778D" w:rsidRDefault="00041DD0" w:rsidP="0077292E">
      <w:pPr>
        <w:pStyle w:val="FootnoteText"/>
        <w:ind w:left="567" w:hanging="567"/>
      </w:pPr>
      <w:r>
        <w:rPr>
          <w:rStyle w:val="FootnoteReference0"/>
        </w:rPr>
        <w:footnoteRef/>
      </w:r>
      <w:r w:rsidRPr="00A7778D">
        <w:tab/>
        <w:t>Euroopan parlamentin ja neuvoston asetus (EU) 2018/1725, annettu 23 päivänä lokakuuta 2018, luonnollisten henkilöiden suojelusta unionin toimielinten, elinten ja laitosten suorittamassa henkilötietojen käsittelyssä ja näiden tietojen vapaasta liikkuvuudesta sekä asetuksen (EY) N:o 45/2001 ja päätöksen N:o 1247/2002/EY kumoamisesta (EUVL L 295, 21.11.2018, s. 39).</w:t>
      </w:r>
    </w:p>
  </w:footnote>
  <w:footnote w:id="56">
    <w:p w14:paraId="1B8D36C5" w14:textId="22CA42FB" w:rsidR="00041DD0" w:rsidRPr="00A7778D" w:rsidRDefault="00041DD0" w:rsidP="00C9315C">
      <w:pPr>
        <w:pStyle w:val="FootnoteText"/>
        <w:ind w:left="567" w:hanging="567"/>
      </w:pPr>
      <w:r>
        <w:rPr>
          <w:rStyle w:val="FootnoteReference0"/>
        </w:rPr>
        <w:footnoteRef/>
      </w:r>
      <w:r>
        <w:tab/>
      </w:r>
      <w:r w:rsidRPr="00A7778D">
        <w:t>Komission päätös, tehty 6 päivänä kesäkuuta 2001, Euroopan arvopaperikomitean perustamisesta (EYVL L 191, 13.7.2001, s. 45).</w:t>
      </w:r>
    </w:p>
  </w:footnote>
  <w:footnote w:id="57">
    <w:p w14:paraId="137AD8B2" w14:textId="18F1560D" w:rsidR="00041DD0" w:rsidRPr="00A7778D" w:rsidRDefault="00041DD0" w:rsidP="0077292E">
      <w:pPr>
        <w:pStyle w:val="FootnoteText"/>
        <w:ind w:left="567" w:hanging="567"/>
      </w:pPr>
      <w:r>
        <w:rPr>
          <w:rStyle w:val="FootnoteReference0"/>
        </w:rPr>
        <w:footnoteRef/>
      </w:r>
      <w:r>
        <w:tab/>
      </w:r>
      <w:r w:rsidRPr="00A7778D">
        <w:t>Euroopan parlamentin ja neuvoston asetus (EU) N:o 182/2011, annettu 16 päivänä helmikuuta 2011, yleisistä säännöistä ja periaatteista, joiden mukaisesti jäsenvaltiot valvovat komission täytäntöönpanovallan käyttöä (EUVL L 55, 28.2.2011, s. 13).</w:t>
      </w:r>
    </w:p>
  </w:footnote>
  <w:footnote w:id="58">
    <w:p w14:paraId="6AD7CFD2" w14:textId="77777777" w:rsidR="00041DD0" w:rsidRPr="00A7778D" w:rsidRDefault="00041DD0" w:rsidP="00FA1843">
      <w:pPr>
        <w:pStyle w:val="FootnoteText"/>
        <w:rPr>
          <w:szCs w:val="24"/>
        </w:rPr>
      </w:pPr>
      <w:r>
        <w:rPr>
          <w:rStyle w:val="FootnoteReference0"/>
        </w:rPr>
        <w:footnoteRef/>
      </w:r>
      <w:r w:rsidRPr="00A7778D">
        <w:tab/>
        <w:t>Sellaisina kuin nämä on määritelty varainhoitoasetuksen 58 artiklan 2 kohdan a ja b alakohdassa.</w:t>
      </w:r>
    </w:p>
  </w:footnote>
  <w:footnote w:id="59">
    <w:p w14:paraId="744C9D1A" w14:textId="71FD416E" w:rsidR="00041DD0" w:rsidRPr="00A7778D" w:rsidRDefault="00041DD0" w:rsidP="00FA1843">
      <w:pPr>
        <w:pStyle w:val="FootnoteText"/>
      </w:pPr>
      <w:r>
        <w:rPr>
          <w:rStyle w:val="FootnoteReference0"/>
        </w:rPr>
        <w:footnoteRef/>
      </w:r>
      <w:r w:rsidRPr="00A7778D">
        <w:tab/>
        <w:t xml:space="preserve">Maksujen suhteellinen suuruus ESG-luokituksen tarjoajien koon mukaan. Valvontakustannusten siirtäminen valvottaville yhteisöille on tyypillinen käytäntö rahoitusalalla. </w:t>
      </w:r>
    </w:p>
  </w:footnote>
  <w:footnote w:id="60">
    <w:p w14:paraId="3A33EB5A" w14:textId="77777777" w:rsidR="00041DD0" w:rsidRPr="00A7778D" w:rsidRDefault="00041DD0" w:rsidP="00FA1843">
      <w:pPr>
        <w:pStyle w:val="FootnoteText"/>
        <w:rPr>
          <w:szCs w:val="24"/>
        </w:rPr>
      </w:pPr>
      <w:r>
        <w:rPr>
          <w:rStyle w:val="FootnoteReference0"/>
        </w:rPr>
        <w:footnoteRef/>
      </w:r>
      <w:r w:rsidRPr="00A7778D">
        <w:tab/>
        <w:t xml:space="preserve">Kuvaukset eri hallinnointitavoista ja viittaukset varainhoitoasetukseen ovat saatavilla budjettipääosaston verkkosivuilla osoitteessa: </w:t>
      </w:r>
      <w:hyperlink r:id="rId7" w:history="1">
        <w:r w:rsidRPr="00A7778D">
          <w:rPr>
            <w:rStyle w:val="Hyperlink"/>
          </w:rPr>
          <w:t>https://myintracomm.ec.europa.eu/budgweb/EN/man/budgmanag/Pages/budgmanag.aspx</w:t>
        </w:r>
      </w:hyperlink>
      <w:r w:rsidRPr="00A7778D">
        <w:t>.</w:t>
      </w:r>
    </w:p>
  </w:footnote>
  <w:footnote w:id="61">
    <w:p w14:paraId="74D8ADBD" w14:textId="77777777" w:rsidR="00041DD0" w:rsidRPr="00A7778D" w:rsidRDefault="00041DD0" w:rsidP="00FA1843">
      <w:pPr>
        <w:pStyle w:val="FootnoteText"/>
        <w:rPr>
          <w:szCs w:val="24"/>
        </w:rPr>
      </w:pPr>
      <w:r>
        <w:rPr>
          <w:rStyle w:val="FootnoteReference0"/>
        </w:rPr>
        <w:footnoteRef/>
      </w:r>
      <w:r w:rsidRPr="00A7778D">
        <w:tab/>
        <w:t>JM = jaksotetut määrärahat; EI-JM = jaksottamattomat määrärahat.</w:t>
      </w:r>
    </w:p>
  </w:footnote>
  <w:footnote w:id="62">
    <w:p w14:paraId="378E27E4" w14:textId="77777777" w:rsidR="00041DD0" w:rsidRPr="00A7778D" w:rsidRDefault="00041DD0" w:rsidP="00FA1843">
      <w:pPr>
        <w:pStyle w:val="FootnoteText"/>
        <w:rPr>
          <w:szCs w:val="24"/>
        </w:rPr>
      </w:pPr>
      <w:r>
        <w:rPr>
          <w:rStyle w:val="FootnoteReference0"/>
        </w:rPr>
        <w:footnoteRef/>
      </w:r>
      <w:r w:rsidRPr="00A7778D">
        <w:tab/>
        <w:t xml:space="preserve">EFTA: Euroopan vapaakauppaliitto. </w:t>
      </w:r>
    </w:p>
  </w:footnote>
  <w:footnote w:id="63">
    <w:p w14:paraId="639D35F6" w14:textId="77777777" w:rsidR="00041DD0" w:rsidRPr="00A7778D" w:rsidRDefault="00041DD0" w:rsidP="00FA1843">
      <w:pPr>
        <w:pStyle w:val="FootnoteText"/>
        <w:rPr>
          <w:szCs w:val="24"/>
        </w:rPr>
      </w:pPr>
      <w:r>
        <w:rPr>
          <w:rStyle w:val="FootnoteReference0"/>
        </w:rPr>
        <w:footnoteRef/>
      </w:r>
      <w:r w:rsidRPr="00A7778D">
        <w:tab/>
        <w:t>Ehdokasmaat ja soveltuvin osin Länsi-Balkanin mahdolliset ehdokasmaat.</w:t>
      </w:r>
    </w:p>
  </w:footnote>
  <w:footnote w:id="64">
    <w:p w14:paraId="212BF9EF" w14:textId="77777777" w:rsidR="00041DD0" w:rsidRPr="00A7778D" w:rsidRDefault="00041DD0" w:rsidP="00FA1843">
      <w:pPr>
        <w:pStyle w:val="FootnoteText"/>
        <w:rPr>
          <w:szCs w:val="24"/>
        </w:rPr>
      </w:pPr>
      <w:r>
        <w:rPr>
          <w:rStyle w:val="FootnoteReference0"/>
        </w:rPr>
        <w:footnoteRef/>
      </w:r>
      <w:r w:rsidRPr="00A7778D">
        <w:tab/>
        <w:t>Tuotokset ovat tuloksena olevia tuotteita ja palveluita (esim. rahoitettujen opiskelijavaihtojen määrä tai rakennetut tiekilometrit).</w:t>
      </w:r>
    </w:p>
  </w:footnote>
  <w:footnote w:id="65">
    <w:p w14:paraId="2F1FF7F4" w14:textId="48B663AA" w:rsidR="00041DD0" w:rsidRPr="00A7778D" w:rsidRDefault="00041DD0" w:rsidP="00FA1843">
      <w:pPr>
        <w:pStyle w:val="FootnoteText"/>
      </w:pPr>
      <w:r>
        <w:rPr>
          <w:rStyle w:val="FootnoteReference0"/>
        </w:rPr>
        <w:footnoteRef/>
      </w:r>
      <w:r w:rsidRPr="00A7778D">
        <w:tab/>
        <w:t>Maksuilla rahoitettu (mukaan lukien työnantajan eläkemaksut)</w:t>
      </w:r>
    </w:p>
  </w:footnote>
  <w:footnote w:id="66">
    <w:p w14:paraId="787812F8" w14:textId="77777777" w:rsidR="00041DD0" w:rsidRPr="00A7778D" w:rsidRDefault="00041DD0" w:rsidP="00FA1843">
      <w:pPr>
        <w:pStyle w:val="FootnoteText"/>
        <w:rPr>
          <w:szCs w:val="24"/>
        </w:rPr>
      </w:pPr>
      <w:r>
        <w:rPr>
          <w:rStyle w:val="FootnoteReference0"/>
        </w:rPr>
        <w:footnoteRef/>
      </w:r>
      <w:r w:rsidRPr="00A7778D">
        <w:tab/>
        <w:t xml:space="preserve">Sopimussuhteiset toimihenkilöt, paikalliset toimihenkilöt, kansalliset asiantuntijat, vuokrahenkilöstö ja nuoremmat asiantuntijat EU:n ulkopuolisissa edustustoissa. </w:t>
      </w:r>
    </w:p>
  </w:footnote>
  <w:footnote w:id="67">
    <w:p w14:paraId="317CB14D" w14:textId="77777777" w:rsidR="00041DD0" w:rsidRPr="00A7778D" w:rsidRDefault="00041DD0" w:rsidP="00FA1843">
      <w:pPr>
        <w:pStyle w:val="FootnoteText"/>
        <w:rPr>
          <w:szCs w:val="24"/>
        </w:rPr>
      </w:pPr>
      <w:r>
        <w:rPr>
          <w:rStyle w:val="FootnoteReference0"/>
        </w:rPr>
        <w:footnoteRef/>
      </w:r>
      <w:r w:rsidRPr="00A7778D">
        <w:tab/>
        <w:t>Toimintamäärärahoista katettavan ulkopuolisen henkilöstön enimmäismäärä (entiset BA-budjettikohdat).</w:t>
      </w:r>
    </w:p>
  </w:footnote>
  <w:footnote w:id="68">
    <w:p w14:paraId="17AA9E88" w14:textId="77777777" w:rsidR="00041DD0" w:rsidRPr="00A7778D" w:rsidRDefault="00041DD0" w:rsidP="00FA1843">
      <w:pPr>
        <w:pStyle w:val="FootnoteText"/>
      </w:pPr>
      <w:r>
        <w:rPr>
          <w:rStyle w:val="FootnoteReference0"/>
        </w:rPr>
        <w:footnoteRef/>
      </w:r>
      <w:r w:rsidRPr="00A7778D">
        <w:tab/>
        <w:t xml:space="preserve">Pääasiassa EU:n koheesiopolitiikan rahastoille, Euroopan maaseudun kehittämisen maatalousrahastolle (maaseuturahasto) ja Euroopan meri-, kalatalous- ja vesiviljelyrahastolle (EMFAF).  </w:t>
      </w:r>
    </w:p>
    <w:p w14:paraId="07908CCB" w14:textId="77777777" w:rsidR="00041DD0" w:rsidRPr="00A7778D" w:rsidRDefault="00041DD0" w:rsidP="00FA1843">
      <w:pPr>
        <w:pStyle w:val="FootnoteText"/>
        <w:rPr>
          <w:szCs w:val="24"/>
        </w:rPr>
      </w:pPr>
    </w:p>
  </w:footnote>
  <w:footnote w:id="69">
    <w:p w14:paraId="4F7602DD" w14:textId="77777777" w:rsidR="00041DD0" w:rsidRPr="00A7778D" w:rsidRDefault="00041DD0" w:rsidP="00FA1843">
      <w:pPr>
        <w:pStyle w:val="FootnoteText"/>
        <w:rPr>
          <w:szCs w:val="24"/>
        </w:rPr>
      </w:pPr>
      <w:r>
        <w:rPr>
          <w:rStyle w:val="FootnoteReference0"/>
        </w:rPr>
        <w:footnoteRef/>
      </w:r>
      <w:r w:rsidRPr="00A7778D">
        <w:tab/>
        <w:t>Ks. vuosia 2021–2027 koskevan monivuotisen rahoituskehyksen vahvistamisesta 17 päivänä joulukuuta 2020 annetun neuvoston asetuksen (EU, Euratom) N:o 2093/2020 12 ja 13 artikla.</w:t>
      </w:r>
    </w:p>
  </w:footnote>
  <w:footnote w:id="70">
    <w:p w14:paraId="7D58BE2F" w14:textId="77777777" w:rsidR="00041DD0" w:rsidRPr="00A7778D" w:rsidRDefault="00041DD0" w:rsidP="00FA1843">
      <w:pPr>
        <w:pStyle w:val="FootnoteText"/>
        <w:rPr>
          <w:szCs w:val="24"/>
        </w:rPr>
      </w:pPr>
      <w:r>
        <w:rPr>
          <w:rStyle w:val="FootnoteReference0"/>
        </w:rPr>
        <w:footnoteRef/>
      </w:r>
      <w:r w:rsidRPr="00A7778D">
        <w:tab/>
        <w:t>Perinteiset omat varat (tulli- ja sokerimaksut) on ilmoitettava nettomääräisinä eli bruttomäärästä on vähennettävä kantokuluja vastaava 20 prosentin osuus.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02F5" w14:textId="77777777" w:rsidR="00A42CA2" w:rsidRPr="00A42CA2" w:rsidRDefault="00A42CA2" w:rsidP="00084EF2">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2881" w14:textId="77777777" w:rsidR="00084EF2" w:rsidRPr="00084EF2" w:rsidRDefault="00084EF2" w:rsidP="00084EF2">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48BC0" w14:textId="77777777" w:rsidR="00A42CA2" w:rsidRPr="00A42CA2" w:rsidRDefault="00A42CA2" w:rsidP="00084E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4FBC8" w14:textId="77777777" w:rsidR="00084EF2" w:rsidRPr="00084EF2" w:rsidRDefault="00084EF2" w:rsidP="00084E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DB88" w14:textId="77777777" w:rsidR="00084EF2" w:rsidRPr="00A42CA2" w:rsidRDefault="00084EF2" w:rsidP="00084EF2">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C111" w14:textId="77777777" w:rsidR="00084EF2" w:rsidRPr="00084EF2" w:rsidRDefault="00084EF2" w:rsidP="00084EF2">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0B24A3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628832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D2003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ED420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lvlRestart w:val="0"/>
      <w:pStyle w:val="ListDash"/>
      <w:lvlText w:val=""/>
      <w:lvlJc w:val="left"/>
      <w:pPr>
        <w:tabs>
          <w:tab w:val="num" w:pos="1134"/>
        </w:tabs>
        <w:ind w:left="1134" w:hanging="283"/>
      </w:pPr>
      <w:rPr>
        <w:rFonts w:ascii="Symbol" w:hAnsi="Symbol" w:hint="default"/>
      </w:r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2D820C1F"/>
    <w:multiLevelType w:val="singleLevel"/>
    <w:tmpl w:val="7896AADE"/>
    <w:name w:val="List Dash"/>
    <w:lvl w:ilvl="0">
      <w:start w:val="1"/>
      <w:numFmt w:val="bullet"/>
      <w:lvlRestart w:val="0"/>
      <w:pStyle w:val="ListDash1"/>
      <w:lvlText w:val="–"/>
      <w:lvlJc w:val="left"/>
      <w:pPr>
        <w:tabs>
          <w:tab w:val="num" w:pos="283"/>
        </w:tabs>
        <w:ind w:left="283" w:hanging="283"/>
      </w:pPr>
      <w:rPr>
        <w:rFonts w:ascii="Times New Roman" w:hAnsi="Times New Roman" w:cs="Times New Roman"/>
      </w:rPr>
    </w:lvl>
  </w:abstractNum>
  <w:abstractNum w:abstractNumId="12"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89D74ED"/>
    <w:multiLevelType w:val="singleLevel"/>
    <w:tmpl w:val="C2E2F936"/>
    <w:name w:val="List Dash 2"/>
    <w:lvl w:ilvl="0">
      <w:start w:val="1"/>
      <w:numFmt w:val="bullet"/>
      <w:lvlRestart w:val="0"/>
      <w:pStyle w:val="ListNumberLevel2"/>
      <w:lvlText w:val="–"/>
      <w:lvlJc w:val="left"/>
      <w:pPr>
        <w:tabs>
          <w:tab w:val="num" w:pos="1134"/>
        </w:tabs>
        <w:ind w:left="1134" w:hanging="283"/>
      </w:pPr>
      <w:rPr>
        <w:rFonts w:ascii="Times New Roman" w:hAnsi="Times New Roman" w:cs="Times New Roman"/>
      </w:rPr>
    </w:lvl>
  </w:abstractNum>
  <w:abstractNum w:abstractNumId="20" w15:restartNumberingAfterBreak="0">
    <w:nsid w:val="4A3505E2"/>
    <w:multiLevelType w:val="multilevel"/>
    <w:tmpl w:val="C57A5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D0C058A"/>
    <w:multiLevelType w:val="singleLevel"/>
    <w:tmpl w:val="BAE8D90E"/>
    <w:name w:val="List Dash 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0" w15:restartNumberingAfterBreak="0">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3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1F06166"/>
    <w:multiLevelType w:val="multilevel"/>
    <w:tmpl w:val="C08066D2"/>
    <w:name w:val="0.6719891"/>
    <w:lvl w:ilvl="0">
      <w:start w:val="1"/>
      <w:numFmt w:val="decimal"/>
      <w:lvlRestart w:val="0"/>
      <w:pStyle w:val="ListBullet1"/>
      <w:lvlText w:val="(%1)"/>
      <w:lvlJc w:val="left"/>
      <w:pPr>
        <w:tabs>
          <w:tab w:val="num" w:pos="709"/>
        </w:tabs>
        <w:ind w:left="709" w:hanging="709"/>
      </w:pPr>
    </w:lvl>
    <w:lvl w:ilvl="1">
      <w:start w:val="1"/>
      <w:numFmt w:val="lowerLetter"/>
      <w:pStyle w:val="ListNumberLevel3"/>
      <w:lvlText w:val="(%2)"/>
      <w:lvlJc w:val="left"/>
      <w:pPr>
        <w:tabs>
          <w:tab w:val="num" w:pos="1417"/>
        </w:tabs>
        <w:ind w:left="1417" w:hanging="708"/>
      </w:pPr>
    </w:lvl>
    <w:lvl w:ilvl="2">
      <w:start w:val="1"/>
      <w:numFmt w:val="bullet"/>
      <w:pStyle w:val="ListNumberLevel4"/>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9CA0407"/>
    <w:multiLevelType w:val="multilevel"/>
    <w:tmpl w:val="83AA7E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27"/>
    <w:lvlOverride w:ilvl="0">
      <w:startOverride w:val="1"/>
    </w:lvlOverride>
  </w:num>
  <w:num w:numId="7">
    <w:abstractNumId w:val="32"/>
    <w:lvlOverride w:ilvl="0">
      <w:startOverride w:val="1"/>
    </w:lvlOverride>
  </w:num>
  <w:num w:numId="8">
    <w:abstractNumId w:val="4"/>
  </w:num>
  <w:num w:numId="9">
    <w:abstractNumId w:val="11"/>
  </w:num>
  <w:num w:numId="10">
    <w:abstractNumId w:val="21"/>
  </w:num>
  <w:num w:numId="11">
    <w:abstractNumId w:val="19"/>
  </w:num>
  <w:num w:numId="12">
    <w:abstractNumId w:val="34"/>
  </w:num>
  <w:num w:numId="13">
    <w:abstractNumId w:val="5"/>
  </w:num>
  <w:num w:numId="14">
    <w:abstractNumId w:val="13"/>
  </w:num>
  <w:num w:numId="15">
    <w:abstractNumId w:val="6"/>
  </w:num>
  <w:num w:numId="16">
    <w:abstractNumId w:val="14"/>
  </w:num>
  <w:num w:numId="17">
    <w:abstractNumId w:val="12"/>
  </w:num>
  <w:num w:numId="18">
    <w:abstractNumId w:val="22"/>
  </w:num>
  <w:num w:numId="19">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0"/>
  </w:num>
  <w:num w:numId="22">
    <w:abstractNumId w:val="24"/>
  </w:num>
  <w:num w:numId="23">
    <w:abstractNumId w:val="29"/>
  </w:num>
  <w:num w:numId="24">
    <w:abstractNumId w:val="35"/>
  </w:num>
  <w:num w:numId="25">
    <w:abstractNumId w:val="27"/>
  </w:num>
  <w:num w:numId="26">
    <w:abstractNumId w:val="15"/>
  </w:num>
  <w:num w:numId="27">
    <w:abstractNumId w:val="32"/>
  </w:num>
  <w:num w:numId="28">
    <w:abstractNumId w:val="10"/>
  </w:num>
  <w:num w:numId="29">
    <w:abstractNumId w:val="16"/>
  </w:num>
  <w:num w:numId="30">
    <w:abstractNumId w:val="17"/>
  </w:num>
  <w:num w:numId="31">
    <w:abstractNumId w:val="8"/>
  </w:num>
  <w:num w:numId="32">
    <w:abstractNumId w:val="31"/>
  </w:num>
  <w:num w:numId="33">
    <w:abstractNumId w:val="7"/>
  </w:num>
  <w:num w:numId="34">
    <w:abstractNumId w:val="18"/>
  </w:num>
  <w:num w:numId="35">
    <w:abstractNumId w:val="25"/>
  </w:num>
  <w:num w:numId="36">
    <w:abstractNumId w:val="26"/>
  </w:num>
  <w:num w:numId="37">
    <w:abstractNumId w:val="9"/>
  </w:num>
  <w:num w:numId="38">
    <w:abstractNumId w:val="23"/>
  </w:num>
  <w:num w:numId="39">
    <w:abstractNumId w:val="36"/>
  </w:num>
  <w:num w:numId="40">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fr-BE" w:vendorID="64" w:dllVersion="6" w:nlCheck="1" w:checkStyle="0"/>
  <w:activeWritingStyle w:appName="MSWord" w:lang="pl-PL" w:vendorID="64" w:dllVersion="0" w:nlCheck="1" w:checkStyle="0"/>
  <w:activeWritingStyle w:appName="MSWord" w:lang="en-GB" w:vendorID="64" w:dllVersion="131078" w:nlCheck="1" w:checkStyle="1"/>
  <w:activeWritingStyle w:appName="MSWord" w:lang="fi-FI"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7-07 18:02: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D8B3014-991F-4D0E-9716-E638835313D0"/>
    <w:docVar w:name="LW_COVERPAGE_TYPE" w:val="1"/>
    <w:docVar w:name="LW_CROSSREFERENCE" w:val="{SEC(2023) 241 final} - {SWD(2023) 204 final} - {SWD(2023) 207 final}"/>
    <w:docVar w:name="LW_DocType" w:val="COM"/>
    <w:docVar w:name="LW_EMISSION" w:val="13.6.2023"/>
    <w:docVar w:name="LW_EMISSION_ISODATE" w:val="2023-06-13"/>
    <w:docVar w:name="LW_EMISSION_LOCATION" w:val="STR"/>
    <w:docVar w:name="LW_EMISSION_PREFIX" w:val="Strasbourg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ETA:n kannalta merkityksellinen teksti)"/>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OD"/>
    <w:docVar w:name="LW_REF.II.NEW.CP_NUMBER" w:val="0177"/>
    <w:docVar w:name="LW_REF.II.NEW.CP_YEAR" w:val="2023"/>
    <w:docVar w:name="LW_REF.INST.NEW" w:val="COM"/>
    <w:docVar w:name="LW_REF.INST.NEW_ADOPTED" w:val="final"/>
    <w:docVar w:name="LW_REF.INST.NEW_TEXT" w:val="(2023)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hdotus"/>
    <w:docVar w:name="LW_SUPERTITRE" w:val="&lt;UNUSED&gt;"/>
    <w:docVar w:name="LW_TITRE.OBJ.CP" w:val="ympäristöön, yhteiskuntaan ja hyvään hallintotapaan (ESG) liittyvän luokitustoiminnan läpinäkyvyydestä ja eheydestä"/>
    <w:docVar w:name="LW_TYPE.DOC.CP" w:val="EUROOPAN PARLAMENTIN JA NEUVOSTON ASETUS"/>
    <w:docVar w:name="LwApiVersions" w:val="LW4CoDe 1.23.2.0; LW 8.0, Build 20211117"/>
  </w:docVars>
  <w:rsids>
    <w:rsidRoot w:val="00587167"/>
    <w:rsid w:val="00000CA9"/>
    <w:rsid w:val="000010B8"/>
    <w:rsid w:val="000010FA"/>
    <w:rsid w:val="00001298"/>
    <w:rsid w:val="00001E8D"/>
    <w:rsid w:val="00001EAB"/>
    <w:rsid w:val="000024B6"/>
    <w:rsid w:val="00002580"/>
    <w:rsid w:val="00002739"/>
    <w:rsid w:val="0000347C"/>
    <w:rsid w:val="0000393A"/>
    <w:rsid w:val="000039B2"/>
    <w:rsid w:val="00004FC8"/>
    <w:rsid w:val="000050F7"/>
    <w:rsid w:val="00005D4F"/>
    <w:rsid w:val="00006302"/>
    <w:rsid w:val="00006369"/>
    <w:rsid w:val="00006A20"/>
    <w:rsid w:val="00006B7F"/>
    <w:rsid w:val="00007C70"/>
    <w:rsid w:val="00010577"/>
    <w:rsid w:val="000105A1"/>
    <w:rsid w:val="0001100F"/>
    <w:rsid w:val="0001147B"/>
    <w:rsid w:val="00012770"/>
    <w:rsid w:val="000129CE"/>
    <w:rsid w:val="0001366E"/>
    <w:rsid w:val="000141B1"/>
    <w:rsid w:val="000141B3"/>
    <w:rsid w:val="000148C3"/>
    <w:rsid w:val="00014ACB"/>
    <w:rsid w:val="00014B81"/>
    <w:rsid w:val="00014E89"/>
    <w:rsid w:val="000159F9"/>
    <w:rsid w:val="00016529"/>
    <w:rsid w:val="000167DC"/>
    <w:rsid w:val="000172A0"/>
    <w:rsid w:val="000172B6"/>
    <w:rsid w:val="00017719"/>
    <w:rsid w:val="00017AE5"/>
    <w:rsid w:val="000201AC"/>
    <w:rsid w:val="000203D4"/>
    <w:rsid w:val="0002130B"/>
    <w:rsid w:val="00021F06"/>
    <w:rsid w:val="00022256"/>
    <w:rsid w:val="000231FA"/>
    <w:rsid w:val="00023FCB"/>
    <w:rsid w:val="000249AF"/>
    <w:rsid w:val="000253C8"/>
    <w:rsid w:val="0002542F"/>
    <w:rsid w:val="0002611C"/>
    <w:rsid w:val="00026342"/>
    <w:rsid w:val="000265CF"/>
    <w:rsid w:val="000266A0"/>
    <w:rsid w:val="00026C1F"/>
    <w:rsid w:val="00027212"/>
    <w:rsid w:val="00027382"/>
    <w:rsid w:val="0002755C"/>
    <w:rsid w:val="000279F1"/>
    <w:rsid w:val="0002AA19"/>
    <w:rsid w:val="000307D7"/>
    <w:rsid w:val="00030929"/>
    <w:rsid w:val="00030C45"/>
    <w:rsid w:val="00031435"/>
    <w:rsid w:val="00031928"/>
    <w:rsid w:val="00031FD5"/>
    <w:rsid w:val="0003267A"/>
    <w:rsid w:val="000328F0"/>
    <w:rsid w:val="00032A7D"/>
    <w:rsid w:val="0003482F"/>
    <w:rsid w:val="0003582E"/>
    <w:rsid w:val="00035A06"/>
    <w:rsid w:val="00036267"/>
    <w:rsid w:val="00036C76"/>
    <w:rsid w:val="0003736D"/>
    <w:rsid w:val="000400EA"/>
    <w:rsid w:val="00040C41"/>
    <w:rsid w:val="00041225"/>
    <w:rsid w:val="00041DD0"/>
    <w:rsid w:val="0004248E"/>
    <w:rsid w:val="0004257B"/>
    <w:rsid w:val="00042A11"/>
    <w:rsid w:val="00042D1C"/>
    <w:rsid w:val="00043912"/>
    <w:rsid w:val="000439C2"/>
    <w:rsid w:val="00043C97"/>
    <w:rsid w:val="000440E7"/>
    <w:rsid w:val="0004459C"/>
    <w:rsid w:val="00044936"/>
    <w:rsid w:val="00044B00"/>
    <w:rsid w:val="00045C6B"/>
    <w:rsid w:val="000468F1"/>
    <w:rsid w:val="00046D4C"/>
    <w:rsid w:val="00046E59"/>
    <w:rsid w:val="000470DE"/>
    <w:rsid w:val="000478BD"/>
    <w:rsid w:val="00047D60"/>
    <w:rsid w:val="00047E68"/>
    <w:rsid w:val="000500BF"/>
    <w:rsid w:val="00050715"/>
    <w:rsid w:val="000507B4"/>
    <w:rsid w:val="00050DCF"/>
    <w:rsid w:val="00050F20"/>
    <w:rsid w:val="00051758"/>
    <w:rsid w:val="00051CF5"/>
    <w:rsid w:val="00052024"/>
    <w:rsid w:val="00053946"/>
    <w:rsid w:val="000539A4"/>
    <w:rsid w:val="0005444F"/>
    <w:rsid w:val="000551AA"/>
    <w:rsid w:val="00055BBD"/>
    <w:rsid w:val="00055E2A"/>
    <w:rsid w:val="000562D4"/>
    <w:rsid w:val="000566F7"/>
    <w:rsid w:val="00056E4B"/>
    <w:rsid w:val="00057DB6"/>
    <w:rsid w:val="00060AA0"/>
    <w:rsid w:val="00061597"/>
    <w:rsid w:val="000619DC"/>
    <w:rsid w:val="00061CA9"/>
    <w:rsid w:val="0006213D"/>
    <w:rsid w:val="00062239"/>
    <w:rsid w:val="00062456"/>
    <w:rsid w:val="0006260B"/>
    <w:rsid w:val="00062E8A"/>
    <w:rsid w:val="000638DF"/>
    <w:rsid w:val="00063B37"/>
    <w:rsid w:val="00064553"/>
    <w:rsid w:val="00064935"/>
    <w:rsid w:val="00064F19"/>
    <w:rsid w:val="000650F4"/>
    <w:rsid w:val="00065904"/>
    <w:rsid w:val="0006593B"/>
    <w:rsid w:val="00066114"/>
    <w:rsid w:val="00066435"/>
    <w:rsid w:val="0006664E"/>
    <w:rsid w:val="000668D0"/>
    <w:rsid w:val="00066D52"/>
    <w:rsid w:val="00066E11"/>
    <w:rsid w:val="0006E5E3"/>
    <w:rsid w:val="00070375"/>
    <w:rsid w:val="000713B5"/>
    <w:rsid w:val="000714B7"/>
    <w:rsid w:val="00072950"/>
    <w:rsid w:val="00072A45"/>
    <w:rsid w:val="00072C3A"/>
    <w:rsid w:val="00072CAA"/>
    <w:rsid w:val="00072CBA"/>
    <w:rsid w:val="00072CD7"/>
    <w:rsid w:val="00072E39"/>
    <w:rsid w:val="00073254"/>
    <w:rsid w:val="000737B7"/>
    <w:rsid w:val="00073AB3"/>
    <w:rsid w:val="00073B1F"/>
    <w:rsid w:val="00075280"/>
    <w:rsid w:val="0007580C"/>
    <w:rsid w:val="00075B18"/>
    <w:rsid w:val="00076F28"/>
    <w:rsid w:val="00077BAF"/>
    <w:rsid w:val="00077FEC"/>
    <w:rsid w:val="00080177"/>
    <w:rsid w:val="00080BC8"/>
    <w:rsid w:val="00081964"/>
    <w:rsid w:val="0008200E"/>
    <w:rsid w:val="00082C17"/>
    <w:rsid w:val="00083496"/>
    <w:rsid w:val="00084272"/>
    <w:rsid w:val="00084527"/>
    <w:rsid w:val="0008492F"/>
    <w:rsid w:val="00084AC7"/>
    <w:rsid w:val="00084EF2"/>
    <w:rsid w:val="00085475"/>
    <w:rsid w:val="0008552D"/>
    <w:rsid w:val="00086026"/>
    <w:rsid w:val="00086154"/>
    <w:rsid w:val="0008746F"/>
    <w:rsid w:val="0008780E"/>
    <w:rsid w:val="00087E64"/>
    <w:rsid w:val="00090A0F"/>
    <w:rsid w:val="00091A49"/>
    <w:rsid w:val="00091C95"/>
    <w:rsid w:val="0009271F"/>
    <w:rsid w:val="000928E2"/>
    <w:rsid w:val="00092B9D"/>
    <w:rsid w:val="00093A67"/>
    <w:rsid w:val="0009429D"/>
    <w:rsid w:val="0009453E"/>
    <w:rsid w:val="0009539E"/>
    <w:rsid w:val="00095A55"/>
    <w:rsid w:val="000966B7"/>
    <w:rsid w:val="00096BB3"/>
    <w:rsid w:val="00097636"/>
    <w:rsid w:val="000A168A"/>
    <w:rsid w:val="000A1720"/>
    <w:rsid w:val="000A18A0"/>
    <w:rsid w:val="000A195F"/>
    <w:rsid w:val="000A1CB7"/>
    <w:rsid w:val="000A1FFA"/>
    <w:rsid w:val="000A2DC2"/>
    <w:rsid w:val="000A2DFA"/>
    <w:rsid w:val="000A2EDF"/>
    <w:rsid w:val="000A32E9"/>
    <w:rsid w:val="000A39D2"/>
    <w:rsid w:val="000A3DFF"/>
    <w:rsid w:val="000A4B06"/>
    <w:rsid w:val="000A4BC0"/>
    <w:rsid w:val="000A6894"/>
    <w:rsid w:val="000A6DAD"/>
    <w:rsid w:val="000A6F9B"/>
    <w:rsid w:val="000A7312"/>
    <w:rsid w:val="000A739E"/>
    <w:rsid w:val="000A7620"/>
    <w:rsid w:val="000A7E07"/>
    <w:rsid w:val="000A7E93"/>
    <w:rsid w:val="000B0988"/>
    <w:rsid w:val="000B10E0"/>
    <w:rsid w:val="000B17BA"/>
    <w:rsid w:val="000B1C3E"/>
    <w:rsid w:val="000B2700"/>
    <w:rsid w:val="000B2B3F"/>
    <w:rsid w:val="000B2BE0"/>
    <w:rsid w:val="000B31DC"/>
    <w:rsid w:val="000B37AF"/>
    <w:rsid w:val="000B4A9C"/>
    <w:rsid w:val="000B4F2C"/>
    <w:rsid w:val="000B5572"/>
    <w:rsid w:val="000B6A26"/>
    <w:rsid w:val="000B7793"/>
    <w:rsid w:val="000B7A7D"/>
    <w:rsid w:val="000B7C8A"/>
    <w:rsid w:val="000C00FD"/>
    <w:rsid w:val="000C0443"/>
    <w:rsid w:val="000C0586"/>
    <w:rsid w:val="000C1773"/>
    <w:rsid w:val="000C1FDE"/>
    <w:rsid w:val="000C4525"/>
    <w:rsid w:val="000C46DE"/>
    <w:rsid w:val="000C4F66"/>
    <w:rsid w:val="000C50B5"/>
    <w:rsid w:val="000C5656"/>
    <w:rsid w:val="000C5B42"/>
    <w:rsid w:val="000C5E6D"/>
    <w:rsid w:val="000C64D8"/>
    <w:rsid w:val="000C6595"/>
    <w:rsid w:val="000C7CDD"/>
    <w:rsid w:val="000C7D0C"/>
    <w:rsid w:val="000D02C7"/>
    <w:rsid w:val="000D0750"/>
    <w:rsid w:val="000D07AF"/>
    <w:rsid w:val="000D0869"/>
    <w:rsid w:val="000D0B57"/>
    <w:rsid w:val="000D0BB3"/>
    <w:rsid w:val="000D0BCF"/>
    <w:rsid w:val="000D0FAF"/>
    <w:rsid w:val="000D10BC"/>
    <w:rsid w:val="000D14B4"/>
    <w:rsid w:val="000D1D0D"/>
    <w:rsid w:val="000D22FD"/>
    <w:rsid w:val="000D2897"/>
    <w:rsid w:val="000D28F5"/>
    <w:rsid w:val="000D3976"/>
    <w:rsid w:val="000D3E37"/>
    <w:rsid w:val="000D4C02"/>
    <w:rsid w:val="000D585A"/>
    <w:rsid w:val="000D58BC"/>
    <w:rsid w:val="000D6EC3"/>
    <w:rsid w:val="000D73EE"/>
    <w:rsid w:val="000D7A98"/>
    <w:rsid w:val="000E04B6"/>
    <w:rsid w:val="000E0AC1"/>
    <w:rsid w:val="000E0E11"/>
    <w:rsid w:val="000E0E57"/>
    <w:rsid w:val="000E118E"/>
    <w:rsid w:val="000E14C5"/>
    <w:rsid w:val="000E18B6"/>
    <w:rsid w:val="000E1D17"/>
    <w:rsid w:val="000E26D4"/>
    <w:rsid w:val="000E2893"/>
    <w:rsid w:val="000E330A"/>
    <w:rsid w:val="000E3C91"/>
    <w:rsid w:val="000E4C14"/>
    <w:rsid w:val="000E5443"/>
    <w:rsid w:val="000E5988"/>
    <w:rsid w:val="000E60DC"/>
    <w:rsid w:val="000E636C"/>
    <w:rsid w:val="000E6496"/>
    <w:rsid w:val="000E6808"/>
    <w:rsid w:val="000E731D"/>
    <w:rsid w:val="000F05F5"/>
    <w:rsid w:val="000F09F6"/>
    <w:rsid w:val="000F12BA"/>
    <w:rsid w:val="000F1413"/>
    <w:rsid w:val="000F16AB"/>
    <w:rsid w:val="000F1BD5"/>
    <w:rsid w:val="000F24FB"/>
    <w:rsid w:val="000F314C"/>
    <w:rsid w:val="000F47CA"/>
    <w:rsid w:val="000F47EB"/>
    <w:rsid w:val="000F4C8E"/>
    <w:rsid w:val="000F5238"/>
    <w:rsid w:val="000F5C61"/>
    <w:rsid w:val="000F6771"/>
    <w:rsid w:val="000F764D"/>
    <w:rsid w:val="001010A3"/>
    <w:rsid w:val="00101E23"/>
    <w:rsid w:val="00102AD1"/>
    <w:rsid w:val="001035A7"/>
    <w:rsid w:val="00103D59"/>
    <w:rsid w:val="00104065"/>
    <w:rsid w:val="0010482B"/>
    <w:rsid w:val="001050A3"/>
    <w:rsid w:val="001055C2"/>
    <w:rsid w:val="0010580E"/>
    <w:rsid w:val="00105B6C"/>
    <w:rsid w:val="001061B0"/>
    <w:rsid w:val="00106AF1"/>
    <w:rsid w:val="00107CE3"/>
    <w:rsid w:val="001101E3"/>
    <w:rsid w:val="00110726"/>
    <w:rsid w:val="00110DD2"/>
    <w:rsid w:val="00111DC7"/>
    <w:rsid w:val="001124AB"/>
    <w:rsid w:val="0011287E"/>
    <w:rsid w:val="001142B2"/>
    <w:rsid w:val="00114E49"/>
    <w:rsid w:val="001150B8"/>
    <w:rsid w:val="0011579A"/>
    <w:rsid w:val="00115D15"/>
    <w:rsid w:val="001168E6"/>
    <w:rsid w:val="00117FA3"/>
    <w:rsid w:val="00120147"/>
    <w:rsid w:val="0012018B"/>
    <w:rsid w:val="0012044F"/>
    <w:rsid w:val="00120B95"/>
    <w:rsid w:val="00120FB0"/>
    <w:rsid w:val="00121498"/>
    <w:rsid w:val="00121667"/>
    <w:rsid w:val="00121674"/>
    <w:rsid w:val="00121A92"/>
    <w:rsid w:val="00121DEB"/>
    <w:rsid w:val="00122415"/>
    <w:rsid w:val="00122AB0"/>
    <w:rsid w:val="00122E4E"/>
    <w:rsid w:val="00122F47"/>
    <w:rsid w:val="00123667"/>
    <w:rsid w:val="0012423E"/>
    <w:rsid w:val="001250DD"/>
    <w:rsid w:val="00125107"/>
    <w:rsid w:val="0012531A"/>
    <w:rsid w:val="00125A7D"/>
    <w:rsid w:val="00125BA5"/>
    <w:rsid w:val="00125DFA"/>
    <w:rsid w:val="00125EC4"/>
    <w:rsid w:val="001264CA"/>
    <w:rsid w:val="00127E68"/>
    <w:rsid w:val="00130275"/>
    <w:rsid w:val="0013039D"/>
    <w:rsid w:val="00130455"/>
    <w:rsid w:val="0013112E"/>
    <w:rsid w:val="0013152C"/>
    <w:rsid w:val="0013170B"/>
    <w:rsid w:val="0013188C"/>
    <w:rsid w:val="00131ED6"/>
    <w:rsid w:val="00131FCC"/>
    <w:rsid w:val="0013210B"/>
    <w:rsid w:val="001325AA"/>
    <w:rsid w:val="00132952"/>
    <w:rsid w:val="00132AFC"/>
    <w:rsid w:val="00132BB4"/>
    <w:rsid w:val="00132DCF"/>
    <w:rsid w:val="001337D4"/>
    <w:rsid w:val="00133AC3"/>
    <w:rsid w:val="001344A8"/>
    <w:rsid w:val="00135DA6"/>
    <w:rsid w:val="00135F7F"/>
    <w:rsid w:val="0013682A"/>
    <w:rsid w:val="00136BD1"/>
    <w:rsid w:val="00136D7D"/>
    <w:rsid w:val="00136DBA"/>
    <w:rsid w:val="00136EA2"/>
    <w:rsid w:val="0013704F"/>
    <w:rsid w:val="0013711A"/>
    <w:rsid w:val="00137155"/>
    <w:rsid w:val="001373C9"/>
    <w:rsid w:val="001376ED"/>
    <w:rsid w:val="00137952"/>
    <w:rsid w:val="00140BC1"/>
    <w:rsid w:val="00140BE1"/>
    <w:rsid w:val="001415F8"/>
    <w:rsid w:val="00141730"/>
    <w:rsid w:val="00141CD9"/>
    <w:rsid w:val="001421CE"/>
    <w:rsid w:val="00142306"/>
    <w:rsid w:val="00142C14"/>
    <w:rsid w:val="0014330A"/>
    <w:rsid w:val="00143EAD"/>
    <w:rsid w:val="00144450"/>
    <w:rsid w:val="00145B98"/>
    <w:rsid w:val="00145C35"/>
    <w:rsid w:val="00145E5F"/>
    <w:rsid w:val="00146C84"/>
    <w:rsid w:val="001471DB"/>
    <w:rsid w:val="0015024E"/>
    <w:rsid w:val="00150468"/>
    <w:rsid w:val="00150D04"/>
    <w:rsid w:val="00151102"/>
    <w:rsid w:val="0015179B"/>
    <w:rsid w:val="00151A9C"/>
    <w:rsid w:val="00151BE6"/>
    <w:rsid w:val="00151C11"/>
    <w:rsid w:val="00151F3B"/>
    <w:rsid w:val="00152894"/>
    <w:rsid w:val="001532FB"/>
    <w:rsid w:val="001533F0"/>
    <w:rsid w:val="001534EC"/>
    <w:rsid w:val="001535C5"/>
    <w:rsid w:val="00153772"/>
    <w:rsid w:val="0015391D"/>
    <w:rsid w:val="00154306"/>
    <w:rsid w:val="00154AC2"/>
    <w:rsid w:val="00154FFF"/>
    <w:rsid w:val="0015522D"/>
    <w:rsid w:val="00156B2D"/>
    <w:rsid w:val="00156CA4"/>
    <w:rsid w:val="0016006D"/>
    <w:rsid w:val="001607BD"/>
    <w:rsid w:val="001608DA"/>
    <w:rsid w:val="00161975"/>
    <w:rsid w:val="00162597"/>
    <w:rsid w:val="00162B2D"/>
    <w:rsid w:val="001636C4"/>
    <w:rsid w:val="0016392B"/>
    <w:rsid w:val="001640D0"/>
    <w:rsid w:val="0016437E"/>
    <w:rsid w:val="00164ADD"/>
    <w:rsid w:val="00165B0E"/>
    <w:rsid w:val="00165C92"/>
    <w:rsid w:val="00166536"/>
    <w:rsid w:val="00166E19"/>
    <w:rsid w:val="00166F7F"/>
    <w:rsid w:val="001678BC"/>
    <w:rsid w:val="00167CF6"/>
    <w:rsid w:val="00170773"/>
    <w:rsid w:val="00170A4C"/>
    <w:rsid w:val="001710C4"/>
    <w:rsid w:val="00171464"/>
    <w:rsid w:val="00171BB4"/>
    <w:rsid w:val="001720CC"/>
    <w:rsid w:val="001721D8"/>
    <w:rsid w:val="001727DD"/>
    <w:rsid w:val="0017283D"/>
    <w:rsid w:val="00172A38"/>
    <w:rsid w:val="0017333B"/>
    <w:rsid w:val="001734FA"/>
    <w:rsid w:val="00173C6B"/>
    <w:rsid w:val="00174D55"/>
    <w:rsid w:val="001762B0"/>
    <w:rsid w:val="001762CA"/>
    <w:rsid w:val="001762E2"/>
    <w:rsid w:val="00176811"/>
    <w:rsid w:val="0017755B"/>
    <w:rsid w:val="001777F1"/>
    <w:rsid w:val="00180111"/>
    <w:rsid w:val="00180E01"/>
    <w:rsid w:val="0018144A"/>
    <w:rsid w:val="00181D00"/>
    <w:rsid w:val="001820BE"/>
    <w:rsid w:val="00182696"/>
    <w:rsid w:val="00182E2A"/>
    <w:rsid w:val="00182F44"/>
    <w:rsid w:val="00182F6F"/>
    <w:rsid w:val="001833BF"/>
    <w:rsid w:val="0018361A"/>
    <w:rsid w:val="00184131"/>
    <w:rsid w:val="0018432F"/>
    <w:rsid w:val="00184747"/>
    <w:rsid w:val="00184E8B"/>
    <w:rsid w:val="001850D8"/>
    <w:rsid w:val="001857BA"/>
    <w:rsid w:val="001858EB"/>
    <w:rsid w:val="00185A04"/>
    <w:rsid w:val="00186939"/>
    <w:rsid w:val="00187853"/>
    <w:rsid w:val="00190A4B"/>
    <w:rsid w:val="001910E3"/>
    <w:rsid w:val="0019310E"/>
    <w:rsid w:val="0019340F"/>
    <w:rsid w:val="001940EC"/>
    <w:rsid w:val="00194424"/>
    <w:rsid w:val="00194672"/>
    <w:rsid w:val="00194721"/>
    <w:rsid w:val="0019510B"/>
    <w:rsid w:val="00195F2A"/>
    <w:rsid w:val="00196AAF"/>
    <w:rsid w:val="00196ECE"/>
    <w:rsid w:val="001976F3"/>
    <w:rsid w:val="00197938"/>
    <w:rsid w:val="00197DF6"/>
    <w:rsid w:val="001A10FE"/>
    <w:rsid w:val="001A1304"/>
    <w:rsid w:val="001A2BAC"/>
    <w:rsid w:val="001A2FE0"/>
    <w:rsid w:val="001A3547"/>
    <w:rsid w:val="001A3A7D"/>
    <w:rsid w:val="001A3D8B"/>
    <w:rsid w:val="001A3FB2"/>
    <w:rsid w:val="001A413C"/>
    <w:rsid w:val="001A4976"/>
    <w:rsid w:val="001A4AA1"/>
    <w:rsid w:val="001A540D"/>
    <w:rsid w:val="001A5873"/>
    <w:rsid w:val="001A5B46"/>
    <w:rsid w:val="001A64E5"/>
    <w:rsid w:val="001A7A44"/>
    <w:rsid w:val="001A7B94"/>
    <w:rsid w:val="001A7BD5"/>
    <w:rsid w:val="001B1377"/>
    <w:rsid w:val="001B169F"/>
    <w:rsid w:val="001B16E1"/>
    <w:rsid w:val="001B2D77"/>
    <w:rsid w:val="001B3586"/>
    <w:rsid w:val="001B4CAE"/>
    <w:rsid w:val="001B4F7C"/>
    <w:rsid w:val="001B592B"/>
    <w:rsid w:val="001B64D7"/>
    <w:rsid w:val="001B6FF5"/>
    <w:rsid w:val="001C08EB"/>
    <w:rsid w:val="001C0DB8"/>
    <w:rsid w:val="001C0E8A"/>
    <w:rsid w:val="001C167A"/>
    <w:rsid w:val="001C16E0"/>
    <w:rsid w:val="001C1DCE"/>
    <w:rsid w:val="001C227C"/>
    <w:rsid w:val="001C239E"/>
    <w:rsid w:val="001C2B95"/>
    <w:rsid w:val="001C2BE2"/>
    <w:rsid w:val="001C33D8"/>
    <w:rsid w:val="001C36C2"/>
    <w:rsid w:val="001C3A21"/>
    <w:rsid w:val="001C3ACA"/>
    <w:rsid w:val="001C3BA5"/>
    <w:rsid w:val="001C478D"/>
    <w:rsid w:val="001C4E5D"/>
    <w:rsid w:val="001C506A"/>
    <w:rsid w:val="001C64C3"/>
    <w:rsid w:val="001C699E"/>
    <w:rsid w:val="001C6A2C"/>
    <w:rsid w:val="001C7253"/>
    <w:rsid w:val="001C77B7"/>
    <w:rsid w:val="001D04BD"/>
    <w:rsid w:val="001D06F7"/>
    <w:rsid w:val="001D0B8C"/>
    <w:rsid w:val="001D1146"/>
    <w:rsid w:val="001D12ED"/>
    <w:rsid w:val="001D1C40"/>
    <w:rsid w:val="001D1F52"/>
    <w:rsid w:val="001D284C"/>
    <w:rsid w:val="001D3913"/>
    <w:rsid w:val="001D3A9B"/>
    <w:rsid w:val="001D426A"/>
    <w:rsid w:val="001D5FCC"/>
    <w:rsid w:val="001D730B"/>
    <w:rsid w:val="001D768B"/>
    <w:rsid w:val="001E0EE9"/>
    <w:rsid w:val="001E0FC9"/>
    <w:rsid w:val="001E1D14"/>
    <w:rsid w:val="001E2115"/>
    <w:rsid w:val="001E26BC"/>
    <w:rsid w:val="001E2AE9"/>
    <w:rsid w:val="001E2DC8"/>
    <w:rsid w:val="001E3587"/>
    <w:rsid w:val="001E3E4E"/>
    <w:rsid w:val="001E400C"/>
    <w:rsid w:val="001E4432"/>
    <w:rsid w:val="001E4F6B"/>
    <w:rsid w:val="001E798F"/>
    <w:rsid w:val="001E7CD5"/>
    <w:rsid w:val="001F00FD"/>
    <w:rsid w:val="001F0205"/>
    <w:rsid w:val="001F10EF"/>
    <w:rsid w:val="001F2F6B"/>
    <w:rsid w:val="001F364B"/>
    <w:rsid w:val="001F3B4D"/>
    <w:rsid w:val="001F3C58"/>
    <w:rsid w:val="001F3F70"/>
    <w:rsid w:val="001F400B"/>
    <w:rsid w:val="001F40B6"/>
    <w:rsid w:val="001F481F"/>
    <w:rsid w:val="001F4998"/>
    <w:rsid w:val="001F5613"/>
    <w:rsid w:val="001F5774"/>
    <w:rsid w:val="001F5D3E"/>
    <w:rsid w:val="001F71D2"/>
    <w:rsid w:val="001F7580"/>
    <w:rsid w:val="001F77F1"/>
    <w:rsid w:val="002003F8"/>
    <w:rsid w:val="0020060F"/>
    <w:rsid w:val="002025A1"/>
    <w:rsid w:val="00204004"/>
    <w:rsid w:val="00204032"/>
    <w:rsid w:val="002046C9"/>
    <w:rsid w:val="00204B9E"/>
    <w:rsid w:val="00204FDF"/>
    <w:rsid w:val="002069B9"/>
    <w:rsid w:val="002073A5"/>
    <w:rsid w:val="00207BD9"/>
    <w:rsid w:val="002105C3"/>
    <w:rsid w:val="00211333"/>
    <w:rsid w:val="00211913"/>
    <w:rsid w:val="00211A8E"/>
    <w:rsid w:val="00211FBE"/>
    <w:rsid w:val="00214566"/>
    <w:rsid w:val="0021481C"/>
    <w:rsid w:val="00214976"/>
    <w:rsid w:val="00214C24"/>
    <w:rsid w:val="00214D3A"/>
    <w:rsid w:val="00214E36"/>
    <w:rsid w:val="00215385"/>
    <w:rsid w:val="002156D7"/>
    <w:rsid w:val="00215C2B"/>
    <w:rsid w:val="002169E8"/>
    <w:rsid w:val="00216B9C"/>
    <w:rsid w:val="00216C2C"/>
    <w:rsid w:val="00216CC4"/>
    <w:rsid w:val="00216F2B"/>
    <w:rsid w:val="002170E4"/>
    <w:rsid w:val="002202D1"/>
    <w:rsid w:val="00220356"/>
    <w:rsid w:val="00220CC4"/>
    <w:rsid w:val="00221C5B"/>
    <w:rsid w:val="00222039"/>
    <w:rsid w:val="00222E4B"/>
    <w:rsid w:val="00223E19"/>
    <w:rsid w:val="002246B9"/>
    <w:rsid w:val="00224A4E"/>
    <w:rsid w:val="0022525D"/>
    <w:rsid w:val="0022671B"/>
    <w:rsid w:val="00226FD4"/>
    <w:rsid w:val="002270C1"/>
    <w:rsid w:val="002271F4"/>
    <w:rsid w:val="00227694"/>
    <w:rsid w:val="0023013D"/>
    <w:rsid w:val="00231534"/>
    <w:rsid w:val="00231B0B"/>
    <w:rsid w:val="00231E46"/>
    <w:rsid w:val="0023252D"/>
    <w:rsid w:val="002328F8"/>
    <w:rsid w:val="00232E59"/>
    <w:rsid w:val="0023336E"/>
    <w:rsid w:val="002333D6"/>
    <w:rsid w:val="00234B6E"/>
    <w:rsid w:val="0023631F"/>
    <w:rsid w:val="00236AB9"/>
    <w:rsid w:val="00236AF1"/>
    <w:rsid w:val="002371A8"/>
    <w:rsid w:val="0023783C"/>
    <w:rsid w:val="002401E8"/>
    <w:rsid w:val="0024031B"/>
    <w:rsid w:val="00240570"/>
    <w:rsid w:val="00240BE2"/>
    <w:rsid w:val="0024130E"/>
    <w:rsid w:val="00241C27"/>
    <w:rsid w:val="00241F15"/>
    <w:rsid w:val="00242EAC"/>
    <w:rsid w:val="0024328C"/>
    <w:rsid w:val="00243298"/>
    <w:rsid w:val="002432B6"/>
    <w:rsid w:val="00243DAA"/>
    <w:rsid w:val="00243F05"/>
    <w:rsid w:val="00244922"/>
    <w:rsid w:val="002465E3"/>
    <w:rsid w:val="00246731"/>
    <w:rsid w:val="00247760"/>
    <w:rsid w:val="002504FC"/>
    <w:rsid w:val="00250A5E"/>
    <w:rsid w:val="002512D6"/>
    <w:rsid w:val="00251323"/>
    <w:rsid w:val="002522E3"/>
    <w:rsid w:val="00252615"/>
    <w:rsid w:val="00252756"/>
    <w:rsid w:val="00252966"/>
    <w:rsid w:val="00252E06"/>
    <w:rsid w:val="002531EC"/>
    <w:rsid w:val="00253447"/>
    <w:rsid w:val="0025367B"/>
    <w:rsid w:val="00253D34"/>
    <w:rsid w:val="00253D66"/>
    <w:rsid w:val="00253FC5"/>
    <w:rsid w:val="00254053"/>
    <w:rsid w:val="00254924"/>
    <w:rsid w:val="00254DC4"/>
    <w:rsid w:val="002552F4"/>
    <w:rsid w:val="0025591C"/>
    <w:rsid w:val="00255DB0"/>
    <w:rsid w:val="002565F6"/>
    <w:rsid w:val="00256C2C"/>
    <w:rsid w:val="0025756E"/>
    <w:rsid w:val="0025769F"/>
    <w:rsid w:val="00257961"/>
    <w:rsid w:val="00260190"/>
    <w:rsid w:val="00260283"/>
    <w:rsid w:val="002605E9"/>
    <w:rsid w:val="00260760"/>
    <w:rsid w:val="0026159B"/>
    <w:rsid w:val="0026206C"/>
    <w:rsid w:val="00262384"/>
    <w:rsid w:val="00262993"/>
    <w:rsid w:val="00263644"/>
    <w:rsid w:val="00263D76"/>
    <w:rsid w:val="00265F44"/>
    <w:rsid w:val="002664BC"/>
    <w:rsid w:val="00266684"/>
    <w:rsid w:val="002667A9"/>
    <w:rsid w:val="002668AD"/>
    <w:rsid w:val="00266C22"/>
    <w:rsid w:val="00267564"/>
    <w:rsid w:val="00267C66"/>
    <w:rsid w:val="00270846"/>
    <w:rsid w:val="002709E0"/>
    <w:rsid w:val="002710D9"/>
    <w:rsid w:val="00271BF9"/>
    <w:rsid w:val="0027211A"/>
    <w:rsid w:val="00272E12"/>
    <w:rsid w:val="00273A0A"/>
    <w:rsid w:val="00273ED4"/>
    <w:rsid w:val="00274319"/>
    <w:rsid w:val="00274EA5"/>
    <w:rsid w:val="00276136"/>
    <w:rsid w:val="00276363"/>
    <w:rsid w:val="002776AA"/>
    <w:rsid w:val="00277A52"/>
    <w:rsid w:val="002806CA"/>
    <w:rsid w:val="00280BEA"/>
    <w:rsid w:val="002812A4"/>
    <w:rsid w:val="00281559"/>
    <w:rsid w:val="00281D3B"/>
    <w:rsid w:val="00282760"/>
    <w:rsid w:val="00282A43"/>
    <w:rsid w:val="00282BA1"/>
    <w:rsid w:val="002831C7"/>
    <w:rsid w:val="00284531"/>
    <w:rsid w:val="00284FF9"/>
    <w:rsid w:val="00285ACA"/>
    <w:rsid w:val="002867AB"/>
    <w:rsid w:val="00286BE6"/>
    <w:rsid w:val="002873D4"/>
    <w:rsid w:val="00287405"/>
    <w:rsid w:val="002876FD"/>
    <w:rsid w:val="00287A2B"/>
    <w:rsid w:val="00287A65"/>
    <w:rsid w:val="00287AF9"/>
    <w:rsid w:val="00287C04"/>
    <w:rsid w:val="00287F1F"/>
    <w:rsid w:val="00287FEA"/>
    <w:rsid w:val="002900BF"/>
    <w:rsid w:val="00290374"/>
    <w:rsid w:val="002909CF"/>
    <w:rsid w:val="00291182"/>
    <w:rsid w:val="0029142F"/>
    <w:rsid w:val="00291E2E"/>
    <w:rsid w:val="00291ED7"/>
    <w:rsid w:val="00292340"/>
    <w:rsid w:val="002923BF"/>
    <w:rsid w:val="00292AFB"/>
    <w:rsid w:val="00292FFE"/>
    <w:rsid w:val="002941C3"/>
    <w:rsid w:val="0029446C"/>
    <w:rsid w:val="0029459E"/>
    <w:rsid w:val="00295610"/>
    <w:rsid w:val="0029592D"/>
    <w:rsid w:val="0029604F"/>
    <w:rsid w:val="002964C8"/>
    <w:rsid w:val="002966D4"/>
    <w:rsid w:val="00296802"/>
    <w:rsid w:val="002A1013"/>
    <w:rsid w:val="002A1E40"/>
    <w:rsid w:val="002A204D"/>
    <w:rsid w:val="002A2317"/>
    <w:rsid w:val="002A32C6"/>
    <w:rsid w:val="002A3908"/>
    <w:rsid w:val="002A431C"/>
    <w:rsid w:val="002A4650"/>
    <w:rsid w:val="002A4AB9"/>
    <w:rsid w:val="002A5880"/>
    <w:rsid w:val="002A5C9D"/>
    <w:rsid w:val="002A6755"/>
    <w:rsid w:val="002A6CFE"/>
    <w:rsid w:val="002A72E3"/>
    <w:rsid w:val="002A7996"/>
    <w:rsid w:val="002A7B92"/>
    <w:rsid w:val="002A7F8C"/>
    <w:rsid w:val="002B024B"/>
    <w:rsid w:val="002B0649"/>
    <w:rsid w:val="002B07C9"/>
    <w:rsid w:val="002B08AF"/>
    <w:rsid w:val="002B09BF"/>
    <w:rsid w:val="002B0ED1"/>
    <w:rsid w:val="002B12D4"/>
    <w:rsid w:val="002B2633"/>
    <w:rsid w:val="002B296B"/>
    <w:rsid w:val="002B3059"/>
    <w:rsid w:val="002B30DA"/>
    <w:rsid w:val="002B31B9"/>
    <w:rsid w:val="002B4BCC"/>
    <w:rsid w:val="002B4EED"/>
    <w:rsid w:val="002B59E8"/>
    <w:rsid w:val="002B6637"/>
    <w:rsid w:val="002B69EB"/>
    <w:rsid w:val="002B6F7E"/>
    <w:rsid w:val="002B7745"/>
    <w:rsid w:val="002B794B"/>
    <w:rsid w:val="002B7D7C"/>
    <w:rsid w:val="002C0440"/>
    <w:rsid w:val="002C073C"/>
    <w:rsid w:val="002C11BF"/>
    <w:rsid w:val="002C21E6"/>
    <w:rsid w:val="002C257E"/>
    <w:rsid w:val="002C385C"/>
    <w:rsid w:val="002C3AE1"/>
    <w:rsid w:val="002C3EAE"/>
    <w:rsid w:val="002C40C7"/>
    <w:rsid w:val="002C438F"/>
    <w:rsid w:val="002C462C"/>
    <w:rsid w:val="002C482C"/>
    <w:rsid w:val="002C491A"/>
    <w:rsid w:val="002C4ED7"/>
    <w:rsid w:val="002C5099"/>
    <w:rsid w:val="002C52F9"/>
    <w:rsid w:val="002C537C"/>
    <w:rsid w:val="002C5613"/>
    <w:rsid w:val="002C5B89"/>
    <w:rsid w:val="002C5EDE"/>
    <w:rsid w:val="002C5F5B"/>
    <w:rsid w:val="002C6DF6"/>
    <w:rsid w:val="002C7136"/>
    <w:rsid w:val="002C737A"/>
    <w:rsid w:val="002C7601"/>
    <w:rsid w:val="002C7F0B"/>
    <w:rsid w:val="002D1369"/>
    <w:rsid w:val="002D20E4"/>
    <w:rsid w:val="002D2603"/>
    <w:rsid w:val="002D26A3"/>
    <w:rsid w:val="002D2716"/>
    <w:rsid w:val="002D2EEF"/>
    <w:rsid w:val="002D34A2"/>
    <w:rsid w:val="002D4465"/>
    <w:rsid w:val="002D51E3"/>
    <w:rsid w:val="002D5B77"/>
    <w:rsid w:val="002D62A2"/>
    <w:rsid w:val="002D62CD"/>
    <w:rsid w:val="002D646B"/>
    <w:rsid w:val="002D6F97"/>
    <w:rsid w:val="002D7C53"/>
    <w:rsid w:val="002D7FA8"/>
    <w:rsid w:val="002E067F"/>
    <w:rsid w:val="002E0954"/>
    <w:rsid w:val="002E26B2"/>
    <w:rsid w:val="002E2D64"/>
    <w:rsid w:val="002E359D"/>
    <w:rsid w:val="002E3A68"/>
    <w:rsid w:val="002E3D14"/>
    <w:rsid w:val="002E4D57"/>
    <w:rsid w:val="002E5A7C"/>
    <w:rsid w:val="002E6756"/>
    <w:rsid w:val="002E6BDB"/>
    <w:rsid w:val="002E6FE3"/>
    <w:rsid w:val="002E775C"/>
    <w:rsid w:val="002E7BB0"/>
    <w:rsid w:val="002E7D06"/>
    <w:rsid w:val="002F028B"/>
    <w:rsid w:val="002F088C"/>
    <w:rsid w:val="002F0DEE"/>
    <w:rsid w:val="002F1691"/>
    <w:rsid w:val="002F1AF0"/>
    <w:rsid w:val="002F1B90"/>
    <w:rsid w:val="002F1E23"/>
    <w:rsid w:val="002F2C4A"/>
    <w:rsid w:val="002F2E9F"/>
    <w:rsid w:val="002F3352"/>
    <w:rsid w:val="002F358C"/>
    <w:rsid w:val="002F36F4"/>
    <w:rsid w:val="002F3736"/>
    <w:rsid w:val="002F4064"/>
    <w:rsid w:val="002F4C3C"/>
    <w:rsid w:val="002F51D5"/>
    <w:rsid w:val="002F529B"/>
    <w:rsid w:val="002F5765"/>
    <w:rsid w:val="002F5C39"/>
    <w:rsid w:val="002F5CF7"/>
    <w:rsid w:val="002F6EF5"/>
    <w:rsid w:val="002F7587"/>
    <w:rsid w:val="00300227"/>
    <w:rsid w:val="003003F5"/>
    <w:rsid w:val="00300734"/>
    <w:rsid w:val="00301116"/>
    <w:rsid w:val="00301176"/>
    <w:rsid w:val="003014A6"/>
    <w:rsid w:val="00301507"/>
    <w:rsid w:val="003027AB"/>
    <w:rsid w:val="00303751"/>
    <w:rsid w:val="00304742"/>
    <w:rsid w:val="00304A0C"/>
    <w:rsid w:val="00305261"/>
    <w:rsid w:val="003058F7"/>
    <w:rsid w:val="0030594C"/>
    <w:rsid w:val="0030601B"/>
    <w:rsid w:val="003071D9"/>
    <w:rsid w:val="003072BE"/>
    <w:rsid w:val="00311944"/>
    <w:rsid w:val="003119DE"/>
    <w:rsid w:val="00311B21"/>
    <w:rsid w:val="00312D98"/>
    <w:rsid w:val="003135E7"/>
    <w:rsid w:val="00313877"/>
    <w:rsid w:val="00314243"/>
    <w:rsid w:val="003146C7"/>
    <w:rsid w:val="00314AA8"/>
    <w:rsid w:val="00314B3A"/>
    <w:rsid w:val="00314F5B"/>
    <w:rsid w:val="0031507F"/>
    <w:rsid w:val="003157D7"/>
    <w:rsid w:val="00315E45"/>
    <w:rsid w:val="003162D3"/>
    <w:rsid w:val="003169C0"/>
    <w:rsid w:val="00317AF6"/>
    <w:rsid w:val="0031A650"/>
    <w:rsid w:val="003209D8"/>
    <w:rsid w:val="00321032"/>
    <w:rsid w:val="00321F26"/>
    <w:rsid w:val="0032202B"/>
    <w:rsid w:val="00322143"/>
    <w:rsid w:val="00322224"/>
    <w:rsid w:val="00322340"/>
    <w:rsid w:val="00322ECE"/>
    <w:rsid w:val="0032310C"/>
    <w:rsid w:val="0032412F"/>
    <w:rsid w:val="00324A04"/>
    <w:rsid w:val="00324CD5"/>
    <w:rsid w:val="00325502"/>
    <w:rsid w:val="00325AB7"/>
    <w:rsid w:val="00326A60"/>
    <w:rsid w:val="00327775"/>
    <w:rsid w:val="0032CF96"/>
    <w:rsid w:val="00330669"/>
    <w:rsid w:val="00330C66"/>
    <w:rsid w:val="00330E5B"/>
    <w:rsid w:val="003315E1"/>
    <w:rsid w:val="0033182D"/>
    <w:rsid w:val="003325C3"/>
    <w:rsid w:val="00332DA3"/>
    <w:rsid w:val="0033372A"/>
    <w:rsid w:val="00334A32"/>
    <w:rsid w:val="003350FC"/>
    <w:rsid w:val="00335213"/>
    <w:rsid w:val="00335235"/>
    <w:rsid w:val="00335662"/>
    <w:rsid w:val="00335D16"/>
    <w:rsid w:val="00335E18"/>
    <w:rsid w:val="003368CC"/>
    <w:rsid w:val="00336A49"/>
    <w:rsid w:val="00337C93"/>
    <w:rsid w:val="00340EE9"/>
    <w:rsid w:val="00341362"/>
    <w:rsid w:val="00341C11"/>
    <w:rsid w:val="00341DE2"/>
    <w:rsid w:val="00341E44"/>
    <w:rsid w:val="00342163"/>
    <w:rsid w:val="00342230"/>
    <w:rsid w:val="0034347E"/>
    <w:rsid w:val="00343863"/>
    <w:rsid w:val="00345605"/>
    <w:rsid w:val="00345FF5"/>
    <w:rsid w:val="00346EE3"/>
    <w:rsid w:val="003511FD"/>
    <w:rsid w:val="003514AA"/>
    <w:rsid w:val="00352B2E"/>
    <w:rsid w:val="00353CBA"/>
    <w:rsid w:val="00353CF6"/>
    <w:rsid w:val="00353FD8"/>
    <w:rsid w:val="00354070"/>
    <w:rsid w:val="00354868"/>
    <w:rsid w:val="0035497B"/>
    <w:rsid w:val="003556D2"/>
    <w:rsid w:val="00355737"/>
    <w:rsid w:val="00355861"/>
    <w:rsid w:val="00355E72"/>
    <w:rsid w:val="003561C3"/>
    <w:rsid w:val="003566E5"/>
    <w:rsid w:val="003576A0"/>
    <w:rsid w:val="003577E4"/>
    <w:rsid w:val="00357955"/>
    <w:rsid w:val="00360124"/>
    <w:rsid w:val="003611A7"/>
    <w:rsid w:val="0036296F"/>
    <w:rsid w:val="00363819"/>
    <w:rsid w:val="00363F60"/>
    <w:rsid w:val="00363FF0"/>
    <w:rsid w:val="00364823"/>
    <w:rsid w:val="00364C97"/>
    <w:rsid w:val="00365CA2"/>
    <w:rsid w:val="00365DB6"/>
    <w:rsid w:val="00366EB0"/>
    <w:rsid w:val="00367B9D"/>
    <w:rsid w:val="00367D16"/>
    <w:rsid w:val="003705AF"/>
    <w:rsid w:val="003706AC"/>
    <w:rsid w:val="003708C5"/>
    <w:rsid w:val="00371415"/>
    <w:rsid w:val="00371E43"/>
    <w:rsid w:val="00371FA5"/>
    <w:rsid w:val="003726A8"/>
    <w:rsid w:val="003731E1"/>
    <w:rsid w:val="0037330B"/>
    <w:rsid w:val="00373555"/>
    <w:rsid w:val="00374391"/>
    <w:rsid w:val="003747BF"/>
    <w:rsid w:val="00374FA7"/>
    <w:rsid w:val="003756C7"/>
    <w:rsid w:val="00375E7D"/>
    <w:rsid w:val="0037617C"/>
    <w:rsid w:val="003764C4"/>
    <w:rsid w:val="0037755B"/>
    <w:rsid w:val="00377AC6"/>
    <w:rsid w:val="00380217"/>
    <w:rsid w:val="003804DD"/>
    <w:rsid w:val="003807A6"/>
    <w:rsid w:val="00381003"/>
    <w:rsid w:val="003825A5"/>
    <w:rsid w:val="003834A6"/>
    <w:rsid w:val="003835DD"/>
    <w:rsid w:val="00383943"/>
    <w:rsid w:val="0038439E"/>
    <w:rsid w:val="003849AE"/>
    <w:rsid w:val="003853F5"/>
    <w:rsid w:val="003855EA"/>
    <w:rsid w:val="00385B77"/>
    <w:rsid w:val="00386358"/>
    <w:rsid w:val="00386679"/>
    <w:rsid w:val="00390135"/>
    <w:rsid w:val="00390544"/>
    <w:rsid w:val="00391048"/>
    <w:rsid w:val="00392D84"/>
    <w:rsid w:val="00394922"/>
    <w:rsid w:val="00394DF3"/>
    <w:rsid w:val="00395002"/>
    <w:rsid w:val="0039527A"/>
    <w:rsid w:val="00395734"/>
    <w:rsid w:val="0039589B"/>
    <w:rsid w:val="00395B4B"/>
    <w:rsid w:val="0039667F"/>
    <w:rsid w:val="0039696C"/>
    <w:rsid w:val="00396ACD"/>
    <w:rsid w:val="003971A1"/>
    <w:rsid w:val="003972C2"/>
    <w:rsid w:val="00397761"/>
    <w:rsid w:val="00397C26"/>
    <w:rsid w:val="003A059D"/>
    <w:rsid w:val="003A0CB1"/>
    <w:rsid w:val="003A1A73"/>
    <w:rsid w:val="003A1AD2"/>
    <w:rsid w:val="003A1CB3"/>
    <w:rsid w:val="003A1F91"/>
    <w:rsid w:val="003A20E7"/>
    <w:rsid w:val="003A225C"/>
    <w:rsid w:val="003A2316"/>
    <w:rsid w:val="003A2F2A"/>
    <w:rsid w:val="003A2F66"/>
    <w:rsid w:val="003A48BE"/>
    <w:rsid w:val="003A4A1A"/>
    <w:rsid w:val="003A5421"/>
    <w:rsid w:val="003A587A"/>
    <w:rsid w:val="003A59B5"/>
    <w:rsid w:val="003A5F45"/>
    <w:rsid w:val="003A6D69"/>
    <w:rsid w:val="003A72DA"/>
    <w:rsid w:val="003A7603"/>
    <w:rsid w:val="003A7764"/>
    <w:rsid w:val="003A7900"/>
    <w:rsid w:val="003B025E"/>
    <w:rsid w:val="003B111D"/>
    <w:rsid w:val="003B11F4"/>
    <w:rsid w:val="003B1A78"/>
    <w:rsid w:val="003B1EF9"/>
    <w:rsid w:val="003B211D"/>
    <w:rsid w:val="003B221C"/>
    <w:rsid w:val="003B2E98"/>
    <w:rsid w:val="003B3364"/>
    <w:rsid w:val="003B3455"/>
    <w:rsid w:val="003B35FE"/>
    <w:rsid w:val="003B39C2"/>
    <w:rsid w:val="003B39F8"/>
    <w:rsid w:val="003B4ABA"/>
    <w:rsid w:val="003B4DF2"/>
    <w:rsid w:val="003B5B90"/>
    <w:rsid w:val="003B5DDA"/>
    <w:rsid w:val="003B7292"/>
    <w:rsid w:val="003B7820"/>
    <w:rsid w:val="003C0AAC"/>
    <w:rsid w:val="003C1FC8"/>
    <w:rsid w:val="003C22C3"/>
    <w:rsid w:val="003C2A27"/>
    <w:rsid w:val="003C401C"/>
    <w:rsid w:val="003C5656"/>
    <w:rsid w:val="003C6661"/>
    <w:rsid w:val="003D05EF"/>
    <w:rsid w:val="003D06A9"/>
    <w:rsid w:val="003D0D23"/>
    <w:rsid w:val="003D2015"/>
    <w:rsid w:val="003D21E6"/>
    <w:rsid w:val="003D239C"/>
    <w:rsid w:val="003D2675"/>
    <w:rsid w:val="003D2A59"/>
    <w:rsid w:val="003D4225"/>
    <w:rsid w:val="003D4735"/>
    <w:rsid w:val="003D4741"/>
    <w:rsid w:val="003D485F"/>
    <w:rsid w:val="003D4EA3"/>
    <w:rsid w:val="003D5AF3"/>
    <w:rsid w:val="003D5F73"/>
    <w:rsid w:val="003D65C8"/>
    <w:rsid w:val="003D690B"/>
    <w:rsid w:val="003D6EDF"/>
    <w:rsid w:val="003D73B1"/>
    <w:rsid w:val="003D75BF"/>
    <w:rsid w:val="003E004B"/>
    <w:rsid w:val="003E02F4"/>
    <w:rsid w:val="003E06C6"/>
    <w:rsid w:val="003E0CA2"/>
    <w:rsid w:val="003E1FCA"/>
    <w:rsid w:val="003E27A2"/>
    <w:rsid w:val="003E2A48"/>
    <w:rsid w:val="003E3358"/>
    <w:rsid w:val="003E3513"/>
    <w:rsid w:val="003E3BB7"/>
    <w:rsid w:val="003E4C34"/>
    <w:rsid w:val="003E4E5C"/>
    <w:rsid w:val="003E518E"/>
    <w:rsid w:val="003E55B8"/>
    <w:rsid w:val="003E596F"/>
    <w:rsid w:val="003E5B6F"/>
    <w:rsid w:val="003E5DDC"/>
    <w:rsid w:val="003E6438"/>
    <w:rsid w:val="003E6A69"/>
    <w:rsid w:val="003E7836"/>
    <w:rsid w:val="003F03AB"/>
    <w:rsid w:val="003F1307"/>
    <w:rsid w:val="003F173D"/>
    <w:rsid w:val="003F1EDA"/>
    <w:rsid w:val="003F24E2"/>
    <w:rsid w:val="003F258F"/>
    <w:rsid w:val="003F3B3D"/>
    <w:rsid w:val="003F47CA"/>
    <w:rsid w:val="003F4B0E"/>
    <w:rsid w:val="003F5278"/>
    <w:rsid w:val="003F6BB5"/>
    <w:rsid w:val="003F6FFE"/>
    <w:rsid w:val="003F76B1"/>
    <w:rsid w:val="004001C4"/>
    <w:rsid w:val="00400493"/>
    <w:rsid w:val="00401536"/>
    <w:rsid w:val="00401FF9"/>
    <w:rsid w:val="0040217E"/>
    <w:rsid w:val="00402716"/>
    <w:rsid w:val="00402CB0"/>
    <w:rsid w:val="00403058"/>
    <w:rsid w:val="00403651"/>
    <w:rsid w:val="0040391B"/>
    <w:rsid w:val="00404A8B"/>
    <w:rsid w:val="004052EE"/>
    <w:rsid w:val="00405569"/>
    <w:rsid w:val="00405DB4"/>
    <w:rsid w:val="0040604A"/>
    <w:rsid w:val="00406450"/>
    <w:rsid w:val="00406E02"/>
    <w:rsid w:val="00406FC8"/>
    <w:rsid w:val="0040719C"/>
    <w:rsid w:val="00407263"/>
    <w:rsid w:val="0041097B"/>
    <w:rsid w:val="00410D0C"/>
    <w:rsid w:val="00411AEB"/>
    <w:rsid w:val="00412E59"/>
    <w:rsid w:val="00413BC6"/>
    <w:rsid w:val="00414348"/>
    <w:rsid w:val="00414956"/>
    <w:rsid w:val="004151BD"/>
    <w:rsid w:val="00415214"/>
    <w:rsid w:val="00415B65"/>
    <w:rsid w:val="0041621B"/>
    <w:rsid w:val="004164E2"/>
    <w:rsid w:val="0041690F"/>
    <w:rsid w:val="004178D9"/>
    <w:rsid w:val="00417EA6"/>
    <w:rsid w:val="0042029B"/>
    <w:rsid w:val="00421B66"/>
    <w:rsid w:val="00422974"/>
    <w:rsid w:val="00423D06"/>
    <w:rsid w:val="00424A2B"/>
    <w:rsid w:val="004253D3"/>
    <w:rsid w:val="0042581A"/>
    <w:rsid w:val="00425DD7"/>
    <w:rsid w:val="00425E58"/>
    <w:rsid w:val="0042604F"/>
    <w:rsid w:val="00426A72"/>
    <w:rsid w:val="00426F73"/>
    <w:rsid w:val="00427220"/>
    <w:rsid w:val="004279BF"/>
    <w:rsid w:val="004301FE"/>
    <w:rsid w:val="004302E3"/>
    <w:rsid w:val="00430E22"/>
    <w:rsid w:val="00431652"/>
    <w:rsid w:val="00431DA1"/>
    <w:rsid w:val="004325F5"/>
    <w:rsid w:val="00432634"/>
    <w:rsid w:val="004330E7"/>
    <w:rsid w:val="00435104"/>
    <w:rsid w:val="0043546B"/>
    <w:rsid w:val="004354D0"/>
    <w:rsid w:val="004362E9"/>
    <w:rsid w:val="004365BF"/>
    <w:rsid w:val="00436AD1"/>
    <w:rsid w:val="00437AA5"/>
    <w:rsid w:val="00437CCC"/>
    <w:rsid w:val="004406D9"/>
    <w:rsid w:val="004409A0"/>
    <w:rsid w:val="00441017"/>
    <w:rsid w:val="00441DA4"/>
    <w:rsid w:val="0044216C"/>
    <w:rsid w:val="00442318"/>
    <w:rsid w:val="00442705"/>
    <w:rsid w:val="004435CA"/>
    <w:rsid w:val="00443C6B"/>
    <w:rsid w:val="00444037"/>
    <w:rsid w:val="00444336"/>
    <w:rsid w:val="00444674"/>
    <w:rsid w:val="00444873"/>
    <w:rsid w:val="00444ABC"/>
    <w:rsid w:val="004451A3"/>
    <w:rsid w:val="004455A1"/>
    <w:rsid w:val="004461F1"/>
    <w:rsid w:val="0044686F"/>
    <w:rsid w:val="00447282"/>
    <w:rsid w:val="00450300"/>
    <w:rsid w:val="00450EA3"/>
    <w:rsid w:val="00451150"/>
    <w:rsid w:val="00451176"/>
    <w:rsid w:val="00452FD1"/>
    <w:rsid w:val="00453020"/>
    <w:rsid w:val="004530D7"/>
    <w:rsid w:val="0045384D"/>
    <w:rsid w:val="00454BE4"/>
    <w:rsid w:val="004552B3"/>
    <w:rsid w:val="0045571A"/>
    <w:rsid w:val="0045580F"/>
    <w:rsid w:val="0045586E"/>
    <w:rsid w:val="004558FC"/>
    <w:rsid w:val="0045611A"/>
    <w:rsid w:val="00456520"/>
    <w:rsid w:val="00456A78"/>
    <w:rsid w:val="004574A1"/>
    <w:rsid w:val="00457AF3"/>
    <w:rsid w:val="00457D57"/>
    <w:rsid w:val="00460175"/>
    <w:rsid w:val="00460859"/>
    <w:rsid w:val="004614A1"/>
    <w:rsid w:val="004615ED"/>
    <w:rsid w:val="004617A5"/>
    <w:rsid w:val="00461A3F"/>
    <w:rsid w:val="00461CBD"/>
    <w:rsid w:val="00461D70"/>
    <w:rsid w:val="00461F0B"/>
    <w:rsid w:val="00462ED4"/>
    <w:rsid w:val="00463E20"/>
    <w:rsid w:val="00463E6F"/>
    <w:rsid w:val="0046402A"/>
    <w:rsid w:val="0046404F"/>
    <w:rsid w:val="00464DB4"/>
    <w:rsid w:val="00465D01"/>
    <w:rsid w:val="004660E8"/>
    <w:rsid w:val="00466785"/>
    <w:rsid w:val="00467265"/>
    <w:rsid w:val="00467563"/>
    <w:rsid w:val="004706C1"/>
    <w:rsid w:val="00470CC7"/>
    <w:rsid w:val="00470FB9"/>
    <w:rsid w:val="00471B17"/>
    <w:rsid w:val="00471DDB"/>
    <w:rsid w:val="004721B3"/>
    <w:rsid w:val="00472687"/>
    <w:rsid w:val="0047573B"/>
    <w:rsid w:val="004764A0"/>
    <w:rsid w:val="004768C7"/>
    <w:rsid w:val="00476FFD"/>
    <w:rsid w:val="004774FA"/>
    <w:rsid w:val="004811FB"/>
    <w:rsid w:val="00481DD7"/>
    <w:rsid w:val="0048213B"/>
    <w:rsid w:val="00482646"/>
    <w:rsid w:val="00482C16"/>
    <w:rsid w:val="0048390C"/>
    <w:rsid w:val="00484E6A"/>
    <w:rsid w:val="00484E95"/>
    <w:rsid w:val="0048507E"/>
    <w:rsid w:val="004854E1"/>
    <w:rsid w:val="00485552"/>
    <w:rsid w:val="00485623"/>
    <w:rsid w:val="004862E2"/>
    <w:rsid w:val="00486325"/>
    <w:rsid w:val="00486635"/>
    <w:rsid w:val="00487BAA"/>
    <w:rsid w:val="00487D59"/>
    <w:rsid w:val="00490891"/>
    <w:rsid w:val="00490FE1"/>
    <w:rsid w:val="0049178E"/>
    <w:rsid w:val="00492396"/>
    <w:rsid w:val="004923A9"/>
    <w:rsid w:val="004927B7"/>
    <w:rsid w:val="00492ED8"/>
    <w:rsid w:val="00493534"/>
    <w:rsid w:val="0049388B"/>
    <w:rsid w:val="00493BF6"/>
    <w:rsid w:val="004946DC"/>
    <w:rsid w:val="00494CBD"/>
    <w:rsid w:val="00494F0C"/>
    <w:rsid w:val="004954A5"/>
    <w:rsid w:val="00496E46"/>
    <w:rsid w:val="00497767"/>
    <w:rsid w:val="00497EAE"/>
    <w:rsid w:val="004A09DC"/>
    <w:rsid w:val="004A13AE"/>
    <w:rsid w:val="004A141B"/>
    <w:rsid w:val="004A15B5"/>
    <w:rsid w:val="004A19E8"/>
    <w:rsid w:val="004A2E61"/>
    <w:rsid w:val="004A2E98"/>
    <w:rsid w:val="004A40C8"/>
    <w:rsid w:val="004A4803"/>
    <w:rsid w:val="004A52DF"/>
    <w:rsid w:val="004A604B"/>
    <w:rsid w:val="004A638A"/>
    <w:rsid w:val="004A6653"/>
    <w:rsid w:val="004A722A"/>
    <w:rsid w:val="004B018B"/>
    <w:rsid w:val="004B02B8"/>
    <w:rsid w:val="004B0A68"/>
    <w:rsid w:val="004B118F"/>
    <w:rsid w:val="004B3014"/>
    <w:rsid w:val="004B310E"/>
    <w:rsid w:val="004B33E1"/>
    <w:rsid w:val="004B365E"/>
    <w:rsid w:val="004B4032"/>
    <w:rsid w:val="004B53C6"/>
    <w:rsid w:val="004B600C"/>
    <w:rsid w:val="004B6768"/>
    <w:rsid w:val="004B68C9"/>
    <w:rsid w:val="004B74AC"/>
    <w:rsid w:val="004B7709"/>
    <w:rsid w:val="004B7C4A"/>
    <w:rsid w:val="004C0B0C"/>
    <w:rsid w:val="004C0C81"/>
    <w:rsid w:val="004C152C"/>
    <w:rsid w:val="004C1E43"/>
    <w:rsid w:val="004C3C3C"/>
    <w:rsid w:val="004C400E"/>
    <w:rsid w:val="004C4A63"/>
    <w:rsid w:val="004C4CF3"/>
    <w:rsid w:val="004C4F4C"/>
    <w:rsid w:val="004C53CF"/>
    <w:rsid w:val="004C573A"/>
    <w:rsid w:val="004C5A40"/>
    <w:rsid w:val="004C618B"/>
    <w:rsid w:val="004C6BC0"/>
    <w:rsid w:val="004C7118"/>
    <w:rsid w:val="004C7E72"/>
    <w:rsid w:val="004D1855"/>
    <w:rsid w:val="004D1CAD"/>
    <w:rsid w:val="004D3F37"/>
    <w:rsid w:val="004D429C"/>
    <w:rsid w:val="004D460F"/>
    <w:rsid w:val="004D47A1"/>
    <w:rsid w:val="004D4988"/>
    <w:rsid w:val="004D4CE2"/>
    <w:rsid w:val="004D5A99"/>
    <w:rsid w:val="004D5C60"/>
    <w:rsid w:val="004D6B00"/>
    <w:rsid w:val="004D6BCA"/>
    <w:rsid w:val="004D6C8F"/>
    <w:rsid w:val="004D6EEA"/>
    <w:rsid w:val="004D7E97"/>
    <w:rsid w:val="004E05A7"/>
    <w:rsid w:val="004E0733"/>
    <w:rsid w:val="004E0735"/>
    <w:rsid w:val="004E083F"/>
    <w:rsid w:val="004E0BB2"/>
    <w:rsid w:val="004E1613"/>
    <w:rsid w:val="004E19F9"/>
    <w:rsid w:val="004E1F38"/>
    <w:rsid w:val="004E1FD1"/>
    <w:rsid w:val="004E25A7"/>
    <w:rsid w:val="004E2795"/>
    <w:rsid w:val="004E2AC4"/>
    <w:rsid w:val="004E3690"/>
    <w:rsid w:val="004E3749"/>
    <w:rsid w:val="004E4374"/>
    <w:rsid w:val="004E466B"/>
    <w:rsid w:val="004E4793"/>
    <w:rsid w:val="004E5568"/>
    <w:rsid w:val="004E59AB"/>
    <w:rsid w:val="004E5D9B"/>
    <w:rsid w:val="004E6590"/>
    <w:rsid w:val="004E72C4"/>
    <w:rsid w:val="004E74B7"/>
    <w:rsid w:val="004E776C"/>
    <w:rsid w:val="004F099D"/>
    <w:rsid w:val="004F0A1B"/>
    <w:rsid w:val="004F1532"/>
    <w:rsid w:val="004F1781"/>
    <w:rsid w:val="004F2ADA"/>
    <w:rsid w:val="004F30DC"/>
    <w:rsid w:val="004F3A66"/>
    <w:rsid w:val="004F4318"/>
    <w:rsid w:val="004F49F0"/>
    <w:rsid w:val="004F4D4A"/>
    <w:rsid w:val="004F5C40"/>
    <w:rsid w:val="004F5EF1"/>
    <w:rsid w:val="004F5FA8"/>
    <w:rsid w:val="004F683E"/>
    <w:rsid w:val="004F6E91"/>
    <w:rsid w:val="004F6ED0"/>
    <w:rsid w:val="004F707B"/>
    <w:rsid w:val="004F72AB"/>
    <w:rsid w:val="004F7334"/>
    <w:rsid w:val="004F79D4"/>
    <w:rsid w:val="004F7DDA"/>
    <w:rsid w:val="0050022D"/>
    <w:rsid w:val="00500239"/>
    <w:rsid w:val="00500351"/>
    <w:rsid w:val="00500794"/>
    <w:rsid w:val="00500B61"/>
    <w:rsid w:val="00500F9A"/>
    <w:rsid w:val="00501586"/>
    <w:rsid w:val="0050180E"/>
    <w:rsid w:val="0050191F"/>
    <w:rsid w:val="005037CF"/>
    <w:rsid w:val="00504AAE"/>
    <w:rsid w:val="00504B2D"/>
    <w:rsid w:val="0050642A"/>
    <w:rsid w:val="00506606"/>
    <w:rsid w:val="00506B35"/>
    <w:rsid w:val="00506CD0"/>
    <w:rsid w:val="00507666"/>
    <w:rsid w:val="00507A4F"/>
    <w:rsid w:val="00507B25"/>
    <w:rsid w:val="00507D18"/>
    <w:rsid w:val="00510130"/>
    <w:rsid w:val="005104E6"/>
    <w:rsid w:val="00510989"/>
    <w:rsid w:val="005114CF"/>
    <w:rsid w:val="00511974"/>
    <w:rsid w:val="005124D2"/>
    <w:rsid w:val="005124E0"/>
    <w:rsid w:val="005128A3"/>
    <w:rsid w:val="00513622"/>
    <w:rsid w:val="005138E7"/>
    <w:rsid w:val="00514D4C"/>
    <w:rsid w:val="005158A6"/>
    <w:rsid w:val="005159F6"/>
    <w:rsid w:val="005164EA"/>
    <w:rsid w:val="00516843"/>
    <w:rsid w:val="00516CE5"/>
    <w:rsid w:val="00516FE7"/>
    <w:rsid w:val="00517205"/>
    <w:rsid w:val="00517AFF"/>
    <w:rsid w:val="0052095E"/>
    <w:rsid w:val="005218C8"/>
    <w:rsid w:val="00521A27"/>
    <w:rsid w:val="00521E93"/>
    <w:rsid w:val="00522071"/>
    <w:rsid w:val="005221DB"/>
    <w:rsid w:val="005221EC"/>
    <w:rsid w:val="00523296"/>
    <w:rsid w:val="0052390B"/>
    <w:rsid w:val="00523D29"/>
    <w:rsid w:val="00524299"/>
    <w:rsid w:val="005245CD"/>
    <w:rsid w:val="00524B4F"/>
    <w:rsid w:val="005253EE"/>
    <w:rsid w:val="00526191"/>
    <w:rsid w:val="00526969"/>
    <w:rsid w:val="00526E0A"/>
    <w:rsid w:val="00527304"/>
    <w:rsid w:val="005274EF"/>
    <w:rsid w:val="005279BF"/>
    <w:rsid w:val="00527F13"/>
    <w:rsid w:val="0053064D"/>
    <w:rsid w:val="00530E45"/>
    <w:rsid w:val="00530E7C"/>
    <w:rsid w:val="0053143B"/>
    <w:rsid w:val="00531730"/>
    <w:rsid w:val="0053202B"/>
    <w:rsid w:val="0053218A"/>
    <w:rsid w:val="005326E1"/>
    <w:rsid w:val="005327BA"/>
    <w:rsid w:val="00532E27"/>
    <w:rsid w:val="00533D3A"/>
    <w:rsid w:val="00533ED7"/>
    <w:rsid w:val="00533EF9"/>
    <w:rsid w:val="005348C6"/>
    <w:rsid w:val="00534EB7"/>
    <w:rsid w:val="00534EE0"/>
    <w:rsid w:val="00535D20"/>
    <w:rsid w:val="00536DE6"/>
    <w:rsid w:val="00537241"/>
    <w:rsid w:val="0053737E"/>
    <w:rsid w:val="00540ABB"/>
    <w:rsid w:val="00540F40"/>
    <w:rsid w:val="0054114F"/>
    <w:rsid w:val="00541599"/>
    <w:rsid w:val="00542487"/>
    <w:rsid w:val="00542B11"/>
    <w:rsid w:val="00542EC0"/>
    <w:rsid w:val="00543768"/>
    <w:rsid w:val="0054384D"/>
    <w:rsid w:val="00543BFB"/>
    <w:rsid w:val="005440F0"/>
    <w:rsid w:val="0054412C"/>
    <w:rsid w:val="005449A0"/>
    <w:rsid w:val="00544A29"/>
    <w:rsid w:val="00544AB1"/>
    <w:rsid w:val="0054543A"/>
    <w:rsid w:val="005467FF"/>
    <w:rsid w:val="00547171"/>
    <w:rsid w:val="00547AB1"/>
    <w:rsid w:val="00550369"/>
    <w:rsid w:val="00550F7C"/>
    <w:rsid w:val="0055131D"/>
    <w:rsid w:val="0055166F"/>
    <w:rsid w:val="00553788"/>
    <w:rsid w:val="00553860"/>
    <w:rsid w:val="00553896"/>
    <w:rsid w:val="00554898"/>
    <w:rsid w:val="005557DB"/>
    <w:rsid w:val="0055683B"/>
    <w:rsid w:val="00557157"/>
    <w:rsid w:val="00557A8D"/>
    <w:rsid w:val="00557C00"/>
    <w:rsid w:val="00557D39"/>
    <w:rsid w:val="0056012E"/>
    <w:rsid w:val="00560141"/>
    <w:rsid w:val="00560F22"/>
    <w:rsid w:val="00561254"/>
    <w:rsid w:val="00562003"/>
    <w:rsid w:val="00562453"/>
    <w:rsid w:val="00562541"/>
    <w:rsid w:val="00562C46"/>
    <w:rsid w:val="00562C8E"/>
    <w:rsid w:val="00562EE2"/>
    <w:rsid w:val="00563121"/>
    <w:rsid w:val="005635C1"/>
    <w:rsid w:val="00563F29"/>
    <w:rsid w:val="00564A0A"/>
    <w:rsid w:val="0056551E"/>
    <w:rsid w:val="00565EC6"/>
    <w:rsid w:val="00566803"/>
    <w:rsid w:val="0056687C"/>
    <w:rsid w:val="00566965"/>
    <w:rsid w:val="00566982"/>
    <w:rsid w:val="005676E3"/>
    <w:rsid w:val="00567A4C"/>
    <w:rsid w:val="0057056D"/>
    <w:rsid w:val="00571058"/>
    <w:rsid w:val="0057153C"/>
    <w:rsid w:val="00572342"/>
    <w:rsid w:val="0057253E"/>
    <w:rsid w:val="005730A4"/>
    <w:rsid w:val="00573AF9"/>
    <w:rsid w:val="00573EEB"/>
    <w:rsid w:val="005745E8"/>
    <w:rsid w:val="005746A0"/>
    <w:rsid w:val="0057556E"/>
    <w:rsid w:val="005756FB"/>
    <w:rsid w:val="00575AE2"/>
    <w:rsid w:val="00575C5E"/>
    <w:rsid w:val="005761D1"/>
    <w:rsid w:val="00576449"/>
    <w:rsid w:val="00576495"/>
    <w:rsid w:val="00576B9D"/>
    <w:rsid w:val="00576E77"/>
    <w:rsid w:val="00577018"/>
    <w:rsid w:val="00580172"/>
    <w:rsid w:val="00580A58"/>
    <w:rsid w:val="0058181B"/>
    <w:rsid w:val="00581890"/>
    <w:rsid w:val="00581E18"/>
    <w:rsid w:val="00582419"/>
    <w:rsid w:val="00582573"/>
    <w:rsid w:val="0058277E"/>
    <w:rsid w:val="00582810"/>
    <w:rsid w:val="00582BB7"/>
    <w:rsid w:val="00583816"/>
    <w:rsid w:val="0058441B"/>
    <w:rsid w:val="00584726"/>
    <w:rsid w:val="005848B3"/>
    <w:rsid w:val="00584924"/>
    <w:rsid w:val="005849E8"/>
    <w:rsid w:val="00585205"/>
    <w:rsid w:val="005852C3"/>
    <w:rsid w:val="005853E0"/>
    <w:rsid w:val="005853E9"/>
    <w:rsid w:val="00585E2F"/>
    <w:rsid w:val="00586826"/>
    <w:rsid w:val="00587167"/>
    <w:rsid w:val="00590F84"/>
    <w:rsid w:val="00591B89"/>
    <w:rsid w:val="005928F1"/>
    <w:rsid w:val="00593878"/>
    <w:rsid w:val="005952B4"/>
    <w:rsid w:val="00595540"/>
    <w:rsid w:val="0059599D"/>
    <w:rsid w:val="00595BE8"/>
    <w:rsid w:val="00595BFA"/>
    <w:rsid w:val="00596CD8"/>
    <w:rsid w:val="00597AEE"/>
    <w:rsid w:val="00597FB4"/>
    <w:rsid w:val="005A1616"/>
    <w:rsid w:val="005A18B0"/>
    <w:rsid w:val="005A1C0B"/>
    <w:rsid w:val="005A212E"/>
    <w:rsid w:val="005A264A"/>
    <w:rsid w:val="005A2AFA"/>
    <w:rsid w:val="005A2B58"/>
    <w:rsid w:val="005A2CA0"/>
    <w:rsid w:val="005A2D8A"/>
    <w:rsid w:val="005A30C2"/>
    <w:rsid w:val="005A34C2"/>
    <w:rsid w:val="005A3723"/>
    <w:rsid w:val="005A3DEF"/>
    <w:rsid w:val="005A41C6"/>
    <w:rsid w:val="005A4205"/>
    <w:rsid w:val="005A4EDB"/>
    <w:rsid w:val="005A5381"/>
    <w:rsid w:val="005A6769"/>
    <w:rsid w:val="005A6C7F"/>
    <w:rsid w:val="005A6F28"/>
    <w:rsid w:val="005A7B86"/>
    <w:rsid w:val="005B0BD3"/>
    <w:rsid w:val="005B0CB4"/>
    <w:rsid w:val="005B0F3E"/>
    <w:rsid w:val="005B18D6"/>
    <w:rsid w:val="005B192F"/>
    <w:rsid w:val="005B1F05"/>
    <w:rsid w:val="005B1FF0"/>
    <w:rsid w:val="005B2DED"/>
    <w:rsid w:val="005B3137"/>
    <w:rsid w:val="005B344B"/>
    <w:rsid w:val="005B3748"/>
    <w:rsid w:val="005B396E"/>
    <w:rsid w:val="005B4725"/>
    <w:rsid w:val="005B4AD9"/>
    <w:rsid w:val="005B4F81"/>
    <w:rsid w:val="005B505C"/>
    <w:rsid w:val="005B5FA6"/>
    <w:rsid w:val="005B5FB4"/>
    <w:rsid w:val="005B61E9"/>
    <w:rsid w:val="005B63B8"/>
    <w:rsid w:val="005B77EA"/>
    <w:rsid w:val="005B7D5C"/>
    <w:rsid w:val="005B7F74"/>
    <w:rsid w:val="005C03AB"/>
    <w:rsid w:val="005C0409"/>
    <w:rsid w:val="005C115E"/>
    <w:rsid w:val="005C40CB"/>
    <w:rsid w:val="005C653A"/>
    <w:rsid w:val="005C6A69"/>
    <w:rsid w:val="005C711A"/>
    <w:rsid w:val="005C7432"/>
    <w:rsid w:val="005C76FA"/>
    <w:rsid w:val="005D00E8"/>
    <w:rsid w:val="005D06A9"/>
    <w:rsid w:val="005D088D"/>
    <w:rsid w:val="005D099B"/>
    <w:rsid w:val="005D0D6A"/>
    <w:rsid w:val="005D0E42"/>
    <w:rsid w:val="005D1485"/>
    <w:rsid w:val="005D1766"/>
    <w:rsid w:val="005D2AE2"/>
    <w:rsid w:val="005D429A"/>
    <w:rsid w:val="005D4E68"/>
    <w:rsid w:val="005D600B"/>
    <w:rsid w:val="005D665A"/>
    <w:rsid w:val="005D6E18"/>
    <w:rsid w:val="005D7361"/>
    <w:rsid w:val="005D7DFE"/>
    <w:rsid w:val="005E0013"/>
    <w:rsid w:val="005E0529"/>
    <w:rsid w:val="005E0D3C"/>
    <w:rsid w:val="005E0D51"/>
    <w:rsid w:val="005E153E"/>
    <w:rsid w:val="005E2691"/>
    <w:rsid w:val="005E2782"/>
    <w:rsid w:val="005E32A9"/>
    <w:rsid w:val="005E4834"/>
    <w:rsid w:val="005E4982"/>
    <w:rsid w:val="005E4A7B"/>
    <w:rsid w:val="005E590B"/>
    <w:rsid w:val="005E684F"/>
    <w:rsid w:val="005E69D7"/>
    <w:rsid w:val="005E7A54"/>
    <w:rsid w:val="005E7B7E"/>
    <w:rsid w:val="005F021E"/>
    <w:rsid w:val="005F0AA8"/>
    <w:rsid w:val="005F0D06"/>
    <w:rsid w:val="005F174C"/>
    <w:rsid w:val="005F1DF0"/>
    <w:rsid w:val="005F289E"/>
    <w:rsid w:val="005F2A0B"/>
    <w:rsid w:val="005F2D3A"/>
    <w:rsid w:val="005F371D"/>
    <w:rsid w:val="005F43E5"/>
    <w:rsid w:val="005F477A"/>
    <w:rsid w:val="005F4D3B"/>
    <w:rsid w:val="005F56B3"/>
    <w:rsid w:val="005F5BBC"/>
    <w:rsid w:val="005F5DF5"/>
    <w:rsid w:val="005F6760"/>
    <w:rsid w:val="005F7D08"/>
    <w:rsid w:val="005F7F83"/>
    <w:rsid w:val="0060066F"/>
    <w:rsid w:val="006006AA"/>
    <w:rsid w:val="00601988"/>
    <w:rsid w:val="00601ACB"/>
    <w:rsid w:val="00601BB3"/>
    <w:rsid w:val="00602F84"/>
    <w:rsid w:val="00603013"/>
    <w:rsid w:val="006031B6"/>
    <w:rsid w:val="00603833"/>
    <w:rsid w:val="00603EFA"/>
    <w:rsid w:val="00603FC3"/>
    <w:rsid w:val="00604484"/>
    <w:rsid w:val="006045B2"/>
    <w:rsid w:val="00604CF8"/>
    <w:rsid w:val="00605381"/>
    <w:rsid w:val="00605666"/>
    <w:rsid w:val="00605B3D"/>
    <w:rsid w:val="00605D72"/>
    <w:rsid w:val="00605ED9"/>
    <w:rsid w:val="006064F8"/>
    <w:rsid w:val="006064FE"/>
    <w:rsid w:val="006065C1"/>
    <w:rsid w:val="006065E5"/>
    <w:rsid w:val="00606D6A"/>
    <w:rsid w:val="00606EBC"/>
    <w:rsid w:val="0060703D"/>
    <w:rsid w:val="006075D5"/>
    <w:rsid w:val="00607ACD"/>
    <w:rsid w:val="00607DFE"/>
    <w:rsid w:val="00607E37"/>
    <w:rsid w:val="006102C8"/>
    <w:rsid w:val="00610B09"/>
    <w:rsid w:val="00611836"/>
    <w:rsid w:val="00611BA3"/>
    <w:rsid w:val="00612090"/>
    <w:rsid w:val="00612505"/>
    <w:rsid w:val="006131E1"/>
    <w:rsid w:val="0061376E"/>
    <w:rsid w:val="0061387A"/>
    <w:rsid w:val="00613CC8"/>
    <w:rsid w:val="006143E0"/>
    <w:rsid w:val="006147BA"/>
    <w:rsid w:val="0061589F"/>
    <w:rsid w:val="00616680"/>
    <w:rsid w:val="0061677A"/>
    <w:rsid w:val="006173AE"/>
    <w:rsid w:val="00617F38"/>
    <w:rsid w:val="00620298"/>
    <w:rsid w:val="006206C9"/>
    <w:rsid w:val="00620C24"/>
    <w:rsid w:val="00621754"/>
    <w:rsid w:val="006218FC"/>
    <w:rsid w:val="00623204"/>
    <w:rsid w:val="006238FF"/>
    <w:rsid w:val="00623E8E"/>
    <w:rsid w:val="006245D9"/>
    <w:rsid w:val="0062573C"/>
    <w:rsid w:val="006257DA"/>
    <w:rsid w:val="0062594D"/>
    <w:rsid w:val="00625986"/>
    <w:rsid w:val="006259E9"/>
    <w:rsid w:val="00625D7F"/>
    <w:rsid w:val="006261ED"/>
    <w:rsid w:val="00626506"/>
    <w:rsid w:val="00626563"/>
    <w:rsid w:val="00626820"/>
    <w:rsid w:val="006268D8"/>
    <w:rsid w:val="006269A0"/>
    <w:rsid w:val="00627036"/>
    <w:rsid w:val="00627084"/>
    <w:rsid w:val="0062730B"/>
    <w:rsid w:val="00627C9E"/>
    <w:rsid w:val="00627CB7"/>
    <w:rsid w:val="00630470"/>
    <w:rsid w:val="00630A01"/>
    <w:rsid w:val="00631937"/>
    <w:rsid w:val="00632B9D"/>
    <w:rsid w:val="00633024"/>
    <w:rsid w:val="006339D7"/>
    <w:rsid w:val="00634D32"/>
    <w:rsid w:val="00634E8E"/>
    <w:rsid w:val="00634ED7"/>
    <w:rsid w:val="00635117"/>
    <w:rsid w:val="0063592A"/>
    <w:rsid w:val="00635E01"/>
    <w:rsid w:val="00636131"/>
    <w:rsid w:val="00636741"/>
    <w:rsid w:val="00636878"/>
    <w:rsid w:val="006368A9"/>
    <w:rsid w:val="00636E31"/>
    <w:rsid w:val="0063765B"/>
    <w:rsid w:val="0064065E"/>
    <w:rsid w:val="00640915"/>
    <w:rsid w:val="00640A70"/>
    <w:rsid w:val="006410DD"/>
    <w:rsid w:val="006416E3"/>
    <w:rsid w:val="00641734"/>
    <w:rsid w:val="00641753"/>
    <w:rsid w:val="00642209"/>
    <w:rsid w:val="006426CD"/>
    <w:rsid w:val="006426E5"/>
    <w:rsid w:val="00642C37"/>
    <w:rsid w:val="006432BC"/>
    <w:rsid w:val="006444E7"/>
    <w:rsid w:val="0064673E"/>
    <w:rsid w:val="0064766A"/>
    <w:rsid w:val="0065035E"/>
    <w:rsid w:val="00651045"/>
    <w:rsid w:val="00651440"/>
    <w:rsid w:val="00651805"/>
    <w:rsid w:val="006518D6"/>
    <w:rsid w:val="00651A16"/>
    <w:rsid w:val="006521CB"/>
    <w:rsid w:val="006527BD"/>
    <w:rsid w:val="0065294F"/>
    <w:rsid w:val="00652F9D"/>
    <w:rsid w:val="00653898"/>
    <w:rsid w:val="006545EC"/>
    <w:rsid w:val="0065489A"/>
    <w:rsid w:val="00655144"/>
    <w:rsid w:val="006551B8"/>
    <w:rsid w:val="00655A68"/>
    <w:rsid w:val="006565F2"/>
    <w:rsid w:val="00657E15"/>
    <w:rsid w:val="00657E4C"/>
    <w:rsid w:val="006606E4"/>
    <w:rsid w:val="00660C14"/>
    <w:rsid w:val="00662D41"/>
    <w:rsid w:val="006640E9"/>
    <w:rsid w:val="00664363"/>
    <w:rsid w:val="00664366"/>
    <w:rsid w:val="00664BE1"/>
    <w:rsid w:val="006654AB"/>
    <w:rsid w:val="006664D1"/>
    <w:rsid w:val="00666B44"/>
    <w:rsid w:val="006707CF"/>
    <w:rsid w:val="00670F28"/>
    <w:rsid w:val="00671A24"/>
    <w:rsid w:val="00671E93"/>
    <w:rsid w:val="00672A15"/>
    <w:rsid w:val="00672BAC"/>
    <w:rsid w:val="00672E33"/>
    <w:rsid w:val="00673B94"/>
    <w:rsid w:val="00673BA8"/>
    <w:rsid w:val="006741EE"/>
    <w:rsid w:val="006747EE"/>
    <w:rsid w:val="00674E7A"/>
    <w:rsid w:val="00674EB9"/>
    <w:rsid w:val="00675484"/>
    <w:rsid w:val="006759ED"/>
    <w:rsid w:val="00675A33"/>
    <w:rsid w:val="00675C16"/>
    <w:rsid w:val="00675DAF"/>
    <w:rsid w:val="00675F38"/>
    <w:rsid w:val="00676BB5"/>
    <w:rsid w:val="00676D67"/>
    <w:rsid w:val="00676E90"/>
    <w:rsid w:val="00677517"/>
    <w:rsid w:val="006777CD"/>
    <w:rsid w:val="00677A28"/>
    <w:rsid w:val="00677FA3"/>
    <w:rsid w:val="00681A55"/>
    <w:rsid w:val="006820B0"/>
    <w:rsid w:val="00682574"/>
    <w:rsid w:val="00682601"/>
    <w:rsid w:val="00682664"/>
    <w:rsid w:val="00682780"/>
    <w:rsid w:val="006829B9"/>
    <w:rsid w:val="0068369A"/>
    <w:rsid w:val="0068377D"/>
    <w:rsid w:val="00683A86"/>
    <w:rsid w:val="00683E6F"/>
    <w:rsid w:val="00684083"/>
    <w:rsid w:val="00684668"/>
    <w:rsid w:val="0068530A"/>
    <w:rsid w:val="00686DAD"/>
    <w:rsid w:val="00690484"/>
    <w:rsid w:val="006910CC"/>
    <w:rsid w:val="0069152E"/>
    <w:rsid w:val="006929B8"/>
    <w:rsid w:val="00692A24"/>
    <w:rsid w:val="0069451A"/>
    <w:rsid w:val="00694C47"/>
    <w:rsid w:val="00695824"/>
    <w:rsid w:val="00695DF0"/>
    <w:rsid w:val="006966AD"/>
    <w:rsid w:val="006968D7"/>
    <w:rsid w:val="00696B78"/>
    <w:rsid w:val="00696D19"/>
    <w:rsid w:val="006A0BBE"/>
    <w:rsid w:val="006A11EF"/>
    <w:rsid w:val="006A16E6"/>
    <w:rsid w:val="006A19A5"/>
    <w:rsid w:val="006A1F2E"/>
    <w:rsid w:val="006A203E"/>
    <w:rsid w:val="006A208E"/>
    <w:rsid w:val="006A3451"/>
    <w:rsid w:val="006A38DF"/>
    <w:rsid w:val="006A39BB"/>
    <w:rsid w:val="006A45AA"/>
    <w:rsid w:val="006A5F40"/>
    <w:rsid w:val="006A6530"/>
    <w:rsid w:val="006A6DAB"/>
    <w:rsid w:val="006A6F83"/>
    <w:rsid w:val="006A6FE0"/>
    <w:rsid w:val="006A71B0"/>
    <w:rsid w:val="006A777D"/>
    <w:rsid w:val="006B055E"/>
    <w:rsid w:val="006B0A7F"/>
    <w:rsid w:val="006B0F37"/>
    <w:rsid w:val="006B13A7"/>
    <w:rsid w:val="006B1CF4"/>
    <w:rsid w:val="006B1F68"/>
    <w:rsid w:val="006B2056"/>
    <w:rsid w:val="006B291F"/>
    <w:rsid w:val="006B396F"/>
    <w:rsid w:val="006B3F2E"/>
    <w:rsid w:val="006B408C"/>
    <w:rsid w:val="006B4979"/>
    <w:rsid w:val="006B4D1A"/>
    <w:rsid w:val="006B5A8D"/>
    <w:rsid w:val="006B5A99"/>
    <w:rsid w:val="006B5C21"/>
    <w:rsid w:val="006B6803"/>
    <w:rsid w:val="006B6A14"/>
    <w:rsid w:val="006B6A54"/>
    <w:rsid w:val="006B6CB7"/>
    <w:rsid w:val="006B77EC"/>
    <w:rsid w:val="006C0028"/>
    <w:rsid w:val="006C0103"/>
    <w:rsid w:val="006C01F4"/>
    <w:rsid w:val="006C05A1"/>
    <w:rsid w:val="006C12FA"/>
    <w:rsid w:val="006C1686"/>
    <w:rsid w:val="006C1687"/>
    <w:rsid w:val="006C1E28"/>
    <w:rsid w:val="006C1EEB"/>
    <w:rsid w:val="006C2060"/>
    <w:rsid w:val="006C20D8"/>
    <w:rsid w:val="006C288D"/>
    <w:rsid w:val="006C31E6"/>
    <w:rsid w:val="006C33A1"/>
    <w:rsid w:val="006C3FC6"/>
    <w:rsid w:val="006C43EF"/>
    <w:rsid w:val="006C4C96"/>
    <w:rsid w:val="006C5DEA"/>
    <w:rsid w:val="006C6053"/>
    <w:rsid w:val="006C6163"/>
    <w:rsid w:val="006C6427"/>
    <w:rsid w:val="006C6C34"/>
    <w:rsid w:val="006C7BC6"/>
    <w:rsid w:val="006C7C24"/>
    <w:rsid w:val="006D0851"/>
    <w:rsid w:val="006D0F60"/>
    <w:rsid w:val="006D1006"/>
    <w:rsid w:val="006D15DF"/>
    <w:rsid w:val="006D1A39"/>
    <w:rsid w:val="006D1C3A"/>
    <w:rsid w:val="006D2A2B"/>
    <w:rsid w:val="006D3DCC"/>
    <w:rsid w:val="006D50DB"/>
    <w:rsid w:val="006D538F"/>
    <w:rsid w:val="006D65F0"/>
    <w:rsid w:val="006D7A18"/>
    <w:rsid w:val="006D7ECC"/>
    <w:rsid w:val="006E00BC"/>
    <w:rsid w:val="006E0114"/>
    <w:rsid w:val="006E01E1"/>
    <w:rsid w:val="006E0344"/>
    <w:rsid w:val="006E0CF5"/>
    <w:rsid w:val="006E1A7F"/>
    <w:rsid w:val="006E1FF5"/>
    <w:rsid w:val="006E2117"/>
    <w:rsid w:val="006E2240"/>
    <w:rsid w:val="006E2CB8"/>
    <w:rsid w:val="006E2F1C"/>
    <w:rsid w:val="006E2F3A"/>
    <w:rsid w:val="006E340E"/>
    <w:rsid w:val="006E37BA"/>
    <w:rsid w:val="006E6627"/>
    <w:rsid w:val="006E666F"/>
    <w:rsid w:val="006E673B"/>
    <w:rsid w:val="006E7D8F"/>
    <w:rsid w:val="006F0731"/>
    <w:rsid w:val="006F0C10"/>
    <w:rsid w:val="006F0FD3"/>
    <w:rsid w:val="006F1542"/>
    <w:rsid w:val="006F2AF5"/>
    <w:rsid w:val="006F2FDF"/>
    <w:rsid w:val="006F3580"/>
    <w:rsid w:val="006F4355"/>
    <w:rsid w:val="006F4C5D"/>
    <w:rsid w:val="006F5F4C"/>
    <w:rsid w:val="006F61FB"/>
    <w:rsid w:val="006F6668"/>
    <w:rsid w:val="006F7544"/>
    <w:rsid w:val="006F7AAE"/>
    <w:rsid w:val="006F7EFE"/>
    <w:rsid w:val="00700EAA"/>
    <w:rsid w:val="00701442"/>
    <w:rsid w:val="00701852"/>
    <w:rsid w:val="00701C32"/>
    <w:rsid w:val="00701D7D"/>
    <w:rsid w:val="00704195"/>
    <w:rsid w:val="0070424D"/>
    <w:rsid w:val="007042D9"/>
    <w:rsid w:val="007050F3"/>
    <w:rsid w:val="007055CB"/>
    <w:rsid w:val="007063AB"/>
    <w:rsid w:val="00706DF0"/>
    <w:rsid w:val="0070703A"/>
    <w:rsid w:val="007077CF"/>
    <w:rsid w:val="007120F4"/>
    <w:rsid w:val="007125FE"/>
    <w:rsid w:val="00712654"/>
    <w:rsid w:val="00712E2A"/>
    <w:rsid w:val="00712FEA"/>
    <w:rsid w:val="0071319C"/>
    <w:rsid w:val="0071335C"/>
    <w:rsid w:val="0071358C"/>
    <w:rsid w:val="00713BB9"/>
    <w:rsid w:val="007141AC"/>
    <w:rsid w:val="0071479C"/>
    <w:rsid w:val="00714EC3"/>
    <w:rsid w:val="00714EEC"/>
    <w:rsid w:val="007150EF"/>
    <w:rsid w:val="00715947"/>
    <w:rsid w:val="00716AC1"/>
    <w:rsid w:val="00716E8A"/>
    <w:rsid w:val="00720867"/>
    <w:rsid w:val="00720AE8"/>
    <w:rsid w:val="00721912"/>
    <w:rsid w:val="00721CB6"/>
    <w:rsid w:val="00722073"/>
    <w:rsid w:val="00722AEB"/>
    <w:rsid w:val="00722DC8"/>
    <w:rsid w:val="0072395F"/>
    <w:rsid w:val="00724C03"/>
    <w:rsid w:val="00725DC9"/>
    <w:rsid w:val="0072696E"/>
    <w:rsid w:val="0072ABC8"/>
    <w:rsid w:val="0073039C"/>
    <w:rsid w:val="00730995"/>
    <w:rsid w:val="00730FAD"/>
    <w:rsid w:val="00731062"/>
    <w:rsid w:val="00731D87"/>
    <w:rsid w:val="007320CD"/>
    <w:rsid w:val="007321E6"/>
    <w:rsid w:val="00732380"/>
    <w:rsid w:val="007326AA"/>
    <w:rsid w:val="00732888"/>
    <w:rsid w:val="00733A3E"/>
    <w:rsid w:val="00734598"/>
    <w:rsid w:val="00734979"/>
    <w:rsid w:val="00734EFA"/>
    <w:rsid w:val="007352FF"/>
    <w:rsid w:val="00735624"/>
    <w:rsid w:val="007356D0"/>
    <w:rsid w:val="007361C0"/>
    <w:rsid w:val="007362F1"/>
    <w:rsid w:val="00736E33"/>
    <w:rsid w:val="00737077"/>
    <w:rsid w:val="00737873"/>
    <w:rsid w:val="00737AC2"/>
    <w:rsid w:val="00740580"/>
    <w:rsid w:val="007405A9"/>
    <w:rsid w:val="00740C03"/>
    <w:rsid w:val="00742437"/>
    <w:rsid w:val="0074260D"/>
    <w:rsid w:val="007426EB"/>
    <w:rsid w:val="007426FC"/>
    <w:rsid w:val="00743567"/>
    <w:rsid w:val="00743C8C"/>
    <w:rsid w:val="00743CF2"/>
    <w:rsid w:val="00744324"/>
    <w:rsid w:val="00744400"/>
    <w:rsid w:val="0074524D"/>
    <w:rsid w:val="0074560A"/>
    <w:rsid w:val="00745A1B"/>
    <w:rsid w:val="007460AB"/>
    <w:rsid w:val="0074612A"/>
    <w:rsid w:val="0074628C"/>
    <w:rsid w:val="0074638B"/>
    <w:rsid w:val="00746A57"/>
    <w:rsid w:val="00746B7B"/>
    <w:rsid w:val="00746F21"/>
    <w:rsid w:val="007477DD"/>
    <w:rsid w:val="00747D0E"/>
    <w:rsid w:val="007505FB"/>
    <w:rsid w:val="00751044"/>
    <w:rsid w:val="00751C65"/>
    <w:rsid w:val="00751D2C"/>
    <w:rsid w:val="007523BB"/>
    <w:rsid w:val="00752BF0"/>
    <w:rsid w:val="007531CE"/>
    <w:rsid w:val="00753613"/>
    <w:rsid w:val="0075385B"/>
    <w:rsid w:val="007543E9"/>
    <w:rsid w:val="0075471A"/>
    <w:rsid w:val="0075484F"/>
    <w:rsid w:val="0075700D"/>
    <w:rsid w:val="00757053"/>
    <w:rsid w:val="00757243"/>
    <w:rsid w:val="007574F2"/>
    <w:rsid w:val="007577D8"/>
    <w:rsid w:val="00757BFF"/>
    <w:rsid w:val="00757CED"/>
    <w:rsid w:val="007607B9"/>
    <w:rsid w:val="0076100C"/>
    <w:rsid w:val="007619B0"/>
    <w:rsid w:val="00762DA2"/>
    <w:rsid w:val="00763DC7"/>
    <w:rsid w:val="00764225"/>
    <w:rsid w:val="00764546"/>
    <w:rsid w:val="00764B17"/>
    <w:rsid w:val="00764DB4"/>
    <w:rsid w:val="007653EA"/>
    <w:rsid w:val="00765C47"/>
    <w:rsid w:val="00765F9F"/>
    <w:rsid w:val="00766420"/>
    <w:rsid w:val="0076646E"/>
    <w:rsid w:val="00766604"/>
    <w:rsid w:val="00767327"/>
    <w:rsid w:val="007675EE"/>
    <w:rsid w:val="00767849"/>
    <w:rsid w:val="00767C77"/>
    <w:rsid w:val="00767D9B"/>
    <w:rsid w:val="00770684"/>
    <w:rsid w:val="007708FE"/>
    <w:rsid w:val="007709BA"/>
    <w:rsid w:val="00770B3F"/>
    <w:rsid w:val="00770C17"/>
    <w:rsid w:val="007717DC"/>
    <w:rsid w:val="00772012"/>
    <w:rsid w:val="007721EE"/>
    <w:rsid w:val="0077247F"/>
    <w:rsid w:val="0077292E"/>
    <w:rsid w:val="00773AEA"/>
    <w:rsid w:val="007742C4"/>
    <w:rsid w:val="0077433C"/>
    <w:rsid w:val="007743AE"/>
    <w:rsid w:val="00774A3E"/>
    <w:rsid w:val="00774A60"/>
    <w:rsid w:val="0077542C"/>
    <w:rsid w:val="0077563C"/>
    <w:rsid w:val="00775CEA"/>
    <w:rsid w:val="00776124"/>
    <w:rsid w:val="00776A7F"/>
    <w:rsid w:val="00777838"/>
    <w:rsid w:val="00780295"/>
    <w:rsid w:val="0078045D"/>
    <w:rsid w:val="00781CAD"/>
    <w:rsid w:val="007824C6"/>
    <w:rsid w:val="0078258E"/>
    <w:rsid w:val="00782A02"/>
    <w:rsid w:val="00782A3A"/>
    <w:rsid w:val="00782C6A"/>
    <w:rsid w:val="007840BA"/>
    <w:rsid w:val="00784698"/>
    <w:rsid w:val="0078502E"/>
    <w:rsid w:val="00785EED"/>
    <w:rsid w:val="0078657F"/>
    <w:rsid w:val="00786709"/>
    <w:rsid w:val="00786CC3"/>
    <w:rsid w:val="00786FA8"/>
    <w:rsid w:val="007873EA"/>
    <w:rsid w:val="0079066E"/>
    <w:rsid w:val="007912FC"/>
    <w:rsid w:val="00791D50"/>
    <w:rsid w:val="007922E7"/>
    <w:rsid w:val="00792330"/>
    <w:rsid w:val="007937E7"/>
    <w:rsid w:val="00794650"/>
    <w:rsid w:val="00794EB9"/>
    <w:rsid w:val="00795256"/>
    <w:rsid w:val="0079570E"/>
    <w:rsid w:val="00796033"/>
    <w:rsid w:val="0079627C"/>
    <w:rsid w:val="0079721D"/>
    <w:rsid w:val="007A2677"/>
    <w:rsid w:val="007A2B1A"/>
    <w:rsid w:val="007A3193"/>
    <w:rsid w:val="007A36D5"/>
    <w:rsid w:val="007A3BC8"/>
    <w:rsid w:val="007A4148"/>
    <w:rsid w:val="007A414C"/>
    <w:rsid w:val="007A4EB1"/>
    <w:rsid w:val="007A4F4C"/>
    <w:rsid w:val="007A5090"/>
    <w:rsid w:val="007A639E"/>
    <w:rsid w:val="007A6872"/>
    <w:rsid w:val="007A6890"/>
    <w:rsid w:val="007A6D56"/>
    <w:rsid w:val="007A6F48"/>
    <w:rsid w:val="007A7335"/>
    <w:rsid w:val="007B016A"/>
    <w:rsid w:val="007B0953"/>
    <w:rsid w:val="007B1216"/>
    <w:rsid w:val="007B1524"/>
    <w:rsid w:val="007B17C4"/>
    <w:rsid w:val="007B2ACE"/>
    <w:rsid w:val="007B33BA"/>
    <w:rsid w:val="007B3C9B"/>
    <w:rsid w:val="007B56B4"/>
    <w:rsid w:val="007B58AB"/>
    <w:rsid w:val="007B5C88"/>
    <w:rsid w:val="007B627B"/>
    <w:rsid w:val="007B643A"/>
    <w:rsid w:val="007B78CA"/>
    <w:rsid w:val="007B791A"/>
    <w:rsid w:val="007C0828"/>
    <w:rsid w:val="007C130A"/>
    <w:rsid w:val="007C13A0"/>
    <w:rsid w:val="007C13D7"/>
    <w:rsid w:val="007C1448"/>
    <w:rsid w:val="007C14C7"/>
    <w:rsid w:val="007C15D6"/>
    <w:rsid w:val="007C1994"/>
    <w:rsid w:val="007C252A"/>
    <w:rsid w:val="007C2706"/>
    <w:rsid w:val="007C285E"/>
    <w:rsid w:val="007C28A8"/>
    <w:rsid w:val="007C3C3E"/>
    <w:rsid w:val="007C42F5"/>
    <w:rsid w:val="007C462C"/>
    <w:rsid w:val="007C4D01"/>
    <w:rsid w:val="007C538E"/>
    <w:rsid w:val="007C5924"/>
    <w:rsid w:val="007C5926"/>
    <w:rsid w:val="007C645B"/>
    <w:rsid w:val="007C6536"/>
    <w:rsid w:val="007C6AF6"/>
    <w:rsid w:val="007C6D3A"/>
    <w:rsid w:val="007C7841"/>
    <w:rsid w:val="007D0274"/>
    <w:rsid w:val="007D038F"/>
    <w:rsid w:val="007D0861"/>
    <w:rsid w:val="007D0EF3"/>
    <w:rsid w:val="007D26C2"/>
    <w:rsid w:val="007D2D97"/>
    <w:rsid w:val="007D34C3"/>
    <w:rsid w:val="007D367E"/>
    <w:rsid w:val="007D3EEB"/>
    <w:rsid w:val="007D5AB2"/>
    <w:rsid w:val="007D5DAE"/>
    <w:rsid w:val="007D5DCF"/>
    <w:rsid w:val="007D62F0"/>
    <w:rsid w:val="007D6417"/>
    <w:rsid w:val="007D6711"/>
    <w:rsid w:val="007D721F"/>
    <w:rsid w:val="007E010B"/>
    <w:rsid w:val="007E082B"/>
    <w:rsid w:val="007E104E"/>
    <w:rsid w:val="007E10CC"/>
    <w:rsid w:val="007E136B"/>
    <w:rsid w:val="007E139A"/>
    <w:rsid w:val="007E1A68"/>
    <w:rsid w:val="007E1E78"/>
    <w:rsid w:val="007E227E"/>
    <w:rsid w:val="007E267F"/>
    <w:rsid w:val="007E2BB2"/>
    <w:rsid w:val="007E3041"/>
    <w:rsid w:val="007E3060"/>
    <w:rsid w:val="007E357A"/>
    <w:rsid w:val="007E393B"/>
    <w:rsid w:val="007E4130"/>
    <w:rsid w:val="007E48E8"/>
    <w:rsid w:val="007E4906"/>
    <w:rsid w:val="007E499A"/>
    <w:rsid w:val="007E4C04"/>
    <w:rsid w:val="007E4E06"/>
    <w:rsid w:val="007E5489"/>
    <w:rsid w:val="007E57C5"/>
    <w:rsid w:val="007E5C0A"/>
    <w:rsid w:val="007E5C99"/>
    <w:rsid w:val="007E65DC"/>
    <w:rsid w:val="007E67D4"/>
    <w:rsid w:val="007E70EC"/>
    <w:rsid w:val="007E7B3A"/>
    <w:rsid w:val="007E7F33"/>
    <w:rsid w:val="007F093E"/>
    <w:rsid w:val="007F0EC6"/>
    <w:rsid w:val="007F1582"/>
    <w:rsid w:val="007F18C0"/>
    <w:rsid w:val="007F1C3B"/>
    <w:rsid w:val="007F1DC4"/>
    <w:rsid w:val="007F21AA"/>
    <w:rsid w:val="007F22E7"/>
    <w:rsid w:val="007F22FD"/>
    <w:rsid w:val="007F245D"/>
    <w:rsid w:val="007F35D5"/>
    <w:rsid w:val="007F39F1"/>
    <w:rsid w:val="007F3EFF"/>
    <w:rsid w:val="007F5CA4"/>
    <w:rsid w:val="007F5F25"/>
    <w:rsid w:val="007F6BF6"/>
    <w:rsid w:val="007F6C42"/>
    <w:rsid w:val="007F7021"/>
    <w:rsid w:val="007F723E"/>
    <w:rsid w:val="007F7384"/>
    <w:rsid w:val="007F7EE1"/>
    <w:rsid w:val="0080270F"/>
    <w:rsid w:val="0080280B"/>
    <w:rsid w:val="00802A5C"/>
    <w:rsid w:val="00802FC2"/>
    <w:rsid w:val="008030DC"/>
    <w:rsid w:val="00804295"/>
    <w:rsid w:val="00804C97"/>
    <w:rsid w:val="00805B42"/>
    <w:rsid w:val="00805D32"/>
    <w:rsid w:val="00806C05"/>
    <w:rsid w:val="008072FB"/>
    <w:rsid w:val="008074E8"/>
    <w:rsid w:val="0080787A"/>
    <w:rsid w:val="00807A6D"/>
    <w:rsid w:val="00807D20"/>
    <w:rsid w:val="0081057D"/>
    <w:rsid w:val="00810B73"/>
    <w:rsid w:val="00810C4E"/>
    <w:rsid w:val="0081165F"/>
    <w:rsid w:val="00812052"/>
    <w:rsid w:val="008120D7"/>
    <w:rsid w:val="00813104"/>
    <w:rsid w:val="00813B32"/>
    <w:rsid w:val="00814A10"/>
    <w:rsid w:val="00815565"/>
    <w:rsid w:val="00815AF3"/>
    <w:rsid w:val="00815B83"/>
    <w:rsid w:val="008160C3"/>
    <w:rsid w:val="00816503"/>
    <w:rsid w:val="008168DE"/>
    <w:rsid w:val="00816C27"/>
    <w:rsid w:val="008177B0"/>
    <w:rsid w:val="00820669"/>
    <w:rsid w:val="008207AB"/>
    <w:rsid w:val="00821458"/>
    <w:rsid w:val="00821AD0"/>
    <w:rsid w:val="00821E7B"/>
    <w:rsid w:val="0082257C"/>
    <w:rsid w:val="008225E5"/>
    <w:rsid w:val="00822A0C"/>
    <w:rsid w:val="00822C17"/>
    <w:rsid w:val="00822C93"/>
    <w:rsid w:val="00822F43"/>
    <w:rsid w:val="00823282"/>
    <w:rsid w:val="00823930"/>
    <w:rsid w:val="00824253"/>
    <w:rsid w:val="00824360"/>
    <w:rsid w:val="008245B4"/>
    <w:rsid w:val="00824801"/>
    <w:rsid w:val="00824871"/>
    <w:rsid w:val="00825206"/>
    <w:rsid w:val="00825210"/>
    <w:rsid w:val="008263D6"/>
    <w:rsid w:val="00826599"/>
    <w:rsid w:val="00826D60"/>
    <w:rsid w:val="0082724D"/>
    <w:rsid w:val="00827942"/>
    <w:rsid w:val="008300A1"/>
    <w:rsid w:val="008302A5"/>
    <w:rsid w:val="00830A45"/>
    <w:rsid w:val="00831D4E"/>
    <w:rsid w:val="00832138"/>
    <w:rsid w:val="00832629"/>
    <w:rsid w:val="00832C16"/>
    <w:rsid w:val="008332A9"/>
    <w:rsid w:val="00834E64"/>
    <w:rsid w:val="008368B0"/>
    <w:rsid w:val="00836E9C"/>
    <w:rsid w:val="00836F33"/>
    <w:rsid w:val="0083704B"/>
    <w:rsid w:val="00837466"/>
    <w:rsid w:val="008379A9"/>
    <w:rsid w:val="00840B87"/>
    <w:rsid w:val="008411AA"/>
    <w:rsid w:val="008413F0"/>
    <w:rsid w:val="00841886"/>
    <w:rsid w:val="0084193B"/>
    <w:rsid w:val="00842C2A"/>
    <w:rsid w:val="008430AE"/>
    <w:rsid w:val="00843D53"/>
    <w:rsid w:val="00843EB6"/>
    <w:rsid w:val="00844387"/>
    <w:rsid w:val="00845895"/>
    <w:rsid w:val="00847183"/>
    <w:rsid w:val="0084728B"/>
    <w:rsid w:val="00847C20"/>
    <w:rsid w:val="008503BB"/>
    <w:rsid w:val="008503BD"/>
    <w:rsid w:val="0085056E"/>
    <w:rsid w:val="00850DBB"/>
    <w:rsid w:val="00851292"/>
    <w:rsid w:val="008515AE"/>
    <w:rsid w:val="008519EA"/>
    <w:rsid w:val="00854F58"/>
    <w:rsid w:val="00855BC9"/>
    <w:rsid w:val="00856648"/>
    <w:rsid w:val="00857337"/>
    <w:rsid w:val="008579E8"/>
    <w:rsid w:val="00860052"/>
    <w:rsid w:val="00860600"/>
    <w:rsid w:val="008607C2"/>
    <w:rsid w:val="00860D9D"/>
    <w:rsid w:val="00861034"/>
    <w:rsid w:val="00861559"/>
    <w:rsid w:val="00861E5C"/>
    <w:rsid w:val="00861F14"/>
    <w:rsid w:val="00861FBD"/>
    <w:rsid w:val="00862008"/>
    <w:rsid w:val="00862065"/>
    <w:rsid w:val="008622F2"/>
    <w:rsid w:val="008624FD"/>
    <w:rsid w:val="0086399E"/>
    <w:rsid w:val="00864443"/>
    <w:rsid w:val="00864D11"/>
    <w:rsid w:val="0086558D"/>
    <w:rsid w:val="00865B31"/>
    <w:rsid w:val="00865D5B"/>
    <w:rsid w:val="00866263"/>
    <w:rsid w:val="00866293"/>
    <w:rsid w:val="00866DB6"/>
    <w:rsid w:val="0086753F"/>
    <w:rsid w:val="00867D09"/>
    <w:rsid w:val="0087001B"/>
    <w:rsid w:val="0087037B"/>
    <w:rsid w:val="00870D89"/>
    <w:rsid w:val="00871780"/>
    <w:rsid w:val="00871BB0"/>
    <w:rsid w:val="00871F89"/>
    <w:rsid w:val="0087276D"/>
    <w:rsid w:val="00873011"/>
    <w:rsid w:val="008730DD"/>
    <w:rsid w:val="008730E1"/>
    <w:rsid w:val="008737B5"/>
    <w:rsid w:val="00873D98"/>
    <w:rsid w:val="00873DDE"/>
    <w:rsid w:val="00874AD3"/>
    <w:rsid w:val="00874F4C"/>
    <w:rsid w:val="00875F53"/>
    <w:rsid w:val="0087616D"/>
    <w:rsid w:val="00876AB7"/>
    <w:rsid w:val="00876E2D"/>
    <w:rsid w:val="008770E6"/>
    <w:rsid w:val="00877287"/>
    <w:rsid w:val="0088265F"/>
    <w:rsid w:val="0088278A"/>
    <w:rsid w:val="00882E41"/>
    <w:rsid w:val="00882FA1"/>
    <w:rsid w:val="008835BC"/>
    <w:rsid w:val="008839C1"/>
    <w:rsid w:val="00884D0D"/>
    <w:rsid w:val="00884EF6"/>
    <w:rsid w:val="008852C6"/>
    <w:rsid w:val="00886DFB"/>
    <w:rsid w:val="0088744D"/>
    <w:rsid w:val="008874BF"/>
    <w:rsid w:val="00887941"/>
    <w:rsid w:val="00887A29"/>
    <w:rsid w:val="00887A7A"/>
    <w:rsid w:val="00887C85"/>
    <w:rsid w:val="00887EFB"/>
    <w:rsid w:val="008905AB"/>
    <w:rsid w:val="00892CEC"/>
    <w:rsid w:val="008947FF"/>
    <w:rsid w:val="00894A24"/>
    <w:rsid w:val="0089516B"/>
    <w:rsid w:val="00895855"/>
    <w:rsid w:val="00896688"/>
    <w:rsid w:val="008967DC"/>
    <w:rsid w:val="008972E2"/>
    <w:rsid w:val="00897662"/>
    <w:rsid w:val="008A0A45"/>
    <w:rsid w:val="008A11FA"/>
    <w:rsid w:val="008A1713"/>
    <w:rsid w:val="008A1B18"/>
    <w:rsid w:val="008A3748"/>
    <w:rsid w:val="008A3B34"/>
    <w:rsid w:val="008A3F5F"/>
    <w:rsid w:val="008A3FE0"/>
    <w:rsid w:val="008A41C6"/>
    <w:rsid w:val="008A4205"/>
    <w:rsid w:val="008A4A2E"/>
    <w:rsid w:val="008A51EA"/>
    <w:rsid w:val="008A5366"/>
    <w:rsid w:val="008A5C87"/>
    <w:rsid w:val="008A5CFD"/>
    <w:rsid w:val="008A5F24"/>
    <w:rsid w:val="008A768B"/>
    <w:rsid w:val="008A7837"/>
    <w:rsid w:val="008A7C5B"/>
    <w:rsid w:val="008B01BA"/>
    <w:rsid w:val="008B0D77"/>
    <w:rsid w:val="008B10D9"/>
    <w:rsid w:val="008B112D"/>
    <w:rsid w:val="008B1733"/>
    <w:rsid w:val="008B23AF"/>
    <w:rsid w:val="008B23F0"/>
    <w:rsid w:val="008B2402"/>
    <w:rsid w:val="008B2427"/>
    <w:rsid w:val="008B2A13"/>
    <w:rsid w:val="008B2C08"/>
    <w:rsid w:val="008B2EC6"/>
    <w:rsid w:val="008B2FAE"/>
    <w:rsid w:val="008B35CA"/>
    <w:rsid w:val="008B3C79"/>
    <w:rsid w:val="008B481C"/>
    <w:rsid w:val="008B53DC"/>
    <w:rsid w:val="008B5720"/>
    <w:rsid w:val="008B5DE9"/>
    <w:rsid w:val="008B6A15"/>
    <w:rsid w:val="008B6CF3"/>
    <w:rsid w:val="008B6E5C"/>
    <w:rsid w:val="008B6F13"/>
    <w:rsid w:val="008B70AB"/>
    <w:rsid w:val="008B767A"/>
    <w:rsid w:val="008B777B"/>
    <w:rsid w:val="008B7AEA"/>
    <w:rsid w:val="008B7F6D"/>
    <w:rsid w:val="008C0B44"/>
    <w:rsid w:val="008C0FC0"/>
    <w:rsid w:val="008C1206"/>
    <w:rsid w:val="008C12D4"/>
    <w:rsid w:val="008C1358"/>
    <w:rsid w:val="008C1525"/>
    <w:rsid w:val="008C1839"/>
    <w:rsid w:val="008C1AFC"/>
    <w:rsid w:val="008C1C25"/>
    <w:rsid w:val="008C2360"/>
    <w:rsid w:val="008C307C"/>
    <w:rsid w:val="008C33A3"/>
    <w:rsid w:val="008C3559"/>
    <w:rsid w:val="008C3DB1"/>
    <w:rsid w:val="008C3F9C"/>
    <w:rsid w:val="008C4215"/>
    <w:rsid w:val="008C4CFF"/>
    <w:rsid w:val="008C5146"/>
    <w:rsid w:val="008C56CE"/>
    <w:rsid w:val="008C5949"/>
    <w:rsid w:val="008C5FAF"/>
    <w:rsid w:val="008C6101"/>
    <w:rsid w:val="008C6503"/>
    <w:rsid w:val="008C67B0"/>
    <w:rsid w:val="008C6911"/>
    <w:rsid w:val="008C6AB8"/>
    <w:rsid w:val="008C6EC0"/>
    <w:rsid w:val="008C712B"/>
    <w:rsid w:val="008C7563"/>
    <w:rsid w:val="008C7A61"/>
    <w:rsid w:val="008C7E54"/>
    <w:rsid w:val="008D014D"/>
    <w:rsid w:val="008D050F"/>
    <w:rsid w:val="008D1F22"/>
    <w:rsid w:val="008D2563"/>
    <w:rsid w:val="008D27AD"/>
    <w:rsid w:val="008D2CE1"/>
    <w:rsid w:val="008D34E1"/>
    <w:rsid w:val="008D38C1"/>
    <w:rsid w:val="008D4C15"/>
    <w:rsid w:val="008D612C"/>
    <w:rsid w:val="008D69D4"/>
    <w:rsid w:val="008D7B8B"/>
    <w:rsid w:val="008D7C65"/>
    <w:rsid w:val="008E0208"/>
    <w:rsid w:val="008E0375"/>
    <w:rsid w:val="008E04C5"/>
    <w:rsid w:val="008E09CC"/>
    <w:rsid w:val="008E0CE2"/>
    <w:rsid w:val="008E0EF4"/>
    <w:rsid w:val="008E1143"/>
    <w:rsid w:val="008E1954"/>
    <w:rsid w:val="008E1A66"/>
    <w:rsid w:val="008E249D"/>
    <w:rsid w:val="008E2694"/>
    <w:rsid w:val="008E33BC"/>
    <w:rsid w:val="008E43A0"/>
    <w:rsid w:val="008E4B1A"/>
    <w:rsid w:val="008E514D"/>
    <w:rsid w:val="008E5D2E"/>
    <w:rsid w:val="008E5E32"/>
    <w:rsid w:val="008E63C3"/>
    <w:rsid w:val="008E6C77"/>
    <w:rsid w:val="008E7B38"/>
    <w:rsid w:val="008F20BB"/>
    <w:rsid w:val="008F3091"/>
    <w:rsid w:val="008F33C3"/>
    <w:rsid w:val="008F3729"/>
    <w:rsid w:val="008F3CA1"/>
    <w:rsid w:val="008F3E11"/>
    <w:rsid w:val="008F460B"/>
    <w:rsid w:val="008F4725"/>
    <w:rsid w:val="008F505A"/>
    <w:rsid w:val="008F5801"/>
    <w:rsid w:val="008F5D2A"/>
    <w:rsid w:val="008F6CBE"/>
    <w:rsid w:val="008F6F1A"/>
    <w:rsid w:val="008F76C3"/>
    <w:rsid w:val="008F7DBA"/>
    <w:rsid w:val="00900656"/>
    <w:rsid w:val="00900C5A"/>
    <w:rsid w:val="00900E46"/>
    <w:rsid w:val="00901991"/>
    <w:rsid w:val="00901C7B"/>
    <w:rsid w:val="00902461"/>
    <w:rsid w:val="0090256E"/>
    <w:rsid w:val="009026C1"/>
    <w:rsid w:val="009029D8"/>
    <w:rsid w:val="0090391B"/>
    <w:rsid w:val="009045DF"/>
    <w:rsid w:val="009049E2"/>
    <w:rsid w:val="00904CD4"/>
    <w:rsid w:val="0090527B"/>
    <w:rsid w:val="00906651"/>
    <w:rsid w:val="00907423"/>
    <w:rsid w:val="0090764C"/>
    <w:rsid w:val="0091028D"/>
    <w:rsid w:val="00910D08"/>
    <w:rsid w:val="00910F9E"/>
    <w:rsid w:val="00911972"/>
    <w:rsid w:val="00912042"/>
    <w:rsid w:val="009121FE"/>
    <w:rsid w:val="00912237"/>
    <w:rsid w:val="0091232F"/>
    <w:rsid w:val="00914998"/>
    <w:rsid w:val="009162D0"/>
    <w:rsid w:val="00916398"/>
    <w:rsid w:val="00916B41"/>
    <w:rsid w:val="00916BC6"/>
    <w:rsid w:val="00917F6F"/>
    <w:rsid w:val="00920675"/>
    <w:rsid w:val="009206BB"/>
    <w:rsid w:val="009216EF"/>
    <w:rsid w:val="00922C95"/>
    <w:rsid w:val="00922FF4"/>
    <w:rsid w:val="0092383E"/>
    <w:rsid w:val="0092500A"/>
    <w:rsid w:val="009251F6"/>
    <w:rsid w:val="009256D1"/>
    <w:rsid w:val="0092682D"/>
    <w:rsid w:val="00926E69"/>
    <w:rsid w:val="009272BA"/>
    <w:rsid w:val="0092748F"/>
    <w:rsid w:val="00927EC9"/>
    <w:rsid w:val="0093025B"/>
    <w:rsid w:val="009304ED"/>
    <w:rsid w:val="00930E34"/>
    <w:rsid w:val="00930FA7"/>
    <w:rsid w:val="00931260"/>
    <w:rsid w:val="0093236D"/>
    <w:rsid w:val="0093256F"/>
    <w:rsid w:val="00932EE1"/>
    <w:rsid w:val="0093300B"/>
    <w:rsid w:val="00933255"/>
    <w:rsid w:val="00933D37"/>
    <w:rsid w:val="00934275"/>
    <w:rsid w:val="009343C8"/>
    <w:rsid w:val="00934431"/>
    <w:rsid w:val="00934648"/>
    <w:rsid w:val="00934A58"/>
    <w:rsid w:val="00934D89"/>
    <w:rsid w:val="00936222"/>
    <w:rsid w:val="00936881"/>
    <w:rsid w:val="00936C9F"/>
    <w:rsid w:val="00937984"/>
    <w:rsid w:val="00940011"/>
    <w:rsid w:val="009402D6"/>
    <w:rsid w:val="00940731"/>
    <w:rsid w:val="009409C9"/>
    <w:rsid w:val="0094105A"/>
    <w:rsid w:val="00942047"/>
    <w:rsid w:val="00942171"/>
    <w:rsid w:val="009424B5"/>
    <w:rsid w:val="00943E9C"/>
    <w:rsid w:val="0094458E"/>
    <w:rsid w:val="00944631"/>
    <w:rsid w:val="00944FCA"/>
    <w:rsid w:val="009459EC"/>
    <w:rsid w:val="00945C38"/>
    <w:rsid w:val="00946213"/>
    <w:rsid w:val="00946F0F"/>
    <w:rsid w:val="0094735B"/>
    <w:rsid w:val="00947370"/>
    <w:rsid w:val="00947B6B"/>
    <w:rsid w:val="00950C28"/>
    <w:rsid w:val="00950C7E"/>
    <w:rsid w:val="00951CCA"/>
    <w:rsid w:val="00951FA5"/>
    <w:rsid w:val="009524FA"/>
    <w:rsid w:val="00953029"/>
    <w:rsid w:val="00953E71"/>
    <w:rsid w:val="009542C9"/>
    <w:rsid w:val="009546D8"/>
    <w:rsid w:val="00954A53"/>
    <w:rsid w:val="00954BAB"/>
    <w:rsid w:val="0095544D"/>
    <w:rsid w:val="00955B8F"/>
    <w:rsid w:val="00955DEF"/>
    <w:rsid w:val="00956022"/>
    <w:rsid w:val="00956155"/>
    <w:rsid w:val="00956674"/>
    <w:rsid w:val="00956D98"/>
    <w:rsid w:val="0095700A"/>
    <w:rsid w:val="009579C7"/>
    <w:rsid w:val="0096009F"/>
    <w:rsid w:val="00960B47"/>
    <w:rsid w:val="00960B5A"/>
    <w:rsid w:val="00960F02"/>
    <w:rsid w:val="00960FDE"/>
    <w:rsid w:val="0096155D"/>
    <w:rsid w:val="009624B0"/>
    <w:rsid w:val="009632FD"/>
    <w:rsid w:val="009633E2"/>
    <w:rsid w:val="00963692"/>
    <w:rsid w:val="009639D2"/>
    <w:rsid w:val="00963D98"/>
    <w:rsid w:val="00963DF9"/>
    <w:rsid w:val="00964562"/>
    <w:rsid w:val="0096488C"/>
    <w:rsid w:val="00964A2C"/>
    <w:rsid w:val="009652A6"/>
    <w:rsid w:val="00965C2C"/>
    <w:rsid w:val="00965E20"/>
    <w:rsid w:val="00965E6E"/>
    <w:rsid w:val="0096637A"/>
    <w:rsid w:val="009663FF"/>
    <w:rsid w:val="0096656D"/>
    <w:rsid w:val="00966CDE"/>
    <w:rsid w:val="0096790C"/>
    <w:rsid w:val="00970724"/>
    <w:rsid w:val="0097094F"/>
    <w:rsid w:val="00970D32"/>
    <w:rsid w:val="00971821"/>
    <w:rsid w:val="00971F2E"/>
    <w:rsid w:val="00972DB3"/>
    <w:rsid w:val="00972E92"/>
    <w:rsid w:val="00972F6E"/>
    <w:rsid w:val="00974B1E"/>
    <w:rsid w:val="009752CC"/>
    <w:rsid w:val="009752F3"/>
    <w:rsid w:val="00975D40"/>
    <w:rsid w:val="00975F25"/>
    <w:rsid w:val="009763B3"/>
    <w:rsid w:val="009763FD"/>
    <w:rsid w:val="00976675"/>
    <w:rsid w:val="009766C5"/>
    <w:rsid w:val="0097768B"/>
    <w:rsid w:val="0098022D"/>
    <w:rsid w:val="00980796"/>
    <w:rsid w:val="00980952"/>
    <w:rsid w:val="00980EF5"/>
    <w:rsid w:val="00982211"/>
    <w:rsid w:val="0098278F"/>
    <w:rsid w:val="00982880"/>
    <w:rsid w:val="00982B69"/>
    <w:rsid w:val="0098322C"/>
    <w:rsid w:val="009838DA"/>
    <w:rsid w:val="00984FE9"/>
    <w:rsid w:val="009854B4"/>
    <w:rsid w:val="00985B8B"/>
    <w:rsid w:val="00986376"/>
    <w:rsid w:val="00986792"/>
    <w:rsid w:val="00986D1D"/>
    <w:rsid w:val="00986E26"/>
    <w:rsid w:val="00987803"/>
    <w:rsid w:val="00987A55"/>
    <w:rsid w:val="00987D35"/>
    <w:rsid w:val="00990481"/>
    <w:rsid w:val="00990B79"/>
    <w:rsid w:val="00992061"/>
    <w:rsid w:val="00992F53"/>
    <w:rsid w:val="00993896"/>
    <w:rsid w:val="00994135"/>
    <w:rsid w:val="00995046"/>
    <w:rsid w:val="009957C5"/>
    <w:rsid w:val="009958E3"/>
    <w:rsid w:val="00995A7C"/>
    <w:rsid w:val="00995E92"/>
    <w:rsid w:val="009965F5"/>
    <w:rsid w:val="0099687A"/>
    <w:rsid w:val="009968C6"/>
    <w:rsid w:val="009968CF"/>
    <w:rsid w:val="00996DC3"/>
    <w:rsid w:val="00997698"/>
    <w:rsid w:val="00997F1F"/>
    <w:rsid w:val="009A0BE5"/>
    <w:rsid w:val="009A0DDF"/>
    <w:rsid w:val="009A105F"/>
    <w:rsid w:val="009A16EB"/>
    <w:rsid w:val="009A16F0"/>
    <w:rsid w:val="009A173A"/>
    <w:rsid w:val="009A1A88"/>
    <w:rsid w:val="009A1B91"/>
    <w:rsid w:val="009A25D2"/>
    <w:rsid w:val="009A289F"/>
    <w:rsid w:val="009A33F8"/>
    <w:rsid w:val="009A4632"/>
    <w:rsid w:val="009A4B05"/>
    <w:rsid w:val="009A5AA4"/>
    <w:rsid w:val="009A5CEB"/>
    <w:rsid w:val="009A6462"/>
    <w:rsid w:val="009A64DA"/>
    <w:rsid w:val="009A6617"/>
    <w:rsid w:val="009A6DB3"/>
    <w:rsid w:val="009A7A58"/>
    <w:rsid w:val="009B042F"/>
    <w:rsid w:val="009B063C"/>
    <w:rsid w:val="009B0F4D"/>
    <w:rsid w:val="009B166D"/>
    <w:rsid w:val="009B1B22"/>
    <w:rsid w:val="009B2296"/>
    <w:rsid w:val="009B3705"/>
    <w:rsid w:val="009B3AE1"/>
    <w:rsid w:val="009B40E1"/>
    <w:rsid w:val="009B594B"/>
    <w:rsid w:val="009B6C79"/>
    <w:rsid w:val="009B710B"/>
    <w:rsid w:val="009B75E1"/>
    <w:rsid w:val="009B794A"/>
    <w:rsid w:val="009C0B4B"/>
    <w:rsid w:val="009C0FB2"/>
    <w:rsid w:val="009C1CDA"/>
    <w:rsid w:val="009C21D3"/>
    <w:rsid w:val="009C22BD"/>
    <w:rsid w:val="009C2E3C"/>
    <w:rsid w:val="009C34F8"/>
    <w:rsid w:val="009C3A79"/>
    <w:rsid w:val="009C426C"/>
    <w:rsid w:val="009C4355"/>
    <w:rsid w:val="009C48D5"/>
    <w:rsid w:val="009C4EDD"/>
    <w:rsid w:val="009C58CE"/>
    <w:rsid w:val="009C6084"/>
    <w:rsid w:val="009C639E"/>
    <w:rsid w:val="009C6642"/>
    <w:rsid w:val="009C6FD4"/>
    <w:rsid w:val="009C7463"/>
    <w:rsid w:val="009C7578"/>
    <w:rsid w:val="009D0D7E"/>
    <w:rsid w:val="009D12C2"/>
    <w:rsid w:val="009D211F"/>
    <w:rsid w:val="009D214D"/>
    <w:rsid w:val="009D2D09"/>
    <w:rsid w:val="009D2F7D"/>
    <w:rsid w:val="009D4108"/>
    <w:rsid w:val="009D43DC"/>
    <w:rsid w:val="009D5D3D"/>
    <w:rsid w:val="009D6130"/>
    <w:rsid w:val="009D6DDD"/>
    <w:rsid w:val="009D6E70"/>
    <w:rsid w:val="009D747C"/>
    <w:rsid w:val="009D791C"/>
    <w:rsid w:val="009E0945"/>
    <w:rsid w:val="009E0DF6"/>
    <w:rsid w:val="009E1E79"/>
    <w:rsid w:val="009E27C0"/>
    <w:rsid w:val="009E2BD1"/>
    <w:rsid w:val="009E2D2B"/>
    <w:rsid w:val="009E3212"/>
    <w:rsid w:val="009E3322"/>
    <w:rsid w:val="009E3408"/>
    <w:rsid w:val="009E34D2"/>
    <w:rsid w:val="009E37CF"/>
    <w:rsid w:val="009E3E73"/>
    <w:rsid w:val="009E4259"/>
    <w:rsid w:val="009E450A"/>
    <w:rsid w:val="009E46B0"/>
    <w:rsid w:val="009E473C"/>
    <w:rsid w:val="009E4A81"/>
    <w:rsid w:val="009E4C19"/>
    <w:rsid w:val="009E58E0"/>
    <w:rsid w:val="009E594D"/>
    <w:rsid w:val="009E5F3C"/>
    <w:rsid w:val="009E6169"/>
    <w:rsid w:val="009E656A"/>
    <w:rsid w:val="009E6CC3"/>
    <w:rsid w:val="009E7CAB"/>
    <w:rsid w:val="009F02E2"/>
    <w:rsid w:val="009F1174"/>
    <w:rsid w:val="009F2C13"/>
    <w:rsid w:val="009F2CC8"/>
    <w:rsid w:val="009F2CDA"/>
    <w:rsid w:val="009F2DA2"/>
    <w:rsid w:val="009F2E7C"/>
    <w:rsid w:val="009F37EA"/>
    <w:rsid w:val="009F3D6D"/>
    <w:rsid w:val="009F409B"/>
    <w:rsid w:val="009F4129"/>
    <w:rsid w:val="009F47B4"/>
    <w:rsid w:val="009F4AE3"/>
    <w:rsid w:val="009F5050"/>
    <w:rsid w:val="009F50E4"/>
    <w:rsid w:val="009F55D8"/>
    <w:rsid w:val="009F56FF"/>
    <w:rsid w:val="009F6106"/>
    <w:rsid w:val="009F6771"/>
    <w:rsid w:val="009F6ABC"/>
    <w:rsid w:val="009F748B"/>
    <w:rsid w:val="009F7AFF"/>
    <w:rsid w:val="009F7F11"/>
    <w:rsid w:val="00A0003E"/>
    <w:rsid w:val="00A005A0"/>
    <w:rsid w:val="00A00EED"/>
    <w:rsid w:val="00A0223F"/>
    <w:rsid w:val="00A02ADD"/>
    <w:rsid w:val="00A03163"/>
    <w:rsid w:val="00A03BB0"/>
    <w:rsid w:val="00A04436"/>
    <w:rsid w:val="00A04512"/>
    <w:rsid w:val="00A05850"/>
    <w:rsid w:val="00A05AFF"/>
    <w:rsid w:val="00A05E47"/>
    <w:rsid w:val="00A06099"/>
    <w:rsid w:val="00A061E3"/>
    <w:rsid w:val="00A063E5"/>
    <w:rsid w:val="00A066BE"/>
    <w:rsid w:val="00A071C7"/>
    <w:rsid w:val="00A0746F"/>
    <w:rsid w:val="00A0766F"/>
    <w:rsid w:val="00A0784E"/>
    <w:rsid w:val="00A078D5"/>
    <w:rsid w:val="00A106E0"/>
    <w:rsid w:val="00A1078B"/>
    <w:rsid w:val="00A10CC5"/>
    <w:rsid w:val="00A11292"/>
    <w:rsid w:val="00A11931"/>
    <w:rsid w:val="00A120A0"/>
    <w:rsid w:val="00A12ACE"/>
    <w:rsid w:val="00A13F4C"/>
    <w:rsid w:val="00A14A96"/>
    <w:rsid w:val="00A15F79"/>
    <w:rsid w:val="00A1694F"/>
    <w:rsid w:val="00A16A84"/>
    <w:rsid w:val="00A1701C"/>
    <w:rsid w:val="00A17E3F"/>
    <w:rsid w:val="00A208A8"/>
    <w:rsid w:val="00A20BFB"/>
    <w:rsid w:val="00A20E41"/>
    <w:rsid w:val="00A20F05"/>
    <w:rsid w:val="00A214B8"/>
    <w:rsid w:val="00A2177E"/>
    <w:rsid w:val="00A22114"/>
    <w:rsid w:val="00A224E0"/>
    <w:rsid w:val="00A22F41"/>
    <w:rsid w:val="00A23620"/>
    <w:rsid w:val="00A23774"/>
    <w:rsid w:val="00A23B81"/>
    <w:rsid w:val="00A2436F"/>
    <w:rsid w:val="00A24EA7"/>
    <w:rsid w:val="00A25297"/>
    <w:rsid w:val="00A252C4"/>
    <w:rsid w:val="00A264D3"/>
    <w:rsid w:val="00A26785"/>
    <w:rsid w:val="00A2727D"/>
    <w:rsid w:val="00A272D0"/>
    <w:rsid w:val="00A2748C"/>
    <w:rsid w:val="00A275F5"/>
    <w:rsid w:val="00A278B5"/>
    <w:rsid w:val="00A27AAC"/>
    <w:rsid w:val="00A316F7"/>
    <w:rsid w:val="00A320C8"/>
    <w:rsid w:val="00A3251C"/>
    <w:rsid w:val="00A32AD8"/>
    <w:rsid w:val="00A33A7C"/>
    <w:rsid w:val="00A35375"/>
    <w:rsid w:val="00A35771"/>
    <w:rsid w:val="00A35FCA"/>
    <w:rsid w:val="00A36A28"/>
    <w:rsid w:val="00A36D0C"/>
    <w:rsid w:val="00A37844"/>
    <w:rsid w:val="00A37918"/>
    <w:rsid w:val="00A37945"/>
    <w:rsid w:val="00A37D1E"/>
    <w:rsid w:val="00A401B1"/>
    <w:rsid w:val="00A4051A"/>
    <w:rsid w:val="00A40AC3"/>
    <w:rsid w:val="00A40E33"/>
    <w:rsid w:val="00A425AC"/>
    <w:rsid w:val="00A4288E"/>
    <w:rsid w:val="00A42CA2"/>
    <w:rsid w:val="00A4306F"/>
    <w:rsid w:val="00A433F6"/>
    <w:rsid w:val="00A43EA0"/>
    <w:rsid w:val="00A44821"/>
    <w:rsid w:val="00A44E6E"/>
    <w:rsid w:val="00A46A48"/>
    <w:rsid w:val="00A46A6C"/>
    <w:rsid w:val="00A46C43"/>
    <w:rsid w:val="00A47A51"/>
    <w:rsid w:val="00A47B08"/>
    <w:rsid w:val="00A47C56"/>
    <w:rsid w:val="00A47C62"/>
    <w:rsid w:val="00A47CBE"/>
    <w:rsid w:val="00A50EE5"/>
    <w:rsid w:val="00A51758"/>
    <w:rsid w:val="00A51E23"/>
    <w:rsid w:val="00A528A6"/>
    <w:rsid w:val="00A52902"/>
    <w:rsid w:val="00A52E1D"/>
    <w:rsid w:val="00A53686"/>
    <w:rsid w:val="00A53AEC"/>
    <w:rsid w:val="00A53B2E"/>
    <w:rsid w:val="00A540E6"/>
    <w:rsid w:val="00A541BE"/>
    <w:rsid w:val="00A550AC"/>
    <w:rsid w:val="00A55220"/>
    <w:rsid w:val="00A559E2"/>
    <w:rsid w:val="00A5653F"/>
    <w:rsid w:val="00A565C7"/>
    <w:rsid w:val="00A566CE"/>
    <w:rsid w:val="00A56752"/>
    <w:rsid w:val="00A569D4"/>
    <w:rsid w:val="00A56D7D"/>
    <w:rsid w:val="00A5743E"/>
    <w:rsid w:val="00A60311"/>
    <w:rsid w:val="00A60AB1"/>
    <w:rsid w:val="00A60B10"/>
    <w:rsid w:val="00A60EBF"/>
    <w:rsid w:val="00A60F0C"/>
    <w:rsid w:val="00A60FA7"/>
    <w:rsid w:val="00A61064"/>
    <w:rsid w:val="00A6252A"/>
    <w:rsid w:val="00A639B7"/>
    <w:rsid w:val="00A63B51"/>
    <w:rsid w:val="00A63BBC"/>
    <w:rsid w:val="00A63CF4"/>
    <w:rsid w:val="00A63DF6"/>
    <w:rsid w:val="00A644B4"/>
    <w:rsid w:val="00A661F1"/>
    <w:rsid w:val="00A66456"/>
    <w:rsid w:val="00A666C8"/>
    <w:rsid w:val="00A66D55"/>
    <w:rsid w:val="00A67440"/>
    <w:rsid w:val="00A67D94"/>
    <w:rsid w:val="00A705E4"/>
    <w:rsid w:val="00A710BB"/>
    <w:rsid w:val="00A710EE"/>
    <w:rsid w:val="00A712FC"/>
    <w:rsid w:val="00A71A26"/>
    <w:rsid w:val="00A722C2"/>
    <w:rsid w:val="00A7316D"/>
    <w:rsid w:val="00A7337A"/>
    <w:rsid w:val="00A7365F"/>
    <w:rsid w:val="00A73A62"/>
    <w:rsid w:val="00A741F5"/>
    <w:rsid w:val="00A742D4"/>
    <w:rsid w:val="00A74786"/>
    <w:rsid w:val="00A75BCC"/>
    <w:rsid w:val="00A75FA2"/>
    <w:rsid w:val="00A767DC"/>
    <w:rsid w:val="00A7778D"/>
    <w:rsid w:val="00A77B63"/>
    <w:rsid w:val="00A80754"/>
    <w:rsid w:val="00A81251"/>
    <w:rsid w:val="00A81710"/>
    <w:rsid w:val="00A817A5"/>
    <w:rsid w:val="00A81D22"/>
    <w:rsid w:val="00A82322"/>
    <w:rsid w:val="00A827EB"/>
    <w:rsid w:val="00A82A0F"/>
    <w:rsid w:val="00A82E5D"/>
    <w:rsid w:val="00A837D1"/>
    <w:rsid w:val="00A8397E"/>
    <w:rsid w:val="00A83B2E"/>
    <w:rsid w:val="00A843E1"/>
    <w:rsid w:val="00A84E0C"/>
    <w:rsid w:val="00A84EA1"/>
    <w:rsid w:val="00A858E0"/>
    <w:rsid w:val="00A85990"/>
    <w:rsid w:val="00A85F2C"/>
    <w:rsid w:val="00A86475"/>
    <w:rsid w:val="00A86A0D"/>
    <w:rsid w:val="00A8705F"/>
    <w:rsid w:val="00A87117"/>
    <w:rsid w:val="00A8745F"/>
    <w:rsid w:val="00A91193"/>
    <w:rsid w:val="00A92531"/>
    <w:rsid w:val="00A931D3"/>
    <w:rsid w:val="00A93C97"/>
    <w:rsid w:val="00A93EA5"/>
    <w:rsid w:val="00A9499A"/>
    <w:rsid w:val="00A94F25"/>
    <w:rsid w:val="00A95F51"/>
    <w:rsid w:val="00A963F9"/>
    <w:rsid w:val="00A96541"/>
    <w:rsid w:val="00A965FF"/>
    <w:rsid w:val="00A97437"/>
    <w:rsid w:val="00A97A8E"/>
    <w:rsid w:val="00A97D15"/>
    <w:rsid w:val="00AA0144"/>
    <w:rsid w:val="00AA06D7"/>
    <w:rsid w:val="00AA0C24"/>
    <w:rsid w:val="00AA0FBD"/>
    <w:rsid w:val="00AA1194"/>
    <w:rsid w:val="00AA131E"/>
    <w:rsid w:val="00AA15D3"/>
    <w:rsid w:val="00AA169C"/>
    <w:rsid w:val="00AA17CA"/>
    <w:rsid w:val="00AA1A80"/>
    <w:rsid w:val="00AA227F"/>
    <w:rsid w:val="00AA2D49"/>
    <w:rsid w:val="00AA369D"/>
    <w:rsid w:val="00AA4BAB"/>
    <w:rsid w:val="00AA5276"/>
    <w:rsid w:val="00AA52C8"/>
    <w:rsid w:val="00AA57B6"/>
    <w:rsid w:val="00AA6EE8"/>
    <w:rsid w:val="00AB031D"/>
    <w:rsid w:val="00AB0B84"/>
    <w:rsid w:val="00AB0D70"/>
    <w:rsid w:val="00AB10CE"/>
    <w:rsid w:val="00AB11A5"/>
    <w:rsid w:val="00AB185A"/>
    <w:rsid w:val="00AB1941"/>
    <w:rsid w:val="00AB1B07"/>
    <w:rsid w:val="00AB1D3B"/>
    <w:rsid w:val="00AB1DBF"/>
    <w:rsid w:val="00AB23C4"/>
    <w:rsid w:val="00AB24DD"/>
    <w:rsid w:val="00AB24F3"/>
    <w:rsid w:val="00AB2617"/>
    <w:rsid w:val="00AB261D"/>
    <w:rsid w:val="00AB2638"/>
    <w:rsid w:val="00AB2B94"/>
    <w:rsid w:val="00AB2EDA"/>
    <w:rsid w:val="00AB39E5"/>
    <w:rsid w:val="00AB3A8E"/>
    <w:rsid w:val="00AB3CCA"/>
    <w:rsid w:val="00AB40E6"/>
    <w:rsid w:val="00AB45B1"/>
    <w:rsid w:val="00AB46A2"/>
    <w:rsid w:val="00AB4AE4"/>
    <w:rsid w:val="00AB5283"/>
    <w:rsid w:val="00AB59B0"/>
    <w:rsid w:val="00AB6615"/>
    <w:rsid w:val="00AB6795"/>
    <w:rsid w:val="00AB7807"/>
    <w:rsid w:val="00AC08D2"/>
    <w:rsid w:val="00AC13FA"/>
    <w:rsid w:val="00AC1670"/>
    <w:rsid w:val="00AC2F81"/>
    <w:rsid w:val="00AC2FE3"/>
    <w:rsid w:val="00AC3089"/>
    <w:rsid w:val="00AC3153"/>
    <w:rsid w:val="00AC3217"/>
    <w:rsid w:val="00AC34F3"/>
    <w:rsid w:val="00AC35F6"/>
    <w:rsid w:val="00AC438E"/>
    <w:rsid w:val="00AC455A"/>
    <w:rsid w:val="00AC4A3A"/>
    <w:rsid w:val="00AC5083"/>
    <w:rsid w:val="00AC5525"/>
    <w:rsid w:val="00AC5B6F"/>
    <w:rsid w:val="00AC5B96"/>
    <w:rsid w:val="00AC6010"/>
    <w:rsid w:val="00AC7852"/>
    <w:rsid w:val="00AC7A15"/>
    <w:rsid w:val="00AC7B94"/>
    <w:rsid w:val="00AC7BE8"/>
    <w:rsid w:val="00AD0236"/>
    <w:rsid w:val="00AD11E1"/>
    <w:rsid w:val="00AD1267"/>
    <w:rsid w:val="00AD1447"/>
    <w:rsid w:val="00AD1576"/>
    <w:rsid w:val="00AD1764"/>
    <w:rsid w:val="00AD28B8"/>
    <w:rsid w:val="00AD2BA9"/>
    <w:rsid w:val="00AD33D6"/>
    <w:rsid w:val="00AD366C"/>
    <w:rsid w:val="00AD44DB"/>
    <w:rsid w:val="00AD4915"/>
    <w:rsid w:val="00AD4E07"/>
    <w:rsid w:val="00AD4EFC"/>
    <w:rsid w:val="00AD56D4"/>
    <w:rsid w:val="00AD56EA"/>
    <w:rsid w:val="00AD599A"/>
    <w:rsid w:val="00AD59D2"/>
    <w:rsid w:val="00AD673B"/>
    <w:rsid w:val="00AD7DB3"/>
    <w:rsid w:val="00AE01DA"/>
    <w:rsid w:val="00AE089B"/>
    <w:rsid w:val="00AE0AFA"/>
    <w:rsid w:val="00AE1A14"/>
    <w:rsid w:val="00AE1BF3"/>
    <w:rsid w:val="00AE1D47"/>
    <w:rsid w:val="00AE2422"/>
    <w:rsid w:val="00AE26F3"/>
    <w:rsid w:val="00AE3920"/>
    <w:rsid w:val="00AE46A6"/>
    <w:rsid w:val="00AE4B99"/>
    <w:rsid w:val="00AE4BF4"/>
    <w:rsid w:val="00AE5540"/>
    <w:rsid w:val="00AE5A20"/>
    <w:rsid w:val="00AE5A3F"/>
    <w:rsid w:val="00AE5D4C"/>
    <w:rsid w:val="00AE677C"/>
    <w:rsid w:val="00AE7112"/>
    <w:rsid w:val="00AE73DD"/>
    <w:rsid w:val="00AE7A7C"/>
    <w:rsid w:val="00AF0120"/>
    <w:rsid w:val="00AF022A"/>
    <w:rsid w:val="00AF02AF"/>
    <w:rsid w:val="00AF185F"/>
    <w:rsid w:val="00AF1C78"/>
    <w:rsid w:val="00AF2356"/>
    <w:rsid w:val="00AF2967"/>
    <w:rsid w:val="00AF29DC"/>
    <w:rsid w:val="00AF2E37"/>
    <w:rsid w:val="00AF3EA8"/>
    <w:rsid w:val="00AF3EB2"/>
    <w:rsid w:val="00AF3F96"/>
    <w:rsid w:val="00AF5D6C"/>
    <w:rsid w:val="00AF60BF"/>
    <w:rsid w:val="00AF6A05"/>
    <w:rsid w:val="00B00284"/>
    <w:rsid w:val="00B005D6"/>
    <w:rsid w:val="00B00E07"/>
    <w:rsid w:val="00B01155"/>
    <w:rsid w:val="00B01AF9"/>
    <w:rsid w:val="00B01C77"/>
    <w:rsid w:val="00B0236E"/>
    <w:rsid w:val="00B028EF"/>
    <w:rsid w:val="00B02AE1"/>
    <w:rsid w:val="00B02CC2"/>
    <w:rsid w:val="00B032D3"/>
    <w:rsid w:val="00B03A6C"/>
    <w:rsid w:val="00B03B13"/>
    <w:rsid w:val="00B04EC7"/>
    <w:rsid w:val="00B04FB4"/>
    <w:rsid w:val="00B05481"/>
    <w:rsid w:val="00B05763"/>
    <w:rsid w:val="00B05ABB"/>
    <w:rsid w:val="00B05AF4"/>
    <w:rsid w:val="00B06369"/>
    <w:rsid w:val="00B06EFB"/>
    <w:rsid w:val="00B11606"/>
    <w:rsid w:val="00B11E32"/>
    <w:rsid w:val="00B1240A"/>
    <w:rsid w:val="00B12BFE"/>
    <w:rsid w:val="00B13450"/>
    <w:rsid w:val="00B13D78"/>
    <w:rsid w:val="00B14B33"/>
    <w:rsid w:val="00B15B6F"/>
    <w:rsid w:val="00B167CE"/>
    <w:rsid w:val="00B16A16"/>
    <w:rsid w:val="00B17034"/>
    <w:rsid w:val="00B17855"/>
    <w:rsid w:val="00B178D4"/>
    <w:rsid w:val="00B20107"/>
    <w:rsid w:val="00B20315"/>
    <w:rsid w:val="00B2064C"/>
    <w:rsid w:val="00B20E04"/>
    <w:rsid w:val="00B20E7A"/>
    <w:rsid w:val="00B21945"/>
    <w:rsid w:val="00B23CF7"/>
    <w:rsid w:val="00B24405"/>
    <w:rsid w:val="00B24E21"/>
    <w:rsid w:val="00B25C9A"/>
    <w:rsid w:val="00B25DA9"/>
    <w:rsid w:val="00B25E3D"/>
    <w:rsid w:val="00B25F6A"/>
    <w:rsid w:val="00B26709"/>
    <w:rsid w:val="00B27722"/>
    <w:rsid w:val="00B301CC"/>
    <w:rsid w:val="00B3099B"/>
    <w:rsid w:val="00B30C45"/>
    <w:rsid w:val="00B30DB3"/>
    <w:rsid w:val="00B317A4"/>
    <w:rsid w:val="00B31926"/>
    <w:rsid w:val="00B31EBC"/>
    <w:rsid w:val="00B326A1"/>
    <w:rsid w:val="00B32923"/>
    <w:rsid w:val="00B32D3E"/>
    <w:rsid w:val="00B33303"/>
    <w:rsid w:val="00B33C48"/>
    <w:rsid w:val="00B34D42"/>
    <w:rsid w:val="00B3513B"/>
    <w:rsid w:val="00B3566E"/>
    <w:rsid w:val="00B35F8C"/>
    <w:rsid w:val="00B361FA"/>
    <w:rsid w:val="00B36547"/>
    <w:rsid w:val="00B40AAC"/>
    <w:rsid w:val="00B40C82"/>
    <w:rsid w:val="00B40F05"/>
    <w:rsid w:val="00B4136C"/>
    <w:rsid w:val="00B41406"/>
    <w:rsid w:val="00B414B7"/>
    <w:rsid w:val="00B41A57"/>
    <w:rsid w:val="00B423B7"/>
    <w:rsid w:val="00B42D22"/>
    <w:rsid w:val="00B44005"/>
    <w:rsid w:val="00B445FC"/>
    <w:rsid w:val="00B44707"/>
    <w:rsid w:val="00B45432"/>
    <w:rsid w:val="00B4677C"/>
    <w:rsid w:val="00B46C50"/>
    <w:rsid w:val="00B47117"/>
    <w:rsid w:val="00B4752E"/>
    <w:rsid w:val="00B47540"/>
    <w:rsid w:val="00B477B3"/>
    <w:rsid w:val="00B47A33"/>
    <w:rsid w:val="00B508EA"/>
    <w:rsid w:val="00B50BE7"/>
    <w:rsid w:val="00B513B4"/>
    <w:rsid w:val="00B51652"/>
    <w:rsid w:val="00B51A54"/>
    <w:rsid w:val="00B5353F"/>
    <w:rsid w:val="00B53728"/>
    <w:rsid w:val="00B53731"/>
    <w:rsid w:val="00B54932"/>
    <w:rsid w:val="00B56421"/>
    <w:rsid w:val="00B5655D"/>
    <w:rsid w:val="00B56673"/>
    <w:rsid w:val="00B567F8"/>
    <w:rsid w:val="00B568DF"/>
    <w:rsid w:val="00B569EA"/>
    <w:rsid w:val="00B5724F"/>
    <w:rsid w:val="00B57CCA"/>
    <w:rsid w:val="00B60409"/>
    <w:rsid w:val="00B60B8A"/>
    <w:rsid w:val="00B614F4"/>
    <w:rsid w:val="00B617A4"/>
    <w:rsid w:val="00B61A72"/>
    <w:rsid w:val="00B61DE7"/>
    <w:rsid w:val="00B623DB"/>
    <w:rsid w:val="00B6307A"/>
    <w:rsid w:val="00B633CE"/>
    <w:rsid w:val="00B63577"/>
    <w:rsid w:val="00B644E3"/>
    <w:rsid w:val="00B651EF"/>
    <w:rsid w:val="00B65B2D"/>
    <w:rsid w:val="00B6615A"/>
    <w:rsid w:val="00B66465"/>
    <w:rsid w:val="00B66728"/>
    <w:rsid w:val="00B66F40"/>
    <w:rsid w:val="00B67CEB"/>
    <w:rsid w:val="00B67FCE"/>
    <w:rsid w:val="00B70962"/>
    <w:rsid w:val="00B70977"/>
    <w:rsid w:val="00B70B1D"/>
    <w:rsid w:val="00B7166A"/>
    <w:rsid w:val="00B71B90"/>
    <w:rsid w:val="00B72758"/>
    <w:rsid w:val="00B728A9"/>
    <w:rsid w:val="00B7294E"/>
    <w:rsid w:val="00B7298F"/>
    <w:rsid w:val="00B73A29"/>
    <w:rsid w:val="00B73B86"/>
    <w:rsid w:val="00B73CEF"/>
    <w:rsid w:val="00B749DE"/>
    <w:rsid w:val="00B752DC"/>
    <w:rsid w:val="00B75C89"/>
    <w:rsid w:val="00B76436"/>
    <w:rsid w:val="00B768B0"/>
    <w:rsid w:val="00B76F1E"/>
    <w:rsid w:val="00B77E1E"/>
    <w:rsid w:val="00B80175"/>
    <w:rsid w:val="00B8055F"/>
    <w:rsid w:val="00B805C8"/>
    <w:rsid w:val="00B8093A"/>
    <w:rsid w:val="00B81049"/>
    <w:rsid w:val="00B82049"/>
    <w:rsid w:val="00B82A82"/>
    <w:rsid w:val="00B83186"/>
    <w:rsid w:val="00B833BA"/>
    <w:rsid w:val="00B833DD"/>
    <w:rsid w:val="00B835A7"/>
    <w:rsid w:val="00B83943"/>
    <w:rsid w:val="00B839C1"/>
    <w:rsid w:val="00B83EFF"/>
    <w:rsid w:val="00B849B7"/>
    <w:rsid w:val="00B84DCA"/>
    <w:rsid w:val="00B85298"/>
    <w:rsid w:val="00B86457"/>
    <w:rsid w:val="00B8741B"/>
    <w:rsid w:val="00B878B3"/>
    <w:rsid w:val="00B87E09"/>
    <w:rsid w:val="00B87E25"/>
    <w:rsid w:val="00B87F95"/>
    <w:rsid w:val="00B90705"/>
    <w:rsid w:val="00B90ACB"/>
    <w:rsid w:val="00B91D60"/>
    <w:rsid w:val="00B91FF3"/>
    <w:rsid w:val="00B92358"/>
    <w:rsid w:val="00B92BBA"/>
    <w:rsid w:val="00B938AD"/>
    <w:rsid w:val="00B93E52"/>
    <w:rsid w:val="00B9403C"/>
    <w:rsid w:val="00B941E1"/>
    <w:rsid w:val="00B94278"/>
    <w:rsid w:val="00B94C71"/>
    <w:rsid w:val="00B94E35"/>
    <w:rsid w:val="00B954FD"/>
    <w:rsid w:val="00B95A37"/>
    <w:rsid w:val="00B95BDE"/>
    <w:rsid w:val="00B95D02"/>
    <w:rsid w:val="00B96CA0"/>
    <w:rsid w:val="00B96DFE"/>
    <w:rsid w:val="00B971BF"/>
    <w:rsid w:val="00B977D1"/>
    <w:rsid w:val="00B97E65"/>
    <w:rsid w:val="00BA0985"/>
    <w:rsid w:val="00BA0FF1"/>
    <w:rsid w:val="00BA228D"/>
    <w:rsid w:val="00BA3786"/>
    <w:rsid w:val="00BA3913"/>
    <w:rsid w:val="00BA4B37"/>
    <w:rsid w:val="00BA4EF3"/>
    <w:rsid w:val="00BA5043"/>
    <w:rsid w:val="00BA56A7"/>
    <w:rsid w:val="00BA5BEB"/>
    <w:rsid w:val="00BA63E7"/>
    <w:rsid w:val="00BA6475"/>
    <w:rsid w:val="00BA678F"/>
    <w:rsid w:val="00BA6D74"/>
    <w:rsid w:val="00BA71CF"/>
    <w:rsid w:val="00BA7603"/>
    <w:rsid w:val="00BA76C0"/>
    <w:rsid w:val="00BA7CCD"/>
    <w:rsid w:val="00BA7E8C"/>
    <w:rsid w:val="00BA7F7E"/>
    <w:rsid w:val="00BB007C"/>
    <w:rsid w:val="00BB050D"/>
    <w:rsid w:val="00BB0704"/>
    <w:rsid w:val="00BB1302"/>
    <w:rsid w:val="00BB14F1"/>
    <w:rsid w:val="00BB3030"/>
    <w:rsid w:val="00BB33AE"/>
    <w:rsid w:val="00BB36C3"/>
    <w:rsid w:val="00BB418C"/>
    <w:rsid w:val="00BB4C02"/>
    <w:rsid w:val="00BB5562"/>
    <w:rsid w:val="00BB55AC"/>
    <w:rsid w:val="00BB606F"/>
    <w:rsid w:val="00BB752E"/>
    <w:rsid w:val="00BB7E5D"/>
    <w:rsid w:val="00BC014C"/>
    <w:rsid w:val="00BC0DE1"/>
    <w:rsid w:val="00BC0F7D"/>
    <w:rsid w:val="00BC247C"/>
    <w:rsid w:val="00BC4245"/>
    <w:rsid w:val="00BC430A"/>
    <w:rsid w:val="00BC4451"/>
    <w:rsid w:val="00BC4B26"/>
    <w:rsid w:val="00BC4C47"/>
    <w:rsid w:val="00BC5539"/>
    <w:rsid w:val="00BC5B8E"/>
    <w:rsid w:val="00BC5DDE"/>
    <w:rsid w:val="00BC68D4"/>
    <w:rsid w:val="00BC6A02"/>
    <w:rsid w:val="00BC7311"/>
    <w:rsid w:val="00BC76FB"/>
    <w:rsid w:val="00BC792F"/>
    <w:rsid w:val="00BC7AFE"/>
    <w:rsid w:val="00BD2716"/>
    <w:rsid w:val="00BD3529"/>
    <w:rsid w:val="00BD3680"/>
    <w:rsid w:val="00BD3A78"/>
    <w:rsid w:val="00BD455F"/>
    <w:rsid w:val="00BD52EA"/>
    <w:rsid w:val="00BD570D"/>
    <w:rsid w:val="00BD6013"/>
    <w:rsid w:val="00BD63C5"/>
    <w:rsid w:val="00BD64D1"/>
    <w:rsid w:val="00BD6585"/>
    <w:rsid w:val="00BD65BE"/>
    <w:rsid w:val="00BD66AD"/>
    <w:rsid w:val="00BD68BB"/>
    <w:rsid w:val="00BD7A77"/>
    <w:rsid w:val="00BE0009"/>
    <w:rsid w:val="00BE0285"/>
    <w:rsid w:val="00BE0659"/>
    <w:rsid w:val="00BE0C8C"/>
    <w:rsid w:val="00BE1D7B"/>
    <w:rsid w:val="00BE218A"/>
    <w:rsid w:val="00BE2BB4"/>
    <w:rsid w:val="00BE2CE7"/>
    <w:rsid w:val="00BE36A6"/>
    <w:rsid w:val="00BE3DA9"/>
    <w:rsid w:val="00BE40DD"/>
    <w:rsid w:val="00BE5407"/>
    <w:rsid w:val="00BE54E2"/>
    <w:rsid w:val="00BE56C8"/>
    <w:rsid w:val="00BE5E72"/>
    <w:rsid w:val="00BE6778"/>
    <w:rsid w:val="00BE67D8"/>
    <w:rsid w:val="00BE6BBD"/>
    <w:rsid w:val="00BE7276"/>
    <w:rsid w:val="00BE750D"/>
    <w:rsid w:val="00BE77DD"/>
    <w:rsid w:val="00BF1202"/>
    <w:rsid w:val="00BF1B84"/>
    <w:rsid w:val="00BF1D4A"/>
    <w:rsid w:val="00BF2328"/>
    <w:rsid w:val="00BF282E"/>
    <w:rsid w:val="00BF366C"/>
    <w:rsid w:val="00BF37D6"/>
    <w:rsid w:val="00BF40C2"/>
    <w:rsid w:val="00BF418A"/>
    <w:rsid w:val="00BF419F"/>
    <w:rsid w:val="00BF4973"/>
    <w:rsid w:val="00BF4A4C"/>
    <w:rsid w:val="00BF4BFC"/>
    <w:rsid w:val="00BF68CD"/>
    <w:rsid w:val="00BF6A48"/>
    <w:rsid w:val="00BF7416"/>
    <w:rsid w:val="00C0217F"/>
    <w:rsid w:val="00C02672"/>
    <w:rsid w:val="00C03617"/>
    <w:rsid w:val="00C03E95"/>
    <w:rsid w:val="00C04130"/>
    <w:rsid w:val="00C0417B"/>
    <w:rsid w:val="00C04A33"/>
    <w:rsid w:val="00C04A6B"/>
    <w:rsid w:val="00C04E27"/>
    <w:rsid w:val="00C04FD9"/>
    <w:rsid w:val="00C0529E"/>
    <w:rsid w:val="00C0570C"/>
    <w:rsid w:val="00C05D04"/>
    <w:rsid w:val="00C05FAD"/>
    <w:rsid w:val="00C06333"/>
    <w:rsid w:val="00C06FF5"/>
    <w:rsid w:val="00C074DA"/>
    <w:rsid w:val="00C0752B"/>
    <w:rsid w:val="00C0778A"/>
    <w:rsid w:val="00C10423"/>
    <w:rsid w:val="00C10634"/>
    <w:rsid w:val="00C10969"/>
    <w:rsid w:val="00C10A1F"/>
    <w:rsid w:val="00C11B7C"/>
    <w:rsid w:val="00C11EFE"/>
    <w:rsid w:val="00C1274D"/>
    <w:rsid w:val="00C138F3"/>
    <w:rsid w:val="00C15D83"/>
    <w:rsid w:val="00C15FA8"/>
    <w:rsid w:val="00C165F4"/>
    <w:rsid w:val="00C176D7"/>
    <w:rsid w:val="00C17C30"/>
    <w:rsid w:val="00C17F75"/>
    <w:rsid w:val="00C20909"/>
    <w:rsid w:val="00C2120C"/>
    <w:rsid w:val="00C21A4B"/>
    <w:rsid w:val="00C226AC"/>
    <w:rsid w:val="00C22CC7"/>
    <w:rsid w:val="00C235E4"/>
    <w:rsid w:val="00C23A15"/>
    <w:rsid w:val="00C24694"/>
    <w:rsid w:val="00C2477C"/>
    <w:rsid w:val="00C24F1B"/>
    <w:rsid w:val="00C252C9"/>
    <w:rsid w:val="00C255BA"/>
    <w:rsid w:val="00C25F3D"/>
    <w:rsid w:val="00C2637D"/>
    <w:rsid w:val="00C2693E"/>
    <w:rsid w:val="00C2716F"/>
    <w:rsid w:val="00C31D7E"/>
    <w:rsid w:val="00C320F0"/>
    <w:rsid w:val="00C3228A"/>
    <w:rsid w:val="00C3256A"/>
    <w:rsid w:val="00C32946"/>
    <w:rsid w:val="00C32A05"/>
    <w:rsid w:val="00C33006"/>
    <w:rsid w:val="00C33182"/>
    <w:rsid w:val="00C33287"/>
    <w:rsid w:val="00C3370A"/>
    <w:rsid w:val="00C33D95"/>
    <w:rsid w:val="00C33EA0"/>
    <w:rsid w:val="00C345C5"/>
    <w:rsid w:val="00C346EF"/>
    <w:rsid w:val="00C3545E"/>
    <w:rsid w:val="00C363FA"/>
    <w:rsid w:val="00C36E67"/>
    <w:rsid w:val="00C3731F"/>
    <w:rsid w:val="00C373C2"/>
    <w:rsid w:val="00C4040E"/>
    <w:rsid w:val="00C40793"/>
    <w:rsid w:val="00C408B9"/>
    <w:rsid w:val="00C40CDE"/>
    <w:rsid w:val="00C42BC4"/>
    <w:rsid w:val="00C42CFC"/>
    <w:rsid w:val="00C42DE8"/>
    <w:rsid w:val="00C4303E"/>
    <w:rsid w:val="00C4385D"/>
    <w:rsid w:val="00C44376"/>
    <w:rsid w:val="00C45212"/>
    <w:rsid w:val="00C452E1"/>
    <w:rsid w:val="00C455FC"/>
    <w:rsid w:val="00C45968"/>
    <w:rsid w:val="00C4610A"/>
    <w:rsid w:val="00C461B5"/>
    <w:rsid w:val="00C46E52"/>
    <w:rsid w:val="00C47E49"/>
    <w:rsid w:val="00C51158"/>
    <w:rsid w:val="00C519A6"/>
    <w:rsid w:val="00C51E6D"/>
    <w:rsid w:val="00C52287"/>
    <w:rsid w:val="00C52D0F"/>
    <w:rsid w:val="00C53213"/>
    <w:rsid w:val="00C537C7"/>
    <w:rsid w:val="00C5384F"/>
    <w:rsid w:val="00C540A1"/>
    <w:rsid w:val="00C54496"/>
    <w:rsid w:val="00C55561"/>
    <w:rsid w:val="00C56A30"/>
    <w:rsid w:val="00C57280"/>
    <w:rsid w:val="00C57998"/>
    <w:rsid w:val="00C57E1D"/>
    <w:rsid w:val="00C61A8D"/>
    <w:rsid w:val="00C61B8C"/>
    <w:rsid w:val="00C62026"/>
    <w:rsid w:val="00C62768"/>
    <w:rsid w:val="00C62E17"/>
    <w:rsid w:val="00C62E7C"/>
    <w:rsid w:val="00C63335"/>
    <w:rsid w:val="00C63A1D"/>
    <w:rsid w:val="00C64947"/>
    <w:rsid w:val="00C64961"/>
    <w:rsid w:val="00C64CAC"/>
    <w:rsid w:val="00C651B8"/>
    <w:rsid w:val="00C654CE"/>
    <w:rsid w:val="00C65C4C"/>
    <w:rsid w:val="00C65E42"/>
    <w:rsid w:val="00C66085"/>
    <w:rsid w:val="00C661C0"/>
    <w:rsid w:val="00C67446"/>
    <w:rsid w:val="00C67BD4"/>
    <w:rsid w:val="00C67E63"/>
    <w:rsid w:val="00C713EE"/>
    <w:rsid w:val="00C719A2"/>
    <w:rsid w:val="00C72168"/>
    <w:rsid w:val="00C7236F"/>
    <w:rsid w:val="00C72929"/>
    <w:rsid w:val="00C7337C"/>
    <w:rsid w:val="00C73B42"/>
    <w:rsid w:val="00C74216"/>
    <w:rsid w:val="00C7427D"/>
    <w:rsid w:val="00C747BE"/>
    <w:rsid w:val="00C757AC"/>
    <w:rsid w:val="00C75A5D"/>
    <w:rsid w:val="00C75CF1"/>
    <w:rsid w:val="00C75E79"/>
    <w:rsid w:val="00C75EC5"/>
    <w:rsid w:val="00C7623F"/>
    <w:rsid w:val="00C7660B"/>
    <w:rsid w:val="00C76E77"/>
    <w:rsid w:val="00C77112"/>
    <w:rsid w:val="00C77C65"/>
    <w:rsid w:val="00C807E0"/>
    <w:rsid w:val="00C80AD1"/>
    <w:rsid w:val="00C81217"/>
    <w:rsid w:val="00C81D9C"/>
    <w:rsid w:val="00C8215C"/>
    <w:rsid w:val="00C821DB"/>
    <w:rsid w:val="00C8235E"/>
    <w:rsid w:val="00C82523"/>
    <w:rsid w:val="00C82ADA"/>
    <w:rsid w:val="00C82FB6"/>
    <w:rsid w:val="00C8347C"/>
    <w:rsid w:val="00C83873"/>
    <w:rsid w:val="00C83AFC"/>
    <w:rsid w:val="00C83F7D"/>
    <w:rsid w:val="00C8431C"/>
    <w:rsid w:val="00C84D5D"/>
    <w:rsid w:val="00C852C4"/>
    <w:rsid w:val="00C853DE"/>
    <w:rsid w:val="00C859C2"/>
    <w:rsid w:val="00C85DC7"/>
    <w:rsid w:val="00C85F92"/>
    <w:rsid w:val="00C85FF2"/>
    <w:rsid w:val="00C863C6"/>
    <w:rsid w:val="00C86A79"/>
    <w:rsid w:val="00C87265"/>
    <w:rsid w:val="00C8741F"/>
    <w:rsid w:val="00C8752B"/>
    <w:rsid w:val="00C87A8C"/>
    <w:rsid w:val="00C87EFF"/>
    <w:rsid w:val="00C90066"/>
    <w:rsid w:val="00C90080"/>
    <w:rsid w:val="00C901AB"/>
    <w:rsid w:val="00C9077C"/>
    <w:rsid w:val="00C92149"/>
    <w:rsid w:val="00C9279F"/>
    <w:rsid w:val="00C9315C"/>
    <w:rsid w:val="00C931DC"/>
    <w:rsid w:val="00C93A49"/>
    <w:rsid w:val="00C93B28"/>
    <w:rsid w:val="00C94258"/>
    <w:rsid w:val="00C957F9"/>
    <w:rsid w:val="00C959CF"/>
    <w:rsid w:val="00C95B7A"/>
    <w:rsid w:val="00C96312"/>
    <w:rsid w:val="00C97342"/>
    <w:rsid w:val="00C97940"/>
    <w:rsid w:val="00CA02B3"/>
    <w:rsid w:val="00CA0987"/>
    <w:rsid w:val="00CA1327"/>
    <w:rsid w:val="00CA1CCB"/>
    <w:rsid w:val="00CA1ECC"/>
    <w:rsid w:val="00CA2033"/>
    <w:rsid w:val="00CA2738"/>
    <w:rsid w:val="00CA2C63"/>
    <w:rsid w:val="00CA2C65"/>
    <w:rsid w:val="00CA3BC8"/>
    <w:rsid w:val="00CA3CEC"/>
    <w:rsid w:val="00CA3DC7"/>
    <w:rsid w:val="00CA4CD8"/>
    <w:rsid w:val="00CA50AA"/>
    <w:rsid w:val="00CA51C0"/>
    <w:rsid w:val="00CA5F16"/>
    <w:rsid w:val="00CA61B9"/>
    <w:rsid w:val="00CA6321"/>
    <w:rsid w:val="00CA6398"/>
    <w:rsid w:val="00CA6594"/>
    <w:rsid w:val="00CA716D"/>
    <w:rsid w:val="00CA73CA"/>
    <w:rsid w:val="00CA755D"/>
    <w:rsid w:val="00CA7E36"/>
    <w:rsid w:val="00CB0ECB"/>
    <w:rsid w:val="00CB10C9"/>
    <w:rsid w:val="00CB1D4F"/>
    <w:rsid w:val="00CB21E8"/>
    <w:rsid w:val="00CB2A22"/>
    <w:rsid w:val="00CB301D"/>
    <w:rsid w:val="00CB3357"/>
    <w:rsid w:val="00CB35A0"/>
    <w:rsid w:val="00CB3FDC"/>
    <w:rsid w:val="00CB5679"/>
    <w:rsid w:val="00CB57E8"/>
    <w:rsid w:val="00CB5F14"/>
    <w:rsid w:val="00CB6368"/>
    <w:rsid w:val="00CB66B4"/>
    <w:rsid w:val="00CB6EEF"/>
    <w:rsid w:val="00CC0309"/>
    <w:rsid w:val="00CC073C"/>
    <w:rsid w:val="00CC0F84"/>
    <w:rsid w:val="00CC1340"/>
    <w:rsid w:val="00CC14E3"/>
    <w:rsid w:val="00CC1769"/>
    <w:rsid w:val="00CC1F29"/>
    <w:rsid w:val="00CC20C3"/>
    <w:rsid w:val="00CC235D"/>
    <w:rsid w:val="00CC29DB"/>
    <w:rsid w:val="00CC3057"/>
    <w:rsid w:val="00CC30DC"/>
    <w:rsid w:val="00CC31FB"/>
    <w:rsid w:val="00CC3505"/>
    <w:rsid w:val="00CC3547"/>
    <w:rsid w:val="00CC364B"/>
    <w:rsid w:val="00CC38CB"/>
    <w:rsid w:val="00CC3AC2"/>
    <w:rsid w:val="00CC3C82"/>
    <w:rsid w:val="00CC466F"/>
    <w:rsid w:val="00CC491D"/>
    <w:rsid w:val="00CC4B98"/>
    <w:rsid w:val="00CC4D74"/>
    <w:rsid w:val="00CC4E51"/>
    <w:rsid w:val="00CC4F0F"/>
    <w:rsid w:val="00CC5DA3"/>
    <w:rsid w:val="00CC646B"/>
    <w:rsid w:val="00CD08BE"/>
    <w:rsid w:val="00CD0AD3"/>
    <w:rsid w:val="00CD1D40"/>
    <w:rsid w:val="00CD264E"/>
    <w:rsid w:val="00CD2A5D"/>
    <w:rsid w:val="00CD324C"/>
    <w:rsid w:val="00CD32D3"/>
    <w:rsid w:val="00CD4CBD"/>
    <w:rsid w:val="00CD532B"/>
    <w:rsid w:val="00CD55FD"/>
    <w:rsid w:val="00CD565F"/>
    <w:rsid w:val="00CD7353"/>
    <w:rsid w:val="00CD7AF6"/>
    <w:rsid w:val="00CE0303"/>
    <w:rsid w:val="00CE0A45"/>
    <w:rsid w:val="00CE16CB"/>
    <w:rsid w:val="00CE1FE1"/>
    <w:rsid w:val="00CE3DC6"/>
    <w:rsid w:val="00CE4036"/>
    <w:rsid w:val="00CE4951"/>
    <w:rsid w:val="00CE4D76"/>
    <w:rsid w:val="00CE5EBB"/>
    <w:rsid w:val="00CE62C8"/>
    <w:rsid w:val="00CE74DF"/>
    <w:rsid w:val="00CE76C4"/>
    <w:rsid w:val="00CE7B3B"/>
    <w:rsid w:val="00CE7DC5"/>
    <w:rsid w:val="00CF051B"/>
    <w:rsid w:val="00CF052C"/>
    <w:rsid w:val="00CF07E1"/>
    <w:rsid w:val="00CF0900"/>
    <w:rsid w:val="00CF0D82"/>
    <w:rsid w:val="00CF171C"/>
    <w:rsid w:val="00CF1DC7"/>
    <w:rsid w:val="00CF1FD0"/>
    <w:rsid w:val="00CF210D"/>
    <w:rsid w:val="00CF24EC"/>
    <w:rsid w:val="00CF28C9"/>
    <w:rsid w:val="00CF29C2"/>
    <w:rsid w:val="00CF2DB5"/>
    <w:rsid w:val="00CF322C"/>
    <w:rsid w:val="00CF325F"/>
    <w:rsid w:val="00CF396A"/>
    <w:rsid w:val="00CF3E13"/>
    <w:rsid w:val="00CF4475"/>
    <w:rsid w:val="00CF44DB"/>
    <w:rsid w:val="00CF47BE"/>
    <w:rsid w:val="00CF4896"/>
    <w:rsid w:val="00CF5A99"/>
    <w:rsid w:val="00CF5DCA"/>
    <w:rsid w:val="00CF6171"/>
    <w:rsid w:val="00CF632D"/>
    <w:rsid w:val="00CF6A5A"/>
    <w:rsid w:val="00CF72F5"/>
    <w:rsid w:val="00CF7756"/>
    <w:rsid w:val="00D00226"/>
    <w:rsid w:val="00D0072D"/>
    <w:rsid w:val="00D009E2"/>
    <w:rsid w:val="00D010D2"/>
    <w:rsid w:val="00D023CA"/>
    <w:rsid w:val="00D02460"/>
    <w:rsid w:val="00D02EB0"/>
    <w:rsid w:val="00D02FA9"/>
    <w:rsid w:val="00D03B5D"/>
    <w:rsid w:val="00D05213"/>
    <w:rsid w:val="00D05523"/>
    <w:rsid w:val="00D055B1"/>
    <w:rsid w:val="00D05BB0"/>
    <w:rsid w:val="00D06E4B"/>
    <w:rsid w:val="00D071CC"/>
    <w:rsid w:val="00D072F3"/>
    <w:rsid w:val="00D1084D"/>
    <w:rsid w:val="00D10D81"/>
    <w:rsid w:val="00D10FFA"/>
    <w:rsid w:val="00D113A6"/>
    <w:rsid w:val="00D114B8"/>
    <w:rsid w:val="00D12363"/>
    <w:rsid w:val="00D12B25"/>
    <w:rsid w:val="00D1376D"/>
    <w:rsid w:val="00D13C75"/>
    <w:rsid w:val="00D13E2C"/>
    <w:rsid w:val="00D150D5"/>
    <w:rsid w:val="00D15359"/>
    <w:rsid w:val="00D16A5B"/>
    <w:rsid w:val="00D16AE2"/>
    <w:rsid w:val="00D1737F"/>
    <w:rsid w:val="00D174CE"/>
    <w:rsid w:val="00D179BD"/>
    <w:rsid w:val="00D1ACEB"/>
    <w:rsid w:val="00D2144A"/>
    <w:rsid w:val="00D218DB"/>
    <w:rsid w:val="00D21FD2"/>
    <w:rsid w:val="00D2284B"/>
    <w:rsid w:val="00D22BD0"/>
    <w:rsid w:val="00D233F3"/>
    <w:rsid w:val="00D24693"/>
    <w:rsid w:val="00D25A22"/>
    <w:rsid w:val="00D26074"/>
    <w:rsid w:val="00D26933"/>
    <w:rsid w:val="00D30117"/>
    <w:rsid w:val="00D30274"/>
    <w:rsid w:val="00D30538"/>
    <w:rsid w:val="00D30AEE"/>
    <w:rsid w:val="00D31839"/>
    <w:rsid w:val="00D32308"/>
    <w:rsid w:val="00D32AD6"/>
    <w:rsid w:val="00D33111"/>
    <w:rsid w:val="00D33216"/>
    <w:rsid w:val="00D33E8A"/>
    <w:rsid w:val="00D34644"/>
    <w:rsid w:val="00D359A7"/>
    <w:rsid w:val="00D3604A"/>
    <w:rsid w:val="00D36BA4"/>
    <w:rsid w:val="00D3748E"/>
    <w:rsid w:val="00D37A3F"/>
    <w:rsid w:val="00D37AB4"/>
    <w:rsid w:val="00D37C33"/>
    <w:rsid w:val="00D412E3"/>
    <w:rsid w:val="00D41ACE"/>
    <w:rsid w:val="00D42376"/>
    <w:rsid w:val="00D424EF"/>
    <w:rsid w:val="00D428E9"/>
    <w:rsid w:val="00D42A36"/>
    <w:rsid w:val="00D43699"/>
    <w:rsid w:val="00D43EFB"/>
    <w:rsid w:val="00D43F8C"/>
    <w:rsid w:val="00D44DA8"/>
    <w:rsid w:val="00D45552"/>
    <w:rsid w:val="00D45561"/>
    <w:rsid w:val="00D46E4F"/>
    <w:rsid w:val="00D500CE"/>
    <w:rsid w:val="00D506A9"/>
    <w:rsid w:val="00D5098C"/>
    <w:rsid w:val="00D51A5B"/>
    <w:rsid w:val="00D53273"/>
    <w:rsid w:val="00D534B2"/>
    <w:rsid w:val="00D536BD"/>
    <w:rsid w:val="00D53C33"/>
    <w:rsid w:val="00D544F1"/>
    <w:rsid w:val="00D54E2C"/>
    <w:rsid w:val="00D5503F"/>
    <w:rsid w:val="00D55CAB"/>
    <w:rsid w:val="00D564BF"/>
    <w:rsid w:val="00D569C9"/>
    <w:rsid w:val="00D56E6A"/>
    <w:rsid w:val="00D5713B"/>
    <w:rsid w:val="00D574E0"/>
    <w:rsid w:val="00D57BFB"/>
    <w:rsid w:val="00D57F4D"/>
    <w:rsid w:val="00D60480"/>
    <w:rsid w:val="00D6109E"/>
    <w:rsid w:val="00D61B65"/>
    <w:rsid w:val="00D622ED"/>
    <w:rsid w:val="00D62C16"/>
    <w:rsid w:val="00D631C3"/>
    <w:rsid w:val="00D63DD3"/>
    <w:rsid w:val="00D64BDF"/>
    <w:rsid w:val="00D65114"/>
    <w:rsid w:val="00D65169"/>
    <w:rsid w:val="00D659F8"/>
    <w:rsid w:val="00D65F3D"/>
    <w:rsid w:val="00D67573"/>
    <w:rsid w:val="00D67A6D"/>
    <w:rsid w:val="00D67B38"/>
    <w:rsid w:val="00D71122"/>
    <w:rsid w:val="00D7136D"/>
    <w:rsid w:val="00D71FB8"/>
    <w:rsid w:val="00D7275B"/>
    <w:rsid w:val="00D728F5"/>
    <w:rsid w:val="00D72942"/>
    <w:rsid w:val="00D72EF1"/>
    <w:rsid w:val="00D7319C"/>
    <w:rsid w:val="00D737BB"/>
    <w:rsid w:val="00D739AA"/>
    <w:rsid w:val="00D73BEB"/>
    <w:rsid w:val="00D73FC1"/>
    <w:rsid w:val="00D75BC2"/>
    <w:rsid w:val="00D76E91"/>
    <w:rsid w:val="00D76FB7"/>
    <w:rsid w:val="00D77FA7"/>
    <w:rsid w:val="00D80A3A"/>
    <w:rsid w:val="00D80B77"/>
    <w:rsid w:val="00D80D47"/>
    <w:rsid w:val="00D80FF8"/>
    <w:rsid w:val="00D8104E"/>
    <w:rsid w:val="00D810E4"/>
    <w:rsid w:val="00D8270E"/>
    <w:rsid w:val="00D82C70"/>
    <w:rsid w:val="00D82CB3"/>
    <w:rsid w:val="00D830B7"/>
    <w:rsid w:val="00D832C9"/>
    <w:rsid w:val="00D83A07"/>
    <w:rsid w:val="00D84072"/>
    <w:rsid w:val="00D841E5"/>
    <w:rsid w:val="00D84806"/>
    <w:rsid w:val="00D856EC"/>
    <w:rsid w:val="00D8618D"/>
    <w:rsid w:val="00D90575"/>
    <w:rsid w:val="00D90DD3"/>
    <w:rsid w:val="00D9112D"/>
    <w:rsid w:val="00D9175C"/>
    <w:rsid w:val="00D923FB"/>
    <w:rsid w:val="00D9264D"/>
    <w:rsid w:val="00D93DF3"/>
    <w:rsid w:val="00D941DC"/>
    <w:rsid w:val="00D9466C"/>
    <w:rsid w:val="00D95D27"/>
    <w:rsid w:val="00D960B5"/>
    <w:rsid w:val="00D97567"/>
    <w:rsid w:val="00D97EF5"/>
    <w:rsid w:val="00DA02DF"/>
    <w:rsid w:val="00DA084B"/>
    <w:rsid w:val="00DA1316"/>
    <w:rsid w:val="00DA1350"/>
    <w:rsid w:val="00DA1BF1"/>
    <w:rsid w:val="00DA2920"/>
    <w:rsid w:val="00DA2BEF"/>
    <w:rsid w:val="00DA30B0"/>
    <w:rsid w:val="00DA3DE5"/>
    <w:rsid w:val="00DA45A0"/>
    <w:rsid w:val="00DA4C73"/>
    <w:rsid w:val="00DA6FD7"/>
    <w:rsid w:val="00DA7A39"/>
    <w:rsid w:val="00DA7F7A"/>
    <w:rsid w:val="00DA7FC8"/>
    <w:rsid w:val="00DB0569"/>
    <w:rsid w:val="00DB0844"/>
    <w:rsid w:val="00DB10FE"/>
    <w:rsid w:val="00DB1558"/>
    <w:rsid w:val="00DB1AD5"/>
    <w:rsid w:val="00DB2364"/>
    <w:rsid w:val="00DB2388"/>
    <w:rsid w:val="00DB29F9"/>
    <w:rsid w:val="00DB2B1C"/>
    <w:rsid w:val="00DB2EE4"/>
    <w:rsid w:val="00DB4759"/>
    <w:rsid w:val="00DB4B20"/>
    <w:rsid w:val="00DB6D62"/>
    <w:rsid w:val="00DB6E7E"/>
    <w:rsid w:val="00DB7898"/>
    <w:rsid w:val="00DC01DA"/>
    <w:rsid w:val="00DC030C"/>
    <w:rsid w:val="00DC09A6"/>
    <w:rsid w:val="00DC0FAF"/>
    <w:rsid w:val="00DC137D"/>
    <w:rsid w:val="00DC1D75"/>
    <w:rsid w:val="00DC2171"/>
    <w:rsid w:val="00DC22CE"/>
    <w:rsid w:val="00DC27D8"/>
    <w:rsid w:val="00DC2B45"/>
    <w:rsid w:val="00DC2B81"/>
    <w:rsid w:val="00DC3AE4"/>
    <w:rsid w:val="00DC438B"/>
    <w:rsid w:val="00DC4402"/>
    <w:rsid w:val="00DC486A"/>
    <w:rsid w:val="00DC4973"/>
    <w:rsid w:val="00DC59B9"/>
    <w:rsid w:val="00DC63D1"/>
    <w:rsid w:val="00DC696D"/>
    <w:rsid w:val="00DC6DFA"/>
    <w:rsid w:val="00DC79C4"/>
    <w:rsid w:val="00DC7EFF"/>
    <w:rsid w:val="00DD09AD"/>
    <w:rsid w:val="00DD1842"/>
    <w:rsid w:val="00DD277D"/>
    <w:rsid w:val="00DD3102"/>
    <w:rsid w:val="00DD3301"/>
    <w:rsid w:val="00DD3FE7"/>
    <w:rsid w:val="00DD40A7"/>
    <w:rsid w:val="00DD461D"/>
    <w:rsid w:val="00DD471A"/>
    <w:rsid w:val="00DD4CAC"/>
    <w:rsid w:val="00DD5585"/>
    <w:rsid w:val="00DD56C0"/>
    <w:rsid w:val="00DD69A9"/>
    <w:rsid w:val="00DD7329"/>
    <w:rsid w:val="00DD744E"/>
    <w:rsid w:val="00DD7972"/>
    <w:rsid w:val="00DD7E4E"/>
    <w:rsid w:val="00DE10EE"/>
    <w:rsid w:val="00DE174B"/>
    <w:rsid w:val="00DE2378"/>
    <w:rsid w:val="00DE2727"/>
    <w:rsid w:val="00DE2826"/>
    <w:rsid w:val="00DE2BDC"/>
    <w:rsid w:val="00DE3ADA"/>
    <w:rsid w:val="00DE4899"/>
    <w:rsid w:val="00DE5244"/>
    <w:rsid w:val="00DE5852"/>
    <w:rsid w:val="00DE5F33"/>
    <w:rsid w:val="00DE6A43"/>
    <w:rsid w:val="00DE797D"/>
    <w:rsid w:val="00DF00F6"/>
    <w:rsid w:val="00DF011D"/>
    <w:rsid w:val="00DF0666"/>
    <w:rsid w:val="00DF07AC"/>
    <w:rsid w:val="00DF0CDD"/>
    <w:rsid w:val="00DF0D6C"/>
    <w:rsid w:val="00DF122C"/>
    <w:rsid w:val="00DF17D5"/>
    <w:rsid w:val="00DF1E2F"/>
    <w:rsid w:val="00DF237F"/>
    <w:rsid w:val="00DF28AC"/>
    <w:rsid w:val="00DF2AD8"/>
    <w:rsid w:val="00DF2D84"/>
    <w:rsid w:val="00DF3A08"/>
    <w:rsid w:val="00DF3D35"/>
    <w:rsid w:val="00DF571B"/>
    <w:rsid w:val="00DF59EE"/>
    <w:rsid w:val="00DF5E90"/>
    <w:rsid w:val="00DF6E5A"/>
    <w:rsid w:val="00DF7067"/>
    <w:rsid w:val="00DF7ED7"/>
    <w:rsid w:val="00E00C99"/>
    <w:rsid w:val="00E01789"/>
    <w:rsid w:val="00E01A5F"/>
    <w:rsid w:val="00E01DAE"/>
    <w:rsid w:val="00E022BC"/>
    <w:rsid w:val="00E02A0A"/>
    <w:rsid w:val="00E02B45"/>
    <w:rsid w:val="00E03579"/>
    <w:rsid w:val="00E04ED0"/>
    <w:rsid w:val="00E05222"/>
    <w:rsid w:val="00E05D39"/>
    <w:rsid w:val="00E0636E"/>
    <w:rsid w:val="00E063CF"/>
    <w:rsid w:val="00E067C8"/>
    <w:rsid w:val="00E0684C"/>
    <w:rsid w:val="00E07235"/>
    <w:rsid w:val="00E07462"/>
    <w:rsid w:val="00E10174"/>
    <w:rsid w:val="00E10D80"/>
    <w:rsid w:val="00E113E3"/>
    <w:rsid w:val="00E11834"/>
    <w:rsid w:val="00E11B1D"/>
    <w:rsid w:val="00E12042"/>
    <w:rsid w:val="00E12C3B"/>
    <w:rsid w:val="00E13655"/>
    <w:rsid w:val="00E1367E"/>
    <w:rsid w:val="00E138E0"/>
    <w:rsid w:val="00E13979"/>
    <w:rsid w:val="00E13DBC"/>
    <w:rsid w:val="00E14C88"/>
    <w:rsid w:val="00E16889"/>
    <w:rsid w:val="00E16E3A"/>
    <w:rsid w:val="00E17129"/>
    <w:rsid w:val="00E1762A"/>
    <w:rsid w:val="00E179A4"/>
    <w:rsid w:val="00E20515"/>
    <w:rsid w:val="00E20CAC"/>
    <w:rsid w:val="00E20FAD"/>
    <w:rsid w:val="00E21224"/>
    <w:rsid w:val="00E21B28"/>
    <w:rsid w:val="00E23161"/>
    <w:rsid w:val="00E2330B"/>
    <w:rsid w:val="00E23F10"/>
    <w:rsid w:val="00E25499"/>
    <w:rsid w:val="00E25AF4"/>
    <w:rsid w:val="00E2653B"/>
    <w:rsid w:val="00E268A5"/>
    <w:rsid w:val="00E26B95"/>
    <w:rsid w:val="00E27090"/>
    <w:rsid w:val="00E27670"/>
    <w:rsid w:val="00E27BEE"/>
    <w:rsid w:val="00E27FDD"/>
    <w:rsid w:val="00E30697"/>
    <w:rsid w:val="00E3118B"/>
    <w:rsid w:val="00E31A68"/>
    <w:rsid w:val="00E31CCA"/>
    <w:rsid w:val="00E32217"/>
    <w:rsid w:val="00E32D2C"/>
    <w:rsid w:val="00E33601"/>
    <w:rsid w:val="00E33B03"/>
    <w:rsid w:val="00E33C9F"/>
    <w:rsid w:val="00E33EE6"/>
    <w:rsid w:val="00E342C9"/>
    <w:rsid w:val="00E34334"/>
    <w:rsid w:val="00E34FA0"/>
    <w:rsid w:val="00E35F1A"/>
    <w:rsid w:val="00E35FD4"/>
    <w:rsid w:val="00E362CF"/>
    <w:rsid w:val="00E370C6"/>
    <w:rsid w:val="00E371AE"/>
    <w:rsid w:val="00E37AF4"/>
    <w:rsid w:val="00E37B39"/>
    <w:rsid w:val="00E40BB5"/>
    <w:rsid w:val="00E40BC7"/>
    <w:rsid w:val="00E41499"/>
    <w:rsid w:val="00E4183B"/>
    <w:rsid w:val="00E42B23"/>
    <w:rsid w:val="00E42BEE"/>
    <w:rsid w:val="00E43862"/>
    <w:rsid w:val="00E444E5"/>
    <w:rsid w:val="00E44B7F"/>
    <w:rsid w:val="00E44C07"/>
    <w:rsid w:val="00E44DC9"/>
    <w:rsid w:val="00E44FA6"/>
    <w:rsid w:val="00E45BBA"/>
    <w:rsid w:val="00E46178"/>
    <w:rsid w:val="00E471C2"/>
    <w:rsid w:val="00E50ECC"/>
    <w:rsid w:val="00E5137A"/>
    <w:rsid w:val="00E51FC8"/>
    <w:rsid w:val="00E52A95"/>
    <w:rsid w:val="00E53868"/>
    <w:rsid w:val="00E54903"/>
    <w:rsid w:val="00E55F48"/>
    <w:rsid w:val="00E560B5"/>
    <w:rsid w:val="00E561CA"/>
    <w:rsid w:val="00E5634C"/>
    <w:rsid w:val="00E569C1"/>
    <w:rsid w:val="00E572C3"/>
    <w:rsid w:val="00E57AEC"/>
    <w:rsid w:val="00E57D5F"/>
    <w:rsid w:val="00E57EBA"/>
    <w:rsid w:val="00E6074E"/>
    <w:rsid w:val="00E60A19"/>
    <w:rsid w:val="00E610D7"/>
    <w:rsid w:val="00E615D3"/>
    <w:rsid w:val="00E62186"/>
    <w:rsid w:val="00E621BF"/>
    <w:rsid w:val="00E621F2"/>
    <w:rsid w:val="00E631DF"/>
    <w:rsid w:val="00E6353C"/>
    <w:rsid w:val="00E638C7"/>
    <w:rsid w:val="00E63BE9"/>
    <w:rsid w:val="00E64722"/>
    <w:rsid w:val="00E64A1B"/>
    <w:rsid w:val="00E65BDB"/>
    <w:rsid w:val="00E66482"/>
    <w:rsid w:val="00E6652A"/>
    <w:rsid w:val="00E67A4A"/>
    <w:rsid w:val="00E67D90"/>
    <w:rsid w:val="00E70C86"/>
    <w:rsid w:val="00E70CA1"/>
    <w:rsid w:val="00E70E20"/>
    <w:rsid w:val="00E70FAB"/>
    <w:rsid w:val="00E712CA"/>
    <w:rsid w:val="00E71C11"/>
    <w:rsid w:val="00E72772"/>
    <w:rsid w:val="00E72C1E"/>
    <w:rsid w:val="00E756F1"/>
    <w:rsid w:val="00E7583B"/>
    <w:rsid w:val="00E7661A"/>
    <w:rsid w:val="00E76A2C"/>
    <w:rsid w:val="00E77045"/>
    <w:rsid w:val="00E7721F"/>
    <w:rsid w:val="00E77898"/>
    <w:rsid w:val="00E80326"/>
    <w:rsid w:val="00E806D7"/>
    <w:rsid w:val="00E807A3"/>
    <w:rsid w:val="00E80A19"/>
    <w:rsid w:val="00E82F4C"/>
    <w:rsid w:val="00E83364"/>
    <w:rsid w:val="00E84843"/>
    <w:rsid w:val="00E84DB0"/>
    <w:rsid w:val="00E8535A"/>
    <w:rsid w:val="00E85FF5"/>
    <w:rsid w:val="00E867AE"/>
    <w:rsid w:val="00E869EF"/>
    <w:rsid w:val="00E8756C"/>
    <w:rsid w:val="00E87708"/>
    <w:rsid w:val="00E87730"/>
    <w:rsid w:val="00E8797C"/>
    <w:rsid w:val="00E879A9"/>
    <w:rsid w:val="00E87C59"/>
    <w:rsid w:val="00E87CE0"/>
    <w:rsid w:val="00E87D7D"/>
    <w:rsid w:val="00E9033C"/>
    <w:rsid w:val="00E9074F"/>
    <w:rsid w:val="00E9076B"/>
    <w:rsid w:val="00E90FF3"/>
    <w:rsid w:val="00E91468"/>
    <w:rsid w:val="00E914D4"/>
    <w:rsid w:val="00E91B54"/>
    <w:rsid w:val="00E924DE"/>
    <w:rsid w:val="00E92CA6"/>
    <w:rsid w:val="00E92CFE"/>
    <w:rsid w:val="00E938DE"/>
    <w:rsid w:val="00E93D02"/>
    <w:rsid w:val="00E9459C"/>
    <w:rsid w:val="00E9480A"/>
    <w:rsid w:val="00E94F6F"/>
    <w:rsid w:val="00E9557E"/>
    <w:rsid w:val="00E9558B"/>
    <w:rsid w:val="00E95A2F"/>
    <w:rsid w:val="00E95E19"/>
    <w:rsid w:val="00E96648"/>
    <w:rsid w:val="00E96A24"/>
    <w:rsid w:val="00E96C92"/>
    <w:rsid w:val="00E979AB"/>
    <w:rsid w:val="00EA031A"/>
    <w:rsid w:val="00EA06C9"/>
    <w:rsid w:val="00EA0921"/>
    <w:rsid w:val="00EA0EB7"/>
    <w:rsid w:val="00EA0ED7"/>
    <w:rsid w:val="00EA1219"/>
    <w:rsid w:val="00EA1519"/>
    <w:rsid w:val="00EA1671"/>
    <w:rsid w:val="00EA16B9"/>
    <w:rsid w:val="00EA19D6"/>
    <w:rsid w:val="00EA1EB9"/>
    <w:rsid w:val="00EA20AC"/>
    <w:rsid w:val="00EA36CF"/>
    <w:rsid w:val="00EA3C90"/>
    <w:rsid w:val="00EA4684"/>
    <w:rsid w:val="00EA4E4F"/>
    <w:rsid w:val="00EA4E6A"/>
    <w:rsid w:val="00EA4F6B"/>
    <w:rsid w:val="00EA50E5"/>
    <w:rsid w:val="00EA5837"/>
    <w:rsid w:val="00EA58CB"/>
    <w:rsid w:val="00EA5B8E"/>
    <w:rsid w:val="00EA5EC1"/>
    <w:rsid w:val="00EA62B9"/>
    <w:rsid w:val="00EA6C27"/>
    <w:rsid w:val="00EA7839"/>
    <w:rsid w:val="00EA78CF"/>
    <w:rsid w:val="00EB00BF"/>
    <w:rsid w:val="00EB084C"/>
    <w:rsid w:val="00EB1A9C"/>
    <w:rsid w:val="00EB296B"/>
    <w:rsid w:val="00EB2BFE"/>
    <w:rsid w:val="00EB2C81"/>
    <w:rsid w:val="00EB3219"/>
    <w:rsid w:val="00EB35DF"/>
    <w:rsid w:val="00EB3EB4"/>
    <w:rsid w:val="00EB502E"/>
    <w:rsid w:val="00EB55D3"/>
    <w:rsid w:val="00EB60CB"/>
    <w:rsid w:val="00EB652E"/>
    <w:rsid w:val="00EB6C64"/>
    <w:rsid w:val="00EB723C"/>
    <w:rsid w:val="00EC1B9A"/>
    <w:rsid w:val="00EC2140"/>
    <w:rsid w:val="00EC2C1B"/>
    <w:rsid w:val="00EC2DE4"/>
    <w:rsid w:val="00EC3151"/>
    <w:rsid w:val="00EC34BA"/>
    <w:rsid w:val="00EC39BC"/>
    <w:rsid w:val="00EC40FE"/>
    <w:rsid w:val="00EC435D"/>
    <w:rsid w:val="00EC48D0"/>
    <w:rsid w:val="00EC4ADA"/>
    <w:rsid w:val="00EC4F34"/>
    <w:rsid w:val="00EC4F88"/>
    <w:rsid w:val="00EC4F9E"/>
    <w:rsid w:val="00EC55C6"/>
    <w:rsid w:val="00EC63DC"/>
    <w:rsid w:val="00EC68A8"/>
    <w:rsid w:val="00EC7841"/>
    <w:rsid w:val="00EC7BC1"/>
    <w:rsid w:val="00ED0F1B"/>
    <w:rsid w:val="00ED1A17"/>
    <w:rsid w:val="00ED1F31"/>
    <w:rsid w:val="00ED2797"/>
    <w:rsid w:val="00ED27BB"/>
    <w:rsid w:val="00ED3273"/>
    <w:rsid w:val="00ED357F"/>
    <w:rsid w:val="00ED39BE"/>
    <w:rsid w:val="00ED3EC3"/>
    <w:rsid w:val="00ED41F1"/>
    <w:rsid w:val="00ED4E5B"/>
    <w:rsid w:val="00ED53E7"/>
    <w:rsid w:val="00ED58BE"/>
    <w:rsid w:val="00ED5F57"/>
    <w:rsid w:val="00ED5F83"/>
    <w:rsid w:val="00ED6D0D"/>
    <w:rsid w:val="00ED6EDB"/>
    <w:rsid w:val="00ED7659"/>
    <w:rsid w:val="00ED78D6"/>
    <w:rsid w:val="00ED791B"/>
    <w:rsid w:val="00ED79D4"/>
    <w:rsid w:val="00EE0C58"/>
    <w:rsid w:val="00EE0D63"/>
    <w:rsid w:val="00EE0F65"/>
    <w:rsid w:val="00EE140B"/>
    <w:rsid w:val="00EE1438"/>
    <w:rsid w:val="00EE17FC"/>
    <w:rsid w:val="00EE1BB6"/>
    <w:rsid w:val="00EE1ED2"/>
    <w:rsid w:val="00EE2824"/>
    <w:rsid w:val="00EE2F0D"/>
    <w:rsid w:val="00EE40F3"/>
    <w:rsid w:val="00EE464F"/>
    <w:rsid w:val="00EE4704"/>
    <w:rsid w:val="00EE53BE"/>
    <w:rsid w:val="00EE6806"/>
    <w:rsid w:val="00EE698A"/>
    <w:rsid w:val="00EE6D01"/>
    <w:rsid w:val="00EE6F29"/>
    <w:rsid w:val="00EE7183"/>
    <w:rsid w:val="00EF02AB"/>
    <w:rsid w:val="00EF1A1F"/>
    <w:rsid w:val="00EF3005"/>
    <w:rsid w:val="00EF30B2"/>
    <w:rsid w:val="00EF3164"/>
    <w:rsid w:val="00EF32B8"/>
    <w:rsid w:val="00EF40AF"/>
    <w:rsid w:val="00EF4684"/>
    <w:rsid w:val="00EF4C8F"/>
    <w:rsid w:val="00EF567E"/>
    <w:rsid w:val="00EF63E1"/>
    <w:rsid w:val="00EF6538"/>
    <w:rsid w:val="00EF65E5"/>
    <w:rsid w:val="00F00762"/>
    <w:rsid w:val="00F019DC"/>
    <w:rsid w:val="00F0228C"/>
    <w:rsid w:val="00F03D55"/>
    <w:rsid w:val="00F0403B"/>
    <w:rsid w:val="00F049DA"/>
    <w:rsid w:val="00F04B52"/>
    <w:rsid w:val="00F04FEF"/>
    <w:rsid w:val="00F05853"/>
    <w:rsid w:val="00F05A37"/>
    <w:rsid w:val="00F0657F"/>
    <w:rsid w:val="00F067A9"/>
    <w:rsid w:val="00F0685C"/>
    <w:rsid w:val="00F06929"/>
    <w:rsid w:val="00F06972"/>
    <w:rsid w:val="00F06F8E"/>
    <w:rsid w:val="00F07B42"/>
    <w:rsid w:val="00F07C4F"/>
    <w:rsid w:val="00F07E23"/>
    <w:rsid w:val="00F07E31"/>
    <w:rsid w:val="00F1086E"/>
    <w:rsid w:val="00F10FEF"/>
    <w:rsid w:val="00F111D0"/>
    <w:rsid w:val="00F116EB"/>
    <w:rsid w:val="00F11D8E"/>
    <w:rsid w:val="00F120FD"/>
    <w:rsid w:val="00F12244"/>
    <w:rsid w:val="00F12406"/>
    <w:rsid w:val="00F1303C"/>
    <w:rsid w:val="00F131D6"/>
    <w:rsid w:val="00F134F7"/>
    <w:rsid w:val="00F135C1"/>
    <w:rsid w:val="00F14AC1"/>
    <w:rsid w:val="00F15E68"/>
    <w:rsid w:val="00F15EF7"/>
    <w:rsid w:val="00F16357"/>
    <w:rsid w:val="00F164EF"/>
    <w:rsid w:val="00F168D9"/>
    <w:rsid w:val="00F1795C"/>
    <w:rsid w:val="00F17F7C"/>
    <w:rsid w:val="00F205C2"/>
    <w:rsid w:val="00F20AC0"/>
    <w:rsid w:val="00F20B3F"/>
    <w:rsid w:val="00F21125"/>
    <w:rsid w:val="00F214ED"/>
    <w:rsid w:val="00F217BD"/>
    <w:rsid w:val="00F22323"/>
    <w:rsid w:val="00F22C41"/>
    <w:rsid w:val="00F23246"/>
    <w:rsid w:val="00F239C8"/>
    <w:rsid w:val="00F23D23"/>
    <w:rsid w:val="00F23E6C"/>
    <w:rsid w:val="00F2403C"/>
    <w:rsid w:val="00F2436A"/>
    <w:rsid w:val="00F2466C"/>
    <w:rsid w:val="00F24846"/>
    <w:rsid w:val="00F24BA2"/>
    <w:rsid w:val="00F24C3E"/>
    <w:rsid w:val="00F2505E"/>
    <w:rsid w:val="00F250BA"/>
    <w:rsid w:val="00F25157"/>
    <w:rsid w:val="00F2535A"/>
    <w:rsid w:val="00F25509"/>
    <w:rsid w:val="00F25538"/>
    <w:rsid w:val="00F27CEA"/>
    <w:rsid w:val="00F3065E"/>
    <w:rsid w:val="00F31132"/>
    <w:rsid w:val="00F320E2"/>
    <w:rsid w:val="00F323D0"/>
    <w:rsid w:val="00F328C8"/>
    <w:rsid w:val="00F3390F"/>
    <w:rsid w:val="00F339AB"/>
    <w:rsid w:val="00F33AB6"/>
    <w:rsid w:val="00F33BAF"/>
    <w:rsid w:val="00F345DC"/>
    <w:rsid w:val="00F3549F"/>
    <w:rsid w:val="00F35E0F"/>
    <w:rsid w:val="00F36387"/>
    <w:rsid w:val="00F37097"/>
    <w:rsid w:val="00F373CF"/>
    <w:rsid w:val="00F4026F"/>
    <w:rsid w:val="00F402A8"/>
    <w:rsid w:val="00F402D1"/>
    <w:rsid w:val="00F40E4D"/>
    <w:rsid w:val="00F40F20"/>
    <w:rsid w:val="00F41130"/>
    <w:rsid w:val="00F4199E"/>
    <w:rsid w:val="00F420F2"/>
    <w:rsid w:val="00F4262C"/>
    <w:rsid w:val="00F42C2D"/>
    <w:rsid w:val="00F434E8"/>
    <w:rsid w:val="00F44686"/>
    <w:rsid w:val="00F447C4"/>
    <w:rsid w:val="00F44906"/>
    <w:rsid w:val="00F44AA6"/>
    <w:rsid w:val="00F46DDD"/>
    <w:rsid w:val="00F471BF"/>
    <w:rsid w:val="00F50404"/>
    <w:rsid w:val="00F509C0"/>
    <w:rsid w:val="00F50FF5"/>
    <w:rsid w:val="00F511C8"/>
    <w:rsid w:val="00F53071"/>
    <w:rsid w:val="00F5419C"/>
    <w:rsid w:val="00F54B9E"/>
    <w:rsid w:val="00F54EA7"/>
    <w:rsid w:val="00F552FD"/>
    <w:rsid w:val="00F55426"/>
    <w:rsid w:val="00F5550D"/>
    <w:rsid w:val="00F555ED"/>
    <w:rsid w:val="00F56172"/>
    <w:rsid w:val="00F56437"/>
    <w:rsid w:val="00F56FD7"/>
    <w:rsid w:val="00F57ABC"/>
    <w:rsid w:val="00F57C96"/>
    <w:rsid w:val="00F60843"/>
    <w:rsid w:val="00F60A47"/>
    <w:rsid w:val="00F60A71"/>
    <w:rsid w:val="00F6137B"/>
    <w:rsid w:val="00F616D9"/>
    <w:rsid w:val="00F61DB0"/>
    <w:rsid w:val="00F62593"/>
    <w:rsid w:val="00F62641"/>
    <w:rsid w:val="00F62937"/>
    <w:rsid w:val="00F63657"/>
    <w:rsid w:val="00F643D2"/>
    <w:rsid w:val="00F651A6"/>
    <w:rsid w:val="00F65D0C"/>
    <w:rsid w:val="00F665BA"/>
    <w:rsid w:val="00F675F1"/>
    <w:rsid w:val="00F70160"/>
    <w:rsid w:val="00F70AF3"/>
    <w:rsid w:val="00F70B0A"/>
    <w:rsid w:val="00F72335"/>
    <w:rsid w:val="00F72358"/>
    <w:rsid w:val="00F7341E"/>
    <w:rsid w:val="00F739DE"/>
    <w:rsid w:val="00F73EB1"/>
    <w:rsid w:val="00F7495B"/>
    <w:rsid w:val="00F74AF1"/>
    <w:rsid w:val="00F756E9"/>
    <w:rsid w:val="00F75780"/>
    <w:rsid w:val="00F75F65"/>
    <w:rsid w:val="00F76337"/>
    <w:rsid w:val="00F765B5"/>
    <w:rsid w:val="00F76B25"/>
    <w:rsid w:val="00F774F2"/>
    <w:rsid w:val="00F77A7C"/>
    <w:rsid w:val="00F77B11"/>
    <w:rsid w:val="00F77ECA"/>
    <w:rsid w:val="00F80455"/>
    <w:rsid w:val="00F810D6"/>
    <w:rsid w:val="00F824FE"/>
    <w:rsid w:val="00F82BDD"/>
    <w:rsid w:val="00F82DE0"/>
    <w:rsid w:val="00F82EF0"/>
    <w:rsid w:val="00F83819"/>
    <w:rsid w:val="00F83C9D"/>
    <w:rsid w:val="00F849F4"/>
    <w:rsid w:val="00F84BAF"/>
    <w:rsid w:val="00F85069"/>
    <w:rsid w:val="00F85475"/>
    <w:rsid w:val="00F857FA"/>
    <w:rsid w:val="00F85841"/>
    <w:rsid w:val="00F86FDC"/>
    <w:rsid w:val="00F8700C"/>
    <w:rsid w:val="00F87A92"/>
    <w:rsid w:val="00F87CD1"/>
    <w:rsid w:val="00F9181C"/>
    <w:rsid w:val="00F91D99"/>
    <w:rsid w:val="00F91E8B"/>
    <w:rsid w:val="00F91F22"/>
    <w:rsid w:val="00F9378B"/>
    <w:rsid w:val="00F93DB3"/>
    <w:rsid w:val="00F9417F"/>
    <w:rsid w:val="00F94AD6"/>
    <w:rsid w:val="00F94B5B"/>
    <w:rsid w:val="00F96B4A"/>
    <w:rsid w:val="00FA1843"/>
    <w:rsid w:val="00FA23A5"/>
    <w:rsid w:val="00FA2A4A"/>
    <w:rsid w:val="00FA3168"/>
    <w:rsid w:val="00FA3487"/>
    <w:rsid w:val="00FA3758"/>
    <w:rsid w:val="00FA450D"/>
    <w:rsid w:val="00FA51FA"/>
    <w:rsid w:val="00FA5F68"/>
    <w:rsid w:val="00FA64ED"/>
    <w:rsid w:val="00FA73C7"/>
    <w:rsid w:val="00FA7EC7"/>
    <w:rsid w:val="00FB0368"/>
    <w:rsid w:val="00FB178F"/>
    <w:rsid w:val="00FB1792"/>
    <w:rsid w:val="00FB188E"/>
    <w:rsid w:val="00FB1E50"/>
    <w:rsid w:val="00FB21BD"/>
    <w:rsid w:val="00FB26E8"/>
    <w:rsid w:val="00FB2C63"/>
    <w:rsid w:val="00FB2F8D"/>
    <w:rsid w:val="00FB45E2"/>
    <w:rsid w:val="00FB4CB0"/>
    <w:rsid w:val="00FB54CE"/>
    <w:rsid w:val="00FB58FD"/>
    <w:rsid w:val="00FB5E6E"/>
    <w:rsid w:val="00FB5E7B"/>
    <w:rsid w:val="00FB6618"/>
    <w:rsid w:val="00FB67B3"/>
    <w:rsid w:val="00FB78A2"/>
    <w:rsid w:val="00FB7C48"/>
    <w:rsid w:val="00FB7DC3"/>
    <w:rsid w:val="00FC09AE"/>
    <w:rsid w:val="00FC1089"/>
    <w:rsid w:val="00FC1446"/>
    <w:rsid w:val="00FC16E5"/>
    <w:rsid w:val="00FC233B"/>
    <w:rsid w:val="00FC2396"/>
    <w:rsid w:val="00FC30C3"/>
    <w:rsid w:val="00FC336C"/>
    <w:rsid w:val="00FC3AAC"/>
    <w:rsid w:val="00FC43B4"/>
    <w:rsid w:val="00FC464E"/>
    <w:rsid w:val="00FC474B"/>
    <w:rsid w:val="00FC4AF3"/>
    <w:rsid w:val="00FC58C9"/>
    <w:rsid w:val="00FC59F9"/>
    <w:rsid w:val="00FC5A23"/>
    <w:rsid w:val="00FC643A"/>
    <w:rsid w:val="00FC6835"/>
    <w:rsid w:val="00FC688A"/>
    <w:rsid w:val="00FC69BB"/>
    <w:rsid w:val="00FC6C3D"/>
    <w:rsid w:val="00FC79D2"/>
    <w:rsid w:val="00FC7AA5"/>
    <w:rsid w:val="00FD0730"/>
    <w:rsid w:val="00FD0CE7"/>
    <w:rsid w:val="00FD0D1D"/>
    <w:rsid w:val="00FD0D1E"/>
    <w:rsid w:val="00FD0ED6"/>
    <w:rsid w:val="00FD0F78"/>
    <w:rsid w:val="00FD152C"/>
    <w:rsid w:val="00FD1649"/>
    <w:rsid w:val="00FD1C97"/>
    <w:rsid w:val="00FD1D8A"/>
    <w:rsid w:val="00FD208C"/>
    <w:rsid w:val="00FD611B"/>
    <w:rsid w:val="00FD65E1"/>
    <w:rsid w:val="00FD679D"/>
    <w:rsid w:val="00FD6FD9"/>
    <w:rsid w:val="00FD7335"/>
    <w:rsid w:val="00FD7661"/>
    <w:rsid w:val="00FE0543"/>
    <w:rsid w:val="00FE0E0F"/>
    <w:rsid w:val="00FE1058"/>
    <w:rsid w:val="00FE1953"/>
    <w:rsid w:val="00FE234E"/>
    <w:rsid w:val="00FE2950"/>
    <w:rsid w:val="00FE2B6B"/>
    <w:rsid w:val="00FE2FC3"/>
    <w:rsid w:val="00FE32C9"/>
    <w:rsid w:val="00FE35AD"/>
    <w:rsid w:val="00FE397D"/>
    <w:rsid w:val="00FE3D20"/>
    <w:rsid w:val="00FE448B"/>
    <w:rsid w:val="00FE4739"/>
    <w:rsid w:val="00FE555F"/>
    <w:rsid w:val="00FE5CC3"/>
    <w:rsid w:val="00FE6944"/>
    <w:rsid w:val="00FF1103"/>
    <w:rsid w:val="00FF24EC"/>
    <w:rsid w:val="00FF25EE"/>
    <w:rsid w:val="00FF275A"/>
    <w:rsid w:val="00FF2A65"/>
    <w:rsid w:val="00FF320D"/>
    <w:rsid w:val="00FF397E"/>
    <w:rsid w:val="00FF3A66"/>
    <w:rsid w:val="00FF3BD3"/>
    <w:rsid w:val="00FF41D6"/>
    <w:rsid w:val="00FF45C1"/>
    <w:rsid w:val="00FF5F4A"/>
    <w:rsid w:val="00FF61A8"/>
    <w:rsid w:val="00FF675B"/>
    <w:rsid w:val="00FF7A0F"/>
    <w:rsid w:val="011ED1A7"/>
    <w:rsid w:val="01275947"/>
    <w:rsid w:val="0137B01D"/>
    <w:rsid w:val="013A92BE"/>
    <w:rsid w:val="0148B128"/>
    <w:rsid w:val="0149E1C7"/>
    <w:rsid w:val="018660C8"/>
    <w:rsid w:val="018B49EE"/>
    <w:rsid w:val="01A9F472"/>
    <w:rsid w:val="01B3E285"/>
    <w:rsid w:val="01BBE8C0"/>
    <w:rsid w:val="01C4B36D"/>
    <w:rsid w:val="01CABDF2"/>
    <w:rsid w:val="01D18363"/>
    <w:rsid w:val="01EB2DFC"/>
    <w:rsid w:val="01F1B0EF"/>
    <w:rsid w:val="0274304F"/>
    <w:rsid w:val="028AC534"/>
    <w:rsid w:val="0297C1A7"/>
    <w:rsid w:val="02DE8EEB"/>
    <w:rsid w:val="02EDACA4"/>
    <w:rsid w:val="030338D6"/>
    <w:rsid w:val="030AF5F0"/>
    <w:rsid w:val="03115B58"/>
    <w:rsid w:val="0321031A"/>
    <w:rsid w:val="03227A64"/>
    <w:rsid w:val="03289946"/>
    <w:rsid w:val="032E4E93"/>
    <w:rsid w:val="0330EF61"/>
    <w:rsid w:val="03527102"/>
    <w:rsid w:val="035689D8"/>
    <w:rsid w:val="035BFDB7"/>
    <w:rsid w:val="03617E35"/>
    <w:rsid w:val="0365DD32"/>
    <w:rsid w:val="0379AE73"/>
    <w:rsid w:val="037F015B"/>
    <w:rsid w:val="03A5DF64"/>
    <w:rsid w:val="03DCD7B1"/>
    <w:rsid w:val="03E3F5A7"/>
    <w:rsid w:val="03F85284"/>
    <w:rsid w:val="040116A6"/>
    <w:rsid w:val="0401B719"/>
    <w:rsid w:val="04080A87"/>
    <w:rsid w:val="040D95DA"/>
    <w:rsid w:val="0421A67C"/>
    <w:rsid w:val="045831BE"/>
    <w:rsid w:val="04A085A4"/>
    <w:rsid w:val="04AD7954"/>
    <w:rsid w:val="04B58E18"/>
    <w:rsid w:val="04B6C5C8"/>
    <w:rsid w:val="04C4A0A7"/>
    <w:rsid w:val="04CDE714"/>
    <w:rsid w:val="04D558EF"/>
    <w:rsid w:val="04E3C34A"/>
    <w:rsid w:val="04E48D8E"/>
    <w:rsid w:val="05195F30"/>
    <w:rsid w:val="0522E96E"/>
    <w:rsid w:val="05327A6C"/>
    <w:rsid w:val="05349940"/>
    <w:rsid w:val="05350952"/>
    <w:rsid w:val="05380CB5"/>
    <w:rsid w:val="0540D0F9"/>
    <w:rsid w:val="054C7D89"/>
    <w:rsid w:val="0565AB73"/>
    <w:rsid w:val="056EE80D"/>
    <w:rsid w:val="056F512F"/>
    <w:rsid w:val="057BCA87"/>
    <w:rsid w:val="05881FBC"/>
    <w:rsid w:val="05908BFF"/>
    <w:rsid w:val="059A9E8D"/>
    <w:rsid w:val="05B8CAA9"/>
    <w:rsid w:val="05C0A350"/>
    <w:rsid w:val="05DAA370"/>
    <w:rsid w:val="05E64EDE"/>
    <w:rsid w:val="05F7B071"/>
    <w:rsid w:val="05FCBF1F"/>
    <w:rsid w:val="05FEE4B4"/>
    <w:rsid w:val="0630182D"/>
    <w:rsid w:val="0643031B"/>
    <w:rsid w:val="065C57B3"/>
    <w:rsid w:val="065EB550"/>
    <w:rsid w:val="066CDDD9"/>
    <w:rsid w:val="067A8054"/>
    <w:rsid w:val="067E14ED"/>
    <w:rsid w:val="0680887D"/>
    <w:rsid w:val="069B73A9"/>
    <w:rsid w:val="069FB8E4"/>
    <w:rsid w:val="06BAF4FA"/>
    <w:rsid w:val="06D8BBA6"/>
    <w:rsid w:val="06E07898"/>
    <w:rsid w:val="06E1186B"/>
    <w:rsid w:val="0702DFC6"/>
    <w:rsid w:val="07036784"/>
    <w:rsid w:val="071EEA45"/>
    <w:rsid w:val="07521BF0"/>
    <w:rsid w:val="07552CA7"/>
    <w:rsid w:val="078C1C18"/>
    <w:rsid w:val="0795A6E6"/>
    <w:rsid w:val="079F8BAF"/>
    <w:rsid w:val="07C44E4C"/>
    <w:rsid w:val="07D3FF6D"/>
    <w:rsid w:val="07D98673"/>
    <w:rsid w:val="08071419"/>
    <w:rsid w:val="082AF07E"/>
    <w:rsid w:val="0835A580"/>
    <w:rsid w:val="086D378E"/>
    <w:rsid w:val="08759A2D"/>
    <w:rsid w:val="088B015A"/>
    <w:rsid w:val="08C4ECA1"/>
    <w:rsid w:val="08E4AB9E"/>
    <w:rsid w:val="08EC7964"/>
    <w:rsid w:val="09154891"/>
    <w:rsid w:val="0918E89E"/>
    <w:rsid w:val="0931C1E9"/>
    <w:rsid w:val="0945871B"/>
    <w:rsid w:val="0954E4BA"/>
    <w:rsid w:val="0965A8E9"/>
    <w:rsid w:val="098454C7"/>
    <w:rsid w:val="098D74E1"/>
    <w:rsid w:val="09BEC575"/>
    <w:rsid w:val="09D2C61F"/>
    <w:rsid w:val="09EDE3F6"/>
    <w:rsid w:val="09EE068B"/>
    <w:rsid w:val="09F96888"/>
    <w:rsid w:val="0A06CCD9"/>
    <w:rsid w:val="0A0B037A"/>
    <w:rsid w:val="0A2A3F5E"/>
    <w:rsid w:val="0A34F25D"/>
    <w:rsid w:val="0A49BE16"/>
    <w:rsid w:val="0A580A1B"/>
    <w:rsid w:val="0A7A82F3"/>
    <w:rsid w:val="0A90BAB7"/>
    <w:rsid w:val="0AA18B1C"/>
    <w:rsid w:val="0AEAE2F6"/>
    <w:rsid w:val="0B3BA259"/>
    <w:rsid w:val="0B3E27B6"/>
    <w:rsid w:val="0B4B47FA"/>
    <w:rsid w:val="0B5FADF6"/>
    <w:rsid w:val="0B865B44"/>
    <w:rsid w:val="0BA86169"/>
    <w:rsid w:val="0BAB2154"/>
    <w:rsid w:val="0BB3ABD1"/>
    <w:rsid w:val="0BC38EBE"/>
    <w:rsid w:val="0BD1CF68"/>
    <w:rsid w:val="0BD3CEED"/>
    <w:rsid w:val="0BD511CA"/>
    <w:rsid w:val="0C33496B"/>
    <w:rsid w:val="0C4101BB"/>
    <w:rsid w:val="0C4EFFB7"/>
    <w:rsid w:val="0C5D8874"/>
    <w:rsid w:val="0C6570F1"/>
    <w:rsid w:val="0C77393C"/>
    <w:rsid w:val="0C87752B"/>
    <w:rsid w:val="0CA4C804"/>
    <w:rsid w:val="0CD0D99D"/>
    <w:rsid w:val="0CD2431C"/>
    <w:rsid w:val="0CE8945C"/>
    <w:rsid w:val="0CF21242"/>
    <w:rsid w:val="0D283E40"/>
    <w:rsid w:val="0D304F8E"/>
    <w:rsid w:val="0D3AD6EB"/>
    <w:rsid w:val="0D46F15B"/>
    <w:rsid w:val="0D5FD4B7"/>
    <w:rsid w:val="0D6BADDA"/>
    <w:rsid w:val="0D9D1DB7"/>
    <w:rsid w:val="0D9FC257"/>
    <w:rsid w:val="0DC8757E"/>
    <w:rsid w:val="0DCF1269"/>
    <w:rsid w:val="0DFF863C"/>
    <w:rsid w:val="0E27A877"/>
    <w:rsid w:val="0E2D3ACA"/>
    <w:rsid w:val="0E33CB89"/>
    <w:rsid w:val="0E36745B"/>
    <w:rsid w:val="0E4B6D78"/>
    <w:rsid w:val="0E5DAAA5"/>
    <w:rsid w:val="0E92526D"/>
    <w:rsid w:val="0EDCB430"/>
    <w:rsid w:val="0EF63EEE"/>
    <w:rsid w:val="0F1C0465"/>
    <w:rsid w:val="0F411779"/>
    <w:rsid w:val="0F5CE9DE"/>
    <w:rsid w:val="0F61B942"/>
    <w:rsid w:val="0F66EA12"/>
    <w:rsid w:val="0F7E5E87"/>
    <w:rsid w:val="0F879861"/>
    <w:rsid w:val="0FA55948"/>
    <w:rsid w:val="0FBA1E4C"/>
    <w:rsid w:val="1009535D"/>
    <w:rsid w:val="10128D49"/>
    <w:rsid w:val="101F91F5"/>
    <w:rsid w:val="101FE339"/>
    <w:rsid w:val="106D5D59"/>
    <w:rsid w:val="1079CCC0"/>
    <w:rsid w:val="108DEA91"/>
    <w:rsid w:val="10973B72"/>
    <w:rsid w:val="10D5F2D3"/>
    <w:rsid w:val="10D7FACC"/>
    <w:rsid w:val="1102C4E6"/>
    <w:rsid w:val="11120CAA"/>
    <w:rsid w:val="1118BA26"/>
    <w:rsid w:val="11417463"/>
    <w:rsid w:val="115BCC19"/>
    <w:rsid w:val="116F482A"/>
    <w:rsid w:val="117FB9B3"/>
    <w:rsid w:val="1180F8A2"/>
    <w:rsid w:val="118DE71B"/>
    <w:rsid w:val="11A522E1"/>
    <w:rsid w:val="11CA969C"/>
    <w:rsid w:val="11D56CCD"/>
    <w:rsid w:val="11D87097"/>
    <w:rsid w:val="11DF1543"/>
    <w:rsid w:val="1249D4AB"/>
    <w:rsid w:val="12626738"/>
    <w:rsid w:val="127DAE75"/>
    <w:rsid w:val="128C10AD"/>
    <w:rsid w:val="128E1E83"/>
    <w:rsid w:val="12AE3704"/>
    <w:rsid w:val="12B7281B"/>
    <w:rsid w:val="12DA78DC"/>
    <w:rsid w:val="12DC641E"/>
    <w:rsid w:val="12F4C0A6"/>
    <w:rsid w:val="12F910F4"/>
    <w:rsid w:val="13177253"/>
    <w:rsid w:val="13434CC7"/>
    <w:rsid w:val="134FB34D"/>
    <w:rsid w:val="1356DBA0"/>
    <w:rsid w:val="1356DEF3"/>
    <w:rsid w:val="135AB3C9"/>
    <w:rsid w:val="13664846"/>
    <w:rsid w:val="136D0E0B"/>
    <w:rsid w:val="1373AC3F"/>
    <w:rsid w:val="13E0168F"/>
    <w:rsid w:val="13E049DC"/>
    <w:rsid w:val="13E7D9FB"/>
    <w:rsid w:val="13EA8A5C"/>
    <w:rsid w:val="13F30E21"/>
    <w:rsid w:val="142A08E2"/>
    <w:rsid w:val="143442E3"/>
    <w:rsid w:val="146DCA79"/>
    <w:rsid w:val="14776495"/>
    <w:rsid w:val="14A3F664"/>
    <w:rsid w:val="14AFB921"/>
    <w:rsid w:val="14C46BFC"/>
    <w:rsid w:val="15042794"/>
    <w:rsid w:val="1526453B"/>
    <w:rsid w:val="15419B1C"/>
    <w:rsid w:val="1554B163"/>
    <w:rsid w:val="156B96A1"/>
    <w:rsid w:val="1590B80E"/>
    <w:rsid w:val="15925F2E"/>
    <w:rsid w:val="1598C097"/>
    <w:rsid w:val="15A30B02"/>
    <w:rsid w:val="15B0C441"/>
    <w:rsid w:val="15B28EB6"/>
    <w:rsid w:val="15CFCBFE"/>
    <w:rsid w:val="15D0C179"/>
    <w:rsid w:val="160AFD05"/>
    <w:rsid w:val="16377FB9"/>
    <w:rsid w:val="163D7544"/>
    <w:rsid w:val="16805B29"/>
    <w:rsid w:val="168AE881"/>
    <w:rsid w:val="16926452"/>
    <w:rsid w:val="16C43607"/>
    <w:rsid w:val="16D50A3B"/>
    <w:rsid w:val="16F1CCF5"/>
    <w:rsid w:val="170A6476"/>
    <w:rsid w:val="170B9E3A"/>
    <w:rsid w:val="170DC509"/>
    <w:rsid w:val="174E294A"/>
    <w:rsid w:val="17543A3E"/>
    <w:rsid w:val="1763AA33"/>
    <w:rsid w:val="1769B86E"/>
    <w:rsid w:val="1778E0A3"/>
    <w:rsid w:val="177B9B4C"/>
    <w:rsid w:val="177C91A7"/>
    <w:rsid w:val="178D0461"/>
    <w:rsid w:val="179F8182"/>
    <w:rsid w:val="17CA7ABB"/>
    <w:rsid w:val="17E7A9F7"/>
    <w:rsid w:val="17F227C7"/>
    <w:rsid w:val="17F866BA"/>
    <w:rsid w:val="18007E0F"/>
    <w:rsid w:val="180C7856"/>
    <w:rsid w:val="182D7E4C"/>
    <w:rsid w:val="183DD88F"/>
    <w:rsid w:val="185B10D1"/>
    <w:rsid w:val="185C7EDA"/>
    <w:rsid w:val="186CF3B2"/>
    <w:rsid w:val="18934B71"/>
    <w:rsid w:val="1894ABC0"/>
    <w:rsid w:val="189C1E1F"/>
    <w:rsid w:val="18CB514B"/>
    <w:rsid w:val="18D9309D"/>
    <w:rsid w:val="18DE6B64"/>
    <w:rsid w:val="18E5BE02"/>
    <w:rsid w:val="18FB80E5"/>
    <w:rsid w:val="190BE587"/>
    <w:rsid w:val="19389CB0"/>
    <w:rsid w:val="195C6D06"/>
    <w:rsid w:val="19726D84"/>
    <w:rsid w:val="197BA188"/>
    <w:rsid w:val="197BD4EF"/>
    <w:rsid w:val="1994A5C9"/>
    <w:rsid w:val="199E7BDD"/>
    <w:rsid w:val="199F67F4"/>
    <w:rsid w:val="19A5A9F7"/>
    <w:rsid w:val="19B3520B"/>
    <w:rsid w:val="19D4CA44"/>
    <w:rsid w:val="19E0C23E"/>
    <w:rsid w:val="19F125BB"/>
    <w:rsid w:val="1A0BD4E7"/>
    <w:rsid w:val="1A1A3460"/>
    <w:rsid w:val="1A1D31E6"/>
    <w:rsid w:val="1A539FDD"/>
    <w:rsid w:val="1A6B125E"/>
    <w:rsid w:val="1A6CD2FB"/>
    <w:rsid w:val="1A72796B"/>
    <w:rsid w:val="1A93A620"/>
    <w:rsid w:val="1A9F8C1D"/>
    <w:rsid w:val="1AA836C1"/>
    <w:rsid w:val="1AB71000"/>
    <w:rsid w:val="1AB8E35E"/>
    <w:rsid w:val="1AF312B2"/>
    <w:rsid w:val="1AF951A1"/>
    <w:rsid w:val="1B153A36"/>
    <w:rsid w:val="1B1DB9A6"/>
    <w:rsid w:val="1B24A0AF"/>
    <w:rsid w:val="1B34182A"/>
    <w:rsid w:val="1B366ED7"/>
    <w:rsid w:val="1B392CF8"/>
    <w:rsid w:val="1B485FE7"/>
    <w:rsid w:val="1B6DE1B9"/>
    <w:rsid w:val="1B7DBA2E"/>
    <w:rsid w:val="1B972825"/>
    <w:rsid w:val="1B9D9826"/>
    <w:rsid w:val="1BE65775"/>
    <w:rsid w:val="1C09CA25"/>
    <w:rsid w:val="1C09CD67"/>
    <w:rsid w:val="1C0BC095"/>
    <w:rsid w:val="1C0EAD5A"/>
    <w:rsid w:val="1C0FEEA6"/>
    <w:rsid w:val="1C15FD96"/>
    <w:rsid w:val="1C18E553"/>
    <w:rsid w:val="1C1F88F0"/>
    <w:rsid w:val="1C32AFF0"/>
    <w:rsid w:val="1C42C8E7"/>
    <w:rsid w:val="1C42FF9B"/>
    <w:rsid w:val="1C53E982"/>
    <w:rsid w:val="1C61CF36"/>
    <w:rsid w:val="1C79CD3C"/>
    <w:rsid w:val="1C7E6251"/>
    <w:rsid w:val="1CA17171"/>
    <w:rsid w:val="1CC5B6D6"/>
    <w:rsid w:val="1D17D3D7"/>
    <w:rsid w:val="1D1C3D7B"/>
    <w:rsid w:val="1D2788ED"/>
    <w:rsid w:val="1D35FC05"/>
    <w:rsid w:val="1D3C69CC"/>
    <w:rsid w:val="1D4855B9"/>
    <w:rsid w:val="1D48B6FC"/>
    <w:rsid w:val="1D9F83C6"/>
    <w:rsid w:val="1DA2B320"/>
    <w:rsid w:val="1DA9225B"/>
    <w:rsid w:val="1DADBC2D"/>
    <w:rsid w:val="1DC9481A"/>
    <w:rsid w:val="1DE0327B"/>
    <w:rsid w:val="1E05ECDC"/>
    <w:rsid w:val="1E167B99"/>
    <w:rsid w:val="1E49665F"/>
    <w:rsid w:val="1E5EA711"/>
    <w:rsid w:val="1E72828D"/>
    <w:rsid w:val="1E72F4B2"/>
    <w:rsid w:val="1E8902BE"/>
    <w:rsid w:val="1EBC3D68"/>
    <w:rsid w:val="1EBC5074"/>
    <w:rsid w:val="1EBE30C0"/>
    <w:rsid w:val="1EBF4856"/>
    <w:rsid w:val="1ECEE68A"/>
    <w:rsid w:val="1ED77560"/>
    <w:rsid w:val="1ED81DB7"/>
    <w:rsid w:val="1EDBFF7E"/>
    <w:rsid w:val="1EE48C33"/>
    <w:rsid w:val="1EF24D7F"/>
    <w:rsid w:val="1F11B3D4"/>
    <w:rsid w:val="1F3765B2"/>
    <w:rsid w:val="1F4BEBFB"/>
    <w:rsid w:val="1F519DAF"/>
    <w:rsid w:val="1F5F3A15"/>
    <w:rsid w:val="1F72F53E"/>
    <w:rsid w:val="1F95C8C0"/>
    <w:rsid w:val="1F98B408"/>
    <w:rsid w:val="1FBC8F0D"/>
    <w:rsid w:val="1FC64773"/>
    <w:rsid w:val="1FCF8E32"/>
    <w:rsid w:val="1FDE3029"/>
    <w:rsid w:val="1FDF6EAD"/>
    <w:rsid w:val="2006A415"/>
    <w:rsid w:val="201C2A55"/>
    <w:rsid w:val="2025D5B9"/>
    <w:rsid w:val="2061B7BF"/>
    <w:rsid w:val="209263C2"/>
    <w:rsid w:val="20FA5D17"/>
    <w:rsid w:val="210741D0"/>
    <w:rsid w:val="210920A8"/>
    <w:rsid w:val="21168469"/>
    <w:rsid w:val="211C17FC"/>
    <w:rsid w:val="212549D2"/>
    <w:rsid w:val="2128C702"/>
    <w:rsid w:val="2145F5A7"/>
    <w:rsid w:val="215FD370"/>
    <w:rsid w:val="217B892F"/>
    <w:rsid w:val="2183320E"/>
    <w:rsid w:val="21891ED7"/>
    <w:rsid w:val="21BF9BB0"/>
    <w:rsid w:val="21DA106E"/>
    <w:rsid w:val="21DFE66A"/>
    <w:rsid w:val="21E9E889"/>
    <w:rsid w:val="21FF1B1A"/>
    <w:rsid w:val="2241596B"/>
    <w:rsid w:val="22488A78"/>
    <w:rsid w:val="22644339"/>
    <w:rsid w:val="22797989"/>
    <w:rsid w:val="22939DE9"/>
    <w:rsid w:val="22B10DBD"/>
    <w:rsid w:val="22B11E12"/>
    <w:rsid w:val="22B97C60"/>
    <w:rsid w:val="22D6C264"/>
    <w:rsid w:val="22DC842D"/>
    <w:rsid w:val="22EF911B"/>
    <w:rsid w:val="22F19C96"/>
    <w:rsid w:val="23213385"/>
    <w:rsid w:val="23331FA7"/>
    <w:rsid w:val="233C5836"/>
    <w:rsid w:val="233F4F62"/>
    <w:rsid w:val="234C99D0"/>
    <w:rsid w:val="2354C2E2"/>
    <w:rsid w:val="236DC029"/>
    <w:rsid w:val="237F7BF3"/>
    <w:rsid w:val="23854F3E"/>
    <w:rsid w:val="238F1A6F"/>
    <w:rsid w:val="23A77883"/>
    <w:rsid w:val="23C28459"/>
    <w:rsid w:val="23C542EC"/>
    <w:rsid w:val="23C9400A"/>
    <w:rsid w:val="23CE1BB3"/>
    <w:rsid w:val="23DA299A"/>
    <w:rsid w:val="23DA6B90"/>
    <w:rsid w:val="23EB4DDD"/>
    <w:rsid w:val="23FC1040"/>
    <w:rsid w:val="23FC949E"/>
    <w:rsid w:val="24039E96"/>
    <w:rsid w:val="243DAEE0"/>
    <w:rsid w:val="24467263"/>
    <w:rsid w:val="2462FF5B"/>
    <w:rsid w:val="246AFE72"/>
    <w:rsid w:val="247C073E"/>
    <w:rsid w:val="249C8218"/>
    <w:rsid w:val="24B290C6"/>
    <w:rsid w:val="24D0EB68"/>
    <w:rsid w:val="24E883D1"/>
    <w:rsid w:val="24FB2EA8"/>
    <w:rsid w:val="2542F7A3"/>
    <w:rsid w:val="2543C6F6"/>
    <w:rsid w:val="255E81B2"/>
    <w:rsid w:val="257962DC"/>
    <w:rsid w:val="25A84CAD"/>
    <w:rsid w:val="25C02618"/>
    <w:rsid w:val="25EDE703"/>
    <w:rsid w:val="26028642"/>
    <w:rsid w:val="260A802B"/>
    <w:rsid w:val="260C61E9"/>
    <w:rsid w:val="26226C69"/>
    <w:rsid w:val="2630A4F2"/>
    <w:rsid w:val="263D8AA6"/>
    <w:rsid w:val="265BE9FD"/>
    <w:rsid w:val="265DDF7A"/>
    <w:rsid w:val="26715FEB"/>
    <w:rsid w:val="268C7FB4"/>
    <w:rsid w:val="26A187F8"/>
    <w:rsid w:val="26A29963"/>
    <w:rsid w:val="26CAF9E4"/>
    <w:rsid w:val="26EFAC61"/>
    <w:rsid w:val="26F7F56B"/>
    <w:rsid w:val="2700E0CC"/>
    <w:rsid w:val="2706AAB8"/>
    <w:rsid w:val="27247F2B"/>
    <w:rsid w:val="273E3E09"/>
    <w:rsid w:val="275CD596"/>
    <w:rsid w:val="276E1999"/>
    <w:rsid w:val="27913252"/>
    <w:rsid w:val="279527E1"/>
    <w:rsid w:val="27B0F338"/>
    <w:rsid w:val="27D77002"/>
    <w:rsid w:val="27DDAF17"/>
    <w:rsid w:val="27E35993"/>
    <w:rsid w:val="27EC3BB6"/>
    <w:rsid w:val="27F0FCC3"/>
    <w:rsid w:val="27F98B5E"/>
    <w:rsid w:val="27FF7780"/>
    <w:rsid w:val="2813D40B"/>
    <w:rsid w:val="2814F5EE"/>
    <w:rsid w:val="2818BECF"/>
    <w:rsid w:val="2821C524"/>
    <w:rsid w:val="2822D9F1"/>
    <w:rsid w:val="28629B42"/>
    <w:rsid w:val="286D5C62"/>
    <w:rsid w:val="287123EE"/>
    <w:rsid w:val="28822553"/>
    <w:rsid w:val="28C0C284"/>
    <w:rsid w:val="28D42CE1"/>
    <w:rsid w:val="28D5AEF3"/>
    <w:rsid w:val="2911C1FA"/>
    <w:rsid w:val="29140D27"/>
    <w:rsid w:val="291CF278"/>
    <w:rsid w:val="29308614"/>
    <w:rsid w:val="29590416"/>
    <w:rsid w:val="29597C9E"/>
    <w:rsid w:val="297AE24C"/>
    <w:rsid w:val="29858F86"/>
    <w:rsid w:val="29A07F66"/>
    <w:rsid w:val="29A96353"/>
    <w:rsid w:val="29BB9F93"/>
    <w:rsid w:val="29D36242"/>
    <w:rsid w:val="2A0BD962"/>
    <w:rsid w:val="2A1EDD57"/>
    <w:rsid w:val="2A24E582"/>
    <w:rsid w:val="2A28EA52"/>
    <w:rsid w:val="2A2EC013"/>
    <w:rsid w:val="2A397206"/>
    <w:rsid w:val="2A422B86"/>
    <w:rsid w:val="2A5A3191"/>
    <w:rsid w:val="2A66107D"/>
    <w:rsid w:val="2A69B2CF"/>
    <w:rsid w:val="2A6E1EC7"/>
    <w:rsid w:val="2A71004C"/>
    <w:rsid w:val="2A722164"/>
    <w:rsid w:val="2A7BB795"/>
    <w:rsid w:val="2A7F4FB9"/>
    <w:rsid w:val="2A80350D"/>
    <w:rsid w:val="2A825301"/>
    <w:rsid w:val="2A9675EA"/>
    <w:rsid w:val="2AB1FD04"/>
    <w:rsid w:val="2ACA09A8"/>
    <w:rsid w:val="2AD6DAFA"/>
    <w:rsid w:val="2AD8D3F1"/>
    <w:rsid w:val="2AE14E96"/>
    <w:rsid w:val="2AE9F5E0"/>
    <w:rsid w:val="2B035FE4"/>
    <w:rsid w:val="2B0CB278"/>
    <w:rsid w:val="2B0F8F70"/>
    <w:rsid w:val="2B1B17B4"/>
    <w:rsid w:val="2B27EBAC"/>
    <w:rsid w:val="2B56B854"/>
    <w:rsid w:val="2B6060F6"/>
    <w:rsid w:val="2B70FC71"/>
    <w:rsid w:val="2B96075B"/>
    <w:rsid w:val="2BA36434"/>
    <w:rsid w:val="2BAE8EE5"/>
    <w:rsid w:val="2BB4EE1E"/>
    <w:rsid w:val="2BC7639E"/>
    <w:rsid w:val="2BC7C14E"/>
    <w:rsid w:val="2BF694D8"/>
    <w:rsid w:val="2C0D1F2B"/>
    <w:rsid w:val="2C11E37F"/>
    <w:rsid w:val="2C2EF9A4"/>
    <w:rsid w:val="2C3695C4"/>
    <w:rsid w:val="2C6D023B"/>
    <w:rsid w:val="2C77A1E1"/>
    <w:rsid w:val="2C8243D5"/>
    <w:rsid w:val="2C94986C"/>
    <w:rsid w:val="2CA5F681"/>
    <w:rsid w:val="2CBB7558"/>
    <w:rsid w:val="2CBCCBA1"/>
    <w:rsid w:val="2CC80642"/>
    <w:rsid w:val="2CDB5B53"/>
    <w:rsid w:val="2D03D0BA"/>
    <w:rsid w:val="2D3E5797"/>
    <w:rsid w:val="2D5215EE"/>
    <w:rsid w:val="2D59D472"/>
    <w:rsid w:val="2D61DAF7"/>
    <w:rsid w:val="2D62A3C7"/>
    <w:rsid w:val="2D6562AF"/>
    <w:rsid w:val="2D807CA6"/>
    <w:rsid w:val="2D86BFFC"/>
    <w:rsid w:val="2D90EDC3"/>
    <w:rsid w:val="2DBB6B3F"/>
    <w:rsid w:val="2DCEEA3B"/>
    <w:rsid w:val="2DD837DC"/>
    <w:rsid w:val="2DE26B6F"/>
    <w:rsid w:val="2DEE7F99"/>
    <w:rsid w:val="2DF5EB55"/>
    <w:rsid w:val="2E0758D1"/>
    <w:rsid w:val="2E1EC637"/>
    <w:rsid w:val="2E2B735F"/>
    <w:rsid w:val="2E5178C5"/>
    <w:rsid w:val="2E51F7CD"/>
    <w:rsid w:val="2E56C9C2"/>
    <w:rsid w:val="2E66ED21"/>
    <w:rsid w:val="2E75E859"/>
    <w:rsid w:val="2E95532A"/>
    <w:rsid w:val="2E9FF1AE"/>
    <w:rsid w:val="2EAE1DE0"/>
    <w:rsid w:val="2EB19808"/>
    <w:rsid w:val="2EB1C3FD"/>
    <w:rsid w:val="2EC89387"/>
    <w:rsid w:val="2ED80755"/>
    <w:rsid w:val="2EDD474E"/>
    <w:rsid w:val="2EE305AF"/>
    <w:rsid w:val="2EE44270"/>
    <w:rsid w:val="2EEA5488"/>
    <w:rsid w:val="2EEF3308"/>
    <w:rsid w:val="2EF0B6EF"/>
    <w:rsid w:val="2F1CEE48"/>
    <w:rsid w:val="2F1EB4F9"/>
    <w:rsid w:val="2F344103"/>
    <w:rsid w:val="2F3BDED7"/>
    <w:rsid w:val="2F43BB06"/>
    <w:rsid w:val="2F49CEC3"/>
    <w:rsid w:val="2F56D1D7"/>
    <w:rsid w:val="2F6D7E3B"/>
    <w:rsid w:val="2F81E07A"/>
    <w:rsid w:val="2F81F08B"/>
    <w:rsid w:val="2F9BC83A"/>
    <w:rsid w:val="2FA1D15F"/>
    <w:rsid w:val="2FA82291"/>
    <w:rsid w:val="2FD48AA1"/>
    <w:rsid w:val="2FD7E738"/>
    <w:rsid w:val="30104874"/>
    <w:rsid w:val="301E9D0A"/>
    <w:rsid w:val="301FF2C9"/>
    <w:rsid w:val="302B4FA9"/>
    <w:rsid w:val="302E1B93"/>
    <w:rsid w:val="30309278"/>
    <w:rsid w:val="30330ED0"/>
    <w:rsid w:val="303370F5"/>
    <w:rsid w:val="304BC32E"/>
    <w:rsid w:val="306DE4C8"/>
    <w:rsid w:val="30A41C16"/>
    <w:rsid w:val="30A8EA9A"/>
    <w:rsid w:val="30AA036F"/>
    <w:rsid w:val="30B47E87"/>
    <w:rsid w:val="30C0EEB3"/>
    <w:rsid w:val="30D51295"/>
    <w:rsid w:val="30DED810"/>
    <w:rsid w:val="30E567D8"/>
    <w:rsid w:val="31132EBD"/>
    <w:rsid w:val="312154F2"/>
    <w:rsid w:val="31287033"/>
    <w:rsid w:val="313DD614"/>
    <w:rsid w:val="3142DB38"/>
    <w:rsid w:val="3146642A"/>
    <w:rsid w:val="314B2427"/>
    <w:rsid w:val="316C1CE1"/>
    <w:rsid w:val="31774365"/>
    <w:rsid w:val="31788F8E"/>
    <w:rsid w:val="3188DDF6"/>
    <w:rsid w:val="3190D43C"/>
    <w:rsid w:val="319F5F9E"/>
    <w:rsid w:val="31AEF225"/>
    <w:rsid w:val="31BA6BE3"/>
    <w:rsid w:val="31CE0E40"/>
    <w:rsid w:val="31FAA951"/>
    <w:rsid w:val="321A2AA2"/>
    <w:rsid w:val="3229E8AF"/>
    <w:rsid w:val="3237DB88"/>
    <w:rsid w:val="324475B7"/>
    <w:rsid w:val="325F2191"/>
    <w:rsid w:val="325FE0F4"/>
    <w:rsid w:val="32602ABB"/>
    <w:rsid w:val="32680F85"/>
    <w:rsid w:val="327F6991"/>
    <w:rsid w:val="3286D8FA"/>
    <w:rsid w:val="328CAA8A"/>
    <w:rsid w:val="32BF39F8"/>
    <w:rsid w:val="32CBF716"/>
    <w:rsid w:val="32D55E8B"/>
    <w:rsid w:val="3304B5BD"/>
    <w:rsid w:val="33096494"/>
    <w:rsid w:val="3321C492"/>
    <w:rsid w:val="332412AF"/>
    <w:rsid w:val="3329CBE3"/>
    <w:rsid w:val="33786316"/>
    <w:rsid w:val="337A0031"/>
    <w:rsid w:val="33B9290D"/>
    <w:rsid w:val="33BCB454"/>
    <w:rsid w:val="33BDE9D7"/>
    <w:rsid w:val="33C5826D"/>
    <w:rsid w:val="33E93909"/>
    <w:rsid w:val="33FBD154"/>
    <w:rsid w:val="340BF135"/>
    <w:rsid w:val="340F9DB2"/>
    <w:rsid w:val="3410AC11"/>
    <w:rsid w:val="341383B4"/>
    <w:rsid w:val="341DCAE4"/>
    <w:rsid w:val="342CC9E6"/>
    <w:rsid w:val="34481095"/>
    <w:rsid w:val="347AC73B"/>
    <w:rsid w:val="3492C0A8"/>
    <w:rsid w:val="3498FE23"/>
    <w:rsid w:val="34A24709"/>
    <w:rsid w:val="34BA46B8"/>
    <w:rsid w:val="34BBF214"/>
    <w:rsid w:val="34D06440"/>
    <w:rsid w:val="34E3EA0A"/>
    <w:rsid w:val="34F738E8"/>
    <w:rsid w:val="3500795C"/>
    <w:rsid w:val="3505FE60"/>
    <w:rsid w:val="35074E8D"/>
    <w:rsid w:val="3508AF0F"/>
    <w:rsid w:val="352C7E3C"/>
    <w:rsid w:val="354BA0BA"/>
    <w:rsid w:val="35544697"/>
    <w:rsid w:val="35585DCE"/>
    <w:rsid w:val="35662848"/>
    <w:rsid w:val="357CC6ED"/>
    <w:rsid w:val="359F8E11"/>
    <w:rsid w:val="35ACE423"/>
    <w:rsid w:val="35BA94CC"/>
    <w:rsid w:val="35F32003"/>
    <w:rsid w:val="35FFD5A0"/>
    <w:rsid w:val="3609BF53"/>
    <w:rsid w:val="362F1E96"/>
    <w:rsid w:val="363BFBDC"/>
    <w:rsid w:val="36549E1F"/>
    <w:rsid w:val="366C34A1"/>
    <w:rsid w:val="366D486A"/>
    <w:rsid w:val="366FB125"/>
    <w:rsid w:val="368EE900"/>
    <w:rsid w:val="36A33517"/>
    <w:rsid w:val="36C867AA"/>
    <w:rsid w:val="36CD37BB"/>
    <w:rsid w:val="36E9F3F1"/>
    <w:rsid w:val="36F698BC"/>
    <w:rsid w:val="37048B3B"/>
    <w:rsid w:val="37131163"/>
    <w:rsid w:val="3715112D"/>
    <w:rsid w:val="372BDAF9"/>
    <w:rsid w:val="374CB3D8"/>
    <w:rsid w:val="37580852"/>
    <w:rsid w:val="375A77F2"/>
    <w:rsid w:val="37921F36"/>
    <w:rsid w:val="37ADD72D"/>
    <w:rsid w:val="37D1D883"/>
    <w:rsid w:val="37DE5BFE"/>
    <w:rsid w:val="37EC97AD"/>
    <w:rsid w:val="3831CF0B"/>
    <w:rsid w:val="38384FE1"/>
    <w:rsid w:val="38576117"/>
    <w:rsid w:val="3859D503"/>
    <w:rsid w:val="38636E06"/>
    <w:rsid w:val="3868E2CB"/>
    <w:rsid w:val="387AC105"/>
    <w:rsid w:val="388839EA"/>
    <w:rsid w:val="388F4A8D"/>
    <w:rsid w:val="38AAC9A8"/>
    <w:rsid w:val="38B6DABF"/>
    <w:rsid w:val="38C09BA3"/>
    <w:rsid w:val="3914C2D5"/>
    <w:rsid w:val="39323B11"/>
    <w:rsid w:val="3938E908"/>
    <w:rsid w:val="39460F17"/>
    <w:rsid w:val="3946B07A"/>
    <w:rsid w:val="394BA7AD"/>
    <w:rsid w:val="394E058D"/>
    <w:rsid w:val="39509954"/>
    <w:rsid w:val="39590A6F"/>
    <w:rsid w:val="39720023"/>
    <w:rsid w:val="398995C0"/>
    <w:rsid w:val="3994E3AD"/>
    <w:rsid w:val="39A427C3"/>
    <w:rsid w:val="39BF4A16"/>
    <w:rsid w:val="39CEDA21"/>
    <w:rsid w:val="3A05257A"/>
    <w:rsid w:val="3A28CC50"/>
    <w:rsid w:val="3A6E0F10"/>
    <w:rsid w:val="3A718012"/>
    <w:rsid w:val="3A7A3617"/>
    <w:rsid w:val="3A961B6E"/>
    <w:rsid w:val="3A9A60EC"/>
    <w:rsid w:val="3AA2AB30"/>
    <w:rsid w:val="3AA3E1B4"/>
    <w:rsid w:val="3ABDBE69"/>
    <w:rsid w:val="3AC92880"/>
    <w:rsid w:val="3ADC2CB9"/>
    <w:rsid w:val="3B23DFFB"/>
    <w:rsid w:val="3B267D67"/>
    <w:rsid w:val="3B3A9FB9"/>
    <w:rsid w:val="3B451718"/>
    <w:rsid w:val="3B5E1A67"/>
    <w:rsid w:val="3B63D538"/>
    <w:rsid w:val="3B6A3525"/>
    <w:rsid w:val="3B6FB751"/>
    <w:rsid w:val="3BA2D4FE"/>
    <w:rsid w:val="3BCED550"/>
    <w:rsid w:val="3BE4DB65"/>
    <w:rsid w:val="3BE72EE8"/>
    <w:rsid w:val="3C06AEB7"/>
    <w:rsid w:val="3C0F6DF4"/>
    <w:rsid w:val="3C439669"/>
    <w:rsid w:val="3C66BD78"/>
    <w:rsid w:val="3C890CBE"/>
    <w:rsid w:val="3C9D0BA3"/>
    <w:rsid w:val="3CC24DC8"/>
    <w:rsid w:val="3D3EC498"/>
    <w:rsid w:val="3D44D604"/>
    <w:rsid w:val="3D4A1635"/>
    <w:rsid w:val="3D6096CF"/>
    <w:rsid w:val="3DA7765C"/>
    <w:rsid w:val="3DBD0143"/>
    <w:rsid w:val="3DE494A8"/>
    <w:rsid w:val="3DF5C49D"/>
    <w:rsid w:val="3E0FDEE9"/>
    <w:rsid w:val="3E116209"/>
    <w:rsid w:val="3E15AB07"/>
    <w:rsid w:val="3E45BD89"/>
    <w:rsid w:val="3E5B14DF"/>
    <w:rsid w:val="3E5D4839"/>
    <w:rsid w:val="3E72F240"/>
    <w:rsid w:val="3E74B071"/>
    <w:rsid w:val="3E761EF7"/>
    <w:rsid w:val="3E993061"/>
    <w:rsid w:val="3EA4BBDD"/>
    <w:rsid w:val="3EA57DD9"/>
    <w:rsid w:val="3EACEE3A"/>
    <w:rsid w:val="3EB19609"/>
    <w:rsid w:val="3EC0E2F9"/>
    <w:rsid w:val="3ECA7239"/>
    <w:rsid w:val="3EE4A691"/>
    <w:rsid w:val="3EF201CF"/>
    <w:rsid w:val="3F0666C1"/>
    <w:rsid w:val="3F0CB778"/>
    <w:rsid w:val="3F1AF145"/>
    <w:rsid w:val="3F3B92F0"/>
    <w:rsid w:val="3F71B7FB"/>
    <w:rsid w:val="3F89C45E"/>
    <w:rsid w:val="3F8C9315"/>
    <w:rsid w:val="3FA959F2"/>
    <w:rsid w:val="3FCD9A6B"/>
    <w:rsid w:val="3FD94E35"/>
    <w:rsid w:val="3FDC403E"/>
    <w:rsid w:val="3FF10F99"/>
    <w:rsid w:val="4037A4F0"/>
    <w:rsid w:val="40462AF8"/>
    <w:rsid w:val="4065BA21"/>
    <w:rsid w:val="4069ECC2"/>
    <w:rsid w:val="409450DF"/>
    <w:rsid w:val="409907D7"/>
    <w:rsid w:val="40A37FFB"/>
    <w:rsid w:val="40AA655B"/>
    <w:rsid w:val="40C7D271"/>
    <w:rsid w:val="40EB6114"/>
    <w:rsid w:val="40F72FE3"/>
    <w:rsid w:val="40FCC8A8"/>
    <w:rsid w:val="41237D7D"/>
    <w:rsid w:val="413AB4A5"/>
    <w:rsid w:val="41409C64"/>
    <w:rsid w:val="4147D328"/>
    <w:rsid w:val="418DB2AC"/>
    <w:rsid w:val="4196F76C"/>
    <w:rsid w:val="41C23C9F"/>
    <w:rsid w:val="41C738B0"/>
    <w:rsid w:val="41DFD2F9"/>
    <w:rsid w:val="42154737"/>
    <w:rsid w:val="422A33BE"/>
    <w:rsid w:val="422DA54B"/>
    <w:rsid w:val="424A30C4"/>
    <w:rsid w:val="424EF723"/>
    <w:rsid w:val="426C9282"/>
    <w:rsid w:val="426DB15A"/>
    <w:rsid w:val="4293A42C"/>
    <w:rsid w:val="42A0E11C"/>
    <w:rsid w:val="42AE1AEC"/>
    <w:rsid w:val="42C28F54"/>
    <w:rsid w:val="42D241B1"/>
    <w:rsid w:val="4305CB6E"/>
    <w:rsid w:val="4311CF72"/>
    <w:rsid w:val="435FB413"/>
    <w:rsid w:val="436B815B"/>
    <w:rsid w:val="4376CF09"/>
    <w:rsid w:val="4399F6CD"/>
    <w:rsid w:val="43A4EBB8"/>
    <w:rsid w:val="43A57C87"/>
    <w:rsid w:val="43AC850C"/>
    <w:rsid w:val="43B3032D"/>
    <w:rsid w:val="43BF4C1F"/>
    <w:rsid w:val="43C59A1F"/>
    <w:rsid w:val="43E2C131"/>
    <w:rsid w:val="43F586BF"/>
    <w:rsid w:val="440EEAAD"/>
    <w:rsid w:val="442AF045"/>
    <w:rsid w:val="442BB241"/>
    <w:rsid w:val="443D8836"/>
    <w:rsid w:val="444BADF5"/>
    <w:rsid w:val="44689A70"/>
    <w:rsid w:val="447472BF"/>
    <w:rsid w:val="449A6C9E"/>
    <w:rsid w:val="44B347A3"/>
    <w:rsid w:val="44B49FBF"/>
    <w:rsid w:val="44B78513"/>
    <w:rsid w:val="44C88AEE"/>
    <w:rsid w:val="44D19C70"/>
    <w:rsid w:val="44DFD8AF"/>
    <w:rsid w:val="44EF9CDB"/>
    <w:rsid w:val="44FD3854"/>
    <w:rsid w:val="450058F0"/>
    <w:rsid w:val="450192D8"/>
    <w:rsid w:val="4522211D"/>
    <w:rsid w:val="453A67B0"/>
    <w:rsid w:val="456D971F"/>
    <w:rsid w:val="456F477F"/>
    <w:rsid w:val="456FAAC0"/>
    <w:rsid w:val="45714BA7"/>
    <w:rsid w:val="457A92DD"/>
    <w:rsid w:val="45A8E374"/>
    <w:rsid w:val="45C6CDDD"/>
    <w:rsid w:val="45D6E587"/>
    <w:rsid w:val="45EB493E"/>
    <w:rsid w:val="462FAE19"/>
    <w:rsid w:val="46348354"/>
    <w:rsid w:val="463B9B14"/>
    <w:rsid w:val="464180CB"/>
    <w:rsid w:val="4662DC69"/>
    <w:rsid w:val="4665A35A"/>
    <w:rsid w:val="4675664E"/>
    <w:rsid w:val="4691638E"/>
    <w:rsid w:val="46937000"/>
    <w:rsid w:val="46ACAB10"/>
    <w:rsid w:val="46ADB7FD"/>
    <w:rsid w:val="46B5C2A1"/>
    <w:rsid w:val="46CAB312"/>
    <w:rsid w:val="46F8910F"/>
    <w:rsid w:val="47136FE3"/>
    <w:rsid w:val="47212F37"/>
    <w:rsid w:val="472D2596"/>
    <w:rsid w:val="474C3F13"/>
    <w:rsid w:val="47629E3E"/>
    <w:rsid w:val="476CCA5B"/>
    <w:rsid w:val="4775D8F9"/>
    <w:rsid w:val="47929BE0"/>
    <w:rsid w:val="47960077"/>
    <w:rsid w:val="47B609E4"/>
    <w:rsid w:val="47BFAF8D"/>
    <w:rsid w:val="47D06DE1"/>
    <w:rsid w:val="47EE0DD5"/>
    <w:rsid w:val="47F7B711"/>
    <w:rsid w:val="47FF2C9B"/>
    <w:rsid w:val="4806CA15"/>
    <w:rsid w:val="4806CACF"/>
    <w:rsid w:val="480798CD"/>
    <w:rsid w:val="481B28BC"/>
    <w:rsid w:val="484CEBD7"/>
    <w:rsid w:val="48598F0A"/>
    <w:rsid w:val="4893F949"/>
    <w:rsid w:val="48BA4421"/>
    <w:rsid w:val="48D87D74"/>
    <w:rsid w:val="48E228FF"/>
    <w:rsid w:val="48E7F125"/>
    <w:rsid w:val="48E9F024"/>
    <w:rsid w:val="48F738E0"/>
    <w:rsid w:val="48F97A30"/>
    <w:rsid w:val="49007C79"/>
    <w:rsid w:val="4923EE45"/>
    <w:rsid w:val="493A63A7"/>
    <w:rsid w:val="493B93A7"/>
    <w:rsid w:val="49519E59"/>
    <w:rsid w:val="49568291"/>
    <w:rsid w:val="49578CC2"/>
    <w:rsid w:val="4969BAFA"/>
    <w:rsid w:val="4978288D"/>
    <w:rsid w:val="49793CDB"/>
    <w:rsid w:val="4982BAF9"/>
    <w:rsid w:val="498E6725"/>
    <w:rsid w:val="499EDE1C"/>
    <w:rsid w:val="49C9AF5A"/>
    <w:rsid w:val="49D740F3"/>
    <w:rsid w:val="49EFD008"/>
    <w:rsid w:val="49F2F644"/>
    <w:rsid w:val="49F43577"/>
    <w:rsid w:val="4A01E36A"/>
    <w:rsid w:val="4A4A96D1"/>
    <w:rsid w:val="4A4EBA69"/>
    <w:rsid w:val="4A558099"/>
    <w:rsid w:val="4A6E5EFB"/>
    <w:rsid w:val="4A89505B"/>
    <w:rsid w:val="4A93321E"/>
    <w:rsid w:val="4ABB915E"/>
    <w:rsid w:val="4AC75D75"/>
    <w:rsid w:val="4AC84288"/>
    <w:rsid w:val="4AE34859"/>
    <w:rsid w:val="4AE6BECC"/>
    <w:rsid w:val="4AEC53D0"/>
    <w:rsid w:val="4AFBB440"/>
    <w:rsid w:val="4AFEB839"/>
    <w:rsid w:val="4B06AA76"/>
    <w:rsid w:val="4B0895E9"/>
    <w:rsid w:val="4B0BCE28"/>
    <w:rsid w:val="4B408AA3"/>
    <w:rsid w:val="4B502A97"/>
    <w:rsid w:val="4B6246E9"/>
    <w:rsid w:val="4B7F4E50"/>
    <w:rsid w:val="4B99D172"/>
    <w:rsid w:val="4BC2C2FC"/>
    <w:rsid w:val="4BDC1070"/>
    <w:rsid w:val="4BDEC93B"/>
    <w:rsid w:val="4BE54B29"/>
    <w:rsid w:val="4C27C4FA"/>
    <w:rsid w:val="4C320AE9"/>
    <w:rsid w:val="4C5CDD4B"/>
    <w:rsid w:val="4C7C698C"/>
    <w:rsid w:val="4C8332A5"/>
    <w:rsid w:val="4CB562E7"/>
    <w:rsid w:val="4CDDFCE6"/>
    <w:rsid w:val="4CF248A0"/>
    <w:rsid w:val="4D039366"/>
    <w:rsid w:val="4D09FB19"/>
    <w:rsid w:val="4D1D434A"/>
    <w:rsid w:val="4D26C31D"/>
    <w:rsid w:val="4D2B98CD"/>
    <w:rsid w:val="4D3DEED5"/>
    <w:rsid w:val="4D4A9EF3"/>
    <w:rsid w:val="4D784965"/>
    <w:rsid w:val="4DA8CFCC"/>
    <w:rsid w:val="4DB0C730"/>
    <w:rsid w:val="4DB32051"/>
    <w:rsid w:val="4DBBB785"/>
    <w:rsid w:val="4DBD2967"/>
    <w:rsid w:val="4DC5665B"/>
    <w:rsid w:val="4DCFB85B"/>
    <w:rsid w:val="4DD24B14"/>
    <w:rsid w:val="4DE8CB32"/>
    <w:rsid w:val="4DF0CA94"/>
    <w:rsid w:val="4E00F7FC"/>
    <w:rsid w:val="4E1A51A3"/>
    <w:rsid w:val="4E2A8F36"/>
    <w:rsid w:val="4E4402F0"/>
    <w:rsid w:val="4E4A45E0"/>
    <w:rsid w:val="4E62D494"/>
    <w:rsid w:val="4E65546D"/>
    <w:rsid w:val="4E831776"/>
    <w:rsid w:val="4E90C370"/>
    <w:rsid w:val="4E98B864"/>
    <w:rsid w:val="4EAEEFA3"/>
    <w:rsid w:val="4EC7F3B7"/>
    <w:rsid w:val="4ECA3197"/>
    <w:rsid w:val="4ED0B589"/>
    <w:rsid w:val="4ED2524F"/>
    <w:rsid w:val="4EE5049E"/>
    <w:rsid w:val="4EE53D60"/>
    <w:rsid w:val="4EED57A2"/>
    <w:rsid w:val="4F0B7775"/>
    <w:rsid w:val="4F57C377"/>
    <w:rsid w:val="4F691433"/>
    <w:rsid w:val="4F7334C4"/>
    <w:rsid w:val="4F75FD68"/>
    <w:rsid w:val="4F94E35E"/>
    <w:rsid w:val="4FA43B33"/>
    <w:rsid w:val="4FAED9A6"/>
    <w:rsid w:val="4FC9C03B"/>
    <w:rsid w:val="4FDCEFA3"/>
    <w:rsid w:val="500382F1"/>
    <w:rsid w:val="501F1A54"/>
    <w:rsid w:val="503BAC59"/>
    <w:rsid w:val="50415B3E"/>
    <w:rsid w:val="504AC48B"/>
    <w:rsid w:val="50520783"/>
    <w:rsid w:val="5060DA0E"/>
    <w:rsid w:val="5067722B"/>
    <w:rsid w:val="50842240"/>
    <w:rsid w:val="5093534D"/>
    <w:rsid w:val="50985EBA"/>
    <w:rsid w:val="50C1D6EE"/>
    <w:rsid w:val="50D2E66A"/>
    <w:rsid w:val="50E70467"/>
    <w:rsid w:val="50F74810"/>
    <w:rsid w:val="50FAD365"/>
    <w:rsid w:val="50FF1400"/>
    <w:rsid w:val="51041FC2"/>
    <w:rsid w:val="5122E162"/>
    <w:rsid w:val="512706BB"/>
    <w:rsid w:val="5144CF48"/>
    <w:rsid w:val="5152322C"/>
    <w:rsid w:val="51696DC6"/>
    <w:rsid w:val="5170DC3E"/>
    <w:rsid w:val="517980BA"/>
    <w:rsid w:val="518ACF06"/>
    <w:rsid w:val="51966D57"/>
    <w:rsid w:val="51996392"/>
    <w:rsid w:val="519F0A13"/>
    <w:rsid w:val="51A3971F"/>
    <w:rsid w:val="51B2312D"/>
    <w:rsid w:val="51CD851F"/>
    <w:rsid w:val="51EAEA76"/>
    <w:rsid w:val="51F1280C"/>
    <w:rsid w:val="51FD89D0"/>
    <w:rsid w:val="520C7F63"/>
    <w:rsid w:val="52167C1E"/>
    <w:rsid w:val="521E0918"/>
    <w:rsid w:val="523018D0"/>
    <w:rsid w:val="5233024F"/>
    <w:rsid w:val="5242CCF6"/>
    <w:rsid w:val="529DCBD7"/>
    <w:rsid w:val="52AAF35C"/>
    <w:rsid w:val="52CDB07D"/>
    <w:rsid w:val="52D24C02"/>
    <w:rsid w:val="52F5BE79"/>
    <w:rsid w:val="53178FD7"/>
    <w:rsid w:val="531D9E4A"/>
    <w:rsid w:val="5347B6A6"/>
    <w:rsid w:val="534FA09C"/>
    <w:rsid w:val="5358538B"/>
    <w:rsid w:val="53646639"/>
    <w:rsid w:val="5369159C"/>
    <w:rsid w:val="539EB6A6"/>
    <w:rsid w:val="53C152A8"/>
    <w:rsid w:val="53DF3D01"/>
    <w:rsid w:val="53FDAD7C"/>
    <w:rsid w:val="541B1FF3"/>
    <w:rsid w:val="541F85E8"/>
    <w:rsid w:val="5427F8E9"/>
    <w:rsid w:val="542FCB18"/>
    <w:rsid w:val="54538720"/>
    <w:rsid w:val="54679EC6"/>
    <w:rsid w:val="5472E848"/>
    <w:rsid w:val="5495A127"/>
    <w:rsid w:val="54B3C367"/>
    <w:rsid w:val="54B7B055"/>
    <w:rsid w:val="54C57B80"/>
    <w:rsid w:val="54C61D93"/>
    <w:rsid w:val="54CB5284"/>
    <w:rsid w:val="54CCAFB8"/>
    <w:rsid w:val="54DB6BB7"/>
    <w:rsid w:val="54DF07D0"/>
    <w:rsid w:val="54E2E050"/>
    <w:rsid w:val="54E303A9"/>
    <w:rsid w:val="54F5EC5F"/>
    <w:rsid w:val="551B41B7"/>
    <w:rsid w:val="55263C98"/>
    <w:rsid w:val="55610DDA"/>
    <w:rsid w:val="556658CC"/>
    <w:rsid w:val="556C40A9"/>
    <w:rsid w:val="5579F53A"/>
    <w:rsid w:val="557B9996"/>
    <w:rsid w:val="5587C14A"/>
    <w:rsid w:val="5591B647"/>
    <w:rsid w:val="5592485E"/>
    <w:rsid w:val="55D64F81"/>
    <w:rsid w:val="55DE351A"/>
    <w:rsid w:val="55E78650"/>
    <w:rsid w:val="55F5AE20"/>
    <w:rsid w:val="561864B9"/>
    <w:rsid w:val="568EC175"/>
    <w:rsid w:val="56A32A5A"/>
    <w:rsid w:val="56AD7F6B"/>
    <w:rsid w:val="56D0FA58"/>
    <w:rsid w:val="56D55C04"/>
    <w:rsid w:val="56D64564"/>
    <w:rsid w:val="570C3150"/>
    <w:rsid w:val="5727B69C"/>
    <w:rsid w:val="57399DAA"/>
    <w:rsid w:val="573CE694"/>
    <w:rsid w:val="57421424"/>
    <w:rsid w:val="575A7B4E"/>
    <w:rsid w:val="5762F4CF"/>
    <w:rsid w:val="57701187"/>
    <w:rsid w:val="57728F8D"/>
    <w:rsid w:val="57783A63"/>
    <w:rsid w:val="577F8154"/>
    <w:rsid w:val="578E17C5"/>
    <w:rsid w:val="5790C1DE"/>
    <w:rsid w:val="579CB6FA"/>
    <w:rsid w:val="57AFE3F3"/>
    <w:rsid w:val="57B31B10"/>
    <w:rsid w:val="57B5909B"/>
    <w:rsid w:val="57B94CAE"/>
    <w:rsid w:val="57C7C351"/>
    <w:rsid w:val="57E67B29"/>
    <w:rsid w:val="57F5E08D"/>
    <w:rsid w:val="5807663A"/>
    <w:rsid w:val="581CDB0D"/>
    <w:rsid w:val="582A93A7"/>
    <w:rsid w:val="58326E8F"/>
    <w:rsid w:val="5835C53E"/>
    <w:rsid w:val="583D965E"/>
    <w:rsid w:val="588375FE"/>
    <w:rsid w:val="588AA3C7"/>
    <w:rsid w:val="5890FA96"/>
    <w:rsid w:val="58980568"/>
    <w:rsid w:val="58AF20DC"/>
    <w:rsid w:val="591B56C8"/>
    <w:rsid w:val="591C57B6"/>
    <w:rsid w:val="592D4441"/>
    <w:rsid w:val="592ED7D8"/>
    <w:rsid w:val="59324E6F"/>
    <w:rsid w:val="5932F41D"/>
    <w:rsid w:val="5939656E"/>
    <w:rsid w:val="594ADA4A"/>
    <w:rsid w:val="595BD55A"/>
    <w:rsid w:val="596F3EE0"/>
    <w:rsid w:val="599D85FA"/>
    <w:rsid w:val="59A6B426"/>
    <w:rsid w:val="59AD0E47"/>
    <w:rsid w:val="59BD0A9B"/>
    <w:rsid w:val="59CC844F"/>
    <w:rsid w:val="59E6E1E5"/>
    <w:rsid w:val="59E9996C"/>
    <w:rsid w:val="59F37927"/>
    <w:rsid w:val="59FFE1F6"/>
    <w:rsid w:val="5A15D060"/>
    <w:rsid w:val="5A1C5FF8"/>
    <w:rsid w:val="5A2287EF"/>
    <w:rsid w:val="5A2B1CE8"/>
    <w:rsid w:val="5A546C64"/>
    <w:rsid w:val="5A8DF2B7"/>
    <w:rsid w:val="5A984A26"/>
    <w:rsid w:val="5A9F1E8F"/>
    <w:rsid w:val="5AA0107B"/>
    <w:rsid w:val="5AAC2F1B"/>
    <w:rsid w:val="5AC2D6E5"/>
    <w:rsid w:val="5AC76AB0"/>
    <w:rsid w:val="5AC849F8"/>
    <w:rsid w:val="5ADEE2E7"/>
    <w:rsid w:val="5AE47280"/>
    <w:rsid w:val="5AEAA6BF"/>
    <w:rsid w:val="5B3471BB"/>
    <w:rsid w:val="5B5DE291"/>
    <w:rsid w:val="5B637BC1"/>
    <w:rsid w:val="5B6F73DE"/>
    <w:rsid w:val="5B860BDD"/>
    <w:rsid w:val="5B8BCAB5"/>
    <w:rsid w:val="5B9AAD24"/>
    <w:rsid w:val="5BB2282C"/>
    <w:rsid w:val="5BE4B063"/>
    <w:rsid w:val="5BF3A7D5"/>
    <w:rsid w:val="5BF8CA97"/>
    <w:rsid w:val="5C04DA6F"/>
    <w:rsid w:val="5C17A9D8"/>
    <w:rsid w:val="5C299CFF"/>
    <w:rsid w:val="5C2ED8FC"/>
    <w:rsid w:val="5C504EDF"/>
    <w:rsid w:val="5C70C394"/>
    <w:rsid w:val="5C76C5C8"/>
    <w:rsid w:val="5C7AE537"/>
    <w:rsid w:val="5CA5A219"/>
    <w:rsid w:val="5CA72661"/>
    <w:rsid w:val="5CB05AA6"/>
    <w:rsid w:val="5CB2BF46"/>
    <w:rsid w:val="5CBBBDDF"/>
    <w:rsid w:val="5CF073A1"/>
    <w:rsid w:val="5D077B23"/>
    <w:rsid w:val="5D2E2025"/>
    <w:rsid w:val="5D34E32A"/>
    <w:rsid w:val="5D4E5586"/>
    <w:rsid w:val="5D8242C3"/>
    <w:rsid w:val="5D9E7FF0"/>
    <w:rsid w:val="5DA4D9B0"/>
    <w:rsid w:val="5DA900EA"/>
    <w:rsid w:val="5DC53A68"/>
    <w:rsid w:val="5E07277D"/>
    <w:rsid w:val="5E0AF6BA"/>
    <w:rsid w:val="5E46F9C9"/>
    <w:rsid w:val="5E5E54C6"/>
    <w:rsid w:val="5E63E7EF"/>
    <w:rsid w:val="5E7D6DD2"/>
    <w:rsid w:val="5E84D633"/>
    <w:rsid w:val="5E922640"/>
    <w:rsid w:val="5E94BADC"/>
    <w:rsid w:val="5EAC64DD"/>
    <w:rsid w:val="5EC7E6E9"/>
    <w:rsid w:val="5ECDCC3F"/>
    <w:rsid w:val="5EDC3F75"/>
    <w:rsid w:val="5F09C6E7"/>
    <w:rsid w:val="5F18FECC"/>
    <w:rsid w:val="5F2FD3E1"/>
    <w:rsid w:val="5F4AAAB9"/>
    <w:rsid w:val="5F4FBEF0"/>
    <w:rsid w:val="5F553C98"/>
    <w:rsid w:val="5F63567D"/>
    <w:rsid w:val="5F64B356"/>
    <w:rsid w:val="5F708FFF"/>
    <w:rsid w:val="5F818C68"/>
    <w:rsid w:val="5F88AFA5"/>
    <w:rsid w:val="5FABEA22"/>
    <w:rsid w:val="5FAF3B58"/>
    <w:rsid w:val="5FBB640B"/>
    <w:rsid w:val="5FBFA7ED"/>
    <w:rsid w:val="5FC76D68"/>
    <w:rsid w:val="5FDFC8B6"/>
    <w:rsid w:val="5FE78CB2"/>
    <w:rsid w:val="5FE817A6"/>
    <w:rsid w:val="5FFAB5E0"/>
    <w:rsid w:val="60040B12"/>
    <w:rsid w:val="601D726A"/>
    <w:rsid w:val="602E9441"/>
    <w:rsid w:val="60331AB3"/>
    <w:rsid w:val="6033FFEC"/>
    <w:rsid w:val="60498F85"/>
    <w:rsid w:val="604A9BF8"/>
    <w:rsid w:val="60617C90"/>
    <w:rsid w:val="6067DC32"/>
    <w:rsid w:val="606E5D02"/>
    <w:rsid w:val="6071DEAF"/>
    <w:rsid w:val="60817B8B"/>
    <w:rsid w:val="6098C04B"/>
    <w:rsid w:val="60A36056"/>
    <w:rsid w:val="60B4502A"/>
    <w:rsid w:val="60BDF4B0"/>
    <w:rsid w:val="60CE100C"/>
    <w:rsid w:val="60FDF61F"/>
    <w:rsid w:val="610D60AE"/>
    <w:rsid w:val="611A92A4"/>
    <w:rsid w:val="611FB8D1"/>
    <w:rsid w:val="61484BB2"/>
    <w:rsid w:val="614B194F"/>
    <w:rsid w:val="615B3C0E"/>
    <w:rsid w:val="615EFAB4"/>
    <w:rsid w:val="61747737"/>
    <w:rsid w:val="618AE2B7"/>
    <w:rsid w:val="619C6206"/>
    <w:rsid w:val="61BB0202"/>
    <w:rsid w:val="61C74928"/>
    <w:rsid w:val="61F26E33"/>
    <w:rsid w:val="6203A1B3"/>
    <w:rsid w:val="620E0A5D"/>
    <w:rsid w:val="6237A47A"/>
    <w:rsid w:val="625C4835"/>
    <w:rsid w:val="6262191D"/>
    <w:rsid w:val="627BB387"/>
    <w:rsid w:val="627E9475"/>
    <w:rsid w:val="6291FF4B"/>
    <w:rsid w:val="6298496B"/>
    <w:rsid w:val="62A3D16A"/>
    <w:rsid w:val="62A9D049"/>
    <w:rsid w:val="62B43ACA"/>
    <w:rsid w:val="6310A5E6"/>
    <w:rsid w:val="632B6953"/>
    <w:rsid w:val="63351452"/>
    <w:rsid w:val="633AC143"/>
    <w:rsid w:val="635A51BE"/>
    <w:rsid w:val="635C807C"/>
    <w:rsid w:val="63884B80"/>
    <w:rsid w:val="63901877"/>
    <w:rsid w:val="639C24AE"/>
    <w:rsid w:val="63AD922D"/>
    <w:rsid w:val="63CF3116"/>
    <w:rsid w:val="64113286"/>
    <w:rsid w:val="6415EEA8"/>
    <w:rsid w:val="64239359"/>
    <w:rsid w:val="6429C769"/>
    <w:rsid w:val="643EA9BC"/>
    <w:rsid w:val="64410E1E"/>
    <w:rsid w:val="644390DE"/>
    <w:rsid w:val="646D0D23"/>
    <w:rsid w:val="6486987C"/>
    <w:rsid w:val="64B9DC70"/>
    <w:rsid w:val="64C3EE4E"/>
    <w:rsid w:val="64C78B94"/>
    <w:rsid w:val="64CA5693"/>
    <w:rsid w:val="64D73C47"/>
    <w:rsid w:val="64E2B5C5"/>
    <w:rsid w:val="6515355F"/>
    <w:rsid w:val="65224D6A"/>
    <w:rsid w:val="654C0EBA"/>
    <w:rsid w:val="654CF5FA"/>
    <w:rsid w:val="6558F18D"/>
    <w:rsid w:val="65626510"/>
    <w:rsid w:val="6574FF31"/>
    <w:rsid w:val="657E376B"/>
    <w:rsid w:val="6581A41A"/>
    <w:rsid w:val="6591A70C"/>
    <w:rsid w:val="659C7C74"/>
    <w:rsid w:val="65B70ED2"/>
    <w:rsid w:val="65C8C898"/>
    <w:rsid w:val="65CFAE6C"/>
    <w:rsid w:val="65D85699"/>
    <w:rsid w:val="65E0FD80"/>
    <w:rsid w:val="65EA404F"/>
    <w:rsid w:val="65F51DDC"/>
    <w:rsid w:val="660DF0A8"/>
    <w:rsid w:val="66456A43"/>
    <w:rsid w:val="664661B9"/>
    <w:rsid w:val="664B5616"/>
    <w:rsid w:val="66B03F75"/>
    <w:rsid w:val="670CAEBC"/>
    <w:rsid w:val="67479CC6"/>
    <w:rsid w:val="675F508C"/>
    <w:rsid w:val="6762D5B0"/>
    <w:rsid w:val="67701CEC"/>
    <w:rsid w:val="67740E1E"/>
    <w:rsid w:val="678132E3"/>
    <w:rsid w:val="67833A44"/>
    <w:rsid w:val="67A46097"/>
    <w:rsid w:val="67BAB077"/>
    <w:rsid w:val="67C3612C"/>
    <w:rsid w:val="67C8D26A"/>
    <w:rsid w:val="67DF66F3"/>
    <w:rsid w:val="67F2589A"/>
    <w:rsid w:val="67F98048"/>
    <w:rsid w:val="68007003"/>
    <w:rsid w:val="680D97EE"/>
    <w:rsid w:val="6829A6D5"/>
    <w:rsid w:val="682EF5BB"/>
    <w:rsid w:val="682F7C6E"/>
    <w:rsid w:val="6832FF1A"/>
    <w:rsid w:val="6853E0EE"/>
    <w:rsid w:val="6876D65A"/>
    <w:rsid w:val="68AA0B0E"/>
    <w:rsid w:val="68C5BAFE"/>
    <w:rsid w:val="68EB009E"/>
    <w:rsid w:val="68EC0728"/>
    <w:rsid w:val="68EEBE49"/>
    <w:rsid w:val="69135AE9"/>
    <w:rsid w:val="6934D865"/>
    <w:rsid w:val="694CD620"/>
    <w:rsid w:val="695C66A5"/>
    <w:rsid w:val="6967BE7B"/>
    <w:rsid w:val="69A2765E"/>
    <w:rsid w:val="69BF4BB0"/>
    <w:rsid w:val="69DDF561"/>
    <w:rsid w:val="69E4D359"/>
    <w:rsid w:val="69E873B1"/>
    <w:rsid w:val="69EAEA22"/>
    <w:rsid w:val="6A03A31A"/>
    <w:rsid w:val="6A0517DB"/>
    <w:rsid w:val="6A16411E"/>
    <w:rsid w:val="6A1BC84B"/>
    <w:rsid w:val="6A1CC919"/>
    <w:rsid w:val="6A27B594"/>
    <w:rsid w:val="6A2A921F"/>
    <w:rsid w:val="6A38D04B"/>
    <w:rsid w:val="6A459F31"/>
    <w:rsid w:val="6A502F25"/>
    <w:rsid w:val="6A52F959"/>
    <w:rsid w:val="6A5A54E7"/>
    <w:rsid w:val="6A620456"/>
    <w:rsid w:val="6A62DD2D"/>
    <w:rsid w:val="6A6B58B3"/>
    <w:rsid w:val="6A6CDF54"/>
    <w:rsid w:val="6A96B18D"/>
    <w:rsid w:val="6A96DF0C"/>
    <w:rsid w:val="6A98F1A6"/>
    <w:rsid w:val="6A9E551A"/>
    <w:rsid w:val="6AAF99D0"/>
    <w:rsid w:val="6ABBE202"/>
    <w:rsid w:val="6AD09DA5"/>
    <w:rsid w:val="6AD3299D"/>
    <w:rsid w:val="6ADF93EA"/>
    <w:rsid w:val="6B20FD79"/>
    <w:rsid w:val="6B25FFAA"/>
    <w:rsid w:val="6B27AC8C"/>
    <w:rsid w:val="6B30D4D3"/>
    <w:rsid w:val="6B3648F8"/>
    <w:rsid w:val="6B416F42"/>
    <w:rsid w:val="6B71E344"/>
    <w:rsid w:val="6B7B973D"/>
    <w:rsid w:val="6B8D91DE"/>
    <w:rsid w:val="6B935AE0"/>
    <w:rsid w:val="6B9BE107"/>
    <w:rsid w:val="6BABA511"/>
    <w:rsid w:val="6BC9DEE9"/>
    <w:rsid w:val="6BCA11BA"/>
    <w:rsid w:val="6BDDFBCD"/>
    <w:rsid w:val="6BE28CA0"/>
    <w:rsid w:val="6C12F100"/>
    <w:rsid w:val="6C1AA6FD"/>
    <w:rsid w:val="6C1B346F"/>
    <w:rsid w:val="6C343F06"/>
    <w:rsid w:val="6C44D151"/>
    <w:rsid w:val="6C534340"/>
    <w:rsid w:val="6C62407B"/>
    <w:rsid w:val="6C71C941"/>
    <w:rsid w:val="6C84972F"/>
    <w:rsid w:val="6C8E0177"/>
    <w:rsid w:val="6C9122B9"/>
    <w:rsid w:val="6C9389D7"/>
    <w:rsid w:val="6CC693FB"/>
    <w:rsid w:val="6CCCBF95"/>
    <w:rsid w:val="6CCE2D44"/>
    <w:rsid w:val="6CE74522"/>
    <w:rsid w:val="6CE8CC85"/>
    <w:rsid w:val="6CF1A853"/>
    <w:rsid w:val="6CFF5926"/>
    <w:rsid w:val="6D0AABB7"/>
    <w:rsid w:val="6D0DD6D9"/>
    <w:rsid w:val="6D17DCA7"/>
    <w:rsid w:val="6D1ACE18"/>
    <w:rsid w:val="6D1D116D"/>
    <w:rsid w:val="6D1EAAD1"/>
    <w:rsid w:val="6D1F05F2"/>
    <w:rsid w:val="6D2687C8"/>
    <w:rsid w:val="6D4F5E02"/>
    <w:rsid w:val="6D57070A"/>
    <w:rsid w:val="6D5FB682"/>
    <w:rsid w:val="6D691FA8"/>
    <w:rsid w:val="6D6E316E"/>
    <w:rsid w:val="6D71FAB4"/>
    <w:rsid w:val="6D7CDF69"/>
    <w:rsid w:val="6D842CD6"/>
    <w:rsid w:val="6D857BF5"/>
    <w:rsid w:val="6DD409A7"/>
    <w:rsid w:val="6DD45B22"/>
    <w:rsid w:val="6DE0C611"/>
    <w:rsid w:val="6DEE9499"/>
    <w:rsid w:val="6DFA0B9B"/>
    <w:rsid w:val="6E1BBB31"/>
    <w:rsid w:val="6E1D3222"/>
    <w:rsid w:val="6E24E43E"/>
    <w:rsid w:val="6E2698F7"/>
    <w:rsid w:val="6E324EC0"/>
    <w:rsid w:val="6E3D4E9B"/>
    <w:rsid w:val="6E40AD76"/>
    <w:rsid w:val="6E469F82"/>
    <w:rsid w:val="6E5D7907"/>
    <w:rsid w:val="6E68502F"/>
    <w:rsid w:val="6E706A17"/>
    <w:rsid w:val="6E8A7C97"/>
    <w:rsid w:val="6E91D653"/>
    <w:rsid w:val="6E99C586"/>
    <w:rsid w:val="6EA9AAD1"/>
    <w:rsid w:val="6EB0DC68"/>
    <w:rsid w:val="6EBA7B32"/>
    <w:rsid w:val="6EBCF8A8"/>
    <w:rsid w:val="6EE8F2D0"/>
    <w:rsid w:val="6EFA36B5"/>
    <w:rsid w:val="6F02EA32"/>
    <w:rsid w:val="6F260F01"/>
    <w:rsid w:val="6F2E2677"/>
    <w:rsid w:val="6F82ABF1"/>
    <w:rsid w:val="6F91D1A1"/>
    <w:rsid w:val="6FAB9BC8"/>
    <w:rsid w:val="6FBDA828"/>
    <w:rsid w:val="6FC208F1"/>
    <w:rsid w:val="6FD45023"/>
    <w:rsid w:val="6FED3266"/>
    <w:rsid w:val="7000EDCF"/>
    <w:rsid w:val="70071ADA"/>
    <w:rsid w:val="7037DE6C"/>
    <w:rsid w:val="703A17F9"/>
    <w:rsid w:val="704308EA"/>
    <w:rsid w:val="70635776"/>
    <w:rsid w:val="70687FBE"/>
    <w:rsid w:val="706A939E"/>
    <w:rsid w:val="706AEB1D"/>
    <w:rsid w:val="707FE95C"/>
    <w:rsid w:val="708506D0"/>
    <w:rsid w:val="708B7DBD"/>
    <w:rsid w:val="70B46B36"/>
    <w:rsid w:val="70CA2F25"/>
    <w:rsid w:val="70F4A6EE"/>
    <w:rsid w:val="70F6C576"/>
    <w:rsid w:val="7107AEC3"/>
    <w:rsid w:val="71177C62"/>
    <w:rsid w:val="7117874D"/>
    <w:rsid w:val="711EE204"/>
    <w:rsid w:val="71231161"/>
    <w:rsid w:val="7133F60C"/>
    <w:rsid w:val="713E2FA5"/>
    <w:rsid w:val="714EC749"/>
    <w:rsid w:val="715FF8A7"/>
    <w:rsid w:val="71717A63"/>
    <w:rsid w:val="71739895"/>
    <w:rsid w:val="717CA2CC"/>
    <w:rsid w:val="7196694F"/>
    <w:rsid w:val="719B879A"/>
    <w:rsid w:val="71C2BCF2"/>
    <w:rsid w:val="71C47B53"/>
    <w:rsid w:val="71C49C16"/>
    <w:rsid w:val="71DD4D11"/>
    <w:rsid w:val="7208EE3C"/>
    <w:rsid w:val="721EE6A2"/>
    <w:rsid w:val="7251805E"/>
    <w:rsid w:val="728793C4"/>
    <w:rsid w:val="7296FACD"/>
    <w:rsid w:val="72A8D49F"/>
    <w:rsid w:val="72B91E17"/>
    <w:rsid w:val="72BBC4F9"/>
    <w:rsid w:val="72D3594B"/>
    <w:rsid w:val="730D4BE2"/>
    <w:rsid w:val="73125B31"/>
    <w:rsid w:val="73229F60"/>
    <w:rsid w:val="7360F7AF"/>
    <w:rsid w:val="7368A7A0"/>
    <w:rsid w:val="73A083F1"/>
    <w:rsid w:val="73A617B4"/>
    <w:rsid w:val="73BA1138"/>
    <w:rsid w:val="73C00789"/>
    <w:rsid w:val="73E1F9AF"/>
    <w:rsid w:val="73F1E421"/>
    <w:rsid w:val="73F28972"/>
    <w:rsid w:val="73FD3054"/>
    <w:rsid w:val="7404B7AA"/>
    <w:rsid w:val="740A8B1F"/>
    <w:rsid w:val="740EDA9D"/>
    <w:rsid w:val="7418E40A"/>
    <w:rsid w:val="741AE54D"/>
    <w:rsid w:val="742EDB2B"/>
    <w:rsid w:val="745BA75C"/>
    <w:rsid w:val="7483B062"/>
    <w:rsid w:val="74A44833"/>
    <w:rsid w:val="74A80915"/>
    <w:rsid w:val="74AAE76D"/>
    <w:rsid w:val="74C06F85"/>
    <w:rsid w:val="74C2F245"/>
    <w:rsid w:val="74CF0EDE"/>
    <w:rsid w:val="74E6E142"/>
    <w:rsid w:val="74E8A663"/>
    <w:rsid w:val="74EF3AF7"/>
    <w:rsid w:val="74FED7AC"/>
    <w:rsid w:val="75178A6B"/>
    <w:rsid w:val="7523C954"/>
    <w:rsid w:val="7533F6EC"/>
    <w:rsid w:val="753ACE93"/>
    <w:rsid w:val="7556245A"/>
    <w:rsid w:val="75680B56"/>
    <w:rsid w:val="756D4250"/>
    <w:rsid w:val="75B72F9A"/>
    <w:rsid w:val="75DB28D2"/>
    <w:rsid w:val="75E740ED"/>
    <w:rsid w:val="75FB35E8"/>
    <w:rsid w:val="7617855D"/>
    <w:rsid w:val="7621D734"/>
    <w:rsid w:val="7623459D"/>
    <w:rsid w:val="762C8A4D"/>
    <w:rsid w:val="764D07BE"/>
    <w:rsid w:val="765DC9AC"/>
    <w:rsid w:val="7663C7CA"/>
    <w:rsid w:val="76704BC9"/>
    <w:rsid w:val="7670FFA9"/>
    <w:rsid w:val="767F23C9"/>
    <w:rsid w:val="76924BED"/>
    <w:rsid w:val="76942F9E"/>
    <w:rsid w:val="76996482"/>
    <w:rsid w:val="76A7F8E4"/>
    <w:rsid w:val="76AC42AE"/>
    <w:rsid w:val="76D4FEC1"/>
    <w:rsid w:val="76D766BD"/>
    <w:rsid w:val="76ED3AE2"/>
    <w:rsid w:val="76EF63C8"/>
    <w:rsid w:val="76EFB29D"/>
    <w:rsid w:val="770181A2"/>
    <w:rsid w:val="771BC154"/>
    <w:rsid w:val="774CB288"/>
    <w:rsid w:val="774CB61D"/>
    <w:rsid w:val="7755F739"/>
    <w:rsid w:val="7761D528"/>
    <w:rsid w:val="77693D74"/>
    <w:rsid w:val="77772B50"/>
    <w:rsid w:val="77898958"/>
    <w:rsid w:val="77AA1825"/>
    <w:rsid w:val="77E7B72E"/>
    <w:rsid w:val="782CE0EE"/>
    <w:rsid w:val="7838E42C"/>
    <w:rsid w:val="783B6F4E"/>
    <w:rsid w:val="783E8AF8"/>
    <w:rsid w:val="78621D13"/>
    <w:rsid w:val="7863E92C"/>
    <w:rsid w:val="7872E3A8"/>
    <w:rsid w:val="7885E959"/>
    <w:rsid w:val="788657B6"/>
    <w:rsid w:val="78882448"/>
    <w:rsid w:val="7893AC28"/>
    <w:rsid w:val="78B9168E"/>
    <w:rsid w:val="78C3C3D2"/>
    <w:rsid w:val="78D0CB8E"/>
    <w:rsid w:val="78D80055"/>
    <w:rsid w:val="78EC7A27"/>
    <w:rsid w:val="78EF2C16"/>
    <w:rsid w:val="78F4E877"/>
    <w:rsid w:val="78FD93A5"/>
    <w:rsid w:val="790C5156"/>
    <w:rsid w:val="791B4607"/>
    <w:rsid w:val="791ED38E"/>
    <w:rsid w:val="7921611D"/>
    <w:rsid w:val="7931C18A"/>
    <w:rsid w:val="79404807"/>
    <w:rsid w:val="7942132D"/>
    <w:rsid w:val="794F7B34"/>
    <w:rsid w:val="795D59BC"/>
    <w:rsid w:val="795F65DA"/>
    <w:rsid w:val="7976A4A9"/>
    <w:rsid w:val="797D6D6E"/>
    <w:rsid w:val="7991C953"/>
    <w:rsid w:val="79C18E12"/>
    <w:rsid w:val="79D69227"/>
    <w:rsid w:val="79E56AAA"/>
    <w:rsid w:val="7A074FC7"/>
    <w:rsid w:val="7A395717"/>
    <w:rsid w:val="7A3B49A8"/>
    <w:rsid w:val="7A5303D4"/>
    <w:rsid w:val="7A5F4855"/>
    <w:rsid w:val="7AA68BB4"/>
    <w:rsid w:val="7ABD85B1"/>
    <w:rsid w:val="7AC4F845"/>
    <w:rsid w:val="7AD4D3D6"/>
    <w:rsid w:val="7ADB8427"/>
    <w:rsid w:val="7ADD33E0"/>
    <w:rsid w:val="7AE849A7"/>
    <w:rsid w:val="7AF9FCB3"/>
    <w:rsid w:val="7AFE4E46"/>
    <w:rsid w:val="7B1A2057"/>
    <w:rsid w:val="7B3D9D37"/>
    <w:rsid w:val="7B48B768"/>
    <w:rsid w:val="7B4D44EA"/>
    <w:rsid w:val="7B4FE4AF"/>
    <w:rsid w:val="7B5622C6"/>
    <w:rsid w:val="7B8B81C4"/>
    <w:rsid w:val="7B98BBCB"/>
    <w:rsid w:val="7B9F94B3"/>
    <w:rsid w:val="7BA3AEB8"/>
    <w:rsid w:val="7BB59E1E"/>
    <w:rsid w:val="7BEC128F"/>
    <w:rsid w:val="7BFA7AB9"/>
    <w:rsid w:val="7BFCB50D"/>
    <w:rsid w:val="7C2441F4"/>
    <w:rsid w:val="7C364EB3"/>
    <w:rsid w:val="7C38F658"/>
    <w:rsid w:val="7C759727"/>
    <w:rsid w:val="7CA77823"/>
    <w:rsid w:val="7CC55020"/>
    <w:rsid w:val="7CC5E4CE"/>
    <w:rsid w:val="7CD48BFD"/>
    <w:rsid w:val="7CE7A87A"/>
    <w:rsid w:val="7CED5A75"/>
    <w:rsid w:val="7CF59F7E"/>
    <w:rsid w:val="7CFEE546"/>
    <w:rsid w:val="7D102FF9"/>
    <w:rsid w:val="7D4B9CA6"/>
    <w:rsid w:val="7D7163C9"/>
    <w:rsid w:val="7D91AD25"/>
    <w:rsid w:val="7DBF0C6B"/>
    <w:rsid w:val="7DDEBCFD"/>
    <w:rsid w:val="7DDFCC01"/>
    <w:rsid w:val="7DEA3138"/>
    <w:rsid w:val="7E0E73CA"/>
    <w:rsid w:val="7E3E0326"/>
    <w:rsid w:val="7E5AC834"/>
    <w:rsid w:val="7E622CAA"/>
    <w:rsid w:val="7E69DB06"/>
    <w:rsid w:val="7E71286A"/>
    <w:rsid w:val="7E76BC2E"/>
    <w:rsid w:val="7EB0A9AE"/>
    <w:rsid w:val="7EB1A4A2"/>
    <w:rsid w:val="7EBC8100"/>
    <w:rsid w:val="7EC44B37"/>
    <w:rsid w:val="7ECC7ED4"/>
    <w:rsid w:val="7ED8E60C"/>
    <w:rsid w:val="7EE7E2BD"/>
    <w:rsid w:val="7F07F19D"/>
    <w:rsid w:val="7F29AAF3"/>
    <w:rsid w:val="7F33E817"/>
    <w:rsid w:val="7F672A80"/>
    <w:rsid w:val="7F89B06F"/>
    <w:rsid w:val="7FCF8AF4"/>
    <w:rsid w:val="7FEDD1C7"/>
    <w:rsid w:val="7FF12CBC"/>
    <w:rsid w:val="7FF27B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73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rticle-norm">
    <w:name w:val="title-article-norm"/>
    <w:basedOn w:val="Normal"/>
    <w:rsid w:val="00587167"/>
    <w:pPr>
      <w:spacing w:before="100" w:beforeAutospacing="1" w:after="100" w:afterAutospacing="1"/>
      <w:jc w:val="left"/>
    </w:pPr>
    <w:rPr>
      <w:rFonts w:eastAsia="Times New Roman"/>
      <w:szCs w:val="24"/>
      <w:lang w:eastAsia="en-IE"/>
    </w:rPr>
  </w:style>
  <w:style w:type="paragraph" w:customStyle="1" w:styleId="stitle-article-norm">
    <w:name w:val="stitle-article-norm"/>
    <w:basedOn w:val="Normal"/>
    <w:rsid w:val="00587167"/>
    <w:pPr>
      <w:spacing w:before="100" w:beforeAutospacing="1" w:after="100" w:afterAutospacing="1"/>
      <w:jc w:val="left"/>
    </w:pPr>
    <w:rPr>
      <w:rFonts w:eastAsia="Times New Roman"/>
      <w:szCs w:val="24"/>
      <w:lang w:eastAsia="en-IE"/>
    </w:rPr>
  </w:style>
  <w:style w:type="paragraph" w:customStyle="1" w:styleId="title-division-2">
    <w:name w:val="title-division-2"/>
    <w:basedOn w:val="Normal"/>
    <w:rsid w:val="00587167"/>
    <w:pPr>
      <w:spacing w:before="100" w:beforeAutospacing="1" w:after="100" w:afterAutospacing="1"/>
      <w:jc w:val="left"/>
    </w:pPr>
    <w:rPr>
      <w:rFonts w:eastAsia="Times New Roman"/>
      <w:szCs w:val="24"/>
      <w:lang w:eastAsia="en-IE"/>
    </w:rPr>
  </w:style>
  <w:style w:type="character" w:customStyle="1" w:styleId="boldface">
    <w:name w:val="boldface"/>
    <w:basedOn w:val="DefaultParagraphFont"/>
    <w:rsid w:val="00587167"/>
  </w:style>
  <w:style w:type="paragraph" w:styleId="Title">
    <w:name w:val="Title"/>
    <w:basedOn w:val="Normal"/>
    <w:next w:val="Normal"/>
    <w:link w:val="TitleChar"/>
    <w:uiPriority w:val="10"/>
    <w:qFormat/>
    <w:rsid w:val="005871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167"/>
    <w:rPr>
      <w:rFonts w:asciiTheme="majorHAnsi" w:eastAsiaTheme="majorEastAsia" w:hAnsiTheme="majorHAnsi" w:cstheme="majorBidi"/>
      <w:spacing w:val="-10"/>
      <w:kern w:val="28"/>
      <w:sz w:val="56"/>
      <w:szCs w:val="56"/>
      <w:lang w:val="fi-FI"/>
    </w:rPr>
  </w:style>
  <w:style w:type="paragraph" w:customStyle="1" w:styleId="title-division-1">
    <w:name w:val="title-division-1"/>
    <w:basedOn w:val="Normal"/>
    <w:rsid w:val="00587167"/>
    <w:pPr>
      <w:spacing w:before="100" w:beforeAutospacing="1" w:after="100" w:afterAutospacing="1"/>
      <w:jc w:val="left"/>
    </w:pPr>
    <w:rPr>
      <w:rFonts w:eastAsia="Times New Roman"/>
      <w:szCs w:val="24"/>
      <w:lang w:eastAsia="en-IE"/>
    </w:rPr>
  </w:style>
  <w:style w:type="character" w:customStyle="1" w:styleId="italics">
    <w:name w:val="italics"/>
    <w:basedOn w:val="DefaultParagraphFont"/>
    <w:rsid w:val="00587167"/>
  </w:style>
  <w:style w:type="paragraph" w:styleId="NormalWeb">
    <w:name w:val="Normal (Web)"/>
    <w:basedOn w:val="Normal"/>
    <w:uiPriority w:val="99"/>
    <w:unhideWhenUsed/>
    <w:rsid w:val="00587167"/>
    <w:pPr>
      <w:spacing w:before="100" w:beforeAutospacing="1" w:after="100" w:afterAutospacing="1"/>
      <w:jc w:val="left"/>
    </w:pPr>
    <w:rPr>
      <w:rFonts w:eastAsia="Times New Roman"/>
      <w:szCs w:val="24"/>
      <w:lang w:eastAsia="en-IE"/>
    </w:rPr>
  </w:style>
  <w:style w:type="character" w:customStyle="1" w:styleId="expanded">
    <w:name w:val="expanded"/>
    <w:basedOn w:val="DefaultParagraphFont"/>
    <w:rsid w:val="00587167"/>
  </w:style>
  <w:style w:type="character" w:customStyle="1" w:styleId="num">
    <w:name w:val="num"/>
    <w:basedOn w:val="DefaultParagraphFont"/>
    <w:rsid w:val="00587167"/>
  </w:style>
  <w:style w:type="character" w:styleId="Hyperlink">
    <w:name w:val="Hyperlink"/>
    <w:basedOn w:val="DefaultParagraphFont"/>
    <w:uiPriority w:val="99"/>
    <w:unhideWhenUsed/>
    <w:rsid w:val="00587167"/>
    <w:rPr>
      <w:color w:val="0000FF" w:themeColor="hyperlink"/>
      <w:u w:val="single"/>
    </w:rPr>
  </w:style>
  <w:style w:type="character" w:customStyle="1" w:styleId="UnresolvedMention1">
    <w:name w:val="Unresolved Mention1"/>
    <w:basedOn w:val="DefaultParagraphFont"/>
    <w:uiPriority w:val="99"/>
    <w:semiHidden/>
    <w:unhideWhenUsed/>
    <w:rsid w:val="00587167"/>
    <w:rPr>
      <w:color w:val="605E5C"/>
      <w:shd w:val="clear" w:color="auto" w:fill="E1DFDD"/>
    </w:rPr>
  </w:style>
  <w:style w:type="paragraph" w:styleId="ListBullet">
    <w:name w:val="List Bullet"/>
    <w:basedOn w:val="Normal"/>
    <w:unhideWhenUsed/>
    <w:rsid w:val="007B33BA"/>
    <w:pPr>
      <w:numPr>
        <w:numId w:val="1"/>
      </w:numPr>
      <w:contextualSpacing/>
    </w:pPr>
  </w:style>
  <w:style w:type="paragraph" w:styleId="ListBullet2">
    <w:name w:val="List Bullet 2"/>
    <w:basedOn w:val="Normal"/>
    <w:unhideWhenUsed/>
    <w:rsid w:val="007B33BA"/>
    <w:pPr>
      <w:numPr>
        <w:numId w:val="2"/>
      </w:numPr>
      <w:contextualSpacing/>
    </w:pPr>
  </w:style>
  <w:style w:type="paragraph" w:styleId="ListBullet3">
    <w:name w:val="List Bullet 3"/>
    <w:basedOn w:val="Normal"/>
    <w:unhideWhenUsed/>
    <w:rsid w:val="007B33BA"/>
    <w:pPr>
      <w:numPr>
        <w:numId w:val="3"/>
      </w:numPr>
      <w:contextualSpacing/>
    </w:pPr>
  </w:style>
  <w:style w:type="paragraph" w:styleId="ListBullet4">
    <w:name w:val="List Bullet 4"/>
    <w:basedOn w:val="Normal"/>
    <w:unhideWhenUsed/>
    <w:rsid w:val="007B33BA"/>
    <w:pPr>
      <w:numPr>
        <w:numId w:val="4"/>
      </w:numPr>
      <w:contextualSpacing/>
    </w:pPr>
  </w:style>
  <w:style w:type="paragraph" w:customStyle="1" w:styleId="norm">
    <w:name w:val="norm"/>
    <w:basedOn w:val="Normal"/>
    <w:rsid w:val="0055166F"/>
    <w:pPr>
      <w:spacing w:before="100" w:beforeAutospacing="1" w:after="100" w:afterAutospacing="1"/>
      <w:jc w:val="left"/>
    </w:pPr>
    <w:rPr>
      <w:rFonts w:eastAsia="Times New Roman"/>
      <w:szCs w:val="24"/>
      <w:lang w:eastAsia="en-IE"/>
    </w:rPr>
  </w:style>
  <w:style w:type="paragraph" w:customStyle="1" w:styleId="modref">
    <w:name w:val="modref"/>
    <w:basedOn w:val="Normal"/>
    <w:rsid w:val="0055166F"/>
    <w:pPr>
      <w:spacing w:before="100" w:beforeAutospacing="1" w:after="100" w:afterAutospacing="1"/>
      <w:jc w:val="left"/>
    </w:pPr>
    <w:rPr>
      <w:rFonts w:eastAsia="Times New Roman"/>
      <w:szCs w:val="24"/>
      <w:lang w:eastAsia="en-IE"/>
    </w:rPr>
  </w:style>
  <w:style w:type="character" w:styleId="CommentReference">
    <w:name w:val="annotation reference"/>
    <w:basedOn w:val="DefaultParagraphFont"/>
    <w:unhideWhenUsed/>
    <w:rsid w:val="009F55D8"/>
    <w:rPr>
      <w:sz w:val="16"/>
      <w:szCs w:val="16"/>
    </w:rPr>
  </w:style>
  <w:style w:type="paragraph" w:styleId="CommentText">
    <w:name w:val="annotation text"/>
    <w:basedOn w:val="Normal"/>
    <w:link w:val="CommentTextChar"/>
    <w:unhideWhenUsed/>
    <w:rsid w:val="009F55D8"/>
    <w:rPr>
      <w:sz w:val="20"/>
      <w:szCs w:val="20"/>
    </w:rPr>
  </w:style>
  <w:style w:type="character" w:customStyle="1" w:styleId="CommentTextChar">
    <w:name w:val="Comment Text Char"/>
    <w:basedOn w:val="DefaultParagraphFont"/>
    <w:link w:val="CommentText"/>
    <w:rsid w:val="009F55D8"/>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nhideWhenUsed/>
    <w:rsid w:val="009F55D8"/>
    <w:rPr>
      <w:b/>
      <w:bCs/>
    </w:rPr>
  </w:style>
  <w:style w:type="character" w:customStyle="1" w:styleId="CommentSubjectChar">
    <w:name w:val="Comment Subject Char"/>
    <w:basedOn w:val="CommentTextChar"/>
    <w:link w:val="CommentSubject"/>
    <w:rsid w:val="009F55D8"/>
    <w:rPr>
      <w:rFonts w:ascii="Times New Roman" w:hAnsi="Times New Roman" w:cs="Times New Roman"/>
      <w:b/>
      <w:bCs/>
      <w:sz w:val="20"/>
      <w:szCs w:val="20"/>
      <w:lang w:val="fi-FI"/>
    </w:rPr>
  </w:style>
  <w:style w:type="paragraph" w:styleId="BalloonText">
    <w:name w:val="Balloon Text"/>
    <w:basedOn w:val="Normal"/>
    <w:link w:val="BalloonTextChar"/>
    <w:unhideWhenUsed/>
    <w:rsid w:val="009F55D8"/>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9F55D8"/>
    <w:rPr>
      <w:rFonts w:ascii="Segoe UI" w:hAnsi="Segoe UI" w:cs="Segoe UI"/>
      <w:sz w:val="18"/>
      <w:szCs w:val="18"/>
      <w:lang w:val="fi-FI"/>
    </w:rPr>
  </w:style>
  <w:style w:type="paragraph" w:styleId="Revision">
    <w:name w:val="Revision"/>
    <w:hidden/>
    <w:uiPriority w:val="99"/>
    <w:semiHidden/>
    <w:rsid w:val="0002611C"/>
    <w:pPr>
      <w:spacing w:after="0" w:line="240" w:lineRule="auto"/>
    </w:pPr>
    <w:rPr>
      <w:rFonts w:ascii="Times New Roman" w:hAnsi="Times New Roman" w:cs="Times New Roman"/>
      <w:sz w:val="24"/>
    </w:rPr>
  </w:style>
  <w:style w:type="character" w:customStyle="1" w:styleId="no-parag">
    <w:name w:val="no-parag"/>
    <w:basedOn w:val="DefaultParagraphFont"/>
    <w:rsid w:val="00507666"/>
  </w:style>
  <w:style w:type="paragraph" w:styleId="ListParagraph">
    <w:name w:val="List Paragraph"/>
    <w:aliases w:val="Paragraphe EI,Paragraphe de liste1,EC,Paragraphe de liste,Dot pt,List Paragraph1,Colorful List - Accent 11,No Spacing1,List Paragraph Char Char Char,Indicator Text,Numbered Para 1,F5 List Paragraph,Bullet Points,List Paragraph2,3"/>
    <w:basedOn w:val="Normal"/>
    <w:link w:val="ListParagraphChar"/>
    <w:uiPriority w:val="34"/>
    <w:qFormat/>
    <w:rsid w:val="009E34D2"/>
    <w:pPr>
      <w:ind w:left="720"/>
      <w:contextualSpacing/>
    </w:pPr>
  </w:style>
  <w:style w:type="character" w:customStyle="1" w:styleId="ListParagraphChar">
    <w:name w:val="List Paragraph Char"/>
    <w:aliases w:val="Paragraphe EI Char,Paragraphe de liste1 Char,EC Char,Paragraphe de liste Char,Dot pt Char,List Paragraph1 Char,Colorful List - Accent 11 Char,No Spacing1 Char,List Paragraph Char Char Char Char,Indicator Text Char,Bullet Points Char"/>
    <w:link w:val="ListParagraph"/>
    <w:uiPriority w:val="34"/>
    <w:qFormat/>
    <w:locked/>
    <w:rsid w:val="00F50404"/>
    <w:rPr>
      <w:rFonts w:ascii="Times New Roman" w:hAnsi="Times New Roman" w:cs="Times New Roman"/>
      <w:sz w:val="24"/>
      <w:lang w:val="fi-FI"/>
    </w:rPr>
  </w:style>
  <w:style w:type="paragraph" w:styleId="BodyText">
    <w:name w:val="Body Text"/>
    <w:basedOn w:val="Normal"/>
    <w:link w:val="BodyTextChar"/>
    <w:uiPriority w:val="1"/>
    <w:qFormat/>
    <w:rsid w:val="00A85990"/>
    <w:pPr>
      <w:widowControl w:val="0"/>
      <w:autoSpaceDE w:val="0"/>
      <w:autoSpaceDN w:val="0"/>
      <w:spacing w:before="0" w:after="0"/>
      <w:jc w:val="left"/>
    </w:pPr>
    <w:rPr>
      <w:rFonts w:eastAsia="Times New Roman"/>
      <w:sz w:val="19"/>
      <w:szCs w:val="19"/>
    </w:rPr>
  </w:style>
  <w:style w:type="character" w:customStyle="1" w:styleId="BodyTextChar">
    <w:name w:val="Body Text Char"/>
    <w:basedOn w:val="DefaultParagraphFont"/>
    <w:link w:val="BodyText"/>
    <w:uiPriority w:val="1"/>
    <w:rsid w:val="00A85990"/>
    <w:rPr>
      <w:rFonts w:ascii="Times New Roman" w:eastAsia="Times New Roman" w:hAnsi="Times New Roman" w:cs="Times New Roman"/>
      <w:sz w:val="19"/>
      <w:szCs w:val="19"/>
    </w:rPr>
  </w:style>
  <w:style w:type="character" w:customStyle="1" w:styleId="UnresolvedMention120">
    <w:name w:val="Unresolved Mention120"/>
    <w:basedOn w:val="DefaultParagraphFont"/>
    <w:uiPriority w:val="99"/>
    <w:semiHidden/>
    <w:unhideWhenUsed/>
    <w:rsid w:val="001F481F"/>
    <w:rPr>
      <w:color w:val="605E5C"/>
      <w:shd w:val="clear" w:color="auto" w:fill="E1DFDD"/>
    </w:rPr>
  </w:style>
  <w:style w:type="paragraph" w:customStyle="1" w:styleId="Proportionality">
    <w:name w:val="Proportionality"/>
    <w:basedOn w:val="ListBullet"/>
    <w:rsid w:val="008E6C77"/>
    <w:pPr>
      <w:numPr>
        <w:numId w:val="0"/>
      </w:numPr>
      <w:spacing w:before="0" w:after="240"/>
      <w:contextualSpacing w:val="0"/>
    </w:pPr>
    <w:rPr>
      <w:rFonts w:eastAsia="Times New Roman"/>
      <w:szCs w:val="20"/>
    </w:rPr>
  </w:style>
  <w:style w:type="paragraph" w:styleId="ListNumber">
    <w:name w:val="List Number"/>
    <w:basedOn w:val="Normal"/>
    <w:qFormat/>
    <w:rsid w:val="00394922"/>
    <w:pPr>
      <w:tabs>
        <w:tab w:val="num" w:pos="360"/>
      </w:tabs>
      <w:spacing w:before="0" w:line="259" w:lineRule="auto"/>
      <w:ind w:left="360" w:hanging="360"/>
      <w:jc w:val="left"/>
    </w:pPr>
    <w:rPr>
      <w:rFonts w:asciiTheme="minorHAnsi" w:hAnsiTheme="minorHAnsi" w:cstheme="minorBidi"/>
      <w:color w:val="595959" w:themeColor="text1" w:themeTint="A6"/>
      <w:sz w:val="30"/>
      <w:szCs w:val="30"/>
    </w:rPr>
  </w:style>
  <w:style w:type="paragraph" w:customStyle="1" w:styleId="paragraph">
    <w:name w:val="paragraph"/>
    <w:basedOn w:val="Normal"/>
    <w:rsid w:val="00980952"/>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980952"/>
  </w:style>
  <w:style w:type="character" w:customStyle="1" w:styleId="eop">
    <w:name w:val="eop"/>
    <w:basedOn w:val="DefaultParagraphFont"/>
    <w:rsid w:val="00980952"/>
  </w:style>
  <w:style w:type="paragraph" w:customStyle="1" w:styleId="title-annex-1">
    <w:name w:val="title-annex-1"/>
    <w:basedOn w:val="Normal"/>
    <w:rsid w:val="003162D3"/>
    <w:pPr>
      <w:spacing w:before="100" w:beforeAutospacing="1" w:after="100" w:afterAutospacing="1"/>
      <w:jc w:val="left"/>
    </w:pPr>
    <w:rPr>
      <w:rFonts w:eastAsia="Times New Roman"/>
      <w:szCs w:val="24"/>
      <w:lang w:eastAsia="en-IE"/>
    </w:rPr>
  </w:style>
  <w:style w:type="paragraph" w:customStyle="1" w:styleId="title-gr-seq-level-1">
    <w:name w:val="title-gr-seq-level-1"/>
    <w:basedOn w:val="Normal"/>
    <w:rsid w:val="003162D3"/>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rsid w:val="007C28A8"/>
  </w:style>
  <w:style w:type="character" w:customStyle="1" w:styleId="None">
    <w:name w:val="None"/>
    <w:rsid w:val="00CC31FB"/>
  </w:style>
  <w:style w:type="character" w:customStyle="1" w:styleId="UnresolvedMention2">
    <w:name w:val="Unresolved Mention2"/>
    <w:basedOn w:val="DefaultParagraphFont"/>
    <w:uiPriority w:val="99"/>
    <w:semiHidden/>
    <w:unhideWhenUsed/>
    <w:rsid w:val="00CC5DA3"/>
    <w:rPr>
      <w:color w:val="605E5C"/>
      <w:shd w:val="clear" w:color="auto" w:fill="E1DFDD"/>
    </w:rPr>
  </w:style>
  <w:style w:type="paragraph" w:customStyle="1" w:styleId="li">
    <w:name w:val="li"/>
    <w:basedOn w:val="Normal"/>
    <w:rsid w:val="00220356"/>
    <w:pPr>
      <w:spacing w:before="100" w:beforeAutospacing="1" w:after="100" w:afterAutospacing="1"/>
      <w:jc w:val="left"/>
    </w:pPr>
    <w:rPr>
      <w:rFonts w:eastAsia="Times New Roman"/>
      <w:szCs w:val="24"/>
      <w:lang w:eastAsia="en-IE"/>
    </w:rPr>
  </w:style>
  <w:style w:type="character" w:customStyle="1" w:styleId="footnotereference">
    <w:name w:val="footnotereference"/>
    <w:basedOn w:val="DefaultParagraphFont"/>
    <w:rsid w:val="00220356"/>
  </w:style>
  <w:style w:type="character" w:customStyle="1" w:styleId="ui-provider">
    <w:name w:val="ui-provider"/>
    <w:basedOn w:val="DefaultParagraphFont"/>
    <w:rsid w:val="00114E4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annex-2">
    <w:name w:val="title-annex-2"/>
    <w:basedOn w:val="Normal"/>
    <w:rsid w:val="00A33A7C"/>
    <w:pPr>
      <w:spacing w:before="100" w:beforeAutospacing="1" w:after="100" w:afterAutospacing="1"/>
      <w:jc w:val="left"/>
    </w:pPr>
    <w:rPr>
      <w:rFonts w:eastAsia="Times New Roman"/>
      <w:szCs w:val="24"/>
      <w:lang w:eastAsia="en-IE"/>
    </w:rPr>
  </w:style>
  <w:style w:type="character" w:customStyle="1" w:styleId="UnresolvedMention3">
    <w:name w:val="Unresolved Mention3"/>
    <w:basedOn w:val="DefaultParagraphFont"/>
    <w:uiPriority w:val="99"/>
    <w:semiHidden/>
    <w:unhideWhenUsed/>
    <w:rsid w:val="009C34F8"/>
    <w:rPr>
      <w:color w:val="605E5C"/>
      <w:shd w:val="clear" w:color="auto" w:fill="E1DFDD"/>
    </w:rPr>
  </w:style>
  <w:style w:type="paragraph" w:customStyle="1" w:styleId="Subpara">
    <w:name w:val="Subpara"/>
    <w:basedOn w:val="Normal"/>
    <w:rsid w:val="00782A3A"/>
  </w:style>
  <w:style w:type="character" w:customStyle="1" w:styleId="filetitle">
    <w:name w:val="file__title"/>
    <w:basedOn w:val="DefaultParagraphFont"/>
    <w:rsid w:val="00FA1843"/>
  </w:style>
  <w:style w:type="paragraph" w:customStyle="1" w:styleId="ListBullet1">
    <w:name w:val="List Bullet 1"/>
    <w:basedOn w:val="Normal"/>
    <w:rsid w:val="009F50E4"/>
    <w:pPr>
      <w:numPr>
        <w:numId w:val="12"/>
      </w:numPr>
      <w:tabs>
        <w:tab w:val="clear" w:pos="709"/>
        <w:tab w:val="num" w:pos="1134"/>
      </w:tabs>
      <w:ind w:left="1134" w:hanging="283"/>
    </w:pPr>
    <w:rPr>
      <w:rFonts w:eastAsia="Times New Roman"/>
      <w:lang w:eastAsia="de-DE"/>
    </w:rPr>
  </w:style>
  <w:style w:type="paragraph" w:customStyle="1" w:styleId="ListDash">
    <w:name w:val="List Dash"/>
    <w:basedOn w:val="Normal"/>
    <w:rsid w:val="009F50E4"/>
    <w:pPr>
      <w:numPr>
        <w:numId w:val="8"/>
      </w:numPr>
    </w:pPr>
    <w:rPr>
      <w:rFonts w:eastAsia="Times New Roman"/>
      <w:lang w:eastAsia="de-DE"/>
    </w:rPr>
  </w:style>
  <w:style w:type="paragraph" w:customStyle="1" w:styleId="ListDash1">
    <w:name w:val="List Dash 1"/>
    <w:basedOn w:val="Normal"/>
    <w:rsid w:val="009F50E4"/>
    <w:pPr>
      <w:numPr>
        <w:numId w:val="9"/>
      </w:numPr>
      <w:tabs>
        <w:tab w:val="clear" w:pos="283"/>
        <w:tab w:val="num" w:pos="1134"/>
      </w:tabs>
      <w:ind w:left="1134"/>
    </w:pPr>
    <w:rPr>
      <w:rFonts w:eastAsia="Times New Roman"/>
      <w:lang w:eastAsia="de-DE"/>
    </w:rPr>
  </w:style>
  <w:style w:type="paragraph" w:customStyle="1" w:styleId="ListDash2">
    <w:name w:val="List Dash 2"/>
    <w:basedOn w:val="Normal"/>
    <w:rsid w:val="009F50E4"/>
    <w:pPr>
      <w:numPr>
        <w:numId w:val="10"/>
      </w:numPr>
    </w:pPr>
    <w:rPr>
      <w:rFonts w:eastAsia="Times New Roman"/>
      <w:lang w:eastAsia="de-DE"/>
    </w:rPr>
  </w:style>
  <w:style w:type="paragraph" w:customStyle="1" w:styleId="ListNumberLevel2">
    <w:name w:val="List Number (Level 2)"/>
    <w:basedOn w:val="Normal"/>
    <w:rsid w:val="009F50E4"/>
    <w:pPr>
      <w:numPr>
        <w:numId w:val="11"/>
      </w:numPr>
      <w:tabs>
        <w:tab w:val="clear" w:pos="1134"/>
        <w:tab w:val="num" w:pos="1417"/>
      </w:tabs>
      <w:ind w:left="1417" w:hanging="708"/>
    </w:pPr>
    <w:rPr>
      <w:rFonts w:eastAsia="Times New Roman"/>
      <w:lang w:eastAsia="de-DE"/>
    </w:rPr>
  </w:style>
  <w:style w:type="paragraph" w:customStyle="1" w:styleId="ListNumberLevel3">
    <w:name w:val="List Number (Level 3)"/>
    <w:basedOn w:val="Normal"/>
    <w:rsid w:val="009F50E4"/>
    <w:pPr>
      <w:numPr>
        <w:ilvl w:val="1"/>
        <w:numId w:val="12"/>
      </w:numPr>
      <w:tabs>
        <w:tab w:val="clear" w:pos="1417"/>
        <w:tab w:val="num" w:pos="2126"/>
      </w:tabs>
      <w:ind w:left="2126" w:hanging="709"/>
    </w:pPr>
    <w:rPr>
      <w:rFonts w:eastAsia="Times New Roman"/>
      <w:lang w:eastAsia="de-DE"/>
    </w:rPr>
  </w:style>
  <w:style w:type="paragraph" w:customStyle="1" w:styleId="ListNumberLevel4">
    <w:name w:val="List Number (Level 4)"/>
    <w:basedOn w:val="Normal"/>
    <w:rsid w:val="009F50E4"/>
    <w:pPr>
      <w:numPr>
        <w:ilvl w:val="2"/>
        <w:numId w:val="12"/>
      </w:numPr>
      <w:tabs>
        <w:tab w:val="clear" w:pos="2126"/>
        <w:tab w:val="num" w:pos="2835"/>
      </w:tabs>
      <w:ind w:left="2835"/>
    </w:pPr>
    <w:rPr>
      <w:rFonts w:eastAsia="Times New Roman"/>
      <w:lang w:eastAsia="de-DE"/>
    </w:rPr>
  </w:style>
  <w:style w:type="table" w:customStyle="1" w:styleId="TableGrid1">
    <w:name w:val="Table Grid1"/>
    <w:basedOn w:val="TableNormal"/>
    <w:next w:val="TableGrid"/>
    <w:rsid w:val="009F50E4"/>
    <w:pPr>
      <w:numPr>
        <w:ilvl w:val="3"/>
        <w:numId w:val="40"/>
      </w:numPr>
      <w:tabs>
        <w:tab w:val="num" w:pos="850"/>
        <w:tab w:val="num" w:pos="1984"/>
      </w:tabs>
      <w:spacing w:before="120" w:after="120" w:line="240" w:lineRule="auto"/>
      <w:ind w:left="1984" w:hanging="850"/>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9F50E4"/>
    <w:pPr>
      <w:numPr>
        <w:numId w:val="16"/>
      </w:numPr>
    </w:pPr>
    <w:rPr>
      <w:rFonts w:eastAsia="Times New Roman"/>
      <w:lang w:eastAsia="en-GB"/>
    </w:rPr>
  </w:style>
  <w:style w:type="paragraph" w:styleId="ListNumber3">
    <w:name w:val="List Number 3"/>
    <w:basedOn w:val="Normal"/>
    <w:rsid w:val="009F50E4"/>
    <w:pPr>
      <w:numPr>
        <w:numId w:val="17"/>
      </w:numPr>
    </w:pPr>
    <w:rPr>
      <w:rFonts w:eastAsia="Times New Roman"/>
      <w:lang w:eastAsia="en-GB"/>
    </w:rPr>
  </w:style>
  <w:style w:type="paragraph" w:styleId="ListNumber4">
    <w:name w:val="List Number 4"/>
    <w:basedOn w:val="Normal"/>
    <w:rsid w:val="009F50E4"/>
    <w:pPr>
      <w:numPr>
        <w:numId w:val="18"/>
      </w:numPr>
    </w:pPr>
    <w:rPr>
      <w:rFonts w:eastAsia="Times New Roman"/>
      <w:lang w:eastAsia="en-GB"/>
    </w:rPr>
  </w:style>
  <w:style w:type="paragraph" w:customStyle="1" w:styleId="ListDash3">
    <w:name w:val="List Dash 3"/>
    <w:basedOn w:val="Normal"/>
    <w:rsid w:val="009F50E4"/>
    <w:pPr>
      <w:numPr>
        <w:numId w:val="13"/>
      </w:numPr>
    </w:pPr>
    <w:rPr>
      <w:rFonts w:eastAsia="Times New Roman"/>
      <w:lang w:eastAsia="en-GB"/>
    </w:rPr>
  </w:style>
  <w:style w:type="paragraph" w:customStyle="1" w:styleId="ListDash4">
    <w:name w:val="List Dash 4"/>
    <w:basedOn w:val="Normal"/>
    <w:rsid w:val="009F50E4"/>
    <w:pPr>
      <w:numPr>
        <w:numId w:val="14"/>
      </w:numPr>
    </w:pPr>
    <w:rPr>
      <w:rFonts w:eastAsia="Times New Roman"/>
      <w:lang w:eastAsia="en-GB"/>
    </w:rPr>
  </w:style>
  <w:style w:type="paragraph" w:customStyle="1" w:styleId="ListNumber1">
    <w:name w:val="List Number 1"/>
    <w:basedOn w:val="Text1"/>
    <w:rsid w:val="009F50E4"/>
    <w:pPr>
      <w:numPr>
        <w:numId w:val="15"/>
      </w:numPr>
    </w:pPr>
    <w:rPr>
      <w:rFonts w:eastAsia="Times New Roman"/>
      <w:lang w:eastAsia="en-GB"/>
    </w:rPr>
  </w:style>
  <w:style w:type="paragraph" w:customStyle="1" w:styleId="ListNumber1Level2">
    <w:name w:val="List Number 1 (Level 2)"/>
    <w:basedOn w:val="Text1"/>
    <w:rsid w:val="009F50E4"/>
    <w:pPr>
      <w:numPr>
        <w:ilvl w:val="1"/>
        <w:numId w:val="15"/>
      </w:numPr>
    </w:pPr>
    <w:rPr>
      <w:rFonts w:eastAsia="Times New Roman"/>
      <w:lang w:eastAsia="en-GB"/>
    </w:rPr>
  </w:style>
  <w:style w:type="paragraph" w:customStyle="1" w:styleId="ListNumber2Level2">
    <w:name w:val="List Number 2 (Level 2)"/>
    <w:basedOn w:val="Text2"/>
    <w:rsid w:val="009F50E4"/>
    <w:pPr>
      <w:numPr>
        <w:ilvl w:val="1"/>
        <w:numId w:val="16"/>
      </w:numPr>
    </w:pPr>
    <w:rPr>
      <w:rFonts w:eastAsia="Times New Roman"/>
      <w:lang w:eastAsia="en-GB"/>
    </w:rPr>
  </w:style>
  <w:style w:type="paragraph" w:customStyle="1" w:styleId="ListNumber3Level2">
    <w:name w:val="List Number 3 (Level 2)"/>
    <w:basedOn w:val="Text3"/>
    <w:rsid w:val="009F50E4"/>
    <w:pPr>
      <w:numPr>
        <w:ilvl w:val="1"/>
        <w:numId w:val="17"/>
      </w:numPr>
    </w:pPr>
    <w:rPr>
      <w:rFonts w:eastAsia="Times New Roman"/>
      <w:lang w:eastAsia="en-GB"/>
    </w:rPr>
  </w:style>
  <w:style w:type="paragraph" w:customStyle="1" w:styleId="ListNumber4Level2">
    <w:name w:val="List Number 4 (Level 2)"/>
    <w:basedOn w:val="Text4"/>
    <w:rsid w:val="009F50E4"/>
    <w:pPr>
      <w:numPr>
        <w:ilvl w:val="1"/>
        <w:numId w:val="18"/>
      </w:numPr>
    </w:pPr>
    <w:rPr>
      <w:rFonts w:eastAsia="Times New Roman"/>
      <w:lang w:eastAsia="en-GB"/>
    </w:rPr>
  </w:style>
  <w:style w:type="paragraph" w:customStyle="1" w:styleId="ListNumber1Level3">
    <w:name w:val="List Number 1 (Level 3)"/>
    <w:basedOn w:val="Text1"/>
    <w:rsid w:val="009F50E4"/>
    <w:pPr>
      <w:numPr>
        <w:ilvl w:val="2"/>
        <w:numId w:val="15"/>
      </w:numPr>
    </w:pPr>
    <w:rPr>
      <w:rFonts w:eastAsia="Times New Roman"/>
      <w:lang w:eastAsia="en-GB"/>
    </w:rPr>
  </w:style>
  <w:style w:type="paragraph" w:customStyle="1" w:styleId="ListNumber2Level3">
    <w:name w:val="List Number 2 (Level 3)"/>
    <w:basedOn w:val="Text2"/>
    <w:rsid w:val="009F50E4"/>
    <w:pPr>
      <w:numPr>
        <w:ilvl w:val="2"/>
        <w:numId w:val="16"/>
      </w:numPr>
    </w:pPr>
    <w:rPr>
      <w:rFonts w:eastAsia="Times New Roman"/>
      <w:lang w:eastAsia="en-GB"/>
    </w:rPr>
  </w:style>
  <w:style w:type="paragraph" w:customStyle="1" w:styleId="ListNumber3Level3">
    <w:name w:val="List Number 3 (Level 3)"/>
    <w:basedOn w:val="Text3"/>
    <w:rsid w:val="009F50E4"/>
    <w:pPr>
      <w:numPr>
        <w:ilvl w:val="2"/>
        <w:numId w:val="17"/>
      </w:numPr>
    </w:pPr>
    <w:rPr>
      <w:rFonts w:eastAsia="Times New Roman"/>
      <w:lang w:eastAsia="en-GB"/>
    </w:rPr>
  </w:style>
  <w:style w:type="paragraph" w:customStyle="1" w:styleId="ListNumber4Level3">
    <w:name w:val="List Number 4 (Level 3)"/>
    <w:basedOn w:val="Text4"/>
    <w:rsid w:val="009F50E4"/>
    <w:pPr>
      <w:numPr>
        <w:ilvl w:val="2"/>
        <w:numId w:val="18"/>
      </w:numPr>
    </w:pPr>
    <w:rPr>
      <w:rFonts w:eastAsia="Times New Roman"/>
      <w:lang w:eastAsia="en-GB"/>
    </w:rPr>
  </w:style>
  <w:style w:type="paragraph" w:customStyle="1" w:styleId="ListNumber1Level4">
    <w:name w:val="List Number 1 (Level 4)"/>
    <w:basedOn w:val="Text1"/>
    <w:rsid w:val="009F50E4"/>
    <w:pPr>
      <w:numPr>
        <w:ilvl w:val="3"/>
        <w:numId w:val="15"/>
      </w:numPr>
    </w:pPr>
    <w:rPr>
      <w:rFonts w:eastAsia="Times New Roman"/>
      <w:lang w:eastAsia="en-GB"/>
    </w:rPr>
  </w:style>
  <w:style w:type="paragraph" w:customStyle="1" w:styleId="ListNumber2Level4">
    <w:name w:val="List Number 2 (Level 4)"/>
    <w:basedOn w:val="Text2"/>
    <w:rsid w:val="009F50E4"/>
    <w:pPr>
      <w:numPr>
        <w:ilvl w:val="3"/>
        <w:numId w:val="16"/>
      </w:numPr>
    </w:pPr>
    <w:rPr>
      <w:rFonts w:eastAsia="Times New Roman"/>
      <w:lang w:eastAsia="en-GB"/>
    </w:rPr>
  </w:style>
  <w:style w:type="paragraph" w:customStyle="1" w:styleId="ListNumber3Level4">
    <w:name w:val="List Number 3 (Level 4)"/>
    <w:basedOn w:val="Text3"/>
    <w:rsid w:val="009F50E4"/>
    <w:pPr>
      <w:numPr>
        <w:ilvl w:val="3"/>
        <w:numId w:val="17"/>
      </w:numPr>
    </w:pPr>
    <w:rPr>
      <w:rFonts w:eastAsia="Times New Roman"/>
      <w:lang w:eastAsia="en-GB"/>
    </w:rPr>
  </w:style>
  <w:style w:type="paragraph" w:customStyle="1" w:styleId="ListNumber4Level4">
    <w:name w:val="List Number 4 (Level 4)"/>
    <w:basedOn w:val="Text4"/>
    <w:rsid w:val="009F50E4"/>
    <w:pPr>
      <w:numPr>
        <w:ilvl w:val="3"/>
        <w:numId w:val="18"/>
      </w:numPr>
    </w:pPr>
    <w:rPr>
      <w:rFonts w:eastAsia="Times New Roman"/>
      <w:lang w:eastAsia="en-GB"/>
    </w:rPr>
  </w:style>
  <w:style w:type="paragraph" w:customStyle="1" w:styleId="Annexetitreacte">
    <w:name w:val="Annexe titre (acte)"/>
    <w:basedOn w:val="Normal"/>
    <w:next w:val="Normal"/>
    <w:rsid w:val="009F50E4"/>
    <w:pPr>
      <w:jc w:val="center"/>
    </w:pPr>
    <w:rPr>
      <w:rFonts w:eastAsia="Times New Roman"/>
      <w:b/>
      <w:u w:val="single"/>
      <w:lang w:eastAsia="en-GB"/>
    </w:rPr>
  </w:style>
  <w:style w:type="paragraph" w:customStyle="1" w:styleId="Annexetitreexposglobal">
    <w:name w:val="Annexe titre (exposé global)"/>
    <w:basedOn w:val="Normal"/>
    <w:next w:val="Normal"/>
    <w:rsid w:val="009F50E4"/>
    <w:pPr>
      <w:jc w:val="center"/>
    </w:pPr>
    <w:rPr>
      <w:rFonts w:eastAsia="Times New Roman"/>
      <w:b/>
      <w:u w:val="single"/>
      <w:lang w:eastAsia="en-GB"/>
    </w:rPr>
  </w:style>
  <w:style w:type="paragraph" w:customStyle="1" w:styleId="Annexetitrefichefinacte">
    <w:name w:val="Annexe titre (fiche fin. acte)"/>
    <w:basedOn w:val="Normal"/>
    <w:next w:val="Normal"/>
    <w:rsid w:val="009F50E4"/>
    <w:pPr>
      <w:jc w:val="center"/>
    </w:pPr>
    <w:rPr>
      <w:rFonts w:eastAsia="Times New Roman"/>
      <w:b/>
      <w:u w:val="single"/>
      <w:lang w:eastAsia="en-GB"/>
    </w:rPr>
  </w:style>
  <w:style w:type="paragraph" w:customStyle="1" w:styleId="Annexetitrefichefinglobale">
    <w:name w:val="Annexe titre (fiche fin. globale)"/>
    <w:basedOn w:val="Normal"/>
    <w:next w:val="Normal"/>
    <w:rsid w:val="009F50E4"/>
    <w:pPr>
      <w:jc w:val="center"/>
    </w:pPr>
    <w:rPr>
      <w:rFonts w:eastAsia="Times New Roman"/>
      <w:b/>
      <w:u w:val="single"/>
      <w:lang w:eastAsia="en-GB"/>
    </w:rPr>
  </w:style>
  <w:style w:type="paragraph" w:customStyle="1" w:styleId="Annexetitreglobale">
    <w:name w:val="Annexe titre (globale)"/>
    <w:basedOn w:val="Normal"/>
    <w:next w:val="Normal"/>
    <w:rsid w:val="009F50E4"/>
    <w:pPr>
      <w:jc w:val="center"/>
    </w:pPr>
    <w:rPr>
      <w:rFonts w:eastAsia="Times New Roman"/>
      <w:b/>
      <w:u w:val="single"/>
      <w:lang w:eastAsia="en-GB"/>
    </w:rPr>
  </w:style>
  <w:style w:type="paragraph" w:customStyle="1" w:styleId="Exposdesmotifstitreglobal">
    <w:name w:val="Exposé des motifs titre (global)"/>
    <w:basedOn w:val="Normal"/>
    <w:next w:val="Normal"/>
    <w:rsid w:val="009F50E4"/>
    <w:pPr>
      <w:jc w:val="center"/>
    </w:pPr>
    <w:rPr>
      <w:rFonts w:eastAsia="Times New Roman"/>
      <w:b/>
      <w:u w:val="single"/>
      <w:lang w:eastAsia="en-GB"/>
    </w:rPr>
  </w:style>
  <w:style w:type="paragraph" w:customStyle="1" w:styleId="Langueoriginale">
    <w:name w:val="Langue originale"/>
    <w:basedOn w:val="Normal"/>
    <w:rsid w:val="009F50E4"/>
    <w:pPr>
      <w:spacing w:before="360"/>
      <w:jc w:val="center"/>
    </w:pPr>
    <w:rPr>
      <w:rFonts w:eastAsia="Times New Roman"/>
      <w:caps/>
      <w:lang w:eastAsia="en-GB"/>
    </w:rPr>
  </w:style>
  <w:style w:type="paragraph" w:customStyle="1" w:styleId="Phrasefinale">
    <w:name w:val="Phrase finale"/>
    <w:basedOn w:val="Normal"/>
    <w:next w:val="Normal"/>
    <w:rsid w:val="009F50E4"/>
    <w:pPr>
      <w:spacing w:before="360" w:after="0"/>
      <w:jc w:val="center"/>
    </w:pPr>
    <w:rPr>
      <w:rFonts w:eastAsia="Times New Roman"/>
      <w:lang w:eastAsia="en-GB"/>
    </w:rPr>
  </w:style>
  <w:style w:type="paragraph" w:customStyle="1" w:styleId="Prliminairetitre">
    <w:name w:val="Préliminaire titre"/>
    <w:basedOn w:val="Normal"/>
    <w:next w:val="Normal"/>
    <w:rsid w:val="009F50E4"/>
    <w:pPr>
      <w:spacing w:before="360" w:after="360"/>
      <w:jc w:val="center"/>
    </w:pPr>
    <w:rPr>
      <w:rFonts w:eastAsia="Times New Roman"/>
      <w:b/>
      <w:lang w:eastAsia="en-GB"/>
    </w:rPr>
  </w:style>
  <w:style w:type="paragraph" w:customStyle="1" w:styleId="Prliminairetype">
    <w:name w:val="Préliminaire type"/>
    <w:basedOn w:val="Normal"/>
    <w:next w:val="Normal"/>
    <w:rsid w:val="009F50E4"/>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9F50E4"/>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9F50E4"/>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9F50E4"/>
    <w:pPr>
      <w:spacing w:before="0" w:after="0"/>
      <w:ind w:left="5103"/>
      <w:jc w:val="left"/>
    </w:pPr>
    <w:rPr>
      <w:rFonts w:eastAsia="Times New Roman"/>
      <w:lang w:eastAsia="en-GB"/>
    </w:rPr>
  </w:style>
  <w:style w:type="paragraph" w:customStyle="1" w:styleId="Sous-titreobjetprliminaire">
    <w:name w:val="Sous-titre objet (préliminaire)"/>
    <w:basedOn w:val="Normal"/>
    <w:rsid w:val="009F50E4"/>
    <w:pPr>
      <w:spacing w:before="0" w:after="0"/>
      <w:jc w:val="center"/>
    </w:pPr>
    <w:rPr>
      <w:rFonts w:eastAsia="Times New Roman"/>
      <w:b/>
      <w:lang w:eastAsia="en-GB"/>
    </w:rPr>
  </w:style>
  <w:style w:type="paragraph" w:customStyle="1" w:styleId="Statutprliminaire">
    <w:name w:val="Statut (préliminaire)"/>
    <w:basedOn w:val="Normal"/>
    <w:next w:val="Normal"/>
    <w:rsid w:val="009F50E4"/>
    <w:pPr>
      <w:spacing w:before="360" w:after="0"/>
      <w:jc w:val="center"/>
    </w:pPr>
    <w:rPr>
      <w:rFonts w:eastAsia="Times New Roman"/>
      <w:lang w:eastAsia="en-GB"/>
    </w:rPr>
  </w:style>
  <w:style w:type="paragraph" w:customStyle="1" w:styleId="Titreobjetprliminaire">
    <w:name w:val="Titre objet (préliminaire)"/>
    <w:basedOn w:val="Normal"/>
    <w:next w:val="Normal"/>
    <w:rsid w:val="009F50E4"/>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9F50E4"/>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9F50E4"/>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9F50E4"/>
    <w:pPr>
      <w:jc w:val="center"/>
    </w:pPr>
    <w:rPr>
      <w:rFonts w:eastAsia="Times New Roman"/>
      <w:b/>
      <w:u w:val="single"/>
      <w:lang w:eastAsia="en-GB"/>
    </w:rPr>
  </w:style>
  <w:style w:type="paragraph" w:customStyle="1" w:styleId="Fichefinanciretravailtitre">
    <w:name w:val="Fiche financière (travail) titre"/>
    <w:basedOn w:val="Normal"/>
    <w:next w:val="Normal"/>
    <w:rsid w:val="009F50E4"/>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9F50E4"/>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9F50E4"/>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9F50E4"/>
    <w:pPr>
      <w:jc w:val="center"/>
    </w:pPr>
    <w:rPr>
      <w:rFonts w:eastAsia="Times New Roman"/>
      <w:b/>
      <w:u w:val="single"/>
      <w:lang w:eastAsia="en-GB"/>
    </w:rPr>
  </w:style>
  <w:style w:type="paragraph" w:styleId="Caption">
    <w:name w:val="caption"/>
    <w:basedOn w:val="Normal"/>
    <w:next w:val="Normal"/>
    <w:qFormat/>
    <w:rsid w:val="009F50E4"/>
    <w:rPr>
      <w:rFonts w:eastAsia="Times New Roman"/>
      <w:b/>
      <w:bCs/>
      <w:sz w:val="20"/>
      <w:szCs w:val="20"/>
      <w:lang w:eastAsia="en-GB"/>
    </w:rPr>
  </w:style>
  <w:style w:type="paragraph" w:styleId="TableofFigures">
    <w:name w:val="table of figures"/>
    <w:basedOn w:val="Normal"/>
    <w:next w:val="Normal"/>
    <w:rsid w:val="009F50E4"/>
    <w:rPr>
      <w:rFonts w:eastAsia="Times New Roman"/>
      <w:lang w:eastAsia="en-GB"/>
    </w:rPr>
  </w:style>
  <w:style w:type="character" w:styleId="PageNumber">
    <w:name w:val="page number"/>
    <w:rsid w:val="009F50E4"/>
  </w:style>
  <w:style w:type="character" w:customStyle="1" w:styleId="tw4winMark">
    <w:name w:val="tw4winMark"/>
    <w:rsid w:val="009F50E4"/>
    <w:rPr>
      <w:vanish/>
      <w:color w:val="800080"/>
      <w:vertAlign w:val="subscript"/>
    </w:rPr>
  </w:style>
  <w:style w:type="character" w:styleId="FollowedHyperlink">
    <w:name w:val="FollowedHyperlink"/>
    <w:rsid w:val="009F50E4"/>
    <w:rPr>
      <w:color w:val="800080"/>
      <w:u w:val="single"/>
    </w:rPr>
  </w:style>
  <w:style w:type="paragraph" w:customStyle="1" w:styleId="Sous-titreobjet">
    <w:name w:val="Sous-titre objet"/>
    <w:basedOn w:val="Normal"/>
    <w:rsid w:val="009F50E4"/>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9F50E4"/>
  </w:style>
  <w:style w:type="paragraph" w:customStyle="1" w:styleId="FooterCoverPage">
    <w:name w:val="Footer Cover Page"/>
    <w:basedOn w:val="Normal"/>
    <w:link w:val="FooterCoverPageChar"/>
    <w:rsid w:val="009F50E4"/>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9F50E4"/>
    <w:rPr>
      <w:rFonts w:ascii="Times New Roman" w:hAnsi="Times New Roman" w:cs="Times New Roman"/>
      <w:b/>
      <w:sz w:val="28"/>
      <w:lang w:val="fi-FI"/>
    </w:rPr>
  </w:style>
  <w:style w:type="character" w:customStyle="1" w:styleId="FooterCoverPageChar">
    <w:name w:val="Footer Cover Page Char"/>
    <w:link w:val="FooterCoverPage"/>
    <w:rsid w:val="009F50E4"/>
    <w:rPr>
      <w:rFonts w:ascii="Times New Roman" w:eastAsia="Calibri" w:hAnsi="Times New Roman" w:cs="Times New Roman"/>
      <w:sz w:val="24"/>
      <w:lang w:val="fi-FI" w:eastAsia="en-GB"/>
    </w:rPr>
  </w:style>
  <w:style w:type="paragraph" w:customStyle="1" w:styleId="HeaderCoverPage">
    <w:name w:val="Header Cover Page"/>
    <w:basedOn w:val="Normal"/>
    <w:link w:val="HeaderCoverPageChar"/>
    <w:rsid w:val="009F50E4"/>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9F50E4"/>
    <w:rPr>
      <w:rFonts w:ascii="Times New Roman" w:eastAsia="Calibri" w:hAnsi="Times New Roman" w:cs="Times New Roman"/>
      <w:sz w:val="24"/>
      <w:lang w:val="fi-FI" w:eastAsia="en-GB"/>
    </w:rPr>
  </w:style>
  <w:style w:type="character" w:customStyle="1" w:styleId="FooterSensitivityChar">
    <w:name w:val="Footer Sensitivity Char"/>
    <w:rsid w:val="009F50E4"/>
    <w:rPr>
      <w:rFonts w:ascii="Times New Roman" w:hAnsi="Times New Roman" w:cs="Times New Roman"/>
      <w:b/>
      <w:sz w:val="32"/>
      <w:lang w:val="fi-FI"/>
    </w:rPr>
  </w:style>
  <w:style w:type="character" w:customStyle="1" w:styleId="HeaderSensitivityChar">
    <w:name w:val="Header Sensitivity Char"/>
    <w:rsid w:val="009F50E4"/>
    <w:rPr>
      <w:rFonts w:ascii="Times New Roman" w:hAnsi="Times New Roman" w:cs="Times New Roman"/>
      <w:b/>
      <w:sz w:val="32"/>
      <w:lang w:val="fi-FI"/>
    </w:rPr>
  </w:style>
  <w:style w:type="character" w:customStyle="1" w:styleId="HeaderSensitivityRightChar">
    <w:name w:val="Header Sensitivity Right Char"/>
    <w:rsid w:val="009F50E4"/>
    <w:rPr>
      <w:rFonts w:ascii="Times New Roman" w:hAnsi="Times New Roman" w:cs="Times New Roman"/>
      <w:sz w:val="28"/>
      <w:lang w:val="fi-FI"/>
    </w:rPr>
  </w:style>
  <w:style w:type="paragraph" w:customStyle="1" w:styleId="Default">
    <w:name w:val="Default"/>
    <w:rsid w:val="00FA1843"/>
    <w:pPr>
      <w:autoSpaceDE w:val="0"/>
      <w:autoSpaceDN w:val="0"/>
      <w:adjustRightInd w:val="0"/>
      <w:spacing w:after="0" w:line="240" w:lineRule="auto"/>
    </w:pPr>
    <w:rPr>
      <w:rFonts w:ascii="EUAlbertina" w:hAnsi="EUAlbertina" w:cs="EUAlbertina"/>
      <w:color w:val="000000"/>
      <w:sz w:val="24"/>
      <w:szCs w:val="24"/>
    </w:rPr>
  </w:style>
  <w:style w:type="character" w:customStyle="1" w:styleId="markedcontent">
    <w:name w:val="markedcontent"/>
    <w:basedOn w:val="DefaultParagraphFont"/>
    <w:rsid w:val="00FA1843"/>
  </w:style>
  <w:style w:type="character" w:customStyle="1" w:styleId="UnresolvedMention4">
    <w:name w:val="Unresolved Mention4"/>
    <w:basedOn w:val="DefaultParagraphFont"/>
    <w:uiPriority w:val="99"/>
    <w:semiHidden/>
    <w:unhideWhenUsed/>
    <w:rsid w:val="00EA1519"/>
    <w:rPr>
      <w:color w:val="605E5C"/>
      <w:shd w:val="clear" w:color="auto" w:fill="E1DFDD"/>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rsid w:val="00084EF2"/>
    <w:pPr>
      <w:tabs>
        <w:tab w:val="center" w:pos="4535"/>
        <w:tab w:val="right" w:pos="9071"/>
      </w:tabs>
      <w:spacing w:before="0"/>
    </w:pPr>
  </w:style>
  <w:style w:type="character" w:customStyle="1" w:styleId="HeaderChar">
    <w:name w:val="Header Char"/>
    <w:basedOn w:val="DefaultParagraphFont"/>
    <w:link w:val="Header"/>
    <w:uiPriority w:val="99"/>
    <w:rsid w:val="00084EF2"/>
    <w:rPr>
      <w:rFonts w:ascii="Times New Roman" w:hAnsi="Times New Roman" w:cs="Times New Roman"/>
      <w:sz w:val="24"/>
      <w:lang w:val="fi-FI"/>
    </w:rPr>
  </w:style>
  <w:style w:type="paragraph" w:styleId="Footer">
    <w:name w:val="footer"/>
    <w:basedOn w:val="Normal"/>
    <w:link w:val="FooterChar"/>
    <w:uiPriority w:val="99"/>
    <w:unhideWhenUsed/>
    <w:rsid w:val="00084EF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84EF2"/>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84EF2"/>
    <w:pPr>
      <w:tabs>
        <w:tab w:val="center" w:pos="7285"/>
        <w:tab w:val="right" w:pos="14003"/>
      </w:tabs>
      <w:spacing w:before="0"/>
    </w:pPr>
  </w:style>
  <w:style w:type="paragraph" w:customStyle="1" w:styleId="FooterLandscape">
    <w:name w:val="FooterLandscape"/>
    <w:basedOn w:val="Normal"/>
    <w:rsid w:val="00084EF2"/>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084EF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84EF2"/>
    <w:pPr>
      <w:spacing w:before="0"/>
      <w:jc w:val="right"/>
    </w:pPr>
    <w:rPr>
      <w:sz w:val="28"/>
    </w:rPr>
  </w:style>
  <w:style w:type="paragraph" w:customStyle="1" w:styleId="FooterSensitivity">
    <w:name w:val="Footer Sensitivity"/>
    <w:basedOn w:val="Normal"/>
    <w:rsid w:val="00084EF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255">
      <w:bodyDiv w:val="1"/>
      <w:marLeft w:val="0"/>
      <w:marRight w:val="0"/>
      <w:marTop w:val="0"/>
      <w:marBottom w:val="0"/>
      <w:divBdr>
        <w:top w:val="none" w:sz="0" w:space="0" w:color="auto"/>
        <w:left w:val="none" w:sz="0" w:space="0" w:color="auto"/>
        <w:bottom w:val="none" w:sz="0" w:space="0" w:color="auto"/>
        <w:right w:val="none" w:sz="0" w:space="0" w:color="auto"/>
      </w:divBdr>
    </w:div>
    <w:div w:id="12146302">
      <w:bodyDiv w:val="1"/>
      <w:marLeft w:val="0"/>
      <w:marRight w:val="0"/>
      <w:marTop w:val="0"/>
      <w:marBottom w:val="0"/>
      <w:divBdr>
        <w:top w:val="none" w:sz="0" w:space="0" w:color="auto"/>
        <w:left w:val="none" w:sz="0" w:space="0" w:color="auto"/>
        <w:bottom w:val="none" w:sz="0" w:space="0" w:color="auto"/>
        <w:right w:val="none" w:sz="0" w:space="0" w:color="auto"/>
      </w:divBdr>
      <w:divsChild>
        <w:div w:id="883559682">
          <w:marLeft w:val="0"/>
          <w:marRight w:val="0"/>
          <w:marTop w:val="0"/>
          <w:marBottom w:val="0"/>
          <w:divBdr>
            <w:top w:val="none" w:sz="0" w:space="0" w:color="auto"/>
            <w:left w:val="none" w:sz="0" w:space="0" w:color="auto"/>
            <w:bottom w:val="none" w:sz="0" w:space="0" w:color="auto"/>
            <w:right w:val="none" w:sz="0" w:space="0" w:color="auto"/>
          </w:divBdr>
        </w:div>
        <w:div w:id="989552121">
          <w:marLeft w:val="0"/>
          <w:marRight w:val="0"/>
          <w:marTop w:val="0"/>
          <w:marBottom w:val="0"/>
          <w:divBdr>
            <w:top w:val="none" w:sz="0" w:space="0" w:color="auto"/>
            <w:left w:val="none" w:sz="0" w:space="0" w:color="auto"/>
            <w:bottom w:val="none" w:sz="0" w:space="0" w:color="auto"/>
            <w:right w:val="none" w:sz="0" w:space="0" w:color="auto"/>
          </w:divBdr>
        </w:div>
      </w:divsChild>
    </w:div>
    <w:div w:id="51118698">
      <w:bodyDiv w:val="1"/>
      <w:marLeft w:val="0"/>
      <w:marRight w:val="0"/>
      <w:marTop w:val="0"/>
      <w:marBottom w:val="0"/>
      <w:divBdr>
        <w:top w:val="none" w:sz="0" w:space="0" w:color="auto"/>
        <w:left w:val="none" w:sz="0" w:space="0" w:color="auto"/>
        <w:bottom w:val="none" w:sz="0" w:space="0" w:color="auto"/>
        <w:right w:val="none" w:sz="0" w:space="0" w:color="auto"/>
      </w:divBdr>
    </w:div>
    <w:div w:id="106584718">
      <w:bodyDiv w:val="1"/>
      <w:marLeft w:val="0"/>
      <w:marRight w:val="0"/>
      <w:marTop w:val="0"/>
      <w:marBottom w:val="0"/>
      <w:divBdr>
        <w:top w:val="none" w:sz="0" w:space="0" w:color="auto"/>
        <w:left w:val="none" w:sz="0" w:space="0" w:color="auto"/>
        <w:bottom w:val="none" w:sz="0" w:space="0" w:color="auto"/>
        <w:right w:val="none" w:sz="0" w:space="0" w:color="auto"/>
      </w:divBdr>
    </w:div>
    <w:div w:id="108134621">
      <w:bodyDiv w:val="1"/>
      <w:marLeft w:val="0"/>
      <w:marRight w:val="0"/>
      <w:marTop w:val="0"/>
      <w:marBottom w:val="0"/>
      <w:divBdr>
        <w:top w:val="none" w:sz="0" w:space="0" w:color="auto"/>
        <w:left w:val="none" w:sz="0" w:space="0" w:color="auto"/>
        <w:bottom w:val="none" w:sz="0" w:space="0" w:color="auto"/>
        <w:right w:val="none" w:sz="0" w:space="0" w:color="auto"/>
      </w:divBdr>
      <w:divsChild>
        <w:div w:id="113864241">
          <w:marLeft w:val="0"/>
          <w:marRight w:val="0"/>
          <w:marTop w:val="0"/>
          <w:marBottom w:val="0"/>
          <w:divBdr>
            <w:top w:val="none" w:sz="0" w:space="0" w:color="auto"/>
            <w:left w:val="none" w:sz="0" w:space="0" w:color="auto"/>
            <w:bottom w:val="none" w:sz="0" w:space="0" w:color="auto"/>
            <w:right w:val="none" w:sz="0" w:space="0" w:color="auto"/>
          </w:divBdr>
          <w:divsChild>
            <w:div w:id="578632775">
              <w:marLeft w:val="0"/>
              <w:marRight w:val="0"/>
              <w:marTop w:val="0"/>
              <w:marBottom w:val="0"/>
              <w:divBdr>
                <w:top w:val="none" w:sz="0" w:space="0" w:color="auto"/>
                <w:left w:val="none" w:sz="0" w:space="0" w:color="auto"/>
                <w:bottom w:val="none" w:sz="0" w:space="0" w:color="auto"/>
                <w:right w:val="none" w:sz="0" w:space="0" w:color="auto"/>
              </w:divBdr>
            </w:div>
          </w:divsChild>
        </w:div>
        <w:div w:id="638001928">
          <w:marLeft w:val="0"/>
          <w:marRight w:val="0"/>
          <w:marTop w:val="0"/>
          <w:marBottom w:val="0"/>
          <w:divBdr>
            <w:top w:val="none" w:sz="0" w:space="0" w:color="auto"/>
            <w:left w:val="none" w:sz="0" w:space="0" w:color="auto"/>
            <w:bottom w:val="none" w:sz="0" w:space="0" w:color="auto"/>
            <w:right w:val="none" w:sz="0" w:space="0" w:color="auto"/>
          </w:divBdr>
          <w:divsChild>
            <w:div w:id="1046953662">
              <w:marLeft w:val="0"/>
              <w:marRight w:val="0"/>
              <w:marTop w:val="0"/>
              <w:marBottom w:val="0"/>
              <w:divBdr>
                <w:top w:val="none" w:sz="0" w:space="0" w:color="auto"/>
                <w:left w:val="none" w:sz="0" w:space="0" w:color="auto"/>
                <w:bottom w:val="none" w:sz="0" w:space="0" w:color="auto"/>
                <w:right w:val="none" w:sz="0" w:space="0" w:color="auto"/>
              </w:divBdr>
              <w:divsChild>
                <w:div w:id="571426512">
                  <w:marLeft w:val="0"/>
                  <w:marRight w:val="0"/>
                  <w:marTop w:val="0"/>
                  <w:marBottom w:val="0"/>
                  <w:divBdr>
                    <w:top w:val="none" w:sz="0" w:space="0" w:color="auto"/>
                    <w:left w:val="none" w:sz="0" w:space="0" w:color="auto"/>
                    <w:bottom w:val="none" w:sz="0" w:space="0" w:color="auto"/>
                    <w:right w:val="none" w:sz="0" w:space="0" w:color="auto"/>
                  </w:divBdr>
                  <w:divsChild>
                    <w:div w:id="502277772">
                      <w:marLeft w:val="0"/>
                      <w:marRight w:val="0"/>
                      <w:marTop w:val="120"/>
                      <w:marBottom w:val="0"/>
                      <w:divBdr>
                        <w:top w:val="none" w:sz="0" w:space="0" w:color="auto"/>
                        <w:left w:val="none" w:sz="0" w:space="0" w:color="auto"/>
                        <w:bottom w:val="none" w:sz="0" w:space="0" w:color="auto"/>
                        <w:right w:val="none" w:sz="0" w:space="0" w:color="auto"/>
                      </w:divBdr>
                    </w:div>
                    <w:div w:id="1757633210">
                      <w:marLeft w:val="0"/>
                      <w:marRight w:val="0"/>
                      <w:marTop w:val="0"/>
                      <w:marBottom w:val="0"/>
                      <w:divBdr>
                        <w:top w:val="none" w:sz="0" w:space="0" w:color="auto"/>
                        <w:left w:val="none" w:sz="0" w:space="0" w:color="auto"/>
                        <w:bottom w:val="none" w:sz="0" w:space="0" w:color="auto"/>
                        <w:right w:val="none" w:sz="0" w:space="0" w:color="auto"/>
                      </w:divBdr>
                    </w:div>
                  </w:divsChild>
                </w:div>
                <w:div w:id="784277847">
                  <w:marLeft w:val="0"/>
                  <w:marRight w:val="0"/>
                  <w:marTop w:val="0"/>
                  <w:marBottom w:val="0"/>
                  <w:divBdr>
                    <w:top w:val="none" w:sz="0" w:space="0" w:color="auto"/>
                    <w:left w:val="none" w:sz="0" w:space="0" w:color="auto"/>
                    <w:bottom w:val="none" w:sz="0" w:space="0" w:color="auto"/>
                    <w:right w:val="none" w:sz="0" w:space="0" w:color="auto"/>
                  </w:divBdr>
                  <w:divsChild>
                    <w:div w:id="42827766">
                      <w:marLeft w:val="0"/>
                      <w:marRight w:val="0"/>
                      <w:marTop w:val="0"/>
                      <w:marBottom w:val="0"/>
                      <w:divBdr>
                        <w:top w:val="none" w:sz="0" w:space="0" w:color="auto"/>
                        <w:left w:val="none" w:sz="0" w:space="0" w:color="auto"/>
                        <w:bottom w:val="none" w:sz="0" w:space="0" w:color="auto"/>
                        <w:right w:val="none" w:sz="0" w:space="0" w:color="auto"/>
                      </w:divBdr>
                    </w:div>
                    <w:div w:id="1432622932">
                      <w:marLeft w:val="0"/>
                      <w:marRight w:val="0"/>
                      <w:marTop w:val="120"/>
                      <w:marBottom w:val="0"/>
                      <w:divBdr>
                        <w:top w:val="none" w:sz="0" w:space="0" w:color="auto"/>
                        <w:left w:val="none" w:sz="0" w:space="0" w:color="auto"/>
                        <w:bottom w:val="none" w:sz="0" w:space="0" w:color="auto"/>
                        <w:right w:val="none" w:sz="0" w:space="0" w:color="auto"/>
                      </w:divBdr>
                    </w:div>
                  </w:divsChild>
                </w:div>
                <w:div w:id="1790513669">
                  <w:marLeft w:val="0"/>
                  <w:marRight w:val="0"/>
                  <w:marTop w:val="0"/>
                  <w:marBottom w:val="0"/>
                  <w:divBdr>
                    <w:top w:val="none" w:sz="0" w:space="0" w:color="auto"/>
                    <w:left w:val="none" w:sz="0" w:space="0" w:color="auto"/>
                    <w:bottom w:val="none" w:sz="0" w:space="0" w:color="auto"/>
                    <w:right w:val="none" w:sz="0" w:space="0" w:color="auto"/>
                  </w:divBdr>
                  <w:divsChild>
                    <w:div w:id="314527649">
                      <w:marLeft w:val="0"/>
                      <w:marRight w:val="0"/>
                      <w:marTop w:val="0"/>
                      <w:marBottom w:val="0"/>
                      <w:divBdr>
                        <w:top w:val="none" w:sz="0" w:space="0" w:color="auto"/>
                        <w:left w:val="none" w:sz="0" w:space="0" w:color="auto"/>
                        <w:bottom w:val="none" w:sz="0" w:space="0" w:color="auto"/>
                        <w:right w:val="none" w:sz="0" w:space="0" w:color="auto"/>
                      </w:divBdr>
                    </w:div>
                    <w:div w:id="8194258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92701084">
          <w:marLeft w:val="0"/>
          <w:marRight w:val="0"/>
          <w:marTop w:val="0"/>
          <w:marBottom w:val="0"/>
          <w:divBdr>
            <w:top w:val="none" w:sz="0" w:space="0" w:color="auto"/>
            <w:left w:val="none" w:sz="0" w:space="0" w:color="auto"/>
            <w:bottom w:val="none" w:sz="0" w:space="0" w:color="auto"/>
            <w:right w:val="none" w:sz="0" w:space="0" w:color="auto"/>
          </w:divBdr>
          <w:divsChild>
            <w:div w:id="1007826559">
              <w:marLeft w:val="0"/>
              <w:marRight w:val="0"/>
              <w:marTop w:val="0"/>
              <w:marBottom w:val="0"/>
              <w:divBdr>
                <w:top w:val="none" w:sz="0" w:space="0" w:color="auto"/>
                <w:left w:val="none" w:sz="0" w:space="0" w:color="auto"/>
                <w:bottom w:val="none" w:sz="0" w:space="0" w:color="auto"/>
                <w:right w:val="none" w:sz="0" w:space="0" w:color="auto"/>
              </w:divBdr>
            </w:div>
          </w:divsChild>
        </w:div>
        <w:div w:id="1309937493">
          <w:marLeft w:val="0"/>
          <w:marRight w:val="0"/>
          <w:marTop w:val="0"/>
          <w:marBottom w:val="0"/>
          <w:divBdr>
            <w:top w:val="none" w:sz="0" w:space="0" w:color="auto"/>
            <w:left w:val="none" w:sz="0" w:space="0" w:color="auto"/>
            <w:bottom w:val="none" w:sz="0" w:space="0" w:color="auto"/>
            <w:right w:val="none" w:sz="0" w:space="0" w:color="auto"/>
          </w:divBdr>
          <w:divsChild>
            <w:div w:id="286548113">
              <w:marLeft w:val="0"/>
              <w:marRight w:val="0"/>
              <w:marTop w:val="0"/>
              <w:marBottom w:val="0"/>
              <w:divBdr>
                <w:top w:val="none" w:sz="0" w:space="0" w:color="auto"/>
                <w:left w:val="none" w:sz="0" w:space="0" w:color="auto"/>
                <w:bottom w:val="none" w:sz="0" w:space="0" w:color="auto"/>
                <w:right w:val="none" w:sz="0" w:space="0" w:color="auto"/>
              </w:divBdr>
            </w:div>
          </w:divsChild>
        </w:div>
        <w:div w:id="1946647448">
          <w:marLeft w:val="0"/>
          <w:marRight w:val="0"/>
          <w:marTop w:val="0"/>
          <w:marBottom w:val="0"/>
          <w:divBdr>
            <w:top w:val="none" w:sz="0" w:space="0" w:color="auto"/>
            <w:left w:val="none" w:sz="0" w:space="0" w:color="auto"/>
            <w:bottom w:val="none" w:sz="0" w:space="0" w:color="auto"/>
            <w:right w:val="none" w:sz="0" w:space="0" w:color="auto"/>
          </w:divBdr>
          <w:divsChild>
            <w:div w:id="928808521">
              <w:marLeft w:val="0"/>
              <w:marRight w:val="0"/>
              <w:marTop w:val="0"/>
              <w:marBottom w:val="0"/>
              <w:divBdr>
                <w:top w:val="none" w:sz="0" w:space="0" w:color="auto"/>
                <w:left w:val="none" w:sz="0" w:space="0" w:color="auto"/>
                <w:bottom w:val="none" w:sz="0" w:space="0" w:color="auto"/>
                <w:right w:val="none" w:sz="0" w:space="0" w:color="auto"/>
              </w:divBdr>
              <w:divsChild>
                <w:div w:id="173153834">
                  <w:marLeft w:val="0"/>
                  <w:marRight w:val="0"/>
                  <w:marTop w:val="0"/>
                  <w:marBottom w:val="0"/>
                  <w:divBdr>
                    <w:top w:val="none" w:sz="0" w:space="0" w:color="auto"/>
                    <w:left w:val="none" w:sz="0" w:space="0" w:color="auto"/>
                    <w:bottom w:val="none" w:sz="0" w:space="0" w:color="auto"/>
                    <w:right w:val="none" w:sz="0" w:space="0" w:color="auto"/>
                  </w:divBdr>
                  <w:divsChild>
                    <w:div w:id="17505917">
                      <w:marLeft w:val="0"/>
                      <w:marRight w:val="0"/>
                      <w:marTop w:val="120"/>
                      <w:marBottom w:val="0"/>
                      <w:divBdr>
                        <w:top w:val="none" w:sz="0" w:space="0" w:color="auto"/>
                        <w:left w:val="none" w:sz="0" w:space="0" w:color="auto"/>
                        <w:bottom w:val="none" w:sz="0" w:space="0" w:color="auto"/>
                        <w:right w:val="none" w:sz="0" w:space="0" w:color="auto"/>
                      </w:divBdr>
                    </w:div>
                    <w:div w:id="798958708">
                      <w:marLeft w:val="0"/>
                      <w:marRight w:val="0"/>
                      <w:marTop w:val="0"/>
                      <w:marBottom w:val="0"/>
                      <w:divBdr>
                        <w:top w:val="none" w:sz="0" w:space="0" w:color="auto"/>
                        <w:left w:val="none" w:sz="0" w:space="0" w:color="auto"/>
                        <w:bottom w:val="none" w:sz="0" w:space="0" w:color="auto"/>
                        <w:right w:val="none" w:sz="0" w:space="0" w:color="auto"/>
                      </w:divBdr>
                    </w:div>
                  </w:divsChild>
                </w:div>
                <w:div w:id="1458766346">
                  <w:marLeft w:val="0"/>
                  <w:marRight w:val="0"/>
                  <w:marTop w:val="0"/>
                  <w:marBottom w:val="0"/>
                  <w:divBdr>
                    <w:top w:val="none" w:sz="0" w:space="0" w:color="auto"/>
                    <w:left w:val="none" w:sz="0" w:space="0" w:color="auto"/>
                    <w:bottom w:val="none" w:sz="0" w:space="0" w:color="auto"/>
                    <w:right w:val="none" w:sz="0" w:space="0" w:color="auto"/>
                  </w:divBdr>
                  <w:divsChild>
                    <w:div w:id="1136531177">
                      <w:marLeft w:val="0"/>
                      <w:marRight w:val="0"/>
                      <w:marTop w:val="120"/>
                      <w:marBottom w:val="0"/>
                      <w:divBdr>
                        <w:top w:val="none" w:sz="0" w:space="0" w:color="auto"/>
                        <w:left w:val="none" w:sz="0" w:space="0" w:color="auto"/>
                        <w:bottom w:val="none" w:sz="0" w:space="0" w:color="auto"/>
                        <w:right w:val="none" w:sz="0" w:space="0" w:color="auto"/>
                      </w:divBdr>
                    </w:div>
                    <w:div w:id="16855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2306">
      <w:bodyDiv w:val="1"/>
      <w:marLeft w:val="0"/>
      <w:marRight w:val="0"/>
      <w:marTop w:val="0"/>
      <w:marBottom w:val="0"/>
      <w:divBdr>
        <w:top w:val="none" w:sz="0" w:space="0" w:color="auto"/>
        <w:left w:val="none" w:sz="0" w:space="0" w:color="auto"/>
        <w:bottom w:val="none" w:sz="0" w:space="0" w:color="auto"/>
        <w:right w:val="none" w:sz="0" w:space="0" w:color="auto"/>
      </w:divBdr>
      <w:divsChild>
        <w:div w:id="10955465">
          <w:marLeft w:val="0"/>
          <w:marRight w:val="0"/>
          <w:marTop w:val="0"/>
          <w:marBottom w:val="0"/>
          <w:divBdr>
            <w:top w:val="none" w:sz="0" w:space="0" w:color="auto"/>
            <w:left w:val="none" w:sz="0" w:space="0" w:color="auto"/>
            <w:bottom w:val="none" w:sz="0" w:space="0" w:color="auto"/>
            <w:right w:val="none" w:sz="0" w:space="0" w:color="auto"/>
          </w:divBdr>
          <w:divsChild>
            <w:div w:id="355934237">
              <w:marLeft w:val="0"/>
              <w:marRight w:val="0"/>
              <w:marTop w:val="0"/>
              <w:marBottom w:val="0"/>
              <w:divBdr>
                <w:top w:val="none" w:sz="0" w:space="0" w:color="auto"/>
                <w:left w:val="none" w:sz="0" w:space="0" w:color="auto"/>
                <w:bottom w:val="none" w:sz="0" w:space="0" w:color="auto"/>
                <w:right w:val="none" w:sz="0" w:space="0" w:color="auto"/>
              </w:divBdr>
            </w:div>
          </w:divsChild>
        </w:div>
        <w:div w:id="95444770">
          <w:marLeft w:val="0"/>
          <w:marRight w:val="0"/>
          <w:marTop w:val="0"/>
          <w:marBottom w:val="0"/>
          <w:divBdr>
            <w:top w:val="none" w:sz="0" w:space="0" w:color="auto"/>
            <w:left w:val="none" w:sz="0" w:space="0" w:color="auto"/>
            <w:bottom w:val="none" w:sz="0" w:space="0" w:color="auto"/>
            <w:right w:val="none" w:sz="0" w:space="0" w:color="auto"/>
          </w:divBdr>
          <w:divsChild>
            <w:div w:id="273948117">
              <w:marLeft w:val="0"/>
              <w:marRight w:val="0"/>
              <w:marTop w:val="0"/>
              <w:marBottom w:val="0"/>
              <w:divBdr>
                <w:top w:val="none" w:sz="0" w:space="0" w:color="auto"/>
                <w:left w:val="none" w:sz="0" w:space="0" w:color="auto"/>
                <w:bottom w:val="none" w:sz="0" w:space="0" w:color="auto"/>
                <w:right w:val="none" w:sz="0" w:space="0" w:color="auto"/>
              </w:divBdr>
            </w:div>
          </w:divsChild>
        </w:div>
        <w:div w:id="116804760">
          <w:marLeft w:val="0"/>
          <w:marRight w:val="0"/>
          <w:marTop w:val="0"/>
          <w:marBottom w:val="0"/>
          <w:divBdr>
            <w:top w:val="none" w:sz="0" w:space="0" w:color="auto"/>
            <w:left w:val="none" w:sz="0" w:space="0" w:color="auto"/>
            <w:bottom w:val="none" w:sz="0" w:space="0" w:color="auto"/>
            <w:right w:val="none" w:sz="0" w:space="0" w:color="auto"/>
          </w:divBdr>
          <w:divsChild>
            <w:div w:id="278416439">
              <w:marLeft w:val="0"/>
              <w:marRight w:val="0"/>
              <w:marTop w:val="0"/>
              <w:marBottom w:val="0"/>
              <w:divBdr>
                <w:top w:val="none" w:sz="0" w:space="0" w:color="auto"/>
                <w:left w:val="none" w:sz="0" w:space="0" w:color="auto"/>
                <w:bottom w:val="none" w:sz="0" w:space="0" w:color="auto"/>
                <w:right w:val="none" w:sz="0" w:space="0" w:color="auto"/>
              </w:divBdr>
            </w:div>
          </w:divsChild>
        </w:div>
        <w:div w:id="165438231">
          <w:marLeft w:val="0"/>
          <w:marRight w:val="0"/>
          <w:marTop w:val="0"/>
          <w:marBottom w:val="0"/>
          <w:divBdr>
            <w:top w:val="none" w:sz="0" w:space="0" w:color="auto"/>
            <w:left w:val="none" w:sz="0" w:space="0" w:color="auto"/>
            <w:bottom w:val="none" w:sz="0" w:space="0" w:color="auto"/>
            <w:right w:val="none" w:sz="0" w:space="0" w:color="auto"/>
          </w:divBdr>
          <w:divsChild>
            <w:div w:id="584606727">
              <w:marLeft w:val="0"/>
              <w:marRight w:val="0"/>
              <w:marTop w:val="0"/>
              <w:marBottom w:val="0"/>
              <w:divBdr>
                <w:top w:val="none" w:sz="0" w:space="0" w:color="auto"/>
                <w:left w:val="none" w:sz="0" w:space="0" w:color="auto"/>
                <w:bottom w:val="none" w:sz="0" w:space="0" w:color="auto"/>
                <w:right w:val="none" w:sz="0" w:space="0" w:color="auto"/>
              </w:divBdr>
            </w:div>
            <w:div w:id="1070419868">
              <w:marLeft w:val="0"/>
              <w:marRight w:val="0"/>
              <w:marTop w:val="120"/>
              <w:marBottom w:val="0"/>
              <w:divBdr>
                <w:top w:val="none" w:sz="0" w:space="0" w:color="auto"/>
                <w:left w:val="none" w:sz="0" w:space="0" w:color="auto"/>
                <w:bottom w:val="none" w:sz="0" w:space="0" w:color="auto"/>
                <w:right w:val="none" w:sz="0" w:space="0" w:color="auto"/>
              </w:divBdr>
            </w:div>
          </w:divsChild>
        </w:div>
        <w:div w:id="299188773">
          <w:marLeft w:val="0"/>
          <w:marRight w:val="0"/>
          <w:marTop w:val="0"/>
          <w:marBottom w:val="0"/>
          <w:divBdr>
            <w:top w:val="none" w:sz="0" w:space="0" w:color="auto"/>
            <w:left w:val="none" w:sz="0" w:space="0" w:color="auto"/>
            <w:bottom w:val="none" w:sz="0" w:space="0" w:color="auto"/>
            <w:right w:val="none" w:sz="0" w:space="0" w:color="auto"/>
          </w:divBdr>
          <w:divsChild>
            <w:div w:id="2052419355">
              <w:marLeft w:val="0"/>
              <w:marRight w:val="0"/>
              <w:marTop w:val="0"/>
              <w:marBottom w:val="0"/>
              <w:divBdr>
                <w:top w:val="none" w:sz="0" w:space="0" w:color="auto"/>
                <w:left w:val="none" w:sz="0" w:space="0" w:color="auto"/>
                <w:bottom w:val="none" w:sz="0" w:space="0" w:color="auto"/>
                <w:right w:val="none" w:sz="0" w:space="0" w:color="auto"/>
              </w:divBdr>
            </w:div>
          </w:divsChild>
        </w:div>
        <w:div w:id="363556248">
          <w:marLeft w:val="0"/>
          <w:marRight w:val="0"/>
          <w:marTop w:val="0"/>
          <w:marBottom w:val="0"/>
          <w:divBdr>
            <w:top w:val="none" w:sz="0" w:space="0" w:color="auto"/>
            <w:left w:val="none" w:sz="0" w:space="0" w:color="auto"/>
            <w:bottom w:val="none" w:sz="0" w:space="0" w:color="auto"/>
            <w:right w:val="none" w:sz="0" w:space="0" w:color="auto"/>
          </w:divBdr>
          <w:divsChild>
            <w:div w:id="325209634">
              <w:marLeft w:val="0"/>
              <w:marRight w:val="0"/>
              <w:marTop w:val="0"/>
              <w:marBottom w:val="0"/>
              <w:divBdr>
                <w:top w:val="none" w:sz="0" w:space="0" w:color="auto"/>
                <w:left w:val="none" w:sz="0" w:space="0" w:color="auto"/>
                <w:bottom w:val="none" w:sz="0" w:space="0" w:color="auto"/>
                <w:right w:val="none" w:sz="0" w:space="0" w:color="auto"/>
              </w:divBdr>
            </w:div>
          </w:divsChild>
        </w:div>
        <w:div w:id="499084819">
          <w:marLeft w:val="0"/>
          <w:marRight w:val="0"/>
          <w:marTop w:val="0"/>
          <w:marBottom w:val="0"/>
          <w:divBdr>
            <w:top w:val="none" w:sz="0" w:space="0" w:color="auto"/>
            <w:left w:val="none" w:sz="0" w:space="0" w:color="auto"/>
            <w:bottom w:val="none" w:sz="0" w:space="0" w:color="auto"/>
            <w:right w:val="none" w:sz="0" w:space="0" w:color="auto"/>
          </w:divBdr>
          <w:divsChild>
            <w:div w:id="1799564849">
              <w:marLeft w:val="0"/>
              <w:marRight w:val="0"/>
              <w:marTop w:val="0"/>
              <w:marBottom w:val="0"/>
              <w:divBdr>
                <w:top w:val="none" w:sz="0" w:space="0" w:color="auto"/>
                <w:left w:val="none" w:sz="0" w:space="0" w:color="auto"/>
                <w:bottom w:val="none" w:sz="0" w:space="0" w:color="auto"/>
                <w:right w:val="none" w:sz="0" w:space="0" w:color="auto"/>
              </w:divBdr>
            </w:div>
          </w:divsChild>
        </w:div>
        <w:div w:id="571817548">
          <w:marLeft w:val="0"/>
          <w:marRight w:val="0"/>
          <w:marTop w:val="0"/>
          <w:marBottom w:val="0"/>
          <w:divBdr>
            <w:top w:val="none" w:sz="0" w:space="0" w:color="auto"/>
            <w:left w:val="none" w:sz="0" w:space="0" w:color="auto"/>
            <w:bottom w:val="none" w:sz="0" w:space="0" w:color="auto"/>
            <w:right w:val="none" w:sz="0" w:space="0" w:color="auto"/>
          </w:divBdr>
          <w:divsChild>
            <w:div w:id="1500391941">
              <w:marLeft w:val="0"/>
              <w:marRight w:val="0"/>
              <w:marTop w:val="0"/>
              <w:marBottom w:val="0"/>
              <w:divBdr>
                <w:top w:val="none" w:sz="0" w:space="0" w:color="auto"/>
                <w:left w:val="none" w:sz="0" w:space="0" w:color="auto"/>
                <w:bottom w:val="none" w:sz="0" w:space="0" w:color="auto"/>
                <w:right w:val="none" w:sz="0" w:space="0" w:color="auto"/>
              </w:divBdr>
              <w:divsChild>
                <w:div w:id="1802185923">
                  <w:marLeft w:val="0"/>
                  <w:marRight w:val="0"/>
                  <w:marTop w:val="0"/>
                  <w:marBottom w:val="0"/>
                  <w:divBdr>
                    <w:top w:val="none" w:sz="0" w:space="0" w:color="auto"/>
                    <w:left w:val="none" w:sz="0" w:space="0" w:color="auto"/>
                    <w:bottom w:val="none" w:sz="0" w:space="0" w:color="auto"/>
                    <w:right w:val="none" w:sz="0" w:space="0" w:color="auto"/>
                  </w:divBdr>
                  <w:divsChild>
                    <w:div w:id="556670463">
                      <w:marLeft w:val="0"/>
                      <w:marRight w:val="0"/>
                      <w:marTop w:val="120"/>
                      <w:marBottom w:val="0"/>
                      <w:divBdr>
                        <w:top w:val="none" w:sz="0" w:space="0" w:color="auto"/>
                        <w:left w:val="none" w:sz="0" w:space="0" w:color="auto"/>
                        <w:bottom w:val="none" w:sz="0" w:space="0" w:color="auto"/>
                        <w:right w:val="none" w:sz="0" w:space="0" w:color="auto"/>
                      </w:divBdr>
                    </w:div>
                    <w:div w:id="1094518520">
                      <w:marLeft w:val="0"/>
                      <w:marRight w:val="0"/>
                      <w:marTop w:val="0"/>
                      <w:marBottom w:val="0"/>
                      <w:divBdr>
                        <w:top w:val="none" w:sz="0" w:space="0" w:color="auto"/>
                        <w:left w:val="none" w:sz="0" w:space="0" w:color="auto"/>
                        <w:bottom w:val="none" w:sz="0" w:space="0" w:color="auto"/>
                        <w:right w:val="none" w:sz="0" w:space="0" w:color="auto"/>
                      </w:divBdr>
                    </w:div>
                  </w:divsChild>
                </w:div>
                <w:div w:id="1918855975">
                  <w:marLeft w:val="0"/>
                  <w:marRight w:val="0"/>
                  <w:marTop w:val="0"/>
                  <w:marBottom w:val="0"/>
                  <w:divBdr>
                    <w:top w:val="none" w:sz="0" w:space="0" w:color="auto"/>
                    <w:left w:val="none" w:sz="0" w:space="0" w:color="auto"/>
                    <w:bottom w:val="none" w:sz="0" w:space="0" w:color="auto"/>
                    <w:right w:val="none" w:sz="0" w:space="0" w:color="auto"/>
                  </w:divBdr>
                  <w:divsChild>
                    <w:div w:id="282007323">
                      <w:marLeft w:val="0"/>
                      <w:marRight w:val="0"/>
                      <w:marTop w:val="0"/>
                      <w:marBottom w:val="0"/>
                      <w:divBdr>
                        <w:top w:val="none" w:sz="0" w:space="0" w:color="auto"/>
                        <w:left w:val="none" w:sz="0" w:space="0" w:color="auto"/>
                        <w:bottom w:val="none" w:sz="0" w:space="0" w:color="auto"/>
                        <w:right w:val="none" w:sz="0" w:space="0" w:color="auto"/>
                      </w:divBdr>
                      <w:divsChild>
                        <w:div w:id="851332529">
                          <w:marLeft w:val="0"/>
                          <w:marRight w:val="0"/>
                          <w:marTop w:val="0"/>
                          <w:marBottom w:val="0"/>
                          <w:divBdr>
                            <w:top w:val="none" w:sz="0" w:space="0" w:color="auto"/>
                            <w:left w:val="none" w:sz="0" w:space="0" w:color="auto"/>
                            <w:bottom w:val="none" w:sz="0" w:space="0" w:color="auto"/>
                            <w:right w:val="none" w:sz="0" w:space="0" w:color="auto"/>
                          </w:divBdr>
                          <w:divsChild>
                            <w:div w:id="696614722">
                              <w:marLeft w:val="0"/>
                              <w:marRight w:val="0"/>
                              <w:marTop w:val="0"/>
                              <w:marBottom w:val="0"/>
                              <w:divBdr>
                                <w:top w:val="none" w:sz="0" w:space="0" w:color="auto"/>
                                <w:left w:val="none" w:sz="0" w:space="0" w:color="auto"/>
                                <w:bottom w:val="none" w:sz="0" w:space="0" w:color="auto"/>
                                <w:right w:val="none" w:sz="0" w:space="0" w:color="auto"/>
                              </w:divBdr>
                            </w:div>
                            <w:div w:id="1324770936">
                              <w:marLeft w:val="0"/>
                              <w:marRight w:val="0"/>
                              <w:marTop w:val="120"/>
                              <w:marBottom w:val="0"/>
                              <w:divBdr>
                                <w:top w:val="none" w:sz="0" w:space="0" w:color="auto"/>
                                <w:left w:val="none" w:sz="0" w:space="0" w:color="auto"/>
                                <w:bottom w:val="none" w:sz="0" w:space="0" w:color="auto"/>
                                <w:right w:val="none" w:sz="0" w:space="0" w:color="auto"/>
                              </w:divBdr>
                            </w:div>
                          </w:divsChild>
                        </w:div>
                        <w:div w:id="1339886144">
                          <w:marLeft w:val="0"/>
                          <w:marRight w:val="0"/>
                          <w:marTop w:val="0"/>
                          <w:marBottom w:val="0"/>
                          <w:divBdr>
                            <w:top w:val="none" w:sz="0" w:space="0" w:color="auto"/>
                            <w:left w:val="none" w:sz="0" w:space="0" w:color="auto"/>
                            <w:bottom w:val="none" w:sz="0" w:space="0" w:color="auto"/>
                            <w:right w:val="none" w:sz="0" w:space="0" w:color="auto"/>
                          </w:divBdr>
                          <w:divsChild>
                            <w:div w:id="508640703">
                              <w:marLeft w:val="0"/>
                              <w:marRight w:val="0"/>
                              <w:marTop w:val="0"/>
                              <w:marBottom w:val="0"/>
                              <w:divBdr>
                                <w:top w:val="none" w:sz="0" w:space="0" w:color="auto"/>
                                <w:left w:val="none" w:sz="0" w:space="0" w:color="auto"/>
                                <w:bottom w:val="none" w:sz="0" w:space="0" w:color="auto"/>
                                <w:right w:val="none" w:sz="0" w:space="0" w:color="auto"/>
                              </w:divBdr>
                            </w:div>
                            <w:div w:id="2016112118">
                              <w:marLeft w:val="0"/>
                              <w:marRight w:val="0"/>
                              <w:marTop w:val="120"/>
                              <w:marBottom w:val="0"/>
                              <w:divBdr>
                                <w:top w:val="none" w:sz="0" w:space="0" w:color="auto"/>
                                <w:left w:val="none" w:sz="0" w:space="0" w:color="auto"/>
                                <w:bottom w:val="none" w:sz="0" w:space="0" w:color="auto"/>
                                <w:right w:val="none" w:sz="0" w:space="0" w:color="auto"/>
                              </w:divBdr>
                            </w:div>
                          </w:divsChild>
                        </w:div>
                        <w:div w:id="1404179606">
                          <w:marLeft w:val="0"/>
                          <w:marRight w:val="0"/>
                          <w:marTop w:val="0"/>
                          <w:marBottom w:val="0"/>
                          <w:divBdr>
                            <w:top w:val="none" w:sz="0" w:space="0" w:color="auto"/>
                            <w:left w:val="none" w:sz="0" w:space="0" w:color="auto"/>
                            <w:bottom w:val="none" w:sz="0" w:space="0" w:color="auto"/>
                            <w:right w:val="none" w:sz="0" w:space="0" w:color="auto"/>
                          </w:divBdr>
                          <w:divsChild>
                            <w:div w:id="22749495">
                              <w:marLeft w:val="0"/>
                              <w:marRight w:val="0"/>
                              <w:marTop w:val="0"/>
                              <w:marBottom w:val="0"/>
                              <w:divBdr>
                                <w:top w:val="none" w:sz="0" w:space="0" w:color="auto"/>
                                <w:left w:val="none" w:sz="0" w:space="0" w:color="auto"/>
                                <w:bottom w:val="none" w:sz="0" w:space="0" w:color="auto"/>
                                <w:right w:val="none" w:sz="0" w:space="0" w:color="auto"/>
                              </w:divBdr>
                            </w:div>
                            <w:div w:id="11598093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88914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91360243">
          <w:marLeft w:val="0"/>
          <w:marRight w:val="0"/>
          <w:marTop w:val="0"/>
          <w:marBottom w:val="0"/>
          <w:divBdr>
            <w:top w:val="none" w:sz="0" w:space="0" w:color="auto"/>
            <w:left w:val="none" w:sz="0" w:space="0" w:color="auto"/>
            <w:bottom w:val="none" w:sz="0" w:space="0" w:color="auto"/>
            <w:right w:val="none" w:sz="0" w:space="0" w:color="auto"/>
          </w:divBdr>
          <w:divsChild>
            <w:div w:id="286397299">
              <w:marLeft w:val="0"/>
              <w:marRight w:val="0"/>
              <w:marTop w:val="0"/>
              <w:marBottom w:val="0"/>
              <w:divBdr>
                <w:top w:val="none" w:sz="0" w:space="0" w:color="auto"/>
                <w:left w:val="none" w:sz="0" w:space="0" w:color="auto"/>
                <w:bottom w:val="none" w:sz="0" w:space="0" w:color="auto"/>
                <w:right w:val="none" w:sz="0" w:space="0" w:color="auto"/>
              </w:divBdr>
            </w:div>
          </w:divsChild>
        </w:div>
        <w:div w:id="657416010">
          <w:marLeft w:val="0"/>
          <w:marRight w:val="0"/>
          <w:marTop w:val="0"/>
          <w:marBottom w:val="0"/>
          <w:divBdr>
            <w:top w:val="none" w:sz="0" w:space="0" w:color="auto"/>
            <w:left w:val="none" w:sz="0" w:space="0" w:color="auto"/>
            <w:bottom w:val="none" w:sz="0" w:space="0" w:color="auto"/>
            <w:right w:val="none" w:sz="0" w:space="0" w:color="auto"/>
          </w:divBdr>
          <w:divsChild>
            <w:div w:id="772408371">
              <w:marLeft w:val="0"/>
              <w:marRight w:val="0"/>
              <w:marTop w:val="0"/>
              <w:marBottom w:val="0"/>
              <w:divBdr>
                <w:top w:val="none" w:sz="0" w:space="0" w:color="auto"/>
                <w:left w:val="none" w:sz="0" w:space="0" w:color="auto"/>
                <w:bottom w:val="none" w:sz="0" w:space="0" w:color="auto"/>
                <w:right w:val="none" w:sz="0" w:space="0" w:color="auto"/>
              </w:divBdr>
            </w:div>
          </w:divsChild>
        </w:div>
        <w:div w:id="831457584">
          <w:marLeft w:val="0"/>
          <w:marRight w:val="0"/>
          <w:marTop w:val="0"/>
          <w:marBottom w:val="0"/>
          <w:divBdr>
            <w:top w:val="none" w:sz="0" w:space="0" w:color="auto"/>
            <w:left w:val="none" w:sz="0" w:space="0" w:color="auto"/>
            <w:bottom w:val="none" w:sz="0" w:space="0" w:color="auto"/>
            <w:right w:val="none" w:sz="0" w:space="0" w:color="auto"/>
          </w:divBdr>
          <w:divsChild>
            <w:div w:id="234894764">
              <w:marLeft w:val="0"/>
              <w:marRight w:val="0"/>
              <w:marTop w:val="0"/>
              <w:marBottom w:val="0"/>
              <w:divBdr>
                <w:top w:val="none" w:sz="0" w:space="0" w:color="auto"/>
                <w:left w:val="none" w:sz="0" w:space="0" w:color="auto"/>
                <w:bottom w:val="none" w:sz="0" w:space="0" w:color="auto"/>
                <w:right w:val="none" w:sz="0" w:space="0" w:color="auto"/>
              </w:divBdr>
            </w:div>
          </w:divsChild>
        </w:div>
        <w:div w:id="903755270">
          <w:marLeft w:val="0"/>
          <w:marRight w:val="0"/>
          <w:marTop w:val="0"/>
          <w:marBottom w:val="0"/>
          <w:divBdr>
            <w:top w:val="none" w:sz="0" w:space="0" w:color="auto"/>
            <w:left w:val="none" w:sz="0" w:space="0" w:color="auto"/>
            <w:bottom w:val="none" w:sz="0" w:space="0" w:color="auto"/>
            <w:right w:val="none" w:sz="0" w:space="0" w:color="auto"/>
          </w:divBdr>
          <w:divsChild>
            <w:div w:id="2038308127">
              <w:marLeft w:val="0"/>
              <w:marRight w:val="0"/>
              <w:marTop w:val="0"/>
              <w:marBottom w:val="0"/>
              <w:divBdr>
                <w:top w:val="none" w:sz="0" w:space="0" w:color="auto"/>
                <w:left w:val="none" w:sz="0" w:space="0" w:color="auto"/>
                <w:bottom w:val="none" w:sz="0" w:space="0" w:color="auto"/>
                <w:right w:val="none" w:sz="0" w:space="0" w:color="auto"/>
              </w:divBdr>
            </w:div>
          </w:divsChild>
        </w:div>
        <w:div w:id="948393871">
          <w:marLeft w:val="0"/>
          <w:marRight w:val="0"/>
          <w:marTop w:val="0"/>
          <w:marBottom w:val="0"/>
          <w:divBdr>
            <w:top w:val="none" w:sz="0" w:space="0" w:color="auto"/>
            <w:left w:val="none" w:sz="0" w:space="0" w:color="auto"/>
            <w:bottom w:val="none" w:sz="0" w:space="0" w:color="auto"/>
            <w:right w:val="none" w:sz="0" w:space="0" w:color="auto"/>
          </w:divBdr>
          <w:divsChild>
            <w:div w:id="80107871">
              <w:marLeft w:val="0"/>
              <w:marRight w:val="0"/>
              <w:marTop w:val="0"/>
              <w:marBottom w:val="0"/>
              <w:divBdr>
                <w:top w:val="none" w:sz="0" w:space="0" w:color="auto"/>
                <w:left w:val="none" w:sz="0" w:space="0" w:color="auto"/>
                <w:bottom w:val="none" w:sz="0" w:space="0" w:color="auto"/>
                <w:right w:val="none" w:sz="0" w:space="0" w:color="auto"/>
              </w:divBdr>
            </w:div>
          </w:divsChild>
        </w:div>
        <w:div w:id="1016882724">
          <w:marLeft w:val="0"/>
          <w:marRight w:val="0"/>
          <w:marTop w:val="0"/>
          <w:marBottom w:val="0"/>
          <w:divBdr>
            <w:top w:val="none" w:sz="0" w:space="0" w:color="auto"/>
            <w:left w:val="none" w:sz="0" w:space="0" w:color="auto"/>
            <w:bottom w:val="none" w:sz="0" w:space="0" w:color="auto"/>
            <w:right w:val="none" w:sz="0" w:space="0" w:color="auto"/>
          </w:divBdr>
          <w:divsChild>
            <w:div w:id="625703296">
              <w:marLeft w:val="0"/>
              <w:marRight w:val="0"/>
              <w:marTop w:val="0"/>
              <w:marBottom w:val="0"/>
              <w:divBdr>
                <w:top w:val="none" w:sz="0" w:space="0" w:color="auto"/>
                <w:left w:val="none" w:sz="0" w:space="0" w:color="auto"/>
                <w:bottom w:val="none" w:sz="0" w:space="0" w:color="auto"/>
                <w:right w:val="none" w:sz="0" w:space="0" w:color="auto"/>
              </w:divBdr>
            </w:div>
          </w:divsChild>
        </w:div>
        <w:div w:id="1021737852">
          <w:marLeft w:val="0"/>
          <w:marRight w:val="0"/>
          <w:marTop w:val="0"/>
          <w:marBottom w:val="0"/>
          <w:divBdr>
            <w:top w:val="none" w:sz="0" w:space="0" w:color="auto"/>
            <w:left w:val="none" w:sz="0" w:space="0" w:color="auto"/>
            <w:bottom w:val="none" w:sz="0" w:space="0" w:color="auto"/>
            <w:right w:val="none" w:sz="0" w:space="0" w:color="auto"/>
          </w:divBdr>
          <w:divsChild>
            <w:div w:id="391077159">
              <w:marLeft w:val="0"/>
              <w:marRight w:val="0"/>
              <w:marTop w:val="0"/>
              <w:marBottom w:val="0"/>
              <w:divBdr>
                <w:top w:val="none" w:sz="0" w:space="0" w:color="auto"/>
                <w:left w:val="none" w:sz="0" w:space="0" w:color="auto"/>
                <w:bottom w:val="none" w:sz="0" w:space="0" w:color="auto"/>
                <w:right w:val="none" w:sz="0" w:space="0" w:color="auto"/>
              </w:divBdr>
            </w:div>
          </w:divsChild>
        </w:div>
        <w:div w:id="1026098002">
          <w:marLeft w:val="0"/>
          <w:marRight w:val="0"/>
          <w:marTop w:val="0"/>
          <w:marBottom w:val="0"/>
          <w:divBdr>
            <w:top w:val="none" w:sz="0" w:space="0" w:color="auto"/>
            <w:left w:val="none" w:sz="0" w:space="0" w:color="auto"/>
            <w:bottom w:val="none" w:sz="0" w:space="0" w:color="auto"/>
            <w:right w:val="none" w:sz="0" w:space="0" w:color="auto"/>
          </w:divBdr>
          <w:divsChild>
            <w:div w:id="261690818">
              <w:marLeft w:val="0"/>
              <w:marRight w:val="0"/>
              <w:marTop w:val="0"/>
              <w:marBottom w:val="0"/>
              <w:divBdr>
                <w:top w:val="none" w:sz="0" w:space="0" w:color="auto"/>
                <w:left w:val="none" w:sz="0" w:space="0" w:color="auto"/>
                <w:bottom w:val="none" w:sz="0" w:space="0" w:color="auto"/>
                <w:right w:val="none" w:sz="0" w:space="0" w:color="auto"/>
              </w:divBdr>
            </w:div>
          </w:divsChild>
        </w:div>
        <w:div w:id="1103037187">
          <w:marLeft w:val="0"/>
          <w:marRight w:val="0"/>
          <w:marTop w:val="0"/>
          <w:marBottom w:val="0"/>
          <w:divBdr>
            <w:top w:val="none" w:sz="0" w:space="0" w:color="auto"/>
            <w:left w:val="none" w:sz="0" w:space="0" w:color="auto"/>
            <w:bottom w:val="none" w:sz="0" w:space="0" w:color="auto"/>
            <w:right w:val="none" w:sz="0" w:space="0" w:color="auto"/>
          </w:divBdr>
          <w:divsChild>
            <w:div w:id="297876029">
              <w:marLeft w:val="0"/>
              <w:marRight w:val="0"/>
              <w:marTop w:val="0"/>
              <w:marBottom w:val="0"/>
              <w:divBdr>
                <w:top w:val="none" w:sz="0" w:space="0" w:color="auto"/>
                <w:left w:val="none" w:sz="0" w:space="0" w:color="auto"/>
                <w:bottom w:val="none" w:sz="0" w:space="0" w:color="auto"/>
                <w:right w:val="none" w:sz="0" w:space="0" w:color="auto"/>
              </w:divBdr>
            </w:div>
          </w:divsChild>
        </w:div>
        <w:div w:id="1114251682">
          <w:marLeft w:val="0"/>
          <w:marRight w:val="0"/>
          <w:marTop w:val="0"/>
          <w:marBottom w:val="0"/>
          <w:divBdr>
            <w:top w:val="none" w:sz="0" w:space="0" w:color="auto"/>
            <w:left w:val="none" w:sz="0" w:space="0" w:color="auto"/>
            <w:bottom w:val="none" w:sz="0" w:space="0" w:color="auto"/>
            <w:right w:val="none" w:sz="0" w:space="0" w:color="auto"/>
          </w:divBdr>
          <w:divsChild>
            <w:div w:id="454905439">
              <w:marLeft w:val="0"/>
              <w:marRight w:val="0"/>
              <w:marTop w:val="0"/>
              <w:marBottom w:val="0"/>
              <w:divBdr>
                <w:top w:val="none" w:sz="0" w:space="0" w:color="auto"/>
                <w:left w:val="none" w:sz="0" w:space="0" w:color="auto"/>
                <w:bottom w:val="none" w:sz="0" w:space="0" w:color="auto"/>
                <w:right w:val="none" w:sz="0" w:space="0" w:color="auto"/>
              </w:divBdr>
              <w:divsChild>
                <w:div w:id="471755761">
                  <w:marLeft w:val="0"/>
                  <w:marRight w:val="0"/>
                  <w:marTop w:val="0"/>
                  <w:marBottom w:val="0"/>
                  <w:divBdr>
                    <w:top w:val="none" w:sz="0" w:space="0" w:color="auto"/>
                    <w:left w:val="none" w:sz="0" w:space="0" w:color="auto"/>
                    <w:bottom w:val="none" w:sz="0" w:space="0" w:color="auto"/>
                    <w:right w:val="none" w:sz="0" w:space="0" w:color="auto"/>
                  </w:divBdr>
                  <w:divsChild>
                    <w:div w:id="414976085">
                      <w:marLeft w:val="0"/>
                      <w:marRight w:val="0"/>
                      <w:marTop w:val="120"/>
                      <w:marBottom w:val="0"/>
                      <w:divBdr>
                        <w:top w:val="none" w:sz="0" w:space="0" w:color="auto"/>
                        <w:left w:val="none" w:sz="0" w:space="0" w:color="auto"/>
                        <w:bottom w:val="none" w:sz="0" w:space="0" w:color="auto"/>
                        <w:right w:val="none" w:sz="0" w:space="0" w:color="auto"/>
                      </w:divBdr>
                    </w:div>
                    <w:div w:id="658458519">
                      <w:marLeft w:val="0"/>
                      <w:marRight w:val="0"/>
                      <w:marTop w:val="0"/>
                      <w:marBottom w:val="0"/>
                      <w:divBdr>
                        <w:top w:val="none" w:sz="0" w:space="0" w:color="auto"/>
                        <w:left w:val="none" w:sz="0" w:space="0" w:color="auto"/>
                        <w:bottom w:val="none" w:sz="0" w:space="0" w:color="auto"/>
                        <w:right w:val="none" w:sz="0" w:space="0" w:color="auto"/>
                      </w:divBdr>
                    </w:div>
                  </w:divsChild>
                </w:div>
                <w:div w:id="485560165">
                  <w:marLeft w:val="0"/>
                  <w:marRight w:val="0"/>
                  <w:marTop w:val="0"/>
                  <w:marBottom w:val="0"/>
                  <w:divBdr>
                    <w:top w:val="none" w:sz="0" w:space="0" w:color="auto"/>
                    <w:left w:val="none" w:sz="0" w:space="0" w:color="auto"/>
                    <w:bottom w:val="none" w:sz="0" w:space="0" w:color="auto"/>
                    <w:right w:val="none" w:sz="0" w:space="0" w:color="auto"/>
                  </w:divBdr>
                  <w:divsChild>
                    <w:div w:id="797526327">
                      <w:marLeft w:val="0"/>
                      <w:marRight w:val="0"/>
                      <w:marTop w:val="120"/>
                      <w:marBottom w:val="0"/>
                      <w:divBdr>
                        <w:top w:val="none" w:sz="0" w:space="0" w:color="auto"/>
                        <w:left w:val="none" w:sz="0" w:space="0" w:color="auto"/>
                        <w:bottom w:val="none" w:sz="0" w:space="0" w:color="auto"/>
                        <w:right w:val="none" w:sz="0" w:space="0" w:color="auto"/>
                      </w:divBdr>
                    </w:div>
                    <w:div w:id="17014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5134">
          <w:marLeft w:val="0"/>
          <w:marRight w:val="0"/>
          <w:marTop w:val="0"/>
          <w:marBottom w:val="0"/>
          <w:divBdr>
            <w:top w:val="none" w:sz="0" w:space="0" w:color="auto"/>
            <w:left w:val="none" w:sz="0" w:space="0" w:color="auto"/>
            <w:bottom w:val="none" w:sz="0" w:space="0" w:color="auto"/>
            <w:right w:val="none" w:sz="0" w:space="0" w:color="auto"/>
          </w:divBdr>
          <w:divsChild>
            <w:div w:id="81608170">
              <w:marLeft w:val="0"/>
              <w:marRight w:val="0"/>
              <w:marTop w:val="0"/>
              <w:marBottom w:val="0"/>
              <w:divBdr>
                <w:top w:val="none" w:sz="0" w:space="0" w:color="auto"/>
                <w:left w:val="none" w:sz="0" w:space="0" w:color="auto"/>
                <w:bottom w:val="none" w:sz="0" w:space="0" w:color="auto"/>
                <w:right w:val="none" w:sz="0" w:space="0" w:color="auto"/>
              </w:divBdr>
            </w:div>
          </w:divsChild>
        </w:div>
        <w:div w:id="1209417186">
          <w:marLeft w:val="0"/>
          <w:marRight w:val="0"/>
          <w:marTop w:val="0"/>
          <w:marBottom w:val="0"/>
          <w:divBdr>
            <w:top w:val="none" w:sz="0" w:space="0" w:color="auto"/>
            <w:left w:val="none" w:sz="0" w:space="0" w:color="auto"/>
            <w:bottom w:val="none" w:sz="0" w:space="0" w:color="auto"/>
            <w:right w:val="none" w:sz="0" w:space="0" w:color="auto"/>
          </w:divBdr>
          <w:divsChild>
            <w:div w:id="1086729521">
              <w:marLeft w:val="0"/>
              <w:marRight w:val="0"/>
              <w:marTop w:val="0"/>
              <w:marBottom w:val="0"/>
              <w:divBdr>
                <w:top w:val="none" w:sz="0" w:space="0" w:color="auto"/>
                <w:left w:val="none" w:sz="0" w:space="0" w:color="auto"/>
                <w:bottom w:val="none" w:sz="0" w:space="0" w:color="auto"/>
                <w:right w:val="none" w:sz="0" w:space="0" w:color="auto"/>
              </w:divBdr>
            </w:div>
          </w:divsChild>
        </w:div>
        <w:div w:id="1271738313">
          <w:marLeft w:val="0"/>
          <w:marRight w:val="0"/>
          <w:marTop w:val="0"/>
          <w:marBottom w:val="0"/>
          <w:divBdr>
            <w:top w:val="none" w:sz="0" w:space="0" w:color="auto"/>
            <w:left w:val="none" w:sz="0" w:space="0" w:color="auto"/>
            <w:bottom w:val="none" w:sz="0" w:space="0" w:color="auto"/>
            <w:right w:val="none" w:sz="0" w:space="0" w:color="auto"/>
          </w:divBdr>
          <w:divsChild>
            <w:div w:id="838547155">
              <w:marLeft w:val="0"/>
              <w:marRight w:val="0"/>
              <w:marTop w:val="0"/>
              <w:marBottom w:val="0"/>
              <w:divBdr>
                <w:top w:val="none" w:sz="0" w:space="0" w:color="auto"/>
                <w:left w:val="none" w:sz="0" w:space="0" w:color="auto"/>
                <w:bottom w:val="none" w:sz="0" w:space="0" w:color="auto"/>
                <w:right w:val="none" w:sz="0" w:space="0" w:color="auto"/>
              </w:divBdr>
            </w:div>
            <w:div w:id="2071880335">
              <w:marLeft w:val="0"/>
              <w:marRight w:val="0"/>
              <w:marTop w:val="120"/>
              <w:marBottom w:val="0"/>
              <w:divBdr>
                <w:top w:val="none" w:sz="0" w:space="0" w:color="auto"/>
                <w:left w:val="none" w:sz="0" w:space="0" w:color="auto"/>
                <w:bottom w:val="none" w:sz="0" w:space="0" w:color="auto"/>
                <w:right w:val="none" w:sz="0" w:space="0" w:color="auto"/>
              </w:divBdr>
            </w:div>
          </w:divsChild>
        </w:div>
        <w:div w:id="1278295863">
          <w:marLeft w:val="0"/>
          <w:marRight w:val="0"/>
          <w:marTop w:val="0"/>
          <w:marBottom w:val="0"/>
          <w:divBdr>
            <w:top w:val="none" w:sz="0" w:space="0" w:color="auto"/>
            <w:left w:val="none" w:sz="0" w:space="0" w:color="auto"/>
            <w:bottom w:val="none" w:sz="0" w:space="0" w:color="auto"/>
            <w:right w:val="none" w:sz="0" w:space="0" w:color="auto"/>
          </w:divBdr>
          <w:divsChild>
            <w:div w:id="538779882">
              <w:marLeft w:val="0"/>
              <w:marRight w:val="0"/>
              <w:marTop w:val="0"/>
              <w:marBottom w:val="0"/>
              <w:divBdr>
                <w:top w:val="none" w:sz="0" w:space="0" w:color="auto"/>
                <w:left w:val="none" w:sz="0" w:space="0" w:color="auto"/>
                <w:bottom w:val="none" w:sz="0" w:space="0" w:color="auto"/>
                <w:right w:val="none" w:sz="0" w:space="0" w:color="auto"/>
              </w:divBdr>
            </w:div>
          </w:divsChild>
        </w:div>
        <w:div w:id="1309286937">
          <w:marLeft w:val="0"/>
          <w:marRight w:val="0"/>
          <w:marTop w:val="0"/>
          <w:marBottom w:val="0"/>
          <w:divBdr>
            <w:top w:val="none" w:sz="0" w:space="0" w:color="auto"/>
            <w:left w:val="none" w:sz="0" w:space="0" w:color="auto"/>
            <w:bottom w:val="none" w:sz="0" w:space="0" w:color="auto"/>
            <w:right w:val="none" w:sz="0" w:space="0" w:color="auto"/>
          </w:divBdr>
          <w:divsChild>
            <w:div w:id="1339235956">
              <w:marLeft w:val="0"/>
              <w:marRight w:val="0"/>
              <w:marTop w:val="0"/>
              <w:marBottom w:val="0"/>
              <w:divBdr>
                <w:top w:val="none" w:sz="0" w:space="0" w:color="auto"/>
                <w:left w:val="none" w:sz="0" w:space="0" w:color="auto"/>
                <w:bottom w:val="none" w:sz="0" w:space="0" w:color="auto"/>
                <w:right w:val="none" w:sz="0" w:space="0" w:color="auto"/>
              </w:divBdr>
            </w:div>
          </w:divsChild>
        </w:div>
        <w:div w:id="1330139085">
          <w:marLeft w:val="0"/>
          <w:marRight w:val="0"/>
          <w:marTop w:val="0"/>
          <w:marBottom w:val="0"/>
          <w:divBdr>
            <w:top w:val="none" w:sz="0" w:space="0" w:color="auto"/>
            <w:left w:val="none" w:sz="0" w:space="0" w:color="auto"/>
            <w:bottom w:val="none" w:sz="0" w:space="0" w:color="auto"/>
            <w:right w:val="none" w:sz="0" w:space="0" w:color="auto"/>
          </w:divBdr>
          <w:divsChild>
            <w:div w:id="848061532">
              <w:marLeft w:val="0"/>
              <w:marRight w:val="0"/>
              <w:marTop w:val="0"/>
              <w:marBottom w:val="0"/>
              <w:divBdr>
                <w:top w:val="none" w:sz="0" w:space="0" w:color="auto"/>
                <w:left w:val="none" w:sz="0" w:space="0" w:color="auto"/>
                <w:bottom w:val="none" w:sz="0" w:space="0" w:color="auto"/>
                <w:right w:val="none" w:sz="0" w:space="0" w:color="auto"/>
              </w:divBdr>
            </w:div>
          </w:divsChild>
        </w:div>
        <w:div w:id="1410152499">
          <w:marLeft w:val="0"/>
          <w:marRight w:val="0"/>
          <w:marTop w:val="0"/>
          <w:marBottom w:val="0"/>
          <w:divBdr>
            <w:top w:val="none" w:sz="0" w:space="0" w:color="auto"/>
            <w:left w:val="none" w:sz="0" w:space="0" w:color="auto"/>
            <w:bottom w:val="none" w:sz="0" w:space="0" w:color="auto"/>
            <w:right w:val="none" w:sz="0" w:space="0" w:color="auto"/>
          </w:divBdr>
          <w:divsChild>
            <w:div w:id="116342580">
              <w:marLeft w:val="0"/>
              <w:marRight w:val="0"/>
              <w:marTop w:val="0"/>
              <w:marBottom w:val="0"/>
              <w:divBdr>
                <w:top w:val="none" w:sz="0" w:space="0" w:color="auto"/>
                <w:left w:val="none" w:sz="0" w:space="0" w:color="auto"/>
                <w:bottom w:val="none" w:sz="0" w:space="0" w:color="auto"/>
                <w:right w:val="none" w:sz="0" w:space="0" w:color="auto"/>
              </w:divBdr>
            </w:div>
            <w:div w:id="252671685">
              <w:marLeft w:val="0"/>
              <w:marRight w:val="0"/>
              <w:marTop w:val="120"/>
              <w:marBottom w:val="0"/>
              <w:divBdr>
                <w:top w:val="none" w:sz="0" w:space="0" w:color="auto"/>
                <w:left w:val="none" w:sz="0" w:space="0" w:color="auto"/>
                <w:bottom w:val="none" w:sz="0" w:space="0" w:color="auto"/>
                <w:right w:val="none" w:sz="0" w:space="0" w:color="auto"/>
              </w:divBdr>
            </w:div>
          </w:divsChild>
        </w:div>
        <w:div w:id="1482308359">
          <w:marLeft w:val="0"/>
          <w:marRight w:val="0"/>
          <w:marTop w:val="0"/>
          <w:marBottom w:val="0"/>
          <w:divBdr>
            <w:top w:val="none" w:sz="0" w:space="0" w:color="auto"/>
            <w:left w:val="none" w:sz="0" w:space="0" w:color="auto"/>
            <w:bottom w:val="none" w:sz="0" w:space="0" w:color="auto"/>
            <w:right w:val="none" w:sz="0" w:space="0" w:color="auto"/>
          </w:divBdr>
          <w:divsChild>
            <w:div w:id="1672294259">
              <w:marLeft w:val="0"/>
              <w:marRight w:val="0"/>
              <w:marTop w:val="0"/>
              <w:marBottom w:val="0"/>
              <w:divBdr>
                <w:top w:val="none" w:sz="0" w:space="0" w:color="auto"/>
                <w:left w:val="none" w:sz="0" w:space="0" w:color="auto"/>
                <w:bottom w:val="none" w:sz="0" w:space="0" w:color="auto"/>
                <w:right w:val="none" w:sz="0" w:space="0" w:color="auto"/>
              </w:divBdr>
              <w:divsChild>
                <w:div w:id="106630745">
                  <w:marLeft w:val="0"/>
                  <w:marRight w:val="0"/>
                  <w:marTop w:val="0"/>
                  <w:marBottom w:val="0"/>
                  <w:divBdr>
                    <w:top w:val="none" w:sz="0" w:space="0" w:color="auto"/>
                    <w:left w:val="none" w:sz="0" w:space="0" w:color="auto"/>
                    <w:bottom w:val="none" w:sz="0" w:space="0" w:color="auto"/>
                    <w:right w:val="none" w:sz="0" w:space="0" w:color="auto"/>
                  </w:divBdr>
                  <w:divsChild>
                    <w:div w:id="1246039445">
                      <w:marLeft w:val="0"/>
                      <w:marRight w:val="0"/>
                      <w:marTop w:val="0"/>
                      <w:marBottom w:val="0"/>
                      <w:divBdr>
                        <w:top w:val="none" w:sz="0" w:space="0" w:color="auto"/>
                        <w:left w:val="none" w:sz="0" w:space="0" w:color="auto"/>
                        <w:bottom w:val="none" w:sz="0" w:space="0" w:color="auto"/>
                        <w:right w:val="none" w:sz="0" w:space="0" w:color="auto"/>
                      </w:divBdr>
                    </w:div>
                    <w:div w:id="1362123417">
                      <w:marLeft w:val="0"/>
                      <w:marRight w:val="0"/>
                      <w:marTop w:val="120"/>
                      <w:marBottom w:val="0"/>
                      <w:divBdr>
                        <w:top w:val="none" w:sz="0" w:space="0" w:color="auto"/>
                        <w:left w:val="none" w:sz="0" w:space="0" w:color="auto"/>
                        <w:bottom w:val="none" w:sz="0" w:space="0" w:color="auto"/>
                        <w:right w:val="none" w:sz="0" w:space="0" w:color="auto"/>
                      </w:divBdr>
                    </w:div>
                  </w:divsChild>
                </w:div>
                <w:div w:id="190384888">
                  <w:marLeft w:val="0"/>
                  <w:marRight w:val="0"/>
                  <w:marTop w:val="0"/>
                  <w:marBottom w:val="0"/>
                  <w:divBdr>
                    <w:top w:val="none" w:sz="0" w:space="0" w:color="auto"/>
                    <w:left w:val="none" w:sz="0" w:space="0" w:color="auto"/>
                    <w:bottom w:val="none" w:sz="0" w:space="0" w:color="auto"/>
                    <w:right w:val="none" w:sz="0" w:space="0" w:color="auto"/>
                  </w:divBdr>
                  <w:divsChild>
                    <w:div w:id="1063337511">
                      <w:marLeft w:val="0"/>
                      <w:marRight w:val="0"/>
                      <w:marTop w:val="0"/>
                      <w:marBottom w:val="0"/>
                      <w:divBdr>
                        <w:top w:val="none" w:sz="0" w:space="0" w:color="auto"/>
                        <w:left w:val="none" w:sz="0" w:space="0" w:color="auto"/>
                        <w:bottom w:val="none" w:sz="0" w:space="0" w:color="auto"/>
                        <w:right w:val="none" w:sz="0" w:space="0" w:color="auto"/>
                      </w:divBdr>
                    </w:div>
                    <w:div w:id="1100640145">
                      <w:marLeft w:val="0"/>
                      <w:marRight w:val="0"/>
                      <w:marTop w:val="120"/>
                      <w:marBottom w:val="0"/>
                      <w:divBdr>
                        <w:top w:val="none" w:sz="0" w:space="0" w:color="auto"/>
                        <w:left w:val="none" w:sz="0" w:space="0" w:color="auto"/>
                        <w:bottom w:val="none" w:sz="0" w:space="0" w:color="auto"/>
                        <w:right w:val="none" w:sz="0" w:space="0" w:color="auto"/>
                      </w:divBdr>
                    </w:div>
                  </w:divsChild>
                </w:div>
                <w:div w:id="377364114">
                  <w:marLeft w:val="0"/>
                  <w:marRight w:val="0"/>
                  <w:marTop w:val="0"/>
                  <w:marBottom w:val="0"/>
                  <w:divBdr>
                    <w:top w:val="none" w:sz="0" w:space="0" w:color="auto"/>
                    <w:left w:val="none" w:sz="0" w:space="0" w:color="auto"/>
                    <w:bottom w:val="none" w:sz="0" w:space="0" w:color="auto"/>
                    <w:right w:val="none" w:sz="0" w:space="0" w:color="auto"/>
                  </w:divBdr>
                  <w:divsChild>
                    <w:div w:id="1213422475">
                      <w:marLeft w:val="0"/>
                      <w:marRight w:val="0"/>
                      <w:marTop w:val="0"/>
                      <w:marBottom w:val="0"/>
                      <w:divBdr>
                        <w:top w:val="none" w:sz="0" w:space="0" w:color="auto"/>
                        <w:left w:val="none" w:sz="0" w:space="0" w:color="auto"/>
                        <w:bottom w:val="none" w:sz="0" w:space="0" w:color="auto"/>
                        <w:right w:val="none" w:sz="0" w:space="0" w:color="auto"/>
                      </w:divBdr>
                    </w:div>
                    <w:div w:id="1214003092">
                      <w:marLeft w:val="0"/>
                      <w:marRight w:val="0"/>
                      <w:marTop w:val="120"/>
                      <w:marBottom w:val="0"/>
                      <w:divBdr>
                        <w:top w:val="none" w:sz="0" w:space="0" w:color="auto"/>
                        <w:left w:val="none" w:sz="0" w:space="0" w:color="auto"/>
                        <w:bottom w:val="none" w:sz="0" w:space="0" w:color="auto"/>
                        <w:right w:val="none" w:sz="0" w:space="0" w:color="auto"/>
                      </w:divBdr>
                    </w:div>
                  </w:divsChild>
                </w:div>
                <w:div w:id="531847079">
                  <w:marLeft w:val="0"/>
                  <w:marRight w:val="0"/>
                  <w:marTop w:val="0"/>
                  <w:marBottom w:val="0"/>
                  <w:divBdr>
                    <w:top w:val="none" w:sz="0" w:space="0" w:color="auto"/>
                    <w:left w:val="none" w:sz="0" w:space="0" w:color="auto"/>
                    <w:bottom w:val="none" w:sz="0" w:space="0" w:color="auto"/>
                    <w:right w:val="none" w:sz="0" w:space="0" w:color="auto"/>
                  </w:divBdr>
                  <w:divsChild>
                    <w:div w:id="1137911164">
                      <w:marLeft w:val="0"/>
                      <w:marRight w:val="0"/>
                      <w:marTop w:val="0"/>
                      <w:marBottom w:val="0"/>
                      <w:divBdr>
                        <w:top w:val="none" w:sz="0" w:space="0" w:color="auto"/>
                        <w:left w:val="none" w:sz="0" w:space="0" w:color="auto"/>
                        <w:bottom w:val="none" w:sz="0" w:space="0" w:color="auto"/>
                        <w:right w:val="none" w:sz="0" w:space="0" w:color="auto"/>
                      </w:divBdr>
                    </w:div>
                    <w:div w:id="2147156837">
                      <w:marLeft w:val="0"/>
                      <w:marRight w:val="0"/>
                      <w:marTop w:val="120"/>
                      <w:marBottom w:val="0"/>
                      <w:divBdr>
                        <w:top w:val="none" w:sz="0" w:space="0" w:color="auto"/>
                        <w:left w:val="none" w:sz="0" w:space="0" w:color="auto"/>
                        <w:bottom w:val="none" w:sz="0" w:space="0" w:color="auto"/>
                        <w:right w:val="none" w:sz="0" w:space="0" w:color="auto"/>
                      </w:divBdr>
                    </w:div>
                  </w:divsChild>
                </w:div>
                <w:div w:id="652224843">
                  <w:marLeft w:val="0"/>
                  <w:marRight w:val="0"/>
                  <w:marTop w:val="0"/>
                  <w:marBottom w:val="0"/>
                  <w:divBdr>
                    <w:top w:val="none" w:sz="0" w:space="0" w:color="auto"/>
                    <w:left w:val="none" w:sz="0" w:space="0" w:color="auto"/>
                    <w:bottom w:val="none" w:sz="0" w:space="0" w:color="auto"/>
                    <w:right w:val="none" w:sz="0" w:space="0" w:color="auto"/>
                  </w:divBdr>
                  <w:divsChild>
                    <w:div w:id="391657493">
                      <w:marLeft w:val="0"/>
                      <w:marRight w:val="0"/>
                      <w:marTop w:val="0"/>
                      <w:marBottom w:val="0"/>
                      <w:divBdr>
                        <w:top w:val="none" w:sz="0" w:space="0" w:color="auto"/>
                        <w:left w:val="none" w:sz="0" w:space="0" w:color="auto"/>
                        <w:bottom w:val="none" w:sz="0" w:space="0" w:color="auto"/>
                        <w:right w:val="none" w:sz="0" w:space="0" w:color="auto"/>
                      </w:divBdr>
                    </w:div>
                    <w:div w:id="1141265625">
                      <w:marLeft w:val="0"/>
                      <w:marRight w:val="0"/>
                      <w:marTop w:val="120"/>
                      <w:marBottom w:val="0"/>
                      <w:divBdr>
                        <w:top w:val="none" w:sz="0" w:space="0" w:color="auto"/>
                        <w:left w:val="none" w:sz="0" w:space="0" w:color="auto"/>
                        <w:bottom w:val="none" w:sz="0" w:space="0" w:color="auto"/>
                        <w:right w:val="none" w:sz="0" w:space="0" w:color="auto"/>
                      </w:divBdr>
                    </w:div>
                  </w:divsChild>
                </w:div>
                <w:div w:id="1254900441">
                  <w:marLeft w:val="0"/>
                  <w:marRight w:val="0"/>
                  <w:marTop w:val="0"/>
                  <w:marBottom w:val="0"/>
                  <w:divBdr>
                    <w:top w:val="none" w:sz="0" w:space="0" w:color="auto"/>
                    <w:left w:val="none" w:sz="0" w:space="0" w:color="auto"/>
                    <w:bottom w:val="none" w:sz="0" w:space="0" w:color="auto"/>
                    <w:right w:val="none" w:sz="0" w:space="0" w:color="auto"/>
                  </w:divBdr>
                  <w:divsChild>
                    <w:div w:id="379788348">
                      <w:marLeft w:val="0"/>
                      <w:marRight w:val="0"/>
                      <w:marTop w:val="0"/>
                      <w:marBottom w:val="0"/>
                      <w:divBdr>
                        <w:top w:val="none" w:sz="0" w:space="0" w:color="auto"/>
                        <w:left w:val="none" w:sz="0" w:space="0" w:color="auto"/>
                        <w:bottom w:val="none" w:sz="0" w:space="0" w:color="auto"/>
                        <w:right w:val="none" w:sz="0" w:space="0" w:color="auto"/>
                      </w:divBdr>
                    </w:div>
                    <w:div w:id="1663853272">
                      <w:marLeft w:val="0"/>
                      <w:marRight w:val="0"/>
                      <w:marTop w:val="120"/>
                      <w:marBottom w:val="0"/>
                      <w:divBdr>
                        <w:top w:val="none" w:sz="0" w:space="0" w:color="auto"/>
                        <w:left w:val="none" w:sz="0" w:space="0" w:color="auto"/>
                        <w:bottom w:val="none" w:sz="0" w:space="0" w:color="auto"/>
                        <w:right w:val="none" w:sz="0" w:space="0" w:color="auto"/>
                      </w:divBdr>
                    </w:div>
                  </w:divsChild>
                </w:div>
                <w:div w:id="1380741443">
                  <w:marLeft w:val="0"/>
                  <w:marRight w:val="0"/>
                  <w:marTop w:val="0"/>
                  <w:marBottom w:val="0"/>
                  <w:divBdr>
                    <w:top w:val="none" w:sz="0" w:space="0" w:color="auto"/>
                    <w:left w:val="none" w:sz="0" w:space="0" w:color="auto"/>
                    <w:bottom w:val="none" w:sz="0" w:space="0" w:color="auto"/>
                    <w:right w:val="none" w:sz="0" w:space="0" w:color="auto"/>
                  </w:divBdr>
                  <w:divsChild>
                    <w:div w:id="1029329859">
                      <w:marLeft w:val="0"/>
                      <w:marRight w:val="0"/>
                      <w:marTop w:val="120"/>
                      <w:marBottom w:val="0"/>
                      <w:divBdr>
                        <w:top w:val="none" w:sz="0" w:space="0" w:color="auto"/>
                        <w:left w:val="none" w:sz="0" w:space="0" w:color="auto"/>
                        <w:bottom w:val="none" w:sz="0" w:space="0" w:color="auto"/>
                        <w:right w:val="none" w:sz="0" w:space="0" w:color="auto"/>
                      </w:divBdr>
                    </w:div>
                    <w:div w:id="2141221348">
                      <w:marLeft w:val="0"/>
                      <w:marRight w:val="0"/>
                      <w:marTop w:val="0"/>
                      <w:marBottom w:val="0"/>
                      <w:divBdr>
                        <w:top w:val="none" w:sz="0" w:space="0" w:color="auto"/>
                        <w:left w:val="none" w:sz="0" w:space="0" w:color="auto"/>
                        <w:bottom w:val="none" w:sz="0" w:space="0" w:color="auto"/>
                        <w:right w:val="none" w:sz="0" w:space="0" w:color="auto"/>
                      </w:divBdr>
                    </w:div>
                  </w:divsChild>
                </w:div>
                <w:div w:id="1729454045">
                  <w:marLeft w:val="0"/>
                  <w:marRight w:val="0"/>
                  <w:marTop w:val="0"/>
                  <w:marBottom w:val="0"/>
                  <w:divBdr>
                    <w:top w:val="none" w:sz="0" w:space="0" w:color="auto"/>
                    <w:left w:val="none" w:sz="0" w:space="0" w:color="auto"/>
                    <w:bottom w:val="none" w:sz="0" w:space="0" w:color="auto"/>
                    <w:right w:val="none" w:sz="0" w:space="0" w:color="auto"/>
                  </w:divBdr>
                  <w:divsChild>
                    <w:div w:id="508984815">
                      <w:marLeft w:val="0"/>
                      <w:marRight w:val="0"/>
                      <w:marTop w:val="0"/>
                      <w:marBottom w:val="0"/>
                      <w:divBdr>
                        <w:top w:val="none" w:sz="0" w:space="0" w:color="auto"/>
                        <w:left w:val="none" w:sz="0" w:space="0" w:color="auto"/>
                        <w:bottom w:val="none" w:sz="0" w:space="0" w:color="auto"/>
                        <w:right w:val="none" w:sz="0" w:space="0" w:color="auto"/>
                      </w:divBdr>
                    </w:div>
                    <w:div w:id="1927574870">
                      <w:marLeft w:val="0"/>
                      <w:marRight w:val="0"/>
                      <w:marTop w:val="120"/>
                      <w:marBottom w:val="0"/>
                      <w:divBdr>
                        <w:top w:val="none" w:sz="0" w:space="0" w:color="auto"/>
                        <w:left w:val="none" w:sz="0" w:space="0" w:color="auto"/>
                        <w:bottom w:val="none" w:sz="0" w:space="0" w:color="auto"/>
                        <w:right w:val="none" w:sz="0" w:space="0" w:color="auto"/>
                      </w:divBdr>
                    </w:div>
                  </w:divsChild>
                </w:div>
                <w:div w:id="1761750262">
                  <w:marLeft w:val="0"/>
                  <w:marRight w:val="0"/>
                  <w:marTop w:val="0"/>
                  <w:marBottom w:val="0"/>
                  <w:divBdr>
                    <w:top w:val="none" w:sz="0" w:space="0" w:color="auto"/>
                    <w:left w:val="none" w:sz="0" w:space="0" w:color="auto"/>
                    <w:bottom w:val="none" w:sz="0" w:space="0" w:color="auto"/>
                    <w:right w:val="none" w:sz="0" w:space="0" w:color="auto"/>
                  </w:divBdr>
                  <w:divsChild>
                    <w:div w:id="576787894">
                      <w:marLeft w:val="0"/>
                      <w:marRight w:val="0"/>
                      <w:marTop w:val="120"/>
                      <w:marBottom w:val="0"/>
                      <w:divBdr>
                        <w:top w:val="none" w:sz="0" w:space="0" w:color="auto"/>
                        <w:left w:val="none" w:sz="0" w:space="0" w:color="auto"/>
                        <w:bottom w:val="none" w:sz="0" w:space="0" w:color="auto"/>
                        <w:right w:val="none" w:sz="0" w:space="0" w:color="auto"/>
                      </w:divBdr>
                    </w:div>
                    <w:div w:id="2115781199">
                      <w:marLeft w:val="0"/>
                      <w:marRight w:val="0"/>
                      <w:marTop w:val="0"/>
                      <w:marBottom w:val="0"/>
                      <w:divBdr>
                        <w:top w:val="none" w:sz="0" w:space="0" w:color="auto"/>
                        <w:left w:val="none" w:sz="0" w:space="0" w:color="auto"/>
                        <w:bottom w:val="none" w:sz="0" w:space="0" w:color="auto"/>
                        <w:right w:val="none" w:sz="0" w:space="0" w:color="auto"/>
                      </w:divBdr>
                    </w:div>
                  </w:divsChild>
                </w:div>
                <w:div w:id="1780568470">
                  <w:marLeft w:val="0"/>
                  <w:marRight w:val="0"/>
                  <w:marTop w:val="0"/>
                  <w:marBottom w:val="0"/>
                  <w:divBdr>
                    <w:top w:val="none" w:sz="0" w:space="0" w:color="auto"/>
                    <w:left w:val="none" w:sz="0" w:space="0" w:color="auto"/>
                    <w:bottom w:val="none" w:sz="0" w:space="0" w:color="auto"/>
                    <w:right w:val="none" w:sz="0" w:space="0" w:color="auto"/>
                  </w:divBdr>
                  <w:divsChild>
                    <w:div w:id="1188912197">
                      <w:marLeft w:val="0"/>
                      <w:marRight w:val="0"/>
                      <w:marTop w:val="0"/>
                      <w:marBottom w:val="0"/>
                      <w:divBdr>
                        <w:top w:val="none" w:sz="0" w:space="0" w:color="auto"/>
                        <w:left w:val="none" w:sz="0" w:space="0" w:color="auto"/>
                        <w:bottom w:val="none" w:sz="0" w:space="0" w:color="auto"/>
                        <w:right w:val="none" w:sz="0" w:space="0" w:color="auto"/>
                      </w:divBdr>
                    </w:div>
                    <w:div w:id="1896234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52497041">
          <w:marLeft w:val="0"/>
          <w:marRight w:val="0"/>
          <w:marTop w:val="0"/>
          <w:marBottom w:val="0"/>
          <w:divBdr>
            <w:top w:val="none" w:sz="0" w:space="0" w:color="auto"/>
            <w:left w:val="none" w:sz="0" w:space="0" w:color="auto"/>
            <w:bottom w:val="none" w:sz="0" w:space="0" w:color="auto"/>
            <w:right w:val="none" w:sz="0" w:space="0" w:color="auto"/>
          </w:divBdr>
          <w:divsChild>
            <w:div w:id="264390957">
              <w:marLeft w:val="0"/>
              <w:marRight w:val="0"/>
              <w:marTop w:val="0"/>
              <w:marBottom w:val="0"/>
              <w:divBdr>
                <w:top w:val="none" w:sz="0" w:space="0" w:color="auto"/>
                <w:left w:val="none" w:sz="0" w:space="0" w:color="auto"/>
                <w:bottom w:val="none" w:sz="0" w:space="0" w:color="auto"/>
                <w:right w:val="none" w:sz="0" w:space="0" w:color="auto"/>
              </w:divBdr>
            </w:div>
          </w:divsChild>
        </w:div>
        <w:div w:id="1564172303">
          <w:marLeft w:val="0"/>
          <w:marRight w:val="0"/>
          <w:marTop w:val="0"/>
          <w:marBottom w:val="0"/>
          <w:divBdr>
            <w:top w:val="none" w:sz="0" w:space="0" w:color="auto"/>
            <w:left w:val="none" w:sz="0" w:space="0" w:color="auto"/>
            <w:bottom w:val="none" w:sz="0" w:space="0" w:color="auto"/>
            <w:right w:val="none" w:sz="0" w:space="0" w:color="auto"/>
          </w:divBdr>
          <w:divsChild>
            <w:div w:id="2139565325">
              <w:marLeft w:val="0"/>
              <w:marRight w:val="0"/>
              <w:marTop w:val="0"/>
              <w:marBottom w:val="0"/>
              <w:divBdr>
                <w:top w:val="none" w:sz="0" w:space="0" w:color="auto"/>
                <w:left w:val="none" w:sz="0" w:space="0" w:color="auto"/>
                <w:bottom w:val="none" w:sz="0" w:space="0" w:color="auto"/>
                <w:right w:val="none" w:sz="0" w:space="0" w:color="auto"/>
              </w:divBdr>
            </w:div>
          </w:divsChild>
        </w:div>
        <w:div w:id="1582791679">
          <w:marLeft w:val="0"/>
          <w:marRight w:val="0"/>
          <w:marTop w:val="0"/>
          <w:marBottom w:val="0"/>
          <w:divBdr>
            <w:top w:val="none" w:sz="0" w:space="0" w:color="auto"/>
            <w:left w:val="none" w:sz="0" w:space="0" w:color="auto"/>
            <w:bottom w:val="none" w:sz="0" w:space="0" w:color="auto"/>
            <w:right w:val="none" w:sz="0" w:space="0" w:color="auto"/>
          </w:divBdr>
          <w:divsChild>
            <w:div w:id="574705682">
              <w:marLeft w:val="0"/>
              <w:marRight w:val="0"/>
              <w:marTop w:val="0"/>
              <w:marBottom w:val="0"/>
              <w:divBdr>
                <w:top w:val="none" w:sz="0" w:space="0" w:color="auto"/>
                <w:left w:val="none" w:sz="0" w:space="0" w:color="auto"/>
                <w:bottom w:val="none" w:sz="0" w:space="0" w:color="auto"/>
                <w:right w:val="none" w:sz="0" w:space="0" w:color="auto"/>
              </w:divBdr>
            </w:div>
          </w:divsChild>
        </w:div>
        <w:div w:id="1615870338">
          <w:marLeft w:val="0"/>
          <w:marRight w:val="0"/>
          <w:marTop w:val="0"/>
          <w:marBottom w:val="0"/>
          <w:divBdr>
            <w:top w:val="none" w:sz="0" w:space="0" w:color="auto"/>
            <w:left w:val="none" w:sz="0" w:space="0" w:color="auto"/>
            <w:bottom w:val="none" w:sz="0" w:space="0" w:color="auto"/>
            <w:right w:val="none" w:sz="0" w:space="0" w:color="auto"/>
          </w:divBdr>
          <w:divsChild>
            <w:div w:id="410856407">
              <w:marLeft w:val="0"/>
              <w:marRight w:val="0"/>
              <w:marTop w:val="0"/>
              <w:marBottom w:val="0"/>
              <w:divBdr>
                <w:top w:val="none" w:sz="0" w:space="0" w:color="auto"/>
                <w:left w:val="none" w:sz="0" w:space="0" w:color="auto"/>
                <w:bottom w:val="none" w:sz="0" w:space="0" w:color="auto"/>
                <w:right w:val="none" w:sz="0" w:space="0" w:color="auto"/>
              </w:divBdr>
            </w:div>
          </w:divsChild>
        </w:div>
        <w:div w:id="1643849584">
          <w:marLeft w:val="0"/>
          <w:marRight w:val="0"/>
          <w:marTop w:val="0"/>
          <w:marBottom w:val="0"/>
          <w:divBdr>
            <w:top w:val="none" w:sz="0" w:space="0" w:color="auto"/>
            <w:left w:val="none" w:sz="0" w:space="0" w:color="auto"/>
            <w:bottom w:val="none" w:sz="0" w:space="0" w:color="auto"/>
            <w:right w:val="none" w:sz="0" w:space="0" w:color="auto"/>
          </w:divBdr>
          <w:divsChild>
            <w:div w:id="1151992151">
              <w:marLeft w:val="0"/>
              <w:marRight w:val="0"/>
              <w:marTop w:val="0"/>
              <w:marBottom w:val="0"/>
              <w:divBdr>
                <w:top w:val="none" w:sz="0" w:space="0" w:color="auto"/>
                <w:left w:val="none" w:sz="0" w:space="0" w:color="auto"/>
                <w:bottom w:val="none" w:sz="0" w:space="0" w:color="auto"/>
                <w:right w:val="none" w:sz="0" w:space="0" w:color="auto"/>
              </w:divBdr>
            </w:div>
          </w:divsChild>
        </w:div>
        <w:div w:id="1669627676">
          <w:marLeft w:val="0"/>
          <w:marRight w:val="0"/>
          <w:marTop w:val="0"/>
          <w:marBottom w:val="0"/>
          <w:divBdr>
            <w:top w:val="none" w:sz="0" w:space="0" w:color="auto"/>
            <w:left w:val="none" w:sz="0" w:space="0" w:color="auto"/>
            <w:bottom w:val="none" w:sz="0" w:space="0" w:color="auto"/>
            <w:right w:val="none" w:sz="0" w:space="0" w:color="auto"/>
          </w:divBdr>
          <w:divsChild>
            <w:div w:id="116919349">
              <w:marLeft w:val="0"/>
              <w:marRight w:val="0"/>
              <w:marTop w:val="0"/>
              <w:marBottom w:val="0"/>
              <w:divBdr>
                <w:top w:val="none" w:sz="0" w:space="0" w:color="auto"/>
                <w:left w:val="none" w:sz="0" w:space="0" w:color="auto"/>
                <w:bottom w:val="none" w:sz="0" w:space="0" w:color="auto"/>
                <w:right w:val="none" w:sz="0" w:space="0" w:color="auto"/>
              </w:divBdr>
              <w:divsChild>
                <w:div w:id="1052004106">
                  <w:marLeft w:val="0"/>
                  <w:marRight w:val="0"/>
                  <w:marTop w:val="0"/>
                  <w:marBottom w:val="0"/>
                  <w:divBdr>
                    <w:top w:val="none" w:sz="0" w:space="0" w:color="auto"/>
                    <w:left w:val="none" w:sz="0" w:space="0" w:color="auto"/>
                    <w:bottom w:val="none" w:sz="0" w:space="0" w:color="auto"/>
                    <w:right w:val="none" w:sz="0" w:space="0" w:color="auto"/>
                  </w:divBdr>
                  <w:divsChild>
                    <w:div w:id="285352283">
                      <w:marLeft w:val="0"/>
                      <w:marRight w:val="0"/>
                      <w:marTop w:val="0"/>
                      <w:marBottom w:val="0"/>
                      <w:divBdr>
                        <w:top w:val="none" w:sz="0" w:space="0" w:color="auto"/>
                        <w:left w:val="none" w:sz="0" w:space="0" w:color="auto"/>
                        <w:bottom w:val="none" w:sz="0" w:space="0" w:color="auto"/>
                        <w:right w:val="none" w:sz="0" w:space="0" w:color="auto"/>
                      </w:divBdr>
                    </w:div>
                    <w:div w:id="1176000799">
                      <w:marLeft w:val="0"/>
                      <w:marRight w:val="0"/>
                      <w:marTop w:val="120"/>
                      <w:marBottom w:val="0"/>
                      <w:divBdr>
                        <w:top w:val="none" w:sz="0" w:space="0" w:color="auto"/>
                        <w:left w:val="none" w:sz="0" w:space="0" w:color="auto"/>
                        <w:bottom w:val="none" w:sz="0" w:space="0" w:color="auto"/>
                        <w:right w:val="none" w:sz="0" w:space="0" w:color="auto"/>
                      </w:divBdr>
                    </w:div>
                  </w:divsChild>
                </w:div>
                <w:div w:id="1357078573">
                  <w:marLeft w:val="0"/>
                  <w:marRight w:val="0"/>
                  <w:marTop w:val="0"/>
                  <w:marBottom w:val="0"/>
                  <w:divBdr>
                    <w:top w:val="none" w:sz="0" w:space="0" w:color="auto"/>
                    <w:left w:val="none" w:sz="0" w:space="0" w:color="auto"/>
                    <w:bottom w:val="none" w:sz="0" w:space="0" w:color="auto"/>
                    <w:right w:val="none" w:sz="0" w:space="0" w:color="auto"/>
                  </w:divBdr>
                  <w:divsChild>
                    <w:div w:id="1028991936">
                      <w:marLeft w:val="0"/>
                      <w:marRight w:val="0"/>
                      <w:marTop w:val="120"/>
                      <w:marBottom w:val="0"/>
                      <w:divBdr>
                        <w:top w:val="none" w:sz="0" w:space="0" w:color="auto"/>
                        <w:left w:val="none" w:sz="0" w:space="0" w:color="auto"/>
                        <w:bottom w:val="none" w:sz="0" w:space="0" w:color="auto"/>
                        <w:right w:val="none" w:sz="0" w:space="0" w:color="auto"/>
                      </w:divBdr>
                    </w:div>
                    <w:div w:id="1880051943">
                      <w:marLeft w:val="0"/>
                      <w:marRight w:val="0"/>
                      <w:marTop w:val="0"/>
                      <w:marBottom w:val="0"/>
                      <w:divBdr>
                        <w:top w:val="none" w:sz="0" w:space="0" w:color="auto"/>
                        <w:left w:val="none" w:sz="0" w:space="0" w:color="auto"/>
                        <w:bottom w:val="none" w:sz="0" w:space="0" w:color="auto"/>
                        <w:right w:val="none" w:sz="0" w:space="0" w:color="auto"/>
                      </w:divBdr>
                    </w:div>
                  </w:divsChild>
                </w:div>
                <w:div w:id="2123718633">
                  <w:marLeft w:val="0"/>
                  <w:marRight w:val="0"/>
                  <w:marTop w:val="0"/>
                  <w:marBottom w:val="0"/>
                  <w:divBdr>
                    <w:top w:val="none" w:sz="0" w:space="0" w:color="auto"/>
                    <w:left w:val="none" w:sz="0" w:space="0" w:color="auto"/>
                    <w:bottom w:val="none" w:sz="0" w:space="0" w:color="auto"/>
                    <w:right w:val="none" w:sz="0" w:space="0" w:color="auto"/>
                  </w:divBdr>
                  <w:divsChild>
                    <w:div w:id="722145915">
                      <w:marLeft w:val="0"/>
                      <w:marRight w:val="0"/>
                      <w:marTop w:val="0"/>
                      <w:marBottom w:val="0"/>
                      <w:divBdr>
                        <w:top w:val="none" w:sz="0" w:space="0" w:color="auto"/>
                        <w:left w:val="none" w:sz="0" w:space="0" w:color="auto"/>
                        <w:bottom w:val="none" w:sz="0" w:space="0" w:color="auto"/>
                        <w:right w:val="none" w:sz="0" w:space="0" w:color="auto"/>
                      </w:divBdr>
                    </w:div>
                    <w:div w:id="1355231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58941505">
          <w:marLeft w:val="0"/>
          <w:marRight w:val="0"/>
          <w:marTop w:val="0"/>
          <w:marBottom w:val="0"/>
          <w:divBdr>
            <w:top w:val="none" w:sz="0" w:space="0" w:color="auto"/>
            <w:left w:val="none" w:sz="0" w:space="0" w:color="auto"/>
            <w:bottom w:val="none" w:sz="0" w:space="0" w:color="auto"/>
            <w:right w:val="none" w:sz="0" w:space="0" w:color="auto"/>
          </w:divBdr>
          <w:divsChild>
            <w:div w:id="1805074005">
              <w:marLeft w:val="0"/>
              <w:marRight w:val="0"/>
              <w:marTop w:val="0"/>
              <w:marBottom w:val="0"/>
              <w:divBdr>
                <w:top w:val="none" w:sz="0" w:space="0" w:color="auto"/>
                <w:left w:val="none" w:sz="0" w:space="0" w:color="auto"/>
                <w:bottom w:val="none" w:sz="0" w:space="0" w:color="auto"/>
                <w:right w:val="none" w:sz="0" w:space="0" w:color="auto"/>
              </w:divBdr>
            </w:div>
          </w:divsChild>
        </w:div>
        <w:div w:id="1764492569">
          <w:marLeft w:val="0"/>
          <w:marRight w:val="0"/>
          <w:marTop w:val="0"/>
          <w:marBottom w:val="0"/>
          <w:divBdr>
            <w:top w:val="none" w:sz="0" w:space="0" w:color="auto"/>
            <w:left w:val="none" w:sz="0" w:space="0" w:color="auto"/>
            <w:bottom w:val="none" w:sz="0" w:space="0" w:color="auto"/>
            <w:right w:val="none" w:sz="0" w:space="0" w:color="auto"/>
          </w:divBdr>
          <w:divsChild>
            <w:div w:id="1089547303">
              <w:marLeft w:val="0"/>
              <w:marRight w:val="0"/>
              <w:marTop w:val="0"/>
              <w:marBottom w:val="0"/>
              <w:divBdr>
                <w:top w:val="none" w:sz="0" w:space="0" w:color="auto"/>
                <w:left w:val="none" w:sz="0" w:space="0" w:color="auto"/>
                <w:bottom w:val="none" w:sz="0" w:space="0" w:color="auto"/>
                <w:right w:val="none" w:sz="0" w:space="0" w:color="auto"/>
              </w:divBdr>
            </w:div>
          </w:divsChild>
        </w:div>
        <w:div w:id="1814518201">
          <w:marLeft w:val="0"/>
          <w:marRight w:val="0"/>
          <w:marTop w:val="0"/>
          <w:marBottom w:val="0"/>
          <w:divBdr>
            <w:top w:val="none" w:sz="0" w:space="0" w:color="auto"/>
            <w:left w:val="none" w:sz="0" w:space="0" w:color="auto"/>
            <w:bottom w:val="none" w:sz="0" w:space="0" w:color="auto"/>
            <w:right w:val="none" w:sz="0" w:space="0" w:color="auto"/>
          </w:divBdr>
          <w:divsChild>
            <w:div w:id="1354527575">
              <w:marLeft w:val="0"/>
              <w:marRight w:val="0"/>
              <w:marTop w:val="0"/>
              <w:marBottom w:val="0"/>
              <w:divBdr>
                <w:top w:val="none" w:sz="0" w:space="0" w:color="auto"/>
                <w:left w:val="none" w:sz="0" w:space="0" w:color="auto"/>
                <w:bottom w:val="none" w:sz="0" w:space="0" w:color="auto"/>
                <w:right w:val="none" w:sz="0" w:space="0" w:color="auto"/>
              </w:divBdr>
            </w:div>
          </w:divsChild>
        </w:div>
        <w:div w:id="1845823185">
          <w:marLeft w:val="0"/>
          <w:marRight w:val="0"/>
          <w:marTop w:val="0"/>
          <w:marBottom w:val="0"/>
          <w:divBdr>
            <w:top w:val="none" w:sz="0" w:space="0" w:color="auto"/>
            <w:left w:val="none" w:sz="0" w:space="0" w:color="auto"/>
            <w:bottom w:val="none" w:sz="0" w:space="0" w:color="auto"/>
            <w:right w:val="none" w:sz="0" w:space="0" w:color="auto"/>
          </w:divBdr>
          <w:divsChild>
            <w:div w:id="2040859835">
              <w:marLeft w:val="0"/>
              <w:marRight w:val="0"/>
              <w:marTop w:val="0"/>
              <w:marBottom w:val="0"/>
              <w:divBdr>
                <w:top w:val="none" w:sz="0" w:space="0" w:color="auto"/>
                <w:left w:val="none" w:sz="0" w:space="0" w:color="auto"/>
                <w:bottom w:val="none" w:sz="0" w:space="0" w:color="auto"/>
                <w:right w:val="none" w:sz="0" w:space="0" w:color="auto"/>
              </w:divBdr>
            </w:div>
          </w:divsChild>
        </w:div>
        <w:div w:id="1935242912">
          <w:marLeft w:val="0"/>
          <w:marRight w:val="0"/>
          <w:marTop w:val="0"/>
          <w:marBottom w:val="0"/>
          <w:divBdr>
            <w:top w:val="none" w:sz="0" w:space="0" w:color="auto"/>
            <w:left w:val="none" w:sz="0" w:space="0" w:color="auto"/>
            <w:bottom w:val="none" w:sz="0" w:space="0" w:color="auto"/>
            <w:right w:val="none" w:sz="0" w:space="0" w:color="auto"/>
          </w:divBdr>
          <w:divsChild>
            <w:div w:id="1496259782">
              <w:marLeft w:val="0"/>
              <w:marRight w:val="0"/>
              <w:marTop w:val="0"/>
              <w:marBottom w:val="0"/>
              <w:divBdr>
                <w:top w:val="none" w:sz="0" w:space="0" w:color="auto"/>
                <w:left w:val="none" w:sz="0" w:space="0" w:color="auto"/>
                <w:bottom w:val="none" w:sz="0" w:space="0" w:color="auto"/>
                <w:right w:val="none" w:sz="0" w:space="0" w:color="auto"/>
              </w:divBdr>
              <w:divsChild>
                <w:div w:id="71392904">
                  <w:marLeft w:val="0"/>
                  <w:marRight w:val="0"/>
                  <w:marTop w:val="0"/>
                  <w:marBottom w:val="0"/>
                  <w:divBdr>
                    <w:top w:val="none" w:sz="0" w:space="0" w:color="auto"/>
                    <w:left w:val="none" w:sz="0" w:space="0" w:color="auto"/>
                    <w:bottom w:val="none" w:sz="0" w:space="0" w:color="auto"/>
                    <w:right w:val="none" w:sz="0" w:space="0" w:color="auto"/>
                  </w:divBdr>
                  <w:divsChild>
                    <w:div w:id="513301417">
                      <w:marLeft w:val="0"/>
                      <w:marRight w:val="0"/>
                      <w:marTop w:val="0"/>
                      <w:marBottom w:val="0"/>
                      <w:divBdr>
                        <w:top w:val="none" w:sz="0" w:space="0" w:color="auto"/>
                        <w:left w:val="none" w:sz="0" w:space="0" w:color="auto"/>
                        <w:bottom w:val="none" w:sz="0" w:space="0" w:color="auto"/>
                        <w:right w:val="none" w:sz="0" w:space="0" w:color="auto"/>
                      </w:divBdr>
                    </w:div>
                    <w:div w:id="979112565">
                      <w:marLeft w:val="0"/>
                      <w:marRight w:val="0"/>
                      <w:marTop w:val="120"/>
                      <w:marBottom w:val="0"/>
                      <w:divBdr>
                        <w:top w:val="none" w:sz="0" w:space="0" w:color="auto"/>
                        <w:left w:val="none" w:sz="0" w:space="0" w:color="auto"/>
                        <w:bottom w:val="none" w:sz="0" w:space="0" w:color="auto"/>
                        <w:right w:val="none" w:sz="0" w:space="0" w:color="auto"/>
                      </w:divBdr>
                    </w:div>
                  </w:divsChild>
                </w:div>
                <w:div w:id="608319633">
                  <w:marLeft w:val="0"/>
                  <w:marRight w:val="0"/>
                  <w:marTop w:val="0"/>
                  <w:marBottom w:val="0"/>
                  <w:divBdr>
                    <w:top w:val="none" w:sz="0" w:space="0" w:color="auto"/>
                    <w:left w:val="none" w:sz="0" w:space="0" w:color="auto"/>
                    <w:bottom w:val="none" w:sz="0" w:space="0" w:color="auto"/>
                    <w:right w:val="none" w:sz="0" w:space="0" w:color="auto"/>
                  </w:divBdr>
                  <w:divsChild>
                    <w:div w:id="319234371">
                      <w:marLeft w:val="0"/>
                      <w:marRight w:val="0"/>
                      <w:marTop w:val="120"/>
                      <w:marBottom w:val="0"/>
                      <w:divBdr>
                        <w:top w:val="none" w:sz="0" w:space="0" w:color="auto"/>
                        <w:left w:val="none" w:sz="0" w:space="0" w:color="auto"/>
                        <w:bottom w:val="none" w:sz="0" w:space="0" w:color="auto"/>
                        <w:right w:val="none" w:sz="0" w:space="0" w:color="auto"/>
                      </w:divBdr>
                    </w:div>
                    <w:div w:id="645627633">
                      <w:marLeft w:val="0"/>
                      <w:marRight w:val="0"/>
                      <w:marTop w:val="0"/>
                      <w:marBottom w:val="0"/>
                      <w:divBdr>
                        <w:top w:val="none" w:sz="0" w:space="0" w:color="auto"/>
                        <w:left w:val="none" w:sz="0" w:space="0" w:color="auto"/>
                        <w:bottom w:val="none" w:sz="0" w:space="0" w:color="auto"/>
                        <w:right w:val="none" w:sz="0" w:space="0" w:color="auto"/>
                      </w:divBdr>
                    </w:div>
                  </w:divsChild>
                </w:div>
                <w:div w:id="1786657148">
                  <w:marLeft w:val="0"/>
                  <w:marRight w:val="0"/>
                  <w:marTop w:val="0"/>
                  <w:marBottom w:val="0"/>
                  <w:divBdr>
                    <w:top w:val="none" w:sz="0" w:space="0" w:color="auto"/>
                    <w:left w:val="none" w:sz="0" w:space="0" w:color="auto"/>
                    <w:bottom w:val="none" w:sz="0" w:space="0" w:color="auto"/>
                    <w:right w:val="none" w:sz="0" w:space="0" w:color="auto"/>
                  </w:divBdr>
                  <w:divsChild>
                    <w:div w:id="593631586">
                      <w:marLeft w:val="0"/>
                      <w:marRight w:val="0"/>
                      <w:marTop w:val="120"/>
                      <w:marBottom w:val="0"/>
                      <w:divBdr>
                        <w:top w:val="none" w:sz="0" w:space="0" w:color="auto"/>
                        <w:left w:val="none" w:sz="0" w:space="0" w:color="auto"/>
                        <w:bottom w:val="none" w:sz="0" w:space="0" w:color="auto"/>
                        <w:right w:val="none" w:sz="0" w:space="0" w:color="auto"/>
                      </w:divBdr>
                    </w:div>
                    <w:div w:id="15142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68270">
          <w:marLeft w:val="0"/>
          <w:marRight w:val="0"/>
          <w:marTop w:val="0"/>
          <w:marBottom w:val="0"/>
          <w:divBdr>
            <w:top w:val="none" w:sz="0" w:space="0" w:color="auto"/>
            <w:left w:val="none" w:sz="0" w:space="0" w:color="auto"/>
            <w:bottom w:val="none" w:sz="0" w:space="0" w:color="auto"/>
            <w:right w:val="none" w:sz="0" w:space="0" w:color="auto"/>
          </w:divBdr>
          <w:divsChild>
            <w:div w:id="274824607">
              <w:marLeft w:val="0"/>
              <w:marRight w:val="0"/>
              <w:marTop w:val="0"/>
              <w:marBottom w:val="0"/>
              <w:divBdr>
                <w:top w:val="none" w:sz="0" w:space="0" w:color="auto"/>
                <w:left w:val="none" w:sz="0" w:space="0" w:color="auto"/>
                <w:bottom w:val="none" w:sz="0" w:space="0" w:color="auto"/>
                <w:right w:val="none" w:sz="0" w:space="0" w:color="auto"/>
              </w:divBdr>
            </w:div>
          </w:divsChild>
        </w:div>
        <w:div w:id="2034721419">
          <w:marLeft w:val="0"/>
          <w:marRight w:val="0"/>
          <w:marTop w:val="0"/>
          <w:marBottom w:val="0"/>
          <w:divBdr>
            <w:top w:val="none" w:sz="0" w:space="0" w:color="auto"/>
            <w:left w:val="none" w:sz="0" w:space="0" w:color="auto"/>
            <w:bottom w:val="none" w:sz="0" w:space="0" w:color="auto"/>
            <w:right w:val="none" w:sz="0" w:space="0" w:color="auto"/>
          </w:divBdr>
          <w:divsChild>
            <w:div w:id="1419669044">
              <w:marLeft w:val="0"/>
              <w:marRight w:val="0"/>
              <w:marTop w:val="0"/>
              <w:marBottom w:val="0"/>
              <w:divBdr>
                <w:top w:val="none" w:sz="0" w:space="0" w:color="auto"/>
                <w:left w:val="none" w:sz="0" w:space="0" w:color="auto"/>
                <w:bottom w:val="none" w:sz="0" w:space="0" w:color="auto"/>
                <w:right w:val="none" w:sz="0" w:space="0" w:color="auto"/>
              </w:divBdr>
            </w:div>
          </w:divsChild>
        </w:div>
        <w:div w:id="2065566732">
          <w:marLeft w:val="0"/>
          <w:marRight w:val="0"/>
          <w:marTop w:val="0"/>
          <w:marBottom w:val="0"/>
          <w:divBdr>
            <w:top w:val="none" w:sz="0" w:space="0" w:color="auto"/>
            <w:left w:val="none" w:sz="0" w:space="0" w:color="auto"/>
            <w:bottom w:val="none" w:sz="0" w:space="0" w:color="auto"/>
            <w:right w:val="none" w:sz="0" w:space="0" w:color="auto"/>
          </w:divBdr>
          <w:divsChild>
            <w:div w:id="757554319">
              <w:marLeft w:val="0"/>
              <w:marRight w:val="0"/>
              <w:marTop w:val="0"/>
              <w:marBottom w:val="0"/>
              <w:divBdr>
                <w:top w:val="none" w:sz="0" w:space="0" w:color="auto"/>
                <w:left w:val="none" w:sz="0" w:space="0" w:color="auto"/>
                <w:bottom w:val="none" w:sz="0" w:space="0" w:color="auto"/>
                <w:right w:val="none" w:sz="0" w:space="0" w:color="auto"/>
              </w:divBdr>
            </w:div>
          </w:divsChild>
        </w:div>
        <w:div w:id="2092770371">
          <w:marLeft w:val="0"/>
          <w:marRight w:val="0"/>
          <w:marTop w:val="0"/>
          <w:marBottom w:val="0"/>
          <w:divBdr>
            <w:top w:val="none" w:sz="0" w:space="0" w:color="auto"/>
            <w:left w:val="none" w:sz="0" w:space="0" w:color="auto"/>
            <w:bottom w:val="none" w:sz="0" w:space="0" w:color="auto"/>
            <w:right w:val="none" w:sz="0" w:space="0" w:color="auto"/>
          </w:divBdr>
          <w:divsChild>
            <w:div w:id="334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1196">
      <w:bodyDiv w:val="1"/>
      <w:marLeft w:val="0"/>
      <w:marRight w:val="0"/>
      <w:marTop w:val="0"/>
      <w:marBottom w:val="0"/>
      <w:divBdr>
        <w:top w:val="none" w:sz="0" w:space="0" w:color="auto"/>
        <w:left w:val="none" w:sz="0" w:space="0" w:color="auto"/>
        <w:bottom w:val="none" w:sz="0" w:space="0" w:color="auto"/>
        <w:right w:val="none" w:sz="0" w:space="0" w:color="auto"/>
      </w:divBdr>
    </w:div>
    <w:div w:id="178396338">
      <w:bodyDiv w:val="1"/>
      <w:marLeft w:val="0"/>
      <w:marRight w:val="0"/>
      <w:marTop w:val="0"/>
      <w:marBottom w:val="0"/>
      <w:divBdr>
        <w:top w:val="none" w:sz="0" w:space="0" w:color="auto"/>
        <w:left w:val="none" w:sz="0" w:space="0" w:color="auto"/>
        <w:bottom w:val="none" w:sz="0" w:space="0" w:color="auto"/>
        <w:right w:val="none" w:sz="0" w:space="0" w:color="auto"/>
      </w:divBdr>
    </w:div>
    <w:div w:id="267272432">
      <w:bodyDiv w:val="1"/>
      <w:marLeft w:val="0"/>
      <w:marRight w:val="0"/>
      <w:marTop w:val="0"/>
      <w:marBottom w:val="0"/>
      <w:divBdr>
        <w:top w:val="none" w:sz="0" w:space="0" w:color="auto"/>
        <w:left w:val="none" w:sz="0" w:space="0" w:color="auto"/>
        <w:bottom w:val="none" w:sz="0" w:space="0" w:color="auto"/>
        <w:right w:val="none" w:sz="0" w:space="0" w:color="auto"/>
      </w:divBdr>
    </w:div>
    <w:div w:id="306521503">
      <w:bodyDiv w:val="1"/>
      <w:marLeft w:val="0"/>
      <w:marRight w:val="0"/>
      <w:marTop w:val="0"/>
      <w:marBottom w:val="0"/>
      <w:divBdr>
        <w:top w:val="none" w:sz="0" w:space="0" w:color="auto"/>
        <w:left w:val="none" w:sz="0" w:space="0" w:color="auto"/>
        <w:bottom w:val="none" w:sz="0" w:space="0" w:color="auto"/>
        <w:right w:val="none" w:sz="0" w:space="0" w:color="auto"/>
      </w:divBdr>
      <w:divsChild>
        <w:div w:id="23557591">
          <w:marLeft w:val="600"/>
          <w:marRight w:val="0"/>
          <w:marTop w:val="0"/>
          <w:marBottom w:val="0"/>
          <w:divBdr>
            <w:top w:val="none" w:sz="0" w:space="0" w:color="auto"/>
            <w:left w:val="none" w:sz="0" w:space="0" w:color="auto"/>
            <w:bottom w:val="none" w:sz="0" w:space="0" w:color="auto"/>
            <w:right w:val="none" w:sz="0" w:space="0" w:color="auto"/>
          </w:divBdr>
        </w:div>
        <w:div w:id="43991495">
          <w:marLeft w:val="600"/>
          <w:marRight w:val="0"/>
          <w:marTop w:val="0"/>
          <w:marBottom w:val="0"/>
          <w:divBdr>
            <w:top w:val="none" w:sz="0" w:space="0" w:color="auto"/>
            <w:left w:val="none" w:sz="0" w:space="0" w:color="auto"/>
            <w:bottom w:val="none" w:sz="0" w:space="0" w:color="auto"/>
            <w:right w:val="none" w:sz="0" w:space="0" w:color="auto"/>
          </w:divBdr>
        </w:div>
        <w:div w:id="45765469">
          <w:marLeft w:val="480"/>
          <w:marRight w:val="0"/>
          <w:marTop w:val="0"/>
          <w:marBottom w:val="0"/>
          <w:divBdr>
            <w:top w:val="none" w:sz="0" w:space="0" w:color="auto"/>
            <w:left w:val="none" w:sz="0" w:space="0" w:color="auto"/>
            <w:bottom w:val="none" w:sz="0" w:space="0" w:color="auto"/>
            <w:right w:val="none" w:sz="0" w:space="0" w:color="auto"/>
          </w:divBdr>
        </w:div>
        <w:div w:id="54594384">
          <w:marLeft w:val="600"/>
          <w:marRight w:val="0"/>
          <w:marTop w:val="0"/>
          <w:marBottom w:val="0"/>
          <w:divBdr>
            <w:top w:val="none" w:sz="0" w:space="0" w:color="auto"/>
            <w:left w:val="none" w:sz="0" w:space="0" w:color="auto"/>
            <w:bottom w:val="none" w:sz="0" w:space="0" w:color="auto"/>
            <w:right w:val="none" w:sz="0" w:space="0" w:color="auto"/>
          </w:divBdr>
        </w:div>
        <w:div w:id="61878865">
          <w:marLeft w:val="480"/>
          <w:marRight w:val="0"/>
          <w:marTop w:val="0"/>
          <w:marBottom w:val="0"/>
          <w:divBdr>
            <w:top w:val="none" w:sz="0" w:space="0" w:color="auto"/>
            <w:left w:val="none" w:sz="0" w:space="0" w:color="auto"/>
            <w:bottom w:val="none" w:sz="0" w:space="0" w:color="auto"/>
            <w:right w:val="none" w:sz="0" w:space="0" w:color="auto"/>
          </w:divBdr>
        </w:div>
        <w:div w:id="75173951">
          <w:marLeft w:val="600"/>
          <w:marRight w:val="0"/>
          <w:marTop w:val="0"/>
          <w:marBottom w:val="0"/>
          <w:divBdr>
            <w:top w:val="none" w:sz="0" w:space="0" w:color="auto"/>
            <w:left w:val="none" w:sz="0" w:space="0" w:color="auto"/>
            <w:bottom w:val="none" w:sz="0" w:space="0" w:color="auto"/>
            <w:right w:val="none" w:sz="0" w:space="0" w:color="auto"/>
          </w:divBdr>
        </w:div>
        <w:div w:id="127825423">
          <w:marLeft w:val="720"/>
          <w:marRight w:val="0"/>
          <w:marTop w:val="0"/>
          <w:marBottom w:val="0"/>
          <w:divBdr>
            <w:top w:val="none" w:sz="0" w:space="0" w:color="auto"/>
            <w:left w:val="none" w:sz="0" w:space="0" w:color="auto"/>
            <w:bottom w:val="none" w:sz="0" w:space="0" w:color="auto"/>
            <w:right w:val="none" w:sz="0" w:space="0" w:color="auto"/>
          </w:divBdr>
        </w:div>
        <w:div w:id="190723954">
          <w:marLeft w:val="600"/>
          <w:marRight w:val="0"/>
          <w:marTop w:val="0"/>
          <w:marBottom w:val="0"/>
          <w:divBdr>
            <w:top w:val="none" w:sz="0" w:space="0" w:color="auto"/>
            <w:left w:val="none" w:sz="0" w:space="0" w:color="auto"/>
            <w:bottom w:val="none" w:sz="0" w:space="0" w:color="auto"/>
            <w:right w:val="none" w:sz="0" w:space="0" w:color="auto"/>
          </w:divBdr>
        </w:div>
        <w:div w:id="239170431">
          <w:marLeft w:val="480"/>
          <w:marRight w:val="0"/>
          <w:marTop w:val="0"/>
          <w:marBottom w:val="0"/>
          <w:divBdr>
            <w:top w:val="none" w:sz="0" w:space="0" w:color="auto"/>
            <w:left w:val="none" w:sz="0" w:space="0" w:color="auto"/>
            <w:bottom w:val="none" w:sz="0" w:space="0" w:color="auto"/>
            <w:right w:val="none" w:sz="0" w:space="0" w:color="auto"/>
          </w:divBdr>
        </w:div>
        <w:div w:id="307326839">
          <w:marLeft w:val="480"/>
          <w:marRight w:val="0"/>
          <w:marTop w:val="0"/>
          <w:marBottom w:val="0"/>
          <w:divBdr>
            <w:top w:val="none" w:sz="0" w:space="0" w:color="auto"/>
            <w:left w:val="none" w:sz="0" w:space="0" w:color="auto"/>
            <w:bottom w:val="none" w:sz="0" w:space="0" w:color="auto"/>
            <w:right w:val="none" w:sz="0" w:space="0" w:color="auto"/>
          </w:divBdr>
        </w:div>
        <w:div w:id="317223240">
          <w:marLeft w:val="600"/>
          <w:marRight w:val="0"/>
          <w:marTop w:val="0"/>
          <w:marBottom w:val="0"/>
          <w:divBdr>
            <w:top w:val="none" w:sz="0" w:space="0" w:color="auto"/>
            <w:left w:val="none" w:sz="0" w:space="0" w:color="auto"/>
            <w:bottom w:val="none" w:sz="0" w:space="0" w:color="auto"/>
            <w:right w:val="none" w:sz="0" w:space="0" w:color="auto"/>
          </w:divBdr>
        </w:div>
        <w:div w:id="326520062">
          <w:marLeft w:val="600"/>
          <w:marRight w:val="0"/>
          <w:marTop w:val="0"/>
          <w:marBottom w:val="0"/>
          <w:divBdr>
            <w:top w:val="none" w:sz="0" w:space="0" w:color="auto"/>
            <w:left w:val="none" w:sz="0" w:space="0" w:color="auto"/>
            <w:bottom w:val="none" w:sz="0" w:space="0" w:color="auto"/>
            <w:right w:val="none" w:sz="0" w:space="0" w:color="auto"/>
          </w:divBdr>
        </w:div>
        <w:div w:id="331763262">
          <w:marLeft w:val="480"/>
          <w:marRight w:val="0"/>
          <w:marTop w:val="0"/>
          <w:marBottom w:val="0"/>
          <w:divBdr>
            <w:top w:val="none" w:sz="0" w:space="0" w:color="auto"/>
            <w:left w:val="none" w:sz="0" w:space="0" w:color="auto"/>
            <w:bottom w:val="none" w:sz="0" w:space="0" w:color="auto"/>
            <w:right w:val="none" w:sz="0" w:space="0" w:color="auto"/>
          </w:divBdr>
        </w:div>
        <w:div w:id="335159014">
          <w:marLeft w:val="600"/>
          <w:marRight w:val="0"/>
          <w:marTop w:val="0"/>
          <w:marBottom w:val="0"/>
          <w:divBdr>
            <w:top w:val="none" w:sz="0" w:space="0" w:color="auto"/>
            <w:left w:val="none" w:sz="0" w:space="0" w:color="auto"/>
            <w:bottom w:val="none" w:sz="0" w:space="0" w:color="auto"/>
            <w:right w:val="none" w:sz="0" w:space="0" w:color="auto"/>
          </w:divBdr>
        </w:div>
        <w:div w:id="340013451">
          <w:marLeft w:val="480"/>
          <w:marRight w:val="0"/>
          <w:marTop w:val="0"/>
          <w:marBottom w:val="0"/>
          <w:divBdr>
            <w:top w:val="none" w:sz="0" w:space="0" w:color="auto"/>
            <w:left w:val="none" w:sz="0" w:space="0" w:color="auto"/>
            <w:bottom w:val="none" w:sz="0" w:space="0" w:color="auto"/>
            <w:right w:val="none" w:sz="0" w:space="0" w:color="auto"/>
          </w:divBdr>
        </w:div>
        <w:div w:id="345638814">
          <w:marLeft w:val="600"/>
          <w:marRight w:val="0"/>
          <w:marTop w:val="0"/>
          <w:marBottom w:val="0"/>
          <w:divBdr>
            <w:top w:val="none" w:sz="0" w:space="0" w:color="auto"/>
            <w:left w:val="none" w:sz="0" w:space="0" w:color="auto"/>
            <w:bottom w:val="none" w:sz="0" w:space="0" w:color="auto"/>
            <w:right w:val="none" w:sz="0" w:space="0" w:color="auto"/>
          </w:divBdr>
        </w:div>
        <w:div w:id="355499023">
          <w:marLeft w:val="600"/>
          <w:marRight w:val="0"/>
          <w:marTop w:val="0"/>
          <w:marBottom w:val="0"/>
          <w:divBdr>
            <w:top w:val="none" w:sz="0" w:space="0" w:color="auto"/>
            <w:left w:val="none" w:sz="0" w:space="0" w:color="auto"/>
            <w:bottom w:val="none" w:sz="0" w:space="0" w:color="auto"/>
            <w:right w:val="none" w:sz="0" w:space="0" w:color="auto"/>
          </w:divBdr>
        </w:div>
        <w:div w:id="356926536">
          <w:marLeft w:val="600"/>
          <w:marRight w:val="0"/>
          <w:marTop w:val="0"/>
          <w:marBottom w:val="0"/>
          <w:divBdr>
            <w:top w:val="none" w:sz="0" w:space="0" w:color="auto"/>
            <w:left w:val="none" w:sz="0" w:space="0" w:color="auto"/>
            <w:bottom w:val="none" w:sz="0" w:space="0" w:color="auto"/>
            <w:right w:val="none" w:sz="0" w:space="0" w:color="auto"/>
          </w:divBdr>
        </w:div>
        <w:div w:id="357857313">
          <w:marLeft w:val="600"/>
          <w:marRight w:val="0"/>
          <w:marTop w:val="0"/>
          <w:marBottom w:val="0"/>
          <w:divBdr>
            <w:top w:val="none" w:sz="0" w:space="0" w:color="auto"/>
            <w:left w:val="none" w:sz="0" w:space="0" w:color="auto"/>
            <w:bottom w:val="none" w:sz="0" w:space="0" w:color="auto"/>
            <w:right w:val="none" w:sz="0" w:space="0" w:color="auto"/>
          </w:divBdr>
        </w:div>
        <w:div w:id="391277151">
          <w:marLeft w:val="720"/>
          <w:marRight w:val="0"/>
          <w:marTop w:val="0"/>
          <w:marBottom w:val="0"/>
          <w:divBdr>
            <w:top w:val="none" w:sz="0" w:space="0" w:color="auto"/>
            <w:left w:val="none" w:sz="0" w:space="0" w:color="auto"/>
            <w:bottom w:val="none" w:sz="0" w:space="0" w:color="auto"/>
            <w:right w:val="none" w:sz="0" w:space="0" w:color="auto"/>
          </w:divBdr>
        </w:div>
        <w:div w:id="426273833">
          <w:marLeft w:val="600"/>
          <w:marRight w:val="0"/>
          <w:marTop w:val="0"/>
          <w:marBottom w:val="0"/>
          <w:divBdr>
            <w:top w:val="none" w:sz="0" w:space="0" w:color="auto"/>
            <w:left w:val="none" w:sz="0" w:space="0" w:color="auto"/>
            <w:bottom w:val="none" w:sz="0" w:space="0" w:color="auto"/>
            <w:right w:val="none" w:sz="0" w:space="0" w:color="auto"/>
          </w:divBdr>
        </w:div>
        <w:div w:id="441144536">
          <w:marLeft w:val="600"/>
          <w:marRight w:val="0"/>
          <w:marTop w:val="0"/>
          <w:marBottom w:val="0"/>
          <w:divBdr>
            <w:top w:val="none" w:sz="0" w:space="0" w:color="auto"/>
            <w:left w:val="none" w:sz="0" w:space="0" w:color="auto"/>
            <w:bottom w:val="none" w:sz="0" w:space="0" w:color="auto"/>
            <w:right w:val="none" w:sz="0" w:space="0" w:color="auto"/>
          </w:divBdr>
        </w:div>
        <w:div w:id="464155035">
          <w:marLeft w:val="600"/>
          <w:marRight w:val="0"/>
          <w:marTop w:val="0"/>
          <w:marBottom w:val="0"/>
          <w:divBdr>
            <w:top w:val="none" w:sz="0" w:space="0" w:color="auto"/>
            <w:left w:val="none" w:sz="0" w:space="0" w:color="auto"/>
            <w:bottom w:val="none" w:sz="0" w:space="0" w:color="auto"/>
            <w:right w:val="none" w:sz="0" w:space="0" w:color="auto"/>
          </w:divBdr>
        </w:div>
        <w:div w:id="472218436">
          <w:marLeft w:val="480"/>
          <w:marRight w:val="0"/>
          <w:marTop w:val="0"/>
          <w:marBottom w:val="0"/>
          <w:divBdr>
            <w:top w:val="none" w:sz="0" w:space="0" w:color="auto"/>
            <w:left w:val="none" w:sz="0" w:space="0" w:color="auto"/>
            <w:bottom w:val="none" w:sz="0" w:space="0" w:color="auto"/>
            <w:right w:val="none" w:sz="0" w:space="0" w:color="auto"/>
          </w:divBdr>
        </w:div>
        <w:div w:id="478501866">
          <w:marLeft w:val="600"/>
          <w:marRight w:val="0"/>
          <w:marTop w:val="0"/>
          <w:marBottom w:val="0"/>
          <w:divBdr>
            <w:top w:val="none" w:sz="0" w:space="0" w:color="auto"/>
            <w:left w:val="none" w:sz="0" w:space="0" w:color="auto"/>
            <w:bottom w:val="none" w:sz="0" w:space="0" w:color="auto"/>
            <w:right w:val="none" w:sz="0" w:space="0" w:color="auto"/>
          </w:divBdr>
        </w:div>
        <w:div w:id="481044919">
          <w:marLeft w:val="600"/>
          <w:marRight w:val="0"/>
          <w:marTop w:val="0"/>
          <w:marBottom w:val="0"/>
          <w:divBdr>
            <w:top w:val="none" w:sz="0" w:space="0" w:color="auto"/>
            <w:left w:val="none" w:sz="0" w:space="0" w:color="auto"/>
            <w:bottom w:val="none" w:sz="0" w:space="0" w:color="auto"/>
            <w:right w:val="none" w:sz="0" w:space="0" w:color="auto"/>
          </w:divBdr>
        </w:div>
        <w:div w:id="483088183">
          <w:marLeft w:val="600"/>
          <w:marRight w:val="0"/>
          <w:marTop w:val="0"/>
          <w:marBottom w:val="0"/>
          <w:divBdr>
            <w:top w:val="none" w:sz="0" w:space="0" w:color="auto"/>
            <w:left w:val="none" w:sz="0" w:space="0" w:color="auto"/>
            <w:bottom w:val="none" w:sz="0" w:space="0" w:color="auto"/>
            <w:right w:val="none" w:sz="0" w:space="0" w:color="auto"/>
          </w:divBdr>
        </w:div>
        <w:div w:id="501356452">
          <w:marLeft w:val="720"/>
          <w:marRight w:val="0"/>
          <w:marTop w:val="0"/>
          <w:marBottom w:val="0"/>
          <w:divBdr>
            <w:top w:val="none" w:sz="0" w:space="0" w:color="auto"/>
            <w:left w:val="none" w:sz="0" w:space="0" w:color="auto"/>
            <w:bottom w:val="none" w:sz="0" w:space="0" w:color="auto"/>
            <w:right w:val="none" w:sz="0" w:space="0" w:color="auto"/>
          </w:divBdr>
        </w:div>
        <w:div w:id="523054656">
          <w:marLeft w:val="600"/>
          <w:marRight w:val="0"/>
          <w:marTop w:val="0"/>
          <w:marBottom w:val="0"/>
          <w:divBdr>
            <w:top w:val="none" w:sz="0" w:space="0" w:color="auto"/>
            <w:left w:val="none" w:sz="0" w:space="0" w:color="auto"/>
            <w:bottom w:val="none" w:sz="0" w:space="0" w:color="auto"/>
            <w:right w:val="none" w:sz="0" w:space="0" w:color="auto"/>
          </w:divBdr>
        </w:div>
        <w:div w:id="545873556">
          <w:marLeft w:val="480"/>
          <w:marRight w:val="0"/>
          <w:marTop w:val="0"/>
          <w:marBottom w:val="0"/>
          <w:divBdr>
            <w:top w:val="none" w:sz="0" w:space="0" w:color="auto"/>
            <w:left w:val="none" w:sz="0" w:space="0" w:color="auto"/>
            <w:bottom w:val="none" w:sz="0" w:space="0" w:color="auto"/>
            <w:right w:val="none" w:sz="0" w:space="0" w:color="auto"/>
          </w:divBdr>
        </w:div>
        <w:div w:id="614600771">
          <w:marLeft w:val="600"/>
          <w:marRight w:val="0"/>
          <w:marTop w:val="0"/>
          <w:marBottom w:val="0"/>
          <w:divBdr>
            <w:top w:val="none" w:sz="0" w:space="0" w:color="auto"/>
            <w:left w:val="none" w:sz="0" w:space="0" w:color="auto"/>
            <w:bottom w:val="none" w:sz="0" w:space="0" w:color="auto"/>
            <w:right w:val="none" w:sz="0" w:space="0" w:color="auto"/>
          </w:divBdr>
        </w:div>
        <w:div w:id="620915405">
          <w:marLeft w:val="480"/>
          <w:marRight w:val="0"/>
          <w:marTop w:val="0"/>
          <w:marBottom w:val="0"/>
          <w:divBdr>
            <w:top w:val="none" w:sz="0" w:space="0" w:color="auto"/>
            <w:left w:val="none" w:sz="0" w:space="0" w:color="auto"/>
            <w:bottom w:val="none" w:sz="0" w:space="0" w:color="auto"/>
            <w:right w:val="none" w:sz="0" w:space="0" w:color="auto"/>
          </w:divBdr>
        </w:div>
        <w:div w:id="649751842">
          <w:marLeft w:val="600"/>
          <w:marRight w:val="0"/>
          <w:marTop w:val="0"/>
          <w:marBottom w:val="0"/>
          <w:divBdr>
            <w:top w:val="none" w:sz="0" w:space="0" w:color="auto"/>
            <w:left w:val="none" w:sz="0" w:space="0" w:color="auto"/>
            <w:bottom w:val="none" w:sz="0" w:space="0" w:color="auto"/>
            <w:right w:val="none" w:sz="0" w:space="0" w:color="auto"/>
          </w:divBdr>
        </w:div>
        <w:div w:id="663364972">
          <w:marLeft w:val="480"/>
          <w:marRight w:val="0"/>
          <w:marTop w:val="0"/>
          <w:marBottom w:val="0"/>
          <w:divBdr>
            <w:top w:val="none" w:sz="0" w:space="0" w:color="auto"/>
            <w:left w:val="none" w:sz="0" w:space="0" w:color="auto"/>
            <w:bottom w:val="none" w:sz="0" w:space="0" w:color="auto"/>
            <w:right w:val="none" w:sz="0" w:space="0" w:color="auto"/>
          </w:divBdr>
        </w:div>
        <w:div w:id="681202166">
          <w:marLeft w:val="600"/>
          <w:marRight w:val="0"/>
          <w:marTop w:val="0"/>
          <w:marBottom w:val="0"/>
          <w:divBdr>
            <w:top w:val="none" w:sz="0" w:space="0" w:color="auto"/>
            <w:left w:val="none" w:sz="0" w:space="0" w:color="auto"/>
            <w:bottom w:val="none" w:sz="0" w:space="0" w:color="auto"/>
            <w:right w:val="none" w:sz="0" w:space="0" w:color="auto"/>
          </w:divBdr>
        </w:div>
        <w:div w:id="686058222">
          <w:marLeft w:val="600"/>
          <w:marRight w:val="0"/>
          <w:marTop w:val="0"/>
          <w:marBottom w:val="0"/>
          <w:divBdr>
            <w:top w:val="none" w:sz="0" w:space="0" w:color="auto"/>
            <w:left w:val="none" w:sz="0" w:space="0" w:color="auto"/>
            <w:bottom w:val="none" w:sz="0" w:space="0" w:color="auto"/>
            <w:right w:val="none" w:sz="0" w:space="0" w:color="auto"/>
          </w:divBdr>
        </w:div>
        <w:div w:id="719864367">
          <w:marLeft w:val="480"/>
          <w:marRight w:val="0"/>
          <w:marTop w:val="0"/>
          <w:marBottom w:val="0"/>
          <w:divBdr>
            <w:top w:val="none" w:sz="0" w:space="0" w:color="auto"/>
            <w:left w:val="none" w:sz="0" w:space="0" w:color="auto"/>
            <w:bottom w:val="none" w:sz="0" w:space="0" w:color="auto"/>
            <w:right w:val="none" w:sz="0" w:space="0" w:color="auto"/>
          </w:divBdr>
        </w:div>
        <w:div w:id="736704284">
          <w:marLeft w:val="600"/>
          <w:marRight w:val="0"/>
          <w:marTop w:val="0"/>
          <w:marBottom w:val="0"/>
          <w:divBdr>
            <w:top w:val="none" w:sz="0" w:space="0" w:color="auto"/>
            <w:left w:val="none" w:sz="0" w:space="0" w:color="auto"/>
            <w:bottom w:val="none" w:sz="0" w:space="0" w:color="auto"/>
            <w:right w:val="none" w:sz="0" w:space="0" w:color="auto"/>
          </w:divBdr>
        </w:div>
        <w:div w:id="768621280">
          <w:marLeft w:val="480"/>
          <w:marRight w:val="0"/>
          <w:marTop w:val="0"/>
          <w:marBottom w:val="0"/>
          <w:divBdr>
            <w:top w:val="none" w:sz="0" w:space="0" w:color="auto"/>
            <w:left w:val="none" w:sz="0" w:space="0" w:color="auto"/>
            <w:bottom w:val="none" w:sz="0" w:space="0" w:color="auto"/>
            <w:right w:val="none" w:sz="0" w:space="0" w:color="auto"/>
          </w:divBdr>
        </w:div>
        <w:div w:id="781265617">
          <w:marLeft w:val="600"/>
          <w:marRight w:val="0"/>
          <w:marTop w:val="0"/>
          <w:marBottom w:val="0"/>
          <w:divBdr>
            <w:top w:val="none" w:sz="0" w:space="0" w:color="auto"/>
            <w:left w:val="none" w:sz="0" w:space="0" w:color="auto"/>
            <w:bottom w:val="none" w:sz="0" w:space="0" w:color="auto"/>
            <w:right w:val="none" w:sz="0" w:space="0" w:color="auto"/>
          </w:divBdr>
        </w:div>
        <w:div w:id="785196667">
          <w:marLeft w:val="480"/>
          <w:marRight w:val="0"/>
          <w:marTop w:val="0"/>
          <w:marBottom w:val="0"/>
          <w:divBdr>
            <w:top w:val="none" w:sz="0" w:space="0" w:color="auto"/>
            <w:left w:val="none" w:sz="0" w:space="0" w:color="auto"/>
            <w:bottom w:val="none" w:sz="0" w:space="0" w:color="auto"/>
            <w:right w:val="none" w:sz="0" w:space="0" w:color="auto"/>
          </w:divBdr>
        </w:div>
        <w:div w:id="806045604">
          <w:marLeft w:val="480"/>
          <w:marRight w:val="0"/>
          <w:marTop w:val="0"/>
          <w:marBottom w:val="0"/>
          <w:divBdr>
            <w:top w:val="none" w:sz="0" w:space="0" w:color="auto"/>
            <w:left w:val="none" w:sz="0" w:space="0" w:color="auto"/>
            <w:bottom w:val="none" w:sz="0" w:space="0" w:color="auto"/>
            <w:right w:val="none" w:sz="0" w:space="0" w:color="auto"/>
          </w:divBdr>
        </w:div>
        <w:div w:id="843786114">
          <w:marLeft w:val="600"/>
          <w:marRight w:val="0"/>
          <w:marTop w:val="0"/>
          <w:marBottom w:val="0"/>
          <w:divBdr>
            <w:top w:val="none" w:sz="0" w:space="0" w:color="auto"/>
            <w:left w:val="none" w:sz="0" w:space="0" w:color="auto"/>
            <w:bottom w:val="none" w:sz="0" w:space="0" w:color="auto"/>
            <w:right w:val="none" w:sz="0" w:space="0" w:color="auto"/>
          </w:divBdr>
        </w:div>
        <w:div w:id="851652332">
          <w:marLeft w:val="600"/>
          <w:marRight w:val="0"/>
          <w:marTop w:val="0"/>
          <w:marBottom w:val="0"/>
          <w:divBdr>
            <w:top w:val="none" w:sz="0" w:space="0" w:color="auto"/>
            <w:left w:val="none" w:sz="0" w:space="0" w:color="auto"/>
            <w:bottom w:val="none" w:sz="0" w:space="0" w:color="auto"/>
            <w:right w:val="none" w:sz="0" w:space="0" w:color="auto"/>
          </w:divBdr>
        </w:div>
        <w:div w:id="852454916">
          <w:marLeft w:val="600"/>
          <w:marRight w:val="0"/>
          <w:marTop w:val="0"/>
          <w:marBottom w:val="0"/>
          <w:divBdr>
            <w:top w:val="none" w:sz="0" w:space="0" w:color="auto"/>
            <w:left w:val="none" w:sz="0" w:space="0" w:color="auto"/>
            <w:bottom w:val="none" w:sz="0" w:space="0" w:color="auto"/>
            <w:right w:val="none" w:sz="0" w:space="0" w:color="auto"/>
          </w:divBdr>
        </w:div>
        <w:div w:id="912157741">
          <w:marLeft w:val="600"/>
          <w:marRight w:val="0"/>
          <w:marTop w:val="0"/>
          <w:marBottom w:val="0"/>
          <w:divBdr>
            <w:top w:val="none" w:sz="0" w:space="0" w:color="auto"/>
            <w:left w:val="none" w:sz="0" w:space="0" w:color="auto"/>
            <w:bottom w:val="none" w:sz="0" w:space="0" w:color="auto"/>
            <w:right w:val="none" w:sz="0" w:space="0" w:color="auto"/>
          </w:divBdr>
        </w:div>
        <w:div w:id="916013427">
          <w:marLeft w:val="480"/>
          <w:marRight w:val="0"/>
          <w:marTop w:val="0"/>
          <w:marBottom w:val="0"/>
          <w:divBdr>
            <w:top w:val="none" w:sz="0" w:space="0" w:color="auto"/>
            <w:left w:val="none" w:sz="0" w:space="0" w:color="auto"/>
            <w:bottom w:val="none" w:sz="0" w:space="0" w:color="auto"/>
            <w:right w:val="none" w:sz="0" w:space="0" w:color="auto"/>
          </w:divBdr>
        </w:div>
        <w:div w:id="922495789">
          <w:marLeft w:val="600"/>
          <w:marRight w:val="0"/>
          <w:marTop w:val="0"/>
          <w:marBottom w:val="0"/>
          <w:divBdr>
            <w:top w:val="none" w:sz="0" w:space="0" w:color="auto"/>
            <w:left w:val="none" w:sz="0" w:space="0" w:color="auto"/>
            <w:bottom w:val="none" w:sz="0" w:space="0" w:color="auto"/>
            <w:right w:val="none" w:sz="0" w:space="0" w:color="auto"/>
          </w:divBdr>
        </w:div>
        <w:div w:id="944993620">
          <w:marLeft w:val="480"/>
          <w:marRight w:val="0"/>
          <w:marTop w:val="0"/>
          <w:marBottom w:val="0"/>
          <w:divBdr>
            <w:top w:val="none" w:sz="0" w:space="0" w:color="auto"/>
            <w:left w:val="none" w:sz="0" w:space="0" w:color="auto"/>
            <w:bottom w:val="none" w:sz="0" w:space="0" w:color="auto"/>
            <w:right w:val="none" w:sz="0" w:space="0" w:color="auto"/>
          </w:divBdr>
        </w:div>
        <w:div w:id="967709425">
          <w:marLeft w:val="600"/>
          <w:marRight w:val="0"/>
          <w:marTop w:val="0"/>
          <w:marBottom w:val="0"/>
          <w:divBdr>
            <w:top w:val="none" w:sz="0" w:space="0" w:color="auto"/>
            <w:left w:val="none" w:sz="0" w:space="0" w:color="auto"/>
            <w:bottom w:val="none" w:sz="0" w:space="0" w:color="auto"/>
            <w:right w:val="none" w:sz="0" w:space="0" w:color="auto"/>
          </w:divBdr>
        </w:div>
        <w:div w:id="997805966">
          <w:marLeft w:val="480"/>
          <w:marRight w:val="0"/>
          <w:marTop w:val="0"/>
          <w:marBottom w:val="0"/>
          <w:divBdr>
            <w:top w:val="none" w:sz="0" w:space="0" w:color="auto"/>
            <w:left w:val="none" w:sz="0" w:space="0" w:color="auto"/>
            <w:bottom w:val="none" w:sz="0" w:space="0" w:color="auto"/>
            <w:right w:val="none" w:sz="0" w:space="0" w:color="auto"/>
          </w:divBdr>
        </w:div>
        <w:div w:id="1081682640">
          <w:marLeft w:val="600"/>
          <w:marRight w:val="0"/>
          <w:marTop w:val="0"/>
          <w:marBottom w:val="0"/>
          <w:divBdr>
            <w:top w:val="none" w:sz="0" w:space="0" w:color="auto"/>
            <w:left w:val="none" w:sz="0" w:space="0" w:color="auto"/>
            <w:bottom w:val="none" w:sz="0" w:space="0" w:color="auto"/>
            <w:right w:val="none" w:sz="0" w:space="0" w:color="auto"/>
          </w:divBdr>
        </w:div>
        <w:div w:id="1086807176">
          <w:marLeft w:val="480"/>
          <w:marRight w:val="0"/>
          <w:marTop w:val="0"/>
          <w:marBottom w:val="0"/>
          <w:divBdr>
            <w:top w:val="none" w:sz="0" w:space="0" w:color="auto"/>
            <w:left w:val="none" w:sz="0" w:space="0" w:color="auto"/>
            <w:bottom w:val="none" w:sz="0" w:space="0" w:color="auto"/>
            <w:right w:val="none" w:sz="0" w:space="0" w:color="auto"/>
          </w:divBdr>
        </w:div>
        <w:div w:id="1087535803">
          <w:marLeft w:val="480"/>
          <w:marRight w:val="0"/>
          <w:marTop w:val="0"/>
          <w:marBottom w:val="0"/>
          <w:divBdr>
            <w:top w:val="none" w:sz="0" w:space="0" w:color="auto"/>
            <w:left w:val="none" w:sz="0" w:space="0" w:color="auto"/>
            <w:bottom w:val="none" w:sz="0" w:space="0" w:color="auto"/>
            <w:right w:val="none" w:sz="0" w:space="0" w:color="auto"/>
          </w:divBdr>
        </w:div>
        <w:div w:id="1092118028">
          <w:marLeft w:val="600"/>
          <w:marRight w:val="0"/>
          <w:marTop w:val="0"/>
          <w:marBottom w:val="0"/>
          <w:divBdr>
            <w:top w:val="none" w:sz="0" w:space="0" w:color="auto"/>
            <w:left w:val="none" w:sz="0" w:space="0" w:color="auto"/>
            <w:bottom w:val="none" w:sz="0" w:space="0" w:color="auto"/>
            <w:right w:val="none" w:sz="0" w:space="0" w:color="auto"/>
          </w:divBdr>
        </w:div>
        <w:div w:id="1098453489">
          <w:marLeft w:val="600"/>
          <w:marRight w:val="0"/>
          <w:marTop w:val="0"/>
          <w:marBottom w:val="0"/>
          <w:divBdr>
            <w:top w:val="none" w:sz="0" w:space="0" w:color="auto"/>
            <w:left w:val="none" w:sz="0" w:space="0" w:color="auto"/>
            <w:bottom w:val="none" w:sz="0" w:space="0" w:color="auto"/>
            <w:right w:val="none" w:sz="0" w:space="0" w:color="auto"/>
          </w:divBdr>
        </w:div>
        <w:div w:id="1106929858">
          <w:marLeft w:val="600"/>
          <w:marRight w:val="0"/>
          <w:marTop w:val="0"/>
          <w:marBottom w:val="0"/>
          <w:divBdr>
            <w:top w:val="none" w:sz="0" w:space="0" w:color="auto"/>
            <w:left w:val="none" w:sz="0" w:space="0" w:color="auto"/>
            <w:bottom w:val="none" w:sz="0" w:space="0" w:color="auto"/>
            <w:right w:val="none" w:sz="0" w:space="0" w:color="auto"/>
          </w:divBdr>
        </w:div>
        <w:div w:id="1128746430">
          <w:marLeft w:val="480"/>
          <w:marRight w:val="0"/>
          <w:marTop w:val="0"/>
          <w:marBottom w:val="0"/>
          <w:divBdr>
            <w:top w:val="none" w:sz="0" w:space="0" w:color="auto"/>
            <w:left w:val="none" w:sz="0" w:space="0" w:color="auto"/>
            <w:bottom w:val="none" w:sz="0" w:space="0" w:color="auto"/>
            <w:right w:val="none" w:sz="0" w:space="0" w:color="auto"/>
          </w:divBdr>
        </w:div>
        <w:div w:id="1145047350">
          <w:marLeft w:val="480"/>
          <w:marRight w:val="0"/>
          <w:marTop w:val="0"/>
          <w:marBottom w:val="0"/>
          <w:divBdr>
            <w:top w:val="none" w:sz="0" w:space="0" w:color="auto"/>
            <w:left w:val="none" w:sz="0" w:space="0" w:color="auto"/>
            <w:bottom w:val="none" w:sz="0" w:space="0" w:color="auto"/>
            <w:right w:val="none" w:sz="0" w:space="0" w:color="auto"/>
          </w:divBdr>
        </w:div>
        <w:div w:id="1184710069">
          <w:marLeft w:val="600"/>
          <w:marRight w:val="0"/>
          <w:marTop w:val="0"/>
          <w:marBottom w:val="0"/>
          <w:divBdr>
            <w:top w:val="none" w:sz="0" w:space="0" w:color="auto"/>
            <w:left w:val="none" w:sz="0" w:space="0" w:color="auto"/>
            <w:bottom w:val="none" w:sz="0" w:space="0" w:color="auto"/>
            <w:right w:val="none" w:sz="0" w:space="0" w:color="auto"/>
          </w:divBdr>
        </w:div>
        <w:div w:id="1191990990">
          <w:marLeft w:val="600"/>
          <w:marRight w:val="0"/>
          <w:marTop w:val="0"/>
          <w:marBottom w:val="0"/>
          <w:divBdr>
            <w:top w:val="none" w:sz="0" w:space="0" w:color="auto"/>
            <w:left w:val="none" w:sz="0" w:space="0" w:color="auto"/>
            <w:bottom w:val="none" w:sz="0" w:space="0" w:color="auto"/>
            <w:right w:val="none" w:sz="0" w:space="0" w:color="auto"/>
          </w:divBdr>
        </w:div>
        <w:div w:id="1268466042">
          <w:marLeft w:val="480"/>
          <w:marRight w:val="0"/>
          <w:marTop w:val="0"/>
          <w:marBottom w:val="0"/>
          <w:divBdr>
            <w:top w:val="none" w:sz="0" w:space="0" w:color="auto"/>
            <w:left w:val="none" w:sz="0" w:space="0" w:color="auto"/>
            <w:bottom w:val="none" w:sz="0" w:space="0" w:color="auto"/>
            <w:right w:val="none" w:sz="0" w:space="0" w:color="auto"/>
          </w:divBdr>
        </w:div>
        <w:div w:id="1271662270">
          <w:marLeft w:val="600"/>
          <w:marRight w:val="0"/>
          <w:marTop w:val="0"/>
          <w:marBottom w:val="0"/>
          <w:divBdr>
            <w:top w:val="none" w:sz="0" w:space="0" w:color="auto"/>
            <w:left w:val="none" w:sz="0" w:space="0" w:color="auto"/>
            <w:bottom w:val="none" w:sz="0" w:space="0" w:color="auto"/>
            <w:right w:val="none" w:sz="0" w:space="0" w:color="auto"/>
          </w:divBdr>
        </w:div>
        <w:div w:id="1289509331">
          <w:marLeft w:val="480"/>
          <w:marRight w:val="0"/>
          <w:marTop w:val="0"/>
          <w:marBottom w:val="0"/>
          <w:divBdr>
            <w:top w:val="none" w:sz="0" w:space="0" w:color="auto"/>
            <w:left w:val="none" w:sz="0" w:space="0" w:color="auto"/>
            <w:bottom w:val="none" w:sz="0" w:space="0" w:color="auto"/>
            <w:right w:val="none" w:sz="0" w:space="0" w:color="auto"/>
          </w:divBdr>
        </w:div>
        <w:div w:id="1314481013">
          <w:marLeft w:val="480"/>
          <w:marRight w:val="0"/>
          <w:marTop w:val="0"/>
          <w:marBottom w:val="0"/>
          <w:divBdr>
            <w:top w:val="none" w:sz="0" w:space="0" w:color="auto"/>
            <w:left w:val="none" w:sz="0" w:space="0" w:color="auto"/>
            <w:bottom w:val="none" w:sz="0" w:space="0" w:color="auto"/>
            <w:right w:val="none" w:sz="0" w:space="0" w:color="auto"/>
          </w:divBdr>
        </w:div>
        <w:div w:id="1348601480">
          <w:marLeft w:val="480"/>
          <w:marRight w:val="0"/>
          <w:marTop w:val="0"/>
          <w:marBottom w:val="0"/>
          <w:divBdr>
            <w:top w:val="none" w:sz="0" w:space="0" w:color="auto"/>
            <w:left w:val="none" w:sz="0" w:space="0" w:color="auto"/>
            <w:bottom w:val="none" w:sz="0" w:space="0" w:color="auto"/>
            <w:right w:val="none" w:sz="0" w:space="0" w:color="auto"/>
          </w:divBdr>
        </w:div>
        <w:div w:id="1351178088">
          <w:marLeft w:val="720"/>
          <w:marRight w:val="0"/>
          <w:marTop w:val="0"/>
          <w:marBottom w:val="0"/>
          <w:divBdr>
            <w:top w:val="none" w:sz="0" w:space="0" w:color="auto"/>
            <w:left w:val="none" w:sz="0" w:space="0" w:color="auto"/>
            <w:bottom w:val="none" w:sz="0" w:space="0" w:color="auto"/>
            <w:right w:val="none" w:sz="0" w:space="0" w:color="auto"/>
          </w:divBdr>
        </w:div>
        <w:div w:id="1365905741">
          <w:marLeft w:val="480"/>
          <w:marRight w:val="0"/>
          <w:marTop w:val="0"/>
          <w:marBottom w:val="0"/>
          <w:divBdr>
            <w:top w:val="none" w:sz="0" w:space="0" w:color="auto"/>
            <w:left w:val="none" w:sz="0" w:space="0" w:color="auto"/>
            <w:bottom w:val="none" w:sz="0" w:space="0" w:color="auto"/>
            <w:right w:val="none" w:sz="0" w:space="0" w:color="auto"/>
          </w:divBdr>
        </w:div>
        <w:div w:id="1375933057">
          <w:marLeft w:val="600"/>
          <w:marRight w:val="0"/>
          <w:marTop w:val="0"/>
          <w:marBottom w:val="0"/>
          <w:divBdr>
            <w:top w:val="none" w:sz="0" w:space="0" w:color="auto"/>
            <w:left w:val="none" w:sz="0" w:space="0" w:color="auto"/>
            <w:bottom w:val="none" w:sz="0" w:space="0" w:color="auto"/>
            <w:right w:val="none" w:sz="0" w:space="0" w:color="auto"/>
          </w:divBdr>
        </w:div>
        <w:div w:id="1378315722">
          <w:marLeft w:val="600"/>
          <w:marRight w:val="0"/>
          <w:marTop w:val="0"/>
          <w:marBottom w:val="0"/>
          <w:divBdr>
            <w:top w:val="none" w:sz="0" w:space="0" w:color="auto"/>
            <w:left w:val="none" w:sz="0" w:space="0" w:color="auto"/>
            <w:bottom w:val="none" w:sz="0" w:space="0" w:color="auto"/>
            <w:right w:val="none" w:sz="0" w:space="0" w:color="auto"/>
          </w:divBdr>
        </w:div>
        <w:div w:id="1393387877">
          <w:marLeft w:val="480"/>
          <w:marRight w:val="0"/>
          <w:marTop w:val="0"/>
          <w:marBottom w:val="0"/>
          <w:divBdr>
            <w:top w:val="none" w:sz="0" w:space="0" w:color="auto"/>
            <w:left w:val="none" w:sz="0" w:space="0" w:color="auto"/>
            <w:bottom w:val="none" w:sz="0" w:space="0" w:color="auto"/>
            <w:right w:val="none" w:sz="0" w:space="0" w:color="auto"/>
          </w:divBdr>
        </w:div>
        <w:div w:id="1441337085">
          <w:marLeft w:val="600"/>
          <w:marRight w:val="0"/>
          <w:marTop w:val="0"/>
          <w:marBottom w:val="0"/>
          <w:divBdr>
            <w:top w:val="none" w:sz="0" w:space="0" w:color="auto"/>
            <w:left w:val="none" w:sz="0" w:space="0" w:color="auto"/>
            <w:bottom w:val="none" w:sz="0" w:space="0" w:color="auto"/>
            <w:right w:val="none" w:sz="0" w:space="0" w:color="auto"/>
          </w:divBdr>
        </w:div>
        <w:div w:id="1441990970">
          <w:marLeft w:val="480"/>
          <w:marRight w:val="0"/>
          <w:marTop w:val="0"/>
          <w:marBottom w:val="0"/>
          <w:divBdr>
            <w:top w:val="none" w:sz="0" w:space="0" w:color="auto"/>
            <w:left w:val="none" w:sz="0" w:space="0" w:color="auto"/>
            <w:bottom w:val="none" w:sz="0" w:space="0" w:color="auto"/>
            <w:right w:val="none" w:sz="0" w:space="0" w:color="auto"/>
          </w:divBdr>
        </w:div>
        <w:div w:id="1447115673">
          <w:marLeft w:val="600"/>
          <w:marRight w:val="0"/>
          <w:marTop w:val="0"/>
          <w:marBottom w:val="0"/>
          <w:divBdr>
            <w:top w:val="none" w:sz="0" w:space="0" w:color="auto"/>
            <w:left w:val="none" w:sz="0" w:space="0" w:color="auto"/>
            <w:bottom w:val="none" w:sz="0" w:space="0" w:color="auto"/>
            <w:right w:val="none" w:sz="0" w:space="0" w:color="auto"/>
          </w:divBdr>
        </w:div>
        <w:div w:id="1455714246">
          <w:marLeft w:val="600"/>
          <w:marRight w:val="0"/>
          <w:marTop w:val="0"/>
          <w:marBottom w:val="0"/>
          <w:divBdr>
            <w:top w:val="none" w:sz="0" w:space="0" w:color="auto"/>
            <w:left w:val="none" w:sz="0" w:space="0" w:color="auto"/>
            <w:bottom w:val="none" w:sz="0" w:space="0" w:color="auto"/>
            <w:right w:val="none" w:sz="0" w:space="0" w:color="auto"/>
          </w:divBdr>
        </w:div>
        <w:div w:id="1459715998">
          <w:marLeft w:val="600"/>
          <w:marRight w:val="0"/>
          <w:marTop w:val="0"/>
          <w:marBottom w:val="0"/>
          <w:divBdr>
            <w:top w:val="none" w:sz="0" w:space="0" w:color="auto"/>
            <w:left w:val="none" w:sz="0" w:space="0" w:color="auto"/>
            <w:bottom w:val="none" w:sz="0" w:space="0" w:color="auto"/>
            <w:right w:val="none" w:sz="0" w:space="0" w:color="auto"/>
          </w:divBdr>
        </w:div>
        <w:div w:id="1503474791">
          <w:marLeft w:val="600"/>
          <w:marRight w:val="0"/>
          <w:marTop w:val="0"/>
          <w:marBottom w:val="0"/>
          <w:divBdr>
            <w:top w:val="none" w:sz="0" w:space="0" w:color="auto"/>
            <w:left w:val="none" w:sz="0" w:space="0" w:color="auto"/>
            <w:bottom w:val="none" w:sz="0" w:space="0" w:color="auto"/>
            <w:right w:val="none" w:sz="0" w:space="0" w:color="auto"/>
          </w:divBdr>
        </w:div>
        <w:div w:id="1516114408">
          <w:marLeft w:val="600"/>
          <w:marRight w:val="0"/>
          <w:marTop w:val="0"/>
          <w:marBottom w:val="0"/>
          <w:divBdr>
            <w:top w:val="none" w:sz="0" w:space="0" w:color="auto"/>
            <w:left w:val="none" w:sz="0" w:space="0" w:color="auto"/>
            <w:bottom w:val="none" w:sz="0" w:space="0" w:color="auto"/>
            <w:right w:val="none" w:sz="0" w:space="0" w:color="auto"/>
          </w:divBdr>
        </w:div>
        <w:div w:id="1547568548">
          <w:marLeft w:val="600"/>
          <w:marRight w:val="0"/>
          <w:marTop w:val="0"/>
          <w:marBottom w:val="0"/>
          <w:divBdr>
            <w:top w:val="none" w:sz="0" w:space="0" w:color="auto"/>
            <w:left w:val="none" w:sz="0" w:space="0" w:color="auto"/>
            <w:bottom w:val="none" w:sz="0" w:space="0" w:color="auto"/>
            <w:right w:val="none" w:sz="0" w:space="0" w:color="auto"/>
          </w:divBdr>
        </w:div>
        <w:div w:id="1604338053">
          <w:marLeft w:val="720"/>
          <w:marRight w:val="0"/>
          <w:marTop w:val="0"/>
          <w:marBottom w:val="0"/>
          <w:divBdr>
            <w:top w:val="none" w:sz="0" w:space="0" w:color="auto"/>
            <w:left w:val="none" w:sz="0" w:space="0" w:color="auto"/>
            <w:bottom w:val="none" w:sz="0" w:space="0" w:color="auto"/>
            <w:right w:val="none" w:sz="0" w:space="0" w:color="auto"/>
          </w:divBdr>
        </w:div>
        <w:div w:id="1635595879">
          <w:marLeft w:val="480"/>
          <w:marRight w:val="0"/>
          <w:marTop w:val="0"/>
          <w:marBottom w:val="0"/>
          <w:divBdr>
            <w:top w:val="none" w:sz="0" w:space="0" w:color="auto"/>
            <w:left w:val="none" w:sz="0" w:space="0" w:color="auto"/>
            <w:bottom w:val="none" w:sz="0" w:space="0" w:color="auto"/>
            <w:right w:val="none" w:sz="0" w:space="0" w:color="auto"/>
          </w:divBdr>
        </w:div>
        <w:div w:id="1696541831">
          <w:marLeft w:val="480"/>
          <w:marRight w:val="0"/>
          <w:marTop w:val="0"/>
          <w:marBottom w:val="0"/>
          <w:divBdr>
            <w:top w:val="none" w:sz="0" w:space="0" w:color="auto"/>
            <w:left w:val="none" w:sz="0" w:space="0" w:color="auto"/>
            <w:bottom w:val="none" w:sz="0" w:space="0" w:color="auto"/>
            <w:right w:val="none" w:sz="0" w:space="0" w:color="auto"/>
          </w:divBdr>
        </w:div>
        <w:div w:id="1700202641">
          <w:marLeft w:val="600"/>
          <w:marRight w:val="0"/>
          <w:marTop w:val="0"/>
          <w:marBottom w:val="0"/>
          <w:divBdr>
            <w:top w:val="none" w:sz="0" w:space="0" w:color="auto"/>
            <w:left w:val="none" w:sz="0" w:space="0" w:color="auto"/>
            <w:bottom w:val="none" w:sz="0" w:space="0" w:color="auto"/>
            <w:right w:val="none" w:sz="0" w:space="0" w:color="auto"/>
          </w:divBdr>
        </w:div>
        <w:div w:id="1703044881">
          <w:marLeft w:val="600"/>
          <w:marRight w:val="0"/>
          <w:marTop w:val="0"/>
          <w:marBottom w:val="0"/>
          <w:divBdr>
            <w:top w:val="none" w:sz="0" w:space="0" w:color="auto"/>
            <w:left w:val="none" w:sz="0" w:space="0" w:color="auto"/>
            <w:bottom w:val="none" w:sz="0" w:space="0" w:color="auto"/>
            <w:right w:val="none" w:sz="0" w:space="0" w:color="auto"/>
          </w:divBdr>
        </w:div>
        <w:div w:id="1704861919">
          <w:marLeft w:val="600"/>
          <w:marRight w:val="0"/>
          <w:marTop w:val="0"/>
          <w:marBottom w:val="0"/>
          <w:divBdr>
            <w:top w:val="none" w:sz="0" w:space="0" w:color="auto"/>
            <w:left w:val="none" w:sz="0" w:space="0" w:color="auto"/>
            <w:bottom w:val="none" w:sz="0" w:space="0" w:color="auto"/>
            <w:right w:val="none" w:sz="0" w:space="0" w:color="auto"/>
          </w:divBdr>
        </w:div>
        <w:div w:id="1707022755">
          <w:marLeft w:val="600"/>
          <w:marRight w:val="0"/>
          <w:marTop w:val="0"/>
          <w:marBottom w:val="0"/>
          <w:divBdr>
            <w:top w:val="none" w:sz="0" w:space="0" w:color="auto"/>
            <w:left w:val="none" w:sz="0" w:space="0" w:color="auto"/>
            <w:bottom w:val="none" w:sz="0" w:space="0" w:color="auto"/>
            <w:right w:val="none" w:sz="0" w:space="0" w:color="auto"/>
          </w:divBdr>
        </w:div>
        <w:div w:id="1731657752">
          <w:marLeft w:val="600"/>
          <w:marRight w:val="0"/>
          <w:marTop w:val="0"/>
          <w:marBottom w:val="0"/>
          <w:divBdr>
            <w:top w:val="none" w:sz="0" w:space="0" w:color="auto"/>
            <w:left w:val="none" w:sz="0" w:space="0" w:color="auto"/>
            <w:bottom w:val="none" w:sz="0" w:space="0" w:color="auto"/>
            <w:right w:val="none" w:sz="0" w:space="0" w:color="auto"/>
          </w:divBdr>
        </w:div>
        <w:div w:id="1806392250">
          <w:marLeft w:val="480"/>
          <w:marRight w:val="0"/>
          <w:marTop w:val="0"/>
          <w:marBottom w:val="0"/>
          <w:divBdr>
            <w:top w:val="none" w:sz="0" w:space="0" w:color="auto"/>
            <w:left w:val="none" w:sz="0" w:space="0" w:color="auto"/>
            <w:bottom w:val="none" w:sz="0" w:space="0" w:color="auto"/>
            <w:right w:val="none" w:sz="0" w:space="0" w:color="auto"/>
          </w:divBdr>
        </w:div>
        <w:div w:id="1830829852">
          <w:marLeft w:val="720"/>
          <w:marRight w:val="0"/>
          <w:marTop w:val="0"/>
          <w:marBottom w:val="0"/>
          <w:divBdr>
            <w:top w:val="none" w:sz="0" w:space="0" w:color="auto"/>
            <w:left w:val="none" w:sz="0" w:space="0" w:color="auto"/>
            <w:bottom w:val="none" w:sz="0" w:space="0" w:color="auto"/>
            <w:right w:val="none" w:sz="0" w:space="0" w:color="auto"/>
          </w:divBdr>
        </w:div>
        <w:div w:id="1837568425">
          <w:marLeft w:val="600"/>
          <w:marRight w:val="0"/>
          <w:marTop w:val="0"/>
          <w:marBottom w:val="0"/>
          <w:divBdr>
            <w:top w:val="none" w:sz="0" w:space="0" w:color="auto"/>
            <w:left w:val="none" w:sz="0" w:space="0" w:color="auto"/>
            <w:bottom w:val="none" w:sz="0" w:space="0" w:color="auto"/>
            <w:right w:val="none" w:sz="0" w:space="0" w:color="auto"/>
          </w:divBdr>
        </w:div>
        <w:div w:id="1850754031">
          <w:marLeft w:val="480"/>
          <w:marRight w:val="0"/>
          <w:marTop w:val="0"/>
          <w:marBottom w:val="0"/>
          <w:divBdr>
            <w:top w:val="none" w:sz="0" w:space="0" w:color="auto"/>
            <w:left w:val="none" w:sz="0" w:space="0" w:color="auto"/>
            <w:bottom w:val="none" w:sz="0" w:space="0" w:color="auto"/>
            <w:right w:val="none" w:sz="0" w:space="0" w:color="auto"/>
          </w:divBdr>
        </w:div>
        <w:div w:id="1897354617">
          <w:marLeft w:val="600"/>
          <w:marRight w:val="0"/>
          <w:marTop w:val="0"/>
          <w:marBottom w:val="0"/>
          <w:divBdr>
            <w:top w:val="none" w:sz="0" w:space="0" w:color="auto"/>
            <w:left w:val="none" w:sz="0" w:space="0" w:color="auto"/>
            <w:bottom w:val="none" w:sz="0" w:space="0" w:color="auto"/>
            <w:right w:val="none" w:sz="0" w:space="0" w:color="auto"/>
          </w:divBdr>
        </w:div>
        <w:div w:id="1900045661">
          <w:marLeft w:val="720"/>
          <w:marRight w:val="0"/>
          <w:marTop w:val="0"/>
          <w:marBottom w:val="0"/>
          <w:divBdr>
            <w:top w:val="none" w:sz="0" w:space="0" w:color="auto"/>
            <w:left w:val="none" w:sz="0" w:space="0" w:color="auto"/>
            <w:bottom w:val="none" w:sz="0" w:space="0" w:color="auto"/>
            <w:right w:val="none" w:sz="0" w:space="0" w:color="auto"/>
          </w:divBdr>
        </w:div>
        <w:div w:id="1922399958">
          <w:marLeft w:val="600"/>
          <w:marRight w:val="0"/>
          <w:marTop w:val="0"/>
          <w:marBottom w:val="0"/>
          <w:divBdr>
            <w:top w:val="none" w:sz="0" w:space="0" w:color="auto"/>
            <w:left w:val="none" w:sz="0" w:space="0" w:color="auto"/>
            <w:bottom w:val="none" w:sz="0" w:space="0" w:color="auto"/>
            <w:right w:val="none" w:sz="0" w:space="0" w:color="auto"/>
          </w:divBdr>
        </w:div>
        <w:div w:id="1936161301">
          <w:marLeft w:val="600"/>
          <w:marRight w:val="0"/>
          <w:marTop w:val="0"/>
          <w:marBottom w:val="0"/>
          <w:divBdr>
            <w:top w:val="none" w:sz="0" w:space="0" w:color="auto"/>
            <w:left w:val="none" w:sz="0" w:space="0" w:color="auto"/>
            <w:bottom w:val="none" w:sz="0" w:space="0" w:color="auto"/>
            <w:right w:val="none" w:sz="0" w:space="0" w:color="auto"/>
          </w:divBdr>
        </w:div>
        <w:div w:id="1951667602">
          <w:marLeft w:val="600"/>
          <w:marRight w:val="0"/>
          <w:marTop w:val="0"/>
          <w:marBottom w:val="0"/>
          <w:divBdr>
            <w:top w:val="none" w:sz="0" w:space="0" w:color="auto"/>
            <w:left w:val="none" w:sz="0" w:space="0" w:color="auto"/>
            <w:bottom w:val="none" w:sz="0" w:space="0" w:color="auto"/>
            <w:right w:val="none" w:sz="0" w:space="0" w:color="auto"/>
          </w:divBdr>
        </w:div>
        <w:div w:id="1955167255">
          <w:marLeft w:val="600"/>
          <w:marRight w:val="0"/>
          <w:marTop w:val="0"/>
          <w:marBottom w:val="0"/>
          <w:divBdr>
            <w:top w:val="none" w:sz="0" w:space="0" w:color="auto"/>
            <w:left w:val="none" w:sz="0" w:space="0" w:color="auto"/>
            <w:bottom w:val="none" w:sz="0" w:space="0" w:color="auto"/>
            <w:right w:val="none" w:sz="0" w:space="0" w:color="auto"/>
          </w:divBdr>
        </w:div>
        <w:div w:id="1957832382">
          <w:marLeft w:val="480"/>
          <w:marRight w:val="0"/>
          <w:marTop w:val="0"/>
          <w:marBottom w:val="0"/>
          <w:divBdr>
            <w:top w:val="none" w:sz="0" w:space="0" w:color="auto"/>
            <w:left w:val="none" w:sz="0" w:space="0" w:color="auto"/>
            <w:bottom w:val="none" w:sz="0" w:space="0" w:color="auto"/>
            <w:right w:val="none" w:sz="0" w:space="0" w:color="auto"/>
          </w:divBdr>
        </w:div>
        <w:div w:id="1960262243">
          <w:marLeft w:val="600"/>
          <w:marRight w:val="0"/>
          <w:marTop w:val="0"/>
          <w:marBottom w:val="0"/>
          <w:divBdr>
            <w:top w:val="none" w:sz="0" w:space="0" w:color="auto"/>
            <w:left w:val="none" w:sz="0" w:space="0" w:color="auto"/>
            <w:bottom w:val="none" w:sz="0" w:space="0" w:color="auto"/>
            <w:right w:val="none" w:sz="0" w:space="0" w:color="auto"/>
          </w:divBdr>
        </w:div>
        <w:div w:id="2006778907">
          <w:marLeft w:val="600"/>
          <w:marRight w:val="0"/>
          <w:marTop w:val="0"/>
          <w:marBottom w:val="0"/>
          <w:divBdr>
            <w:top w:val="none" w:sz="0" w:space="0" w:color="auto"/>
            <w:left w:val="none" w:sz="0" w:space="0" w:color="auto"/>
            <w:bottom w:val="none" w:sz="0" w:space="0" w:color="auto"/>
            <w:right w:val="none" w:sz="0" w:space="0" w:color="auto"/>
          </w:divBdr>
        </w:div>
        <w:div w:id="2016224490">
          <w:marLeft w:val="480"/>
          <w:marRight w:val="0"/>
          <w:marTop w:val="0"/>
          <w:marBottom w:val="0"/>
          <w:divBdr>
            <w:top w:val="none" w:sz="0" w:space="0" w:color="auto"/>
            <w:left w:val="none" w:sz="0" w:space="0" w:color="auto"/>
            <w:bottom w:val="none" w:sz="0" w:space="0" w:color="auto"/>
            <w:right w:val="none" w:sz="0" w:space="0" w:color="auto"/>
          </w:divBdr>
        </w:div>
        <w:div w:id="2052996249">
          <w:marLeft w:val="600"/>
          <w:marRight w:val="0"/>
          <w:marTop w:val="0"/>
          <w:marBottom w:val="0"/>
          <w:divBdr>
            <w:top w:val="none" w:sz="0" w:space="0" w:color="auto"/>
            <w:left w:val="none" w:sz="0" w:space="0" w:color="auto"/>
            <w:bottom w:val="none" w:sz="0" w:space="0" w:color="auto"/>
            <w:right w:val="none" w:sz="0" w:space="0" w:color="auto"/>
          </w:divBdr>
        </w:div>
        <w:div w:id="2058700668">
          <w:marLeft w:val="600"/>
          <w:marRight w:val="0"/>
          <w:marTop w:val="0"/>
          <w:marBottom w:val="0"/>
          <w:divBdr>
            <w:top w:val="none" w:sz="0" w:space="0" w:color="auto"/>
            <w:left w:val="none" w:sz="0" w:space="0" w:color="auto"/>
            <w:bottom w:val="none" w:sz="0" w:space="0" w:color="auto"/>
            <w:right w:val="none" w:sz="0" w:space="0" w:color="auto"/>
          </w:divBdr>
        </w:div>
        <w:div w:id="2072732531">
          <w:marLeft w:val="600"/>
          <w:marRight w:val="0"/>
          <w:marTop w:val="0"/>
          <w:marBottom w:val="0"/>
          <w:divBdr>
            <w:top w:val="none" w:sz="0" w:space="0" w:color="auto"/>
            <w:left w:val="none" w:sz="0" w:space="0" w:color="auto"/>
            <w:bottom w:val="none" w:sz="0" w:space="0" w:color="auto"/>
            <w:right w:val="none" w:sz="0" w:space="0" w:color="auto"/>
          </w:divBdr>
        </w:div>
        <w:div w:id="2074110457">
          <w:marLeft w:val="480"/>
          <w:marRight w:val="0"/>
          <w:marTop w:val="0"/>
          <w:marBottom w:val="0"/>
          <w:divBdr>
            <w:top w:val="none" w:sz="0" w:space="0" w:color="auto"/>
            <w:left w:val="none" w:sz="0" w:space="0" w:color="auto"/>
            <w:bottom w:val="none" w:sz="0" w:space="0" w:color="auto"/>
            <w:right w:val="none" w:sz="0" w:space="0" w:color="auto"/>
          </w:divBdr>
        </w:div>
        <w:div w:id="2074153690">
          <w:marLeft w:val="600"/>
          <w:marRight w:val="0"/>
          <w:marTop w:val="0"/>
          <w:marBottom w:val="0"/>
          <w:divBdr>
            <w:top w:val="none" w:sz="0" w:space="0" w:color="auto"/>
            <w:left w:val="none" w:sz="0" w:space="0" w:color="auto"/>
            <w:bottom w:val="none" w:sz="0" w:space="0" w:color="auto"/>
            <w:right w:val="none" w:sz="0" w:space="0" w:color="auto"/>
          </w:divBdr>
        </w:div>
        <w:div w:id="2075353240">
          <w:marLeft w:val="600"/>
          <w:marRight w:val="0"/>
          <w:marTop w:val="0"/>
          <w:marBottom w:val="0"/>
          <w:divBdr>
            <w:top w:val="none" w:sz="0" w:space="0" w:color="auto"/>
            <w:left w:val="none" w:sz="0" w:space="0" w:color="auto"/>
            <w:bottom w:val="none" w:sz="0" w:space="0" w:color="auto"/>
            <w:right w:val="none" w:sz="0" w:space="0" w:color="auto"/>
          </w:divBdr>
        </w:div>
        <w:div w:id="2086756451">
          <w:marLeft w:val="480"/>
          <w:marRight w:val="0"/>
          <w:marTop w:val="0"/>
          <w:marBottom w:val="0"/>
          <w:divBdr>
            <w:top w:val="none" w:sz="0" w:space="0" w:color="auto"/>
            <w:left w:val="none" w:sz="0" w:space="0" w:color="auto"/>
            <w:bottom w:val="none" w:sz="0" w:space="0" w:color="auto"/>
            <w:right w:val="none" w:sz="0" w:space="0" w:color="auto"/>
          </w:divBdr>
        </w:div>
        <w:div w:id="2092308187">
          <w:marLeft w:val="720"/>
          <w:marRight w:val="0"/>
          <w:marTop w:val="0"/>
          <w:marBottom w:val="0"/>
          <w:divBdr>
            <w:top w:val="none" w:sz="0" w:space="0" w:color="auto"/>
            <w:left w:val="none" w:sz="0" w:space="0" w:color="auto"/>
            <w:bottom w:val="none" w:sz="0" w:space="0" w:color="auto"/>
            <w:right w:val="none" w:sz="0" w:space="0" w:color="auto"/>
          </w:divBdr>
        </w:div>
        <w:div w:id="2106730810">
          <w:marLeft w:val="480"/>
          <w:marRight w:val="0"/>
          <w:marTop w:val="0"/>
          <w:marBottom w:val="0"/>
          <w:divBdr>
            <w:top w:val="none" w:sz="0" w:space="0" w:color="auto"/>
            <w:left w:val="none" w:sz="0" w:space="0" w:color="auto"/>
            <w:bottom w:val="none" w:sz="0" w:space="0" w:color="auto"/>
            <w:right w:val="none" w:sz="0" w:space="0" w:color="auto"/>
          </w:divBdr>
        </w:div>
      </w:divsChild>
    </w:div>
    <w:div w:id="309405683">
      <w:bodyDiv w:val="1"/>
      <w:marLeft w:val="0"/>
      <w:marRight w:val="0"/>
      <w:marTop w:val="0"/>
      <w:marBottom w:val="0"/>
      <w:divBdr>
        <w:top w:val="none" w:sz="0" w:space="0" w:color="auto"/>
        <w:left w:val="none" w:sz="0" w:space="0" w:color="auto"/>
        <w:bottom w:val="none" w:sz="0" w:space="0" w:color="auto"/>
        <w:right w:val="none" w:sz="0" w:space="0" w:color="auto"/>
      </w:divBdr>
    </w:div>
    <w:div w:id="323894159">
      <w:bodyDiv w:val="1"/>
      <w:marLeft w:val="0"/>
      <w:marRight w:val="0"/>
      <w:marTop w:val="0"/>
      <w:marBottom w:val="0"/>
      <w:divBdr>
        <w:top w:val="none" w:sz="0" w:space="0" w:color="auto"/>
        <w:left w:val="none" w:sz="0" w:space="0" w:color="auto"/>
        <w:bottom w:val="none" w:sz="0" w:space="0" w:color="auto"/>
        <w:right w:val="none" w:sz="0" w:space="0" w:color="auto"/>
      </w:divBdr>
    </w:div>
    <w:div w:id="353264382">
      <w:bodyDiv w:val="1"/>
      <w:marLeft w:val="0"/>
      <w:marRight w:val="0"/>
      <w:marTop w:val="0"/>
      <w:marBottom w:val="0"/>
      <w:divBdr>
        <w:top w:val="none" w:sz="0" w:space="0" w:color="auto"/>
        <w:left w:val="none" w:sz="0" w:space="0" w:color="auto"/>
        <w:bottom w:val="none" w:sz="0" w:space="0" w:color="auto"/>
        <w:right w:val="none" w:sz="0" w:space="0" w:color="auto"/>
      </w:divBdr>
    </w:div>
    <w:div w:id="471601466">
      <w:bodyDiv w:val="1"/>
      <w:marLeft w:val="0"/>
      <w:marRight w:val="0"/>
      <w:marTop w:val="0"/>
      <w:marBottom w:val="0"/>
      <w:divBdr>
        <w:top w:val="none" w:sz="0" w:space="0" w:color="auto"/>
        <w:left w:val="none" w:sz="0" w:space="0" w:color="auto"/>
        <w:bottom w:val="none" w:sz="0" w:space="0" w:color="auto"/>
        <w:right w:val="none" w:sz="0" w:space="0" w:color="auto"/>
      </w:divBdr>
      <w:divsChild>
        <w:div w:id="21787697">
          <w:marLeft w:val="0"/>
          <w:marRight w:val="0"/>
          <w:marTop w:val="0"/>
          <w:marBottom w:val="0"/>
          <w:divBdr>
            <w:top w:val="none" w:sz="0" w:space="0" w:color="auto"/>
            <w:left w:val="none" w:sz="0" w:space="0" w:color="auto"/>
            <w:bottom w:val="none" w:sz="0" w:space="0" w:color="auto"/>
            <w:right w:val="none" w:sz="0" w:space="0" w:color="auto"/>
          </w:divBdr>
          <w:divsChild>
            <w:div w:id="726953635">
              <w:marLeft w:val="0"/>
              <w:marRight w:val="0"/>
              <w:marTop w:val="0"/>
              <w:marBottom w:val="0"/>
              <w:divBdr>
                <w:top w:val="none" w:sz="0" w:space="0" w:color="auto"/>
                <w:left w:val="none" w:sz="0" w:space="0" w:color="auto"/>
                <w:bottom w:val="none" w:sz="0" w:space="0" w:color="auto"/>
                <w:right w:val="none" w:sz="0" w:space="0" w:color="auto"/>
              </w:divBdr>
            </w:div>
          </w:divsChild>
        </w:div>
        <w:div w:id="390275837">
          <w:marLeft w:val="0"/>
          <w:marRight w:val="0"/>
          <w:marTop w:val="0"/>
          <w:marBottom w:val="0"/>
          <w:divBdr>
            <w:top w:val="none" w:sz="0" w:space="0" w:color="auto"/>
            <w:left w:val="none" w:sz="0" w:space="0" w:color="auto"/>
            <w:bottom w:val="none" w:sz="0" w:space="0" w:color="auto"/>
            <w:right w:val="none" w:sz="0" w:space="0" w:color="auto"/>
          </w:divBdr>
          <w:divsChild>
            <w:div w:id="96020373">
              <w:marLeft w:val="0"/>
              <w:marRight w:val="0"/>
              <w:marTop w:val="0"/>
              <w:marBottom w:val="0"/>
              <w:divBdr>
                <w:top w:val="none" w:sz="0" w:space="0" w:color="auto"/>
                <w:left w:val="none" w:sz="0" w:space="0" w:color="auto"/>
                <w:bottom w:val="none" w:sz="0" w:space="0" w:color="auto"/>
                <w:right w:val="none" w:sz="0" w:space="0" w:color="auto"/>
              </w:divBdr>
            </w:div>
          </w:divsChild>
        </w:div>
        <w:div w:id="663436052">
          <w:marLeft w:val="0"/>
          <w:marRight w:val="0"/>
          <w:marTop w:val="0"/>
          <w:marBottom w:val="0"/>
          <w:divBdr>
            <w:top w:val="none" w:sz="0" w:space="0" w:color="auto"/>
            <w:left w:val="none" w:sz="0" w:space="0" w:color="auto"/>
            <w:bottom w:val="none" w:sz="0" w:space="0" w:color="auto"/>
            <w:right w:val="none" w:sz="0" w:space="0" w:color="auto"/>
          </w:divBdr>
          <w:divsChild>
            <w:div w:id="738941439">
              <w:marLeft w:val="0"/>
              <w:marRight w:val="0"/>
              <w:marTop w:val="0"/>
              <w:marBottom w:val="0"/>
              <w:divBdr>
                <w:top w:val="none" w:sz="0" w:space="0" w:color="auto"/>
                <w:left w:val="none" w:sz="0" w:space="0" w:color="auto"/>
                <w:bottom w:val="none" w:sz="0" w:space="0" w:color="auto"/>
                <w:right w:val="none" w:sz="0" w:space="0" w:color="auto"/>
              </w:divBdr>
            </w:div>
          </w:divsChild>
        </w:div>
        <w:div w:id="744835582">
          <w:marLeft w:val="0"/>
          <w:marRight w:val="0"/>
          <w:marTop w:val="0"/>
          <w:marBottom w:val="0"/>
          <w:divBdr>
            <w:top w:val="none" w:sz="0" w:space="0" w:color="auto"/>
            <w:left w:val="none" w:sz="0" w:space="0" w:color="auto"/>
            <w:bottom w:val="none" w:sz="0" w:space="0" w:color="auto"/>
            <w:right w:val="none" w:sz="0" w:space="0" w:color="auto"/>
          </w:divBdr>
          <w:divsChild>
            <w:div w:id="27607226">
              <w:marLeft w:val="0"/>
              <w:marRight w:val="0"/>
              <w:marTop w:val="0"/>
              <w:marBottom w:val="0"/>
              <w:divBdr>
                <w:top w:val="none" w:sz="0" w:space="0" w:color="auto"/>
                <w:left w:val="none" w:sz="0" w:space="0" w:color="auto"/>
                <w:bottom w:val="none" w:sz="0" w:space="0" w:color="auto"/>
                <w:right w:val="none" w:sz="0" w:space="0" w:color="auto"/>
              </w:divBdr>
            </w:div>
          </w:divsChild>
        </w:div>
        <w:div w:id="1103233573">
          <w:marLeft w:val="0"/>
          <w:marRight w:val="0"/>
          <w:marTop w:val="0"/>
          <w:marBottom w:val="0"/>
          <w:divBdr>
            <w:top w:val="none" w:sz="0" w:space="0" w:color="auto"/>
            <w:left w:val="none" w:sz="0" w:space="0" w:color="auto"/>
            <w:bottom w:val="none" w:sz="0" w:space="0" w:color="auto"/>
            <w:right w:val="none" w:sz="0" w:space="0" w:color="auto"/>
          </w:divBdr>
          <w:divsChild>
            <w:div w:id="680356910">
              <w:marLeft w:val="0"/>
              <w:marRight w:val="0"/>
              <w:marTop w:val="0"/>
              <w:marBottom w:val="0"/>
              <w:divBdr>
                <w:top w:val="none" w:sz="0" w:space="0" w:color="auto"/>
                <w:left w:val="none" w:sz="0" w:space="0" w:color="auto"/>
                <w:bottom w:val="none" w:sz="0" w:space="0" w:color="auto"/>
                <w:right w:val="none" w:sz="0" w:space="0" w:color="auto"/>
              </w:divBdr>
              <w:divsChild>
                <w:div w:id="560017157">
                  <w:marLeft w:val="0"/>
                  <w:marRight w:val="0"/>
                  <w:marTop w:val="0"/>
                  <w:marBottom w:val="0"/>
                  <w:divBdr>
                    <w:top w:val="none" w:sz="0" w:space="0" w:color="auto"/>
                    <w:left w:val="none" w:sz="0" w:space="0" w:color="auto"/>
                    <w:bottom w:val="none" w:sz="0" w:space="0" w:color="auto"/>
                    <w:right w:val="none" w:sz="0" w:space="0" w:color="auto"/>
                  </w:divBdr>
                  <w:divsChild>
                    <w:div w:id="9651846">
                      <w:marLeft w:val="0"/>
                      <w:marRight w:val="0"/>
                      <w:marTop w:val="0"/>
                      <w:marBottom w:val="0"/>
                      <w:divBdr>
                        <w:top w:val="none" w:sz="0" w:space="0" w:color="auto"/>
                        <w:left w:val="none" w:sz="0" w:space="0" w:color="auto"/>
                        <w:bottom w:val="none" w:sz="0" w:space="0" w:color="auto"/>
                        <w:right w:val="none" w:sz="0" w:space="0" w:color="auto"/>
                      </w:divBdr>
                    </w:div>
                    <w:div w:id="905264466">
                      <w:marLeft w:val="0"/>
                      <w:marRight w:val="0"/>
                      <w:marTop w:val="120"/>
                      <w:marBottom w:val="0"/>
                      <w:divBdr>
                        <w:top w:val="none" w:sz="0" w:space="0" w:color="auto"/>
                        <w:left w:val="none" w:sz="0" w:space="0" w:color="auto"/>
                        <w:bottom w:val="none" w:sz="0" w:space="0" w:color="auto"/>
                        <w:right w:val="none" w:sz="0" w:space="0" w:color="auto"/>
                      </w:divBdr>
                    </w:div>
                  </w:divsChild>
                </w:div>
                <w:div w:id="957025383">
                  <w:marLeft w:val="0"/>
                  <w:marRight w:val="0"/>
                  <w:marTop w:val="0"/>
                  <w:marBottom w:val="0"/>
                  <w:divBdr>
                    <w:top w:val="none" w:sz="0" w:space="0" w:color="auto"/>
                    <w:left w:val="none" w:sz="0" w:space="0" w:color="auto"/>
                    <w:bottom w:val="none" w:sz="0" w:space="0" w:color="auto"/>
                    <w:right w:val="none" w:sz="0" w:space="0" w:color="auto"/>
                  </w:divBdr>
                  <w:divsChild>
                    <w:div w:id="575362991">
                      <w:marLeft w:val="0"/>
                      <w:marRight w:val="0"/>
                      <w:marTop w:val="120"/>
                      <w:marBottom w:val="0"/>
                      <w:divBdr>
                        <w:top w:val="none" w:sz="0" w:space="0" w:color="auto"/>
                        <w:left w:val="none" w:sz="0" w:space="0" w:color="auto"/>
                        <w:bottom w:val="none" w:sz="0" w:space="0" w:color="auto"/>
                        <w:right w:val="none" w:sz="0" w:space="0" w:color="auto"/>
                      </w:divBdr>
                    </w:div>
                    <w:div w:id="1978491258">
                      <w:marLeft w:val="0"/>
                      <w:marRight w:val="0"/>
                      <w:marTop w:val="0"/>
                      <w:marBottom w:val="0"/>
                      <w:divBdr>
                        <w:top w:val="none" w:sz="0" w:space="0" w:color="auto"/>
                        <w:left w:val="none" w:sz="0" w:space="0" w:color="auto"/>
                        <w:bottom w:val="none" w:sz="0" w:space="0" w:color="auto"/>
                        <w:right w:val="none" w:sz="0" w:space="0" w:color="auto"/>
                      </w:divBdr>
                    </w:div>
                  </w:divsChild>
                </w:div>
                <w:div w:id="1266383495">
                  <w:marLeft w:val="0"/>
                  <w:marRight w:val="0"/>
                  <w:marTop w:val="0"/>
                  <w:marBottom w:val="0"/>
                  <w:divBdr>
                    <w:top w:val="none" w:sz="0" w:space="0" w:color="auto"/>
                    <w:left w:val="none" w:sz="0" w:space="0" w:color="auto"/>
                    <w:bottom w:val="none" w:sz="0" w:space="0" w:color="auto"/>
                    <w:right w:val="none" w:sz="0" w:space="0" w:color="auto"/>
                  </w:divBdr>
                  <w:divsChild>
                    <w:div w:id="431822605">
                      <w:marLeft w:val="0"/>
                      <w:marRight w:val="0"/>
                      <w:marTop w:val="0"/>
                      <w:marBottom w:val="0"/>
                      <w:divBdr>
                        <w:top w:val="none" w:sz="0" w:space="0" w:color="auto"/>
                        <w:left w:val="none" w:sz="0" w:space="0" w:color="auto"/>
                        <w:bottom w:val="none" w:sz="0" w:space="0" w:color="auto"/>
                        <w:right w:val="none" w:sz="0" w:space="0" w:color="auto"/>
                      </w:divBdr>
                    </w:div>
                    <w:div w:id="1539318667">
                      <w:marLeft w:val="0"/>
                      <w:marRight w:val="0"/>
                      <w:marTop w:val="120"/>
                      <w:marBottom w:val="0"/>
                      <w:divBdr>
                        <w:top w:val="none" w:sz="0" w:space="0" w:color="auto"/>
                        <w:left w:val="none" w:sz="0" w:space="0" w:color="auto"/>
                        <w:bottom w:val="none" w:sz="0" w:space="0" w:color="auto"/>
                        <w:right w:val="none" w:sz="0" w:space="0" w:color="auto"/>
                      </w:divBdr>
                    </w:div>
                  </w:divsChild>
                </w:div>
                <w:div w:id="1599867882">
                  <w:marLeft w:val="0"/>
                  <w:marRight w:val="0"/>
                  <w:marTop w:val="0"/>
                  <w:marBottom w:val="0"/>
                  <w:divBdr>
                    <w:top w:val="none" w:sz="0" w:space="0" w:color="auto"/>
                    <w:left w:val="none" w:sz="0" w:space="0" w:color="auto"/>
                    <w:bottom w:val="none" w:sz="0" w:space="0" w:color="auto"/>
                    <w:right w:val="none" w:sz="0" w:space="0" w:color="auto"/>
                  </w:divBdr>
                  <w:divsChild>
                    <w:div w:id="2015768115">
                      <w:marLeft w:val="0"/>
                      <w:marRight w:val="0"/>
                      <w:marTop w:val="0"/>
                      <w:marBottom w:val="0"/>
                      <w:divBdr>
                        <w:top w:val="none" w:sz="0" w:space="0" w:color="auto"/>
                        <w:left w:val="none" w:sz="0" w:space="0" w:color="auto"/>
                        <w:bottom w:val="none" w:sz="0" w:space="0" w:color="auto"/>
                        <w:right w:val="none" w:sz="0" w:space="0" w:color="auto"/>
                      </w:divBdr>
                    </w:div>
                    <w:div w:id="2058969388">
                      <w:marLeft w:val="0"/>
                      <w:marRight w:val="0"/>
                      <w:marTop w:val="120"/>
                      <w:marBottom w:val="0"/>
                      <w:divBdr>
                        <w:top w:val="none" w:sz="0" w:space="0" w:color="auto"/>
                        <w:left w:val="none" w:sz="0" w:space="0" w:color="auto"/>
                        <w:bottom w:val="none" w:sz="0" w:space="0" w:color="auto"/>
                        <w:right w:val="none" w:sz="0" w:space="0" w:color="auto"/>
                      </w:divBdr>
                    </w:div>
                  </w:divsChild>
                </w:div>
                <w:div w:id="1843816990">
                  <w:marLeft w:val="0"/>
                  <w:marRight w:val="0"/>
                  <w:marTop w:val="0"/>
                  <w:marBottom w:val="0"/>
                  <w:divBdr>
                    <w:top w:val="none" w:sz="0" w:space="0" w:color="auto"/>
                    <w:left w:val="none" w:sz="0" w:space="0" w:color="auto"/>
                    <w:bottom w:val="none" w:sz="0" w:space="0" w:color="auto"/>
                    <w:right w:val="none" w:sz="0" w:space="0" w:color="auto"/>
                  </w:divBdr>
                  <w:divsChild>
                    <w:div w:id="9844579">
                      <w:marLeft w:val="0"/>
                      <w:marRight w:val="0"/>
                      <w:marTop w:val="0"/>
                      <w:marBottom w:val="0"/>
                      <w:divBdr>
                        <w:top w:val="none" w:sz="0" w:space="0" w:color="auto"/>
                        <w:left w:val="none" w:sz="0" w:space="0" w:color="auto"/>
                        <w:bottom w:val="none" w:sz="0" w:space="0" w:color="auto"/>
                        <w:right w:val="none" w:sz="0" w:space="0" w:color="auto"/>
                      </w:divBdr>
                    </w:div>
                    <w:div w:id="7144332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76906807">
          <w:marLeft w:val="0"/>
          <w:marRight w:val="0"/>
          <w:marTop w:val="0"/>
          <w:marBottom w:val="0"/>
          <w:divBdr>
            <w:top w:val="none" w:sz="0" w:space="0" w:color="auto"/>
            <w:left w:val="none" w:sz="0" w:space="0" w:color="auto"/>
            <w:bottom w:val="none" w:sz="0" w:space="0" w:color="auto"/>
            <w:right w:val="none" w:sz="0" w:space="0" w:color="auto"/>
          </w:divBdr>
          <w:divsChild>
            <w:div w:id="1351683045">
              <w:marLeft w:val="0"/>
              <w:marRight w:val="0"/>
              <w:marTop w:val="0"/>
              <w:marBottom w:val="0"/>
              <w:divBdr>
                <w:top w:val="none" w:sz="0" w:space="0" w:color="auto"/>
                <w:left w:val="none" w:sz="0" w:space="0" w:color="auto"/>
                <w:bottom w:val="none" w:sz="0" w:space="0" w:color="auto"/>
                <w:right w:val="none" w:sz="0" w:space="0" w:color="auto"/>
              </w:divBdr>
            </w:div>
          </w:divsChild>
        </w:div>
        <w:div w:id="1433741369">
          <w:marLeft w:val="0"/>
          <w:marRight w:val="0"/>
          <w:marTop w:val="0"/>
          <w:marBottom w:val="0"/>
          <w:divBdr>
            <w:top w:val="none" w:sz="0" w:space="0" w:color="auto"/>
            <w:left w:val="none" w:sz="0" w:space="0" w:color="auto"/>
            <w:bottom w:val="none" w:sz="0" w:space="0" w:color="auto"/>
            <w:right w:val="none" w:sz="0" w:space="0" w:color="auto"/>
          </w:divBdr>
          <w:divsChild>
            <w:div w:id="1431002020">
              <w:marLeft w:val="0"/>
              <w:marRight w:val="0"/>
              <w:marTop w:val="0"/>
              <w:marBottom w:val="0"/>
              <w:divBdr>
                <w:top w:val="none" w:sz="0" w:space="0" w:color="auto"/>
                <w:left w:val="none" w:sz="0" w:space="0" w:color="auto"/>
                <w:bottom w:val="none" w:sz="0" w:space="0" w:color="auto"/>
                <w:right w:val="none" w:sz="0" w:space="0" w:color="auto"/>
              </w:divBdr>
            </w:div>
          </w:divsChild>
        </w:div>
        <w:div w:id="1905020618">
          <w:marLeft w:val="0"/>
          <w:marRight w:val="0"/>
          <w:marTop w:val="0"/>
          <w:marBottom w:val="0"/>
          <w:divBdr>
            <w:top w:val="none" w:sz="0" w:space="0" w:color="auto"/>
            <w:left w:val="none" w:sz="0" w:space="0" w:color="auto"/>
            <w:bottom w:val="none" w:sz="0" w:space="0" w:color="auto"/>
            <w:right w:val="none" w:sz="0" w:space="0" w:color="auto"/>
          </w:divBdr>
          <w:divsChild>
            <w:div w:id="987637716">
              <w:marLeft w:val="0"/>
              <w:marRight w:val="0"/>
              <w:marTop w:val="0"/>
              <w:marBottom w:val="0"/>
              <w:divBdr>
                <w:top w:val="none" w:sz="0" w:space="0" w:color="auto"/>
                <w:left w:val="none" w:sz="0" w:space="0" w:color="auto"/>
                <w:bottom w:val="none" w:sz="0" w:space="0" w:color="auto"/>
                <w:right w:val="none" w:sz="0" w:space="0" w:color="auto"/>
              </w:divBdr>
              <w:divsChild>
                <w:div w:id="189493998">
                  <w:marLeft w:val="0"/>
                  <w:marRight w:val="0"/>
                  <w:marTop w:val="0"/>
                  <w:marBottom w:val="0"/>
                  <w:divBdr>
                    <w:top w:val="none" w:sz="0" w:space="0" w:color="auto"/>
                    <w:left w:val="none" w:sz="0" w:space="0" w:color="auto"/>
                    <w:bottom w:val="none" w:sz="0" w:space="0" w:color="auto"/>
                    <w:right w:val="none" w:sz="0" w:space="0" w:color="auto"/>
                  </w:divBdr>
                  <w:divsChild>
                    <w:div w:id="1196499005">
                      <w:marLeft w:val="0"/>
                      <w:marRight w:val="0"/>
                      <w:marTop w:val="120"/>
                      <w:marBottom w:val="0"/>
                      <w:divBdr>
                        <w:top w:val="none" w:sz="0" w:space="0" w:color="auto"/>
                        <w:left w:val="none" w:sz="0" w:space="0" w:color="auto"/>
                        <w:bottom w:val="none" w:sz="0" w:space="0" w:color="auto"/>
                        <w:right w:val="none" w:sz="0" w:space="0" w:color="auto"/>
                      </w:divBdr>
                    </w:div>
                    <w:div w:id="1599175879">
                      <w:marLeft w:val="0"/>
                      <w:marRight w:val="0"/>
                      <w:marTop w:val="0"/>
                      <w:marBottom w:val="0"/>
                      <w:divBdr>
                        <w:top w:val="none" w:sz="0" w:space="0" w:color="auto"/>
                        <w:left w:val="none" w:sz="0" w:space="0" w:color="auto"/>
                        <w:bottom w:val="none" w:sz="0" w:space="0" w:color="auto"/>
                        <w:right w:val="none" w:sz="0" w:space="0" w:color="auto"/>
                      </w:divBdr>
                    </w:div>
                  </w:divsChild>
                </w:div>
                <w:div w:id="586814457">
                  <w:marLeft w:val="0"/>
                  <w:marRight w:val="0"/>
                  <w:marTop w:val="0"/>
                  <w:marBottom w:val="0"/>
                  <w:divBdr>
                    <w:top w:val="none" w:sz="0" w:space="0" w:color="auto"/>
                    <w:left w:val="none" w:sz="0" w:space="0" w:color="auto"/>
                    <w:bottom w:val="none" w:sz="0" w:space="0" w:color="auto"/>
                    <w:right w:val="none" w:sz="0" w:space="0" w:color="auto"/>
                  </w:divBdr>
                  <w:divsChild>
                    <w:div w:id="650795672">
                      <w:marLeft w:val="0"/>
                      <w:marRight w:val="0"/>
                      <w:marTop w:val="120"/>
                      <w:marBottom w:val="0"/>
                      <w:divBdr>
                        <w:top w:val="none" w:sz="0" w:space="0" w:color="auto"/>
                        <w:left w:val="none" w:sz="0" w:space="0" w:color="auto"/>
                        <w:bottom w:val="none" w:sz="0" w:space="0" w:color="auto"/>
                        <w:right w:val="none" w:sz="0" w:space="0" w:color="auto"/>
                      </w:divBdr>
                    </w:div>
                    <w:div w:id="761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3832">
          <w:marLeft w:val="0"/>
          <w:marRight w:val="0"/>
          <w:marTop w:val="0"/>
          <w:marBottom w:val="0"/>
          <w:divBdr>
            <w:top w:val="none" w:sz="0" w:space="0" w:color="auto"/>
            <w:left w:val="none" w:sz="0" w:space="0" w:color="auto"/>
            <w:bottom w:val="none" w:sz="0" w:space="0" w:color="auto"/>
            <w:right w:val="none" w:sz="0" w:space="0" w:color="auto"/>
          </w:divBdr>
          <w:divsChild>
            <w:div w:id="2550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8625">
      <w:bodyDiv w:val="1"/>
      <w:marLeft w:val="0"/>
      <w:marRight w:val="0"/>
      <w:marTop w:val="0"/>
      <w:marBottom w:val="0"/>
      <w:divBdr>
        <w:top w:val="none" w:sz="0" w:space="0" w:color="auto"/>
        <w:left w:val="none" w:sz="0" w:space="0" w:color="auto"/>
        <w:bottom w:val="none" w:sz="0" w:space="0" w:color="auto"/>
        <w:right w:val="none" w:sz="0" w:space="0" w:color="auto"/>
      </w:divBdr>
    </w:div>
    <w:div w:id="542599614">
      <w:bodyDiv w:val="1"/>
      <w:marLeft w:val="0"/>
      <w:marRight w:val="0"/>
      <w:marTop w:val="0"/>
      <w:marBottom w:val="0"/>
      <w:divBdr>
        <w:top w:val="none" w:sz="0" w:space="0" w:color="auto"/>
        <w:left w:val="none" w:sz="0" w:space="0" w:color="auto"/>
        <w:bottom w:val="none" w:sz="0" w:space="0" w:color="auto"/>
        <w:right w:val="none" w:sz="0" w:space="0" w:color="auto"/>
      </w:divBdr>
      <w:divsChild>
        <w:div w:id="435713180">
          <w:marLeft w:val="600"/>
          <w:marRight w:val="0"/>
          <w:marTop w:val="0"/>
          <w:marBottom w:val="0"/>
          <w:divBdr>
            <w:top w:val="none" w:sz="0" w:space="0" w:color="auto"/>
            <w:left w:val="none" w:sz="0" w:space="0" w:color="auto"/>
            <w:bottom w:val="none" w:sz="0" w:space="0" w:color="auto"/>
            <w:right w:val="none" w:sz="0" w:space="0" w:color="auto"/>
          </w:divBdr>
        </w:div>
        <w:div w:id="441194637">
          <w:marLeft w:val="720"/>
          <w:marRight w:val="0"/>
          <w:marTop w:val="0"/>
          <w:marBottom w:val="0"/>
          <w:divBdr>
            <w:top w:val="none" w:sz="0" w:space="0" w:color="auto"/>
            <w:left w:val="none" w:sz="0" w:space="0" w:color="auto"/>
            <w:bottom w:val="none" w:sz="0" w:space="0" w:color="auto"/>
            <w:right w:val="none" w:sz="0" w:space="0" w:color="auto"/>
          </w:divBdr>
        </w:div>
        <w:div w:id="684743732">
          <w:marLeft w:val="600"/>
          <w:marRight w:val="0"/>
          <w:marTop w:val="0"/>
          <w:marBottom w:val="0"/>
          <w:divBdr>
            <w:top w:val="none" w:sz="0" w:space="0" w:color="auto"/>
            <w:left w:val="none" w:sz="0" w:space="0" w:color="auto"/>
            <w:bottom w:val="none" w:sz="0" w:space="0" w:color="auto"/>
            <w:right w:val="none" w:sz="0" w:space="0" w:color="auto"/>
          </w:divBdr>
        </w:div>
        <w:div w:id="698513528">
          <w:marLeft w:val="600"/>
          <w:marRight w:val="0"/>
          <w:marTop w:val="0"/>
          <w:marBottom w:val="0"/>
          <w:divBdr>
            <w:top w:val="none" w:sz="0" w:space="0" w:color="auto"/>
            <w:left w:val="none" w:sz="0" w:space="0" w:color="auto"/>
            <w:bottom w:val="none" w:sz="0" w:space="0" w:color="auto"/>
            <w:right w:val="none" w:sz="0" w:space="0" w:color="auto"/>
          </w:divBdr>
        </w:div>
        <w:div w:id="822282669">
          <w:marLeft w:val="600"/>
          <w:marRight w:val="0"/>
          <w:marTop w:val="0"/>
          <w:marBottom w:val="0"/>
          <w:divBdr>
            <w:top w:val="none" w:sz="0" w:space="0" w:color="auto"/>
            <w:left w:val="none" w:sz="0" w:space="0" w:color="auto"/>
            <w:bottom w:val="none" w:sz="0" w:space="0" w:color="auto"/>
            <w:right w:val="none" w:sz="0" w:space="0" w:color="auto"/>
          </w:divBdr>
        </w:div>
        <w:div w:id="1027414386">
          <w:marLeft w:val="600"/>
          <w:marRight w:val="0"/>
          <w:marTop w:val="0"/>
          <w:marBottom w:val="0"/>
          <w:divBdr>
            <w:top w:val="none" w:sz="0" w:space="0" w:color="auto"/>
            <w:left w:val="none" w:sz="0" w:space="0" w:color="auto"/>
            <w:bottom w:val="none" w:sz="0" w:space="0" w:color="auto"/>
            <w:right w:val="none" w:sz="0" w:space="0" w:color="auto"/>
          </w:divBdr>
        </w:div>
        <w:div w:id="1212766011">
          <w:marLeft w:val="600"/>
          <w:marRight w:val="0"/>
          <w:marTop w:val="0"/>
          <w:marBottom w:val="0"/>
          <w:divBdr>
            <w:top w:val="none" w:sz="0" w:space="0" w:color="auto"/>
            <w:left w:val="none" w:sz="0" w:space="0" w:color="auto"/>
            <w:bottom w:val="none" w:sz="0" w:space="0" w:color="auto"/>
            <w:right w:val="none" w:sz="0" w:space="0" w:color="auto"/>
          </w:divBdr>
        </w:div>
        <w:div w:id="1780643108">
          <w:marLeft w:val="720"/>
          <w:marRight w:val="0"/>
          <w:marTop w:val="0"/>
          <w:marBottom w:val="0"/>
          <w:divBdr>
            <w:top w:val="none" w:sz="0" w:space="0" w:color="auto"/>
            <w:left w:val="none" w:sz="0" w:space="0" w:color="auto"/>
            <w:bottom w:val="none" w:sz="0" w:space="0" w:color="auto"/>
            <w:right w:val="none" w:sz="0" w:space="0" w:color="auto"/>
          </w:divBdr>
        </w:div>
        <w:div w:id="1938244784">
          <w:marLeft w:val="600"/>
          <w:marRight w:val="0"/>
          <w:marTop w:val="0"/>
          <w:marBottom w:val="0"/>
          <w:divBdr>
            <w:top w:val="none" w:sz="0" w:space="0" w:color="auto"/>
            <w:left w:val="none" w:sz="0" w:space="0" w:color="auto"/>
            <w:bottom w:val="none" w:sz="0" w:space="0" w:color="auto"/>
            <w:right w:val="none" w:sz="0" w:space="0" w:color="auto"/>
          </w:divBdr>
        </w:div>
      </w:divsChild>
    </w:div>
    <w:div w:id="544761142">
      <w:bodyDiv w:val="1"/>
      <w:marLeft w:val="0"/>
      <w:marRight w:val="0"/>
      <w:marTop w:val="0"/>
      <w:marBottom w:val="0"/>
      <w:divBdr>
        <w:top w:val="none" w:sz="0" w:space="0" w:color="auto"/>
        <w:left w:val="none" w:sz="0" w:space="0" w:color="auto"/>
        <w:bottom w:val="none" w:sz="0" w:space="0" w:color="auto"/>
        <w:right w:val="none" w:sz="0" w:space="0" w:color="auto"/>
      </w:divBdr>
    </w:div>
    <w:div w:id="557008755">
      <w:bodyDiv w:val="1"/>
      <w:marLeft w:val="0"/>
      <w:marRight w:val="0"/>
      <w:marTop w:val="0"/>
      <w:marBottom w:val="0"/>
      <w:divBdr>
        <w:top w:val="none" w:sz="0" w:space="0" w:color="auto"/>
        <w:left w:val="none" w:sz="0" w:space="0" w:color="auto"/>
        <w:bottom w:val="none" w:sz="0" w:space="0" w:color="auto"/>
        <w:right w:val="none" w:sz="0" w:space="0" w:color="auto"/>
      </w:divBdr>
    </w:div>
    <w:div w:id="584532764">
      <w:bodyDiv w:val="1"/>
      <w:marLeft w:val="0"/>
      <w:marRight w:val="0"/>
      <w:marTop w:val="0"/>
      <w:marBottom w:val="0"/>
      <w:divBdr>
        <w:top w:val="none" w:sz="0" w:space="0" w:color="auto"/>
        <w:left w:val="none" w:sz="0" w:space="0" w:color="auto"/>
        <w:bottom w:val="none" w:sz="0" w:space="0" w:color="auto"/>
        <w:right w:val="none" w:sz="0" w:space="0" w:color="auto"/>
      </w:divBdr>
    </w:div>
    <w:div w:id="620460591">
      <w:bodyDiv w:val="1"/>
      <w:marLeft w:val="0"/>
      <w:marRight w:val="0"/>
      <w:marTop w:val="0"/>
      <w:marBottom w:val="0"/>
      <w:divBdr>
        <w:top w:val="none" w:sz="0" w:space="0" w:color="auto"/>
        <w:left w:val="none" w:sz="0" w:space="0" w:color="auto"/>
        <w:bottom w:val="none" w:sz="0" w:space="0" w:color="auto"/>
        <w:right w:val="none" w:sz="0" w:space="0" w:color="auto"/>
      </w:divBdr>
    </w:div>
    <w:div w:id="625821275">
      <w:bodyDiv w:val="1"/>
      <w:marLeft w:val="0"/>
      <w:marRight w:val="0"/>
      <w:marTop w:val="0"/>
      <w:marBottom w:val="0"/>
      <w:divBdr>
        <w:top w:val="none" w:sz="0" w:space="0" w:color="auto"/>
        <w:left w:val="none" w:sz="0" w:space="0" w:color="auto"/>
        <w:bottom w:val="none" w:sz="0" w:space="0" w:color="auto"/>
        <w:right w:val="none" w:sz="0" w:space="0" w:color="auto"/>
      </w:divBdr>
    </w:div>
    <w:div w:id="669218031">
      <w:bodyDiv w:val="1"/>
      <w:marLeft w:val="0"/>
      <w:marRight w:val="0"/>
      <w:marTop w:val="0"/>
      <w:marBottom w:val="0"/>
      <w:divBdr>
        <w:top w:val="none" w:sz="0" w:space="0" w:color="auto"/>
        <w:left w:val="none" w:sz="0" w:space="0" w:color="auto"/>
        <w:bottom w:val="none" w:sz="0" w:space="0" w:color="auto"/>
        <w:right w:val="none" w:sz="0" w:space="0" w:color="auto"/>
      </w:divBdr>
    </w:div>
    <w:div w:id="676468990">
      <w:bodyDiv w:val="1"/>
      <w:marLeft w:val="0"/>
      <w:marRight w:val="0"/>
      <w:marTop w:val="0"/>
      <w:marBottom w:val="0"/>
      <w:divBdr>
        <w:top w:val="none" w:sz="0" w:space="0" w:color="auto"/>
        <w:left w:val="none" w:sz="0" w:space="0" w:color="auto"/>
        <w:bottom w:val="none" w:sz="0" w:space="0" w:color="auto"/>
        <w:right w:val="none" w:sz="0" w:space="0" w:color="auto"/>
      </w:divBdr>
    </w:div>
    <w:div w:id="720056074">
      <w:bodyDiv w:val="1"/>
      <w:marLeft w:val="0"/>
      <w:marRight w:val="0"/>
      <w:marTop w:val="0"/>
      <w:marBottom w:val="0"/>
      <w:divBdr>
        <w:top w:val="none" w:sz="0" w:space="0" w:color="auto"/>
        <w:left w:val="none" w:sz="0" w:space="0" w:color="auto"/>
        <w:bottom w:val="none" w:sz="0" w:space="0" w:color="auto"/>
        <w:right w:val="none" w:sz="0" w:space="0" w:color="auto"/>
      </w:divBdr>
      <w:divsChild>
        <w:div w:id="1958758052">
          <w:marLeft w:val="0"/>
          <w:marRight w:val="0"/>
          <w:marTop w:val="0"/>
          <w:marBottom w:val="0"/>
          <w:divBdr>
            <w:top w:val="none" w:sz="0" w:space="0" w:color="auto"/>
            <w:left w:val="none" w:sz="0" w:space="0" w:color="auto"/>
            <w:bottom w:val="none" w:sz="0" w:space="0" w:color="auto"/>
            <w:right w:val="none" w:sz="0" w:space="0" w:color="auto"/>
          </w:divBdr>
        </w:div>
      </w:divsChild>
    </w:div>
    <w:div w:id="785656272">
      <w:bodyDiv w:val="1"/>
      <w:marLeft w:val="0"/>
      <w:marRight w:val="0"/>
      <w:marTop w:val="0"/>
      <w:marBottom w:val="0"/>
      <w:divBdr>
        <w:top w:val="none" w:sz="0" w:space="0" w:color="auto"/>
        <w:left w:val="none" w:sz="0" w:space="0" w:color="auto"/>
        <w:bottom w:val="none" w:sz="0" w:space="0" w:color="auto"/>
        <w:right w:val="none" w:sz="0" w:space="0" w:color="auto"/>
      </w:divBdr>
    </w:div>
    <w:div w:id="877161454">
      <w:bodyDiv w:val="1"/>
      <w:marLeft w:val="0"/>
      <w:marRight w:val="0"/>
      <w:marTop w:val="0"/>
      <w:marBottom w:val="0"/>
      <w:divBdr>
        <w:top w:val="none" w:sz="0" w:space="0" w:color="auto"/>
        <w:left w:val="none" w:sz="0" w:space="0" w:color="auto"/>
        <w:bottom w:val="none" w:sz="0" w:space="0" w:color="auto"/>
        <w:right w:val="none" w:sz="0" w:space="0" w:color="auto"/>
      </w:divBdr>
      <w:divsChild>
        <w:div w:id="871502848">
          <w:marLeft w:val="0"/>
          <w:marRight w:val="0"/>
          <w:marTop w:val="120"/>
          <w:marBottom w:val="0"/>
          <w:divBdr>
            <w:top w:val="none" w:sz="0" w:space="0" w:color="auto"/>
            <w:left w:val="none" w:sz="0" w:space="0" w:color="auto"/>
            <w:bottom w:val="none" w:sz="0" w:space="0" w:color="auto"/>
            <w:right w:val="none" w:sz="0" w:space="0" w:color="auto"/>
          </w:divBdr>
        </w:div>
        <w:div w:id="1653871048">
          <w:marLeft w:val="0"/>
          <w:marRight w:val="0"/>
          <w:marTop w:val="0"/>
          <w:marBottom w:val="0"/>
          <w:divBdr>
            <w:top w:val="none" w:sz="0" w:space="0" w:color="auto"/>
            <w:left w:val="none" w:sz="0" w:space="0" w:color="auto"/>
            <w:bottom w:val="none" w:sz="0" w:space="0" w:color="auto"/>
            <w:right w:val="none" w:sz="0" w:space="0" w:color="auto"/>
          </w:divBdr>
        </w:div>
      </w:divsChild>
    </w:div>
    <w:div w:id="892035162">
      <w:bodyDiv w:val="1"/>
      <w:marLeft w:val="0"/>
      <w:marRight w:val="0"/>
      <w:marTop w:val="0"/>
      <w:marBottom w:val="0"/>
      <w:divBdr>
        <w:top w:val="none" w:sz="0" w:space="0" w:color="auto"/>
        <w:left w:val="none" w:sz="0" w:space="0" w:color="auto"/>
        <w:bottom w:val="none" w:sz="0" w:space="0" w:color="auto"/>
        <w:right w:val="none" w:sz="0" w:space="0" w:color="auto"/>
      </w:divBdr>
    </w:div>
    <w:div w:id="899946764">
      <w:bodyDiv w:val="1"/>
      <w:marLeft w:val="0"/>
      <w:marRight w:val="0"/>
      <w:marTop w:val="0"/>
      <w:marBottom w:val="0"/>
      <w:divBdr>
        <w:top w:val="none" w:sz="0" w:space="0" w:color="auto"/>
        <w:left w:val="none" w:sz="0" w:space="0" w:color="auto"/>
        <w:bottom w:val="none" w:sz="0" w:space="0" w:color="auto"/>
        <w:right w:val="none" w:sz="0" w:space="0" w:color="auto"/>
      </w:divBdr>
    </w:div>
    <w:div w:id="928611828">
      <w:bodyDiv w:val="1"/>
      <w:marLeft w:val="0"/>
      <w:marRight w:val="0"/>
      <w:marTop w:val="0"/>
      <w:marBottom w:val="0"/>
      <w:divBdr>
        <w:top w:val="none" w:sz="0" w:space="0" w:color="auto"/>
        <w:left w:val="none" w:sz="0" w:space="0" w:color="auto"/>
        <w:bottom w:val="none" w:sz="0" w:space="0" w:color="auto"/>
        <w:right w:val="none" w:sz="0" w:space="0" w:color="auto"/>
      </w:divBdr>
    </w:div>
    <w:div w:id="940452432">
      <w:bodyDiv w:val="1"/>
      <w:marLeft w:val="0"/>
      <w:marRight w:val="0"/>
      <w:marTop w:val="0"/>
      <w:marBottom w:val="0"/>
      <w:divBdr>
        <w:top w:val="none" w:sz="0" w:space="0" w:color="auto"/>
        <w:left w:val="none" w:sz="0" w:space="0" w:color="auto"/>
        <w:bottom w:val="none" w:sz="0" w:space="0" w:color="auto"/>
        <w:right w:val="none" w:sz="0" w:space="0" w:color="auto"/>
      </w:divBdr>
    </w:div>
    <w:div w:id="957444332">
      <w:bodyDiv w:val="1"/>
      <w:marLeft w:val="0"/>
      <w:marRight w:val="0"/>
      <w:marTop w:val="0"/>
      <w:marBottom w:val="0"/>
      <w:divBdr>
        <w:top w:val="none" w:sz="0" w:space="0" w:color="auto"/>
        <w:left w:val="none" w:sz="0" w:space="0" w:color="auto"/>
        <w:bottom w:val="none" w:sz="0" w:space="0" w:color="auto"/>
        <w:right w:val="none" w:sz="0" w:space="0" w:color="auto"/>
      </w:divBdr>
    </w:div>
    <w:div w:id="994912396">
      <w:bodyDiv w:val="1"/>
      <w:marLeft w:val="0"/>
      <w:marRight w:val="0"/>
      <w:marTop w:val="0"/>
      <w:marBottom w:val="0"/>
      <w:divBdr>
        <w:top w:val="none" w:sz="0" w:space="0" w:color="auto"/>
        <w:left w:val="none" w:sz="0" w:space="0" w:color="auto"/>
        <w:bottom w:val="none" w:sz="0" w:space="0" w:color="auto"/>
        <w:right w:val="none" w:sz="0" w:space="0" w:color="auto"/>
      </w:divBdr>
      <w:divsChild>
        <w:div w:id="1634871277">
          <w:marLeft w:val="0"/>
          <w:marRight w:val="0"/>
          <w:marTop w:val="0"/>
          <w:marBottom w:val="0"/>
          <w:divBdr>
            <w:top w:val="none" w:sz="0" w:space="0" w:color="auto"/>
            <w:left w:val="none" w:sz="0" w:space="0" w:color="auto"/>
            <w:bottom w:val="none" w:sz="0" w:space="0" w:color="auto"/>
            <w:right w:val="none" w:sz="0" w:space="0" w:color="auto"/>
          </w:divBdr>
        </w:div>
      </w:divsChild>
    </w:div>
    <w:div w:id="1002663666">
      <w:bodyDiv w:val="1"/>
      <w:marLeft w:val="0"/>
      <w:marRight w:val="0"/>
      <w:marTop w:val="0"/>
      <w:marBottom w:val="0"/>
      <w:divBdr>
        <w:top w:val="none" w:sz="0" w:space="0" w:color="auto"/>
        <w:left w:val="none" w:sz="0" w:space="0" w:color="auto"/>
        <w:bottom w:val="none" w:sz="0" w:space="0" w:color="auto"/>
        <w:right w:val="none" w:sz="0" w:space="0" w:color="auto"/>
      </w:divBdr>
    </w:div>
    <w:div w:id="1006514440">
      <w:bodyDiv w:val="1"/>
      <w:marLeft w:val="0"/>
      <w:marRight w:val="0"/>
      <w:marTop w:val="0"/>
      <w:marBottom w:val="0"/>
      <w:divBdr>
        <w:top w:val="none" w:sz="0" w:space="0" w:color="auto"/>
        <w:left w:val="none" w:sz="0" w:space="0" w:color="auto"/>
        <w:bottom w:val="none" w:sz="0" w:space="0" w:color="auto"/>
        <w:right w:val="none" w:sz="0" w:space="0" w:color="auto"/>
      </w:divBdr>
    </w:div>
    <w:div w:id="1039743463">
      <w:bodyDiv w:val="1"/>
      <w:marLeft w:val="0"/>
      <w:marRight w:val="0"/>
      <w:marTop w:val="0"/>
      <w:marBottom w:val="0"/>
      <w:divBdr>
        <w:top w:val="none" w:sz="0" w:space="0" w:color="auto"/>
        <w:left w:val="none" w:sz="0" w:space="0" w:color="auto"/>
        <w:bottom w:val="none" w:sz="0" w:space="0" w:color="auto"/>
        <w:right w:val="none" w:sz="0" w:space="0" w:color="auto"/>
      </w:divBdr>
      <w:divsChild>
        <w:div w:id="642739933">
          <w:marLeft w:val="0"/>
          <w:marRight w:val="0"/>
          <w:marTop w:val="0"/>
          <w:marBottom w:val="0"/>
          <w:divBdr>
            <w:top w:val="none" w:sz="0" w:space="0" w:color="auto"/>
            <w:left w:val="none" w:sz="0" w:space="0" w:color="auto"/>
            <w:bottom w:val="none" w:sz="0" w:space="0" w:color="auto"/>
            <w:right w:val="none" w:sz="0" w:space="0" w:color="auto"/>
          </w:divBdr>
          <w:divsChild>
            <w:div w:id="22824265">
              <w:marLeft w:val="0"/>
              <w:marRight w:val="0"/>
              <w:marTop w:val="0"/>
              <w:marBottom w:val="0"/>
              <w:divBdr>
                <w:top w:val="none" w:sz="0" w:space="0" w:color="auto"/>
                <w:left w:val="none" w:sz="0" w:space="0" w:color="auto"/>
                <w:bottom w:val="none" w:sz="0" w:space="0" w:color="auto"/>
                <w:right w:val="none" w:sz="0" w:space="0" w:color="auto"/>
              </w:divBdr>
            </w:div>
          </w:divsChild>
        </w:div>
        <w:div w:id="1428380341">
          <w:marLeft w:val="0"/>
          <w:marRight w:val="0"/>
          <w:marTop w:val="0"/>
          <w:marBottom w:val="0"/>
          <w:divBdr>
            <w:top w:val="none" w:sz="0" w:space="0" w:color="auto"/>
            <w:left w:val="none" w:sz="0" w:space="0" w:color="auto"/>
            <w:bottom w:val="none" w:sz="0" w:space="0" w:color="auto"/>
            <w:right w:val="none" w:sz="0" w:space="0" w:color="auto"/>
          </w:divBdr>
          <w:divsChild>
            <w:div w:id="1289311867">
              <w:marLeft w:val="0"/>
              <w:marRight w:val="0"/>
              <w:marTop w:val="0"/>
              <w:marBottom w:val="0"/>
              <w:divBdr>
                <w:top w:val="none" w:sz="0" w:space="0" w:color="auto"/>
                <w:left w:val="none" w:sz="0" w:space="0" w:color="auto"/>
                <w:bottom w:val="none" w:sz="0" w:space="0" w:color="auto"/>
                <w:right w:val="none" w:sz="0" w:space="0" w:color="auto"/>
              </w:divBdr>
              <w:divsChild>
                <w:div w:id="1095514064">
                  <w:marLeft w:val="0"/>
                  <w:marRight w:val="0"/>
                  <w:marTop w:val="0"/>
                  <w:marBottom w:val="0"/>
                  <w:divBdr>
                    <w:top w:val="none" w:sz="0" w:space="0" w:color="auto"/>
                    <w:left w:val="none" w:sz="0" w:space="0" w:color="auto"/>
                    <w:bottom w:val="none" w:sz="0" w:space="0" w:color="auto"/>
                    <w:right w:val="none" w:sz="0" w:space="0" w:color="auto"/>
                  </w:divBdr>
                  <w:divsChild>
                    <w:div w:id="16203368">
                      <w:marLeft w:val="0"/>
                      <w:marRight w:val="0"/>
                      <w:marTop w:val="0"/>
                      <w:marBottom w:val="0"/>
                      <w:divBdr>
                        <w:top w:val="none" w:sz="0" w:space="0" w:color="auto"/>
                        <w:left w:val="none" w:sz="0" w:space="0" w:color="auto"/>
                        <w:bottom w:val="none" w:sz="0" w:space="0" w:color="auto"/>
                        <w:right w:val="none" w:sz="0" w:space="0" w:color="auto"/>
                      </w:divBdr>
                    </w:div>
                    <w:div w:id="721296486">
                      <w:marLeft w:val="0"/>
                      <w:marRight w:val="0"/>
                      <w:marTop w:val="120"/>
                      <w:marBottom w:val="0"/>
                      <w:divBdr>
                        <w:top w:val="none" w:sz="0" w:space="0" w:color="auto"/>
                        <w:left w:val="none" w:sz="0" w:space="0" w:color="auto"/>
                        <w:bottom w:val="none" w:sz="0" w:space="0" w:color="auto"/>
                        <w:right w:val="none" w:sz="0" w:space="0" w:color="auto"/>
                      </w:divBdr>
                    </w:div>
                  </w:divsChild>
                </w:div>
                <w:div w:id="1769959086">
                  <w:marLeft w:val="0"/>
                  <w:marRight w:val="0"/>
                  <w:marTop w:val="0"/>
                  <w:marBottom w:val="0"/>
                  <w:divBdr>
                    <w:top w:val="none" w:sz="0" w:space="0" w:color="auto"/>
                    <w:left w:val="none" w:sz="0" w:space="0" w:color="auto"/>
                    <w:bottom w:val="none" w:sz="0" w:space="0" w:color="auto"/>
                    <w:right w:val="none" w:sz="0" w:space="0" w:color="auto"/>
                  </w:divBdr>
                  <w:divsChild>
                    <w:div w:id="1008142983">
                      <w:marLeft w:val="0"/>
                      <w:marRight w:val="0"/>
                      <w:marTop w:val="0"/>
                      <w:marBottom w:val="0"/>
                      <w:divBdr>
                        <w:top w:val="none" w:sz="0" w:space="0" w:color="auto"/>
                        <w:left w:val="none" w:sz="0" w:space="0" w:color="auto"/>
                        <w:bottom w:val="none" w:sz="0" w:space="0" w:color="auto"/>
                        <w:right w:val="none" w:sz="0" w:space="0" w:color="auto"/>
                      </w:divBdr>
                    </w:div>
                    <w:div w:id="1274825211">
                      <w:marLeft w:val="0"/>
                      <w:marRight w:val="0"/>
                      <w:marTop w:val="120"/>
                      <w:marBottom w:val="0"/>
                      <w:divBdr>
                        <w:top w:val="none" w:sz="0" w:space="0" w:color="auto"/>
                        <w:left w:val="none" w:sz="0" w:space="0" w:color="auto"/>
                        <w:bottom w:val="none" w:sz="0" w:space="0" w:color="auto"/>
                        <w:right w:val="none" w:sz="0" w:space="0" w:color="auto"/>
                      </w:divBdr>
                    </w:div>
                  </w:divsChild>
                </w:div>
                <w:div w:id="1942687246">
                  <w:marLeft w:val="0"/>
                  <w:marRight w:val="0"/>
                  <w:marTop w:val="0"/>
                  <w:marBottom w:val="0"/>
                  <w:divBdr>
                    <w:top w:val="none" w:sz="0" w:space="0" w:color="auto"/>
                    <w:left w:val="none" w:sz="0" w:space="0" w:color="auto"/>
                    <w:bottom w:val="none" w:sz="0" w:space="0" w:color="auto"/>
                    <w:right w:val="none" w:sz="0" w:space="0" w:color="auto"/>
                  </w:divBdr>
                  <w:divsChild>
                    <w:div w:id="669912573">
                      <w:marLeft w:val="0"/>
                      <w:marRight w:val="0"/>
                      <w:marTop w:val="120"/>
                      <w:marBottom w:val="0"/>
                      <w:divBdr>
                        <w:top w:val="none" w:sz="0" w:space="0" w:color="auto"/>
                        <w:left w:val="none" w:sz="0" w:space="0" w:color="auto"/>
                        <w:bottom w:val="none" w:sz="0" w:space="0" w:color="auto"/>
                        <w:right w:val="none" w:sz="0" w:space="0" w:color="auto"/>
                      </w:divBdr>
                    </w:div>
                    <w:div w:id="720444291">
                      <w:marLeft w:val="0"/>
                      <w:marRight w:val="0"/>
                      <w:marTop w:val="0"/>
                      <w:marBottom w:val="0"/>
                      <w:divBdr>
                        <w:top w:val="none" w:sz="0" w:space="0" w:color="auto"/>
                        <w:left w:val="none" w:sz="0" w:space="0" w:color="auto"/>
                        <w:bottom w:val="none" w:sz="0" w:space="0" w:color="auto"/>
                        <w:right w:val="none" w:sz="0" w:space="0" w:color="auto"/>
                      </w:divBdr>
                    </w:div>
                  </w:divsChild>
                </w:div>
                <w:div w:id="1978686622">
                  <w:marLeft w:val="0"/>
                  <w:marRight w:val="0"/>
                  <w:marTop w:val="0"/>
                  <w:marBottom w:val="0"/>
                  <w:divBdr>
                    <w:top w:val="none" w:sz="0" w:space="0" w:color="auto"/>
                    <w:left w:val="none" w:sz="0" w:space="0" w:color="auto"/>
                    <w:bottom w:val="none" w:sz="0" w:space="0" w:color="auto"/>
                    <w:right w:val="none" w:sz="0" w:space="0" w:color="auto"/>
                  </w:divBdr>
                  <w:divsChild>
                    <w:div w:id="1309700333">
                      <w:marLeft w:val="0"/>
                      <w:marRight w:val="0"/>
                      <w:marTop w:val="120"/>
                      <w:marBottom w:val="0"/>
                      <w:divBdr>
                        <w:top w:val="none" w:sz="0" w:space="0" w:color="auto"/>
                        <w:left w:val="none" w:sz="0" w:space="0" w:color="auto"/>
                        <w:bottom w:val="none" w:sz="0" w:space="0" w:color="auto"/>
                        <w:right w:val="none" w:sz="0" w:space="0" w:color="auto"/>
                      </w:divBdr>
                    </w:div>
                    <w:div w:id="1773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144430">
      <w:bodyDiv w:val="1"/>
      <w:marLeft w:val="0"/>
      <w:marRight w:val="0"/>
      <w:marTop w:val="0"/>
      <w:marBottom w:val="0"/>
      <w:divBdr>
        <w:top w:val="none" w:sz="0" w:space="0" w:color="auto"/>
        <w:left w:val="none" w:sz="0" w:space="0" w:color="auto"/>
        <w:bottom w:val="none" w:sz="0" w:space="0" w:color="auto"/>
        <w:right w:val="none" w:sz="0" w:space="0" w:color="auto"/>
      </w:divBdr>
      <w:divsChild>
        <w:div w:id="521893523">
          <w:marLeft w:val="0"/>
          <w:marRight w:val="0"/>
          <w:marTop w:val="0"/>
          <w:marBottom w:val="0"/>
          <w:divBdr>
            <w:top w:val="none" w:sz="0" w:space="0" w:color="auto"/>
            <w:left w:val="none" w:sz="0" w:space="0" w:color="auto"/>
            <w:bottom w:val="none" w:sz="0" w:space="0" w:color="auto"/>
            <w:right w:val="none" w:sz="0" w:space="0" w:color="auto"/>
          </w:divBdr>
          <w:divsChild>
            <w:div w:id="1067075730">
              <w:marLeft w:val="0"/>
              <w:marRight w:val="0"/>
              <w:marTop w:val="0"/>
              <w:marBottom w:val="0"/>
              <w:divBdr>
                <w:top w:val="none" w:sz="0" w:space="0" w:color="auto"/>
                <w:left w:val="none" w:sz="0" w:space="0" w:color="auto"/>
                <w:bottom w:val="none" w:sz="0" w:space="0" w:color="auto"/>
                <w:right w:val="none" w:sz="0" w:space="0" w:color="auto"/>
              </w:divBdr>
            </w:div>
          </w:divsChild>
        </w:div>
        <w:div w:id="1369648279">
          <w:marLeft w:val="0"/>
          <w:marRight w:val="0"/>
          <w:marTop w:val="0"/>
          <w:marBottom w:val="0"/>
          <w:divBdr>
            <w:top w:val="none" w:sz="0" w:space="0" w:color="auto"/>
            <w:left w:val="none" w:sz="0" w:space="0" w:color="auto"/>
            <w:bottom w:val="none" w:sz="0" w:space="0" w:color="auto"/>
            <w:right w:val="none" w:sz="0" w:space="0" w:color="auto"/>
          </w:divBdr>
          <w:divsChild>
            <w:div w:id="1290284831">
              <w:marLeft w:val="0"/>
              <w:marRight w:val="0"/>
              <w:marTop w:val="0"/>
              <w:marBottom w:val="0"/>
              <w:divBdr>
                <w:top w:val="none" w:sz="0" w:space="0" w:color="auto"/>
                <w:left w:val="none" w:sz="0" w:space="0" w:color="auto"/>
                <w:bottom w:val="none" w:sz="0" w:space="0" w:color="auto"/>
                <w:right w:val="none" w:sz="0" w:space="0" w:color="auto"/>
              </w:divBdr>
            </w:div>
          </w:divsChild>
        </w:div>
        <w:div w:id="1434742233">
          <w:marLeft w:val="0"/>
          <w:marRight w:val="0"/>
          <w:marTop w:val="0"/>
          <w:marBottom w:val="0"/>
          <w:divBdr>
            <w:top w:val="none" w:sz="0" w:space="0" w:color="auto"/>
            <w:left w:val="none" w:sz="0" w:space="0" w:color="auto"/>
            <w:bottom w:val="none" w:sz="0" w:space="0" w:color="auto"/>
            <w:right w:val="none" w:sz="0" w:space="0" w:color="auto"/>
          </w:divBdr>
          <w:divsChild>
            <w:div w:id="986545680">
              <w:marLeft w:val="0"/>
              <w:marRight w:val="0"/>
              <w:marTop w:val="0"/>
              <w:marBottom w:val="0"/>
              <w:divBdr>
                <w:top w:val="none" w:sz="0" w:space="0" w:color="auto"/>
                <w:left w:val="none" w:sz="0" w:space="0" w:color="auto"/>
                <w:bottom w:val="none" w:sz="0" w:space="0" w:color="auto"/>
                <w:right w:val="none" w:sz="0" w:space="0" w:color="auto"/>
              </w:divBdr>
              <w:divsChild>
                <w:div w:id="341901787">
                  <w:marLeft w:val="0"/>
                  <w:marRight w:val="0"/>
                  <w:marTop w:val="0"/>
                  <w:marBottom w:val="0"/>
                  <w:divBdr>
                    <w:top w:val="none" w:sz="0" w:space="0" w:color="auto"/>
                    <w:left w:val="none" w:sz="0" w:space="0" w:color="auto"/>
                    <w:bottom w:val="none" w:sz="0" w:space="0" w:color="auto"/>
                    <w:right w:val="none" w:sz="0" w:space="0" w:color="auto"/>
                  </w:divBdr>
                  <w:divsChild>
                    <w:div w:id="525565183">
                      <w:marLeft w:val="0"/>
                      <w:marRight w:val="0"/>
                      <w:marTop w:val="120"/>
                      <w:marBottom w:val="0"/>
                      <w:divBdr>
                        <w:top w:val="none" w:sz="0" w:space="0" w:color="auto"/>
                        <w:left w:val="none" w:sz="0" w:space="0" w:color="auto"/>
                        <w:bottom w:val="none" w:sz="0" w:space="0" w:color="auto"/>
                        <w:right w:val="none" w:sz="0" w:space="0" w:color="auto"/>
                      </w:divBdr>
                    </w:div>
                    <w:div w:id="1725133569">
                      <w:marLeft w:val="0"/>
                      <w:marRight w:val="0"/>
                      <w:marTop w:val="0"/>
                      <w:marBottom w:val="0"/>
                      <w:divBdr>
                        <w:top w:val="none" w:sz="0" w:space="0" w:color="auto"/>
                        <w:left w:val="none" w:sz="0" w:space="0" w:color="auto"/>
                        <w:bottom w:val="none" w:sz="0" w:space="0" w:color="auto"/>
                        <w:right w:val="none" w:sz="0" w:space="0" w:color="auto"/>
                      </w:divBdr>
                    </w:div>
                  </w:divsChild>
                </w:div>
                <w:div w:id="2043162982">
                  <w:marLeft w:val="0"/>
                  <w:marRight w:val="0"/>
                  <w:marTop w:val="0"/>
                  <w:marBottom w:val="0"/>
                  <w:divBdr>
                    <w:top w:val="none" w:sz="0" w:space="0" w:color="auto"/>
                    <w:left w:val="none" w:sz="0" w:space="0" w:color="auto"/>
                    <w:bottom w:val="none" w:sz="0" w:space="0" w:color="auto"/>
                    <w:right w:val="none" w:sz="0" w:space="0" w:color="auto"/>
                  </w:divBdr>
                  <w:divsChild>
                    <w:div w:id="279148832">
                      <w:marLeft w:val="0"/>
                      <w:marRight w:val="0"/>
                      <w:marTop w:val="0"/>
                      <w:marBottom w:val="0"/>
                      <w:divBdr>
                        <w:top w:val="none" w:sz="0" w:space="0" w:color="auto"/>
                        <w:left w:val="none" w:sz="0" w:space="0" w:color="auto"/>
                        <w:bottom w:val="none" w:sz="0" w:space="0" w:color="auto"/>
                        <w:right w:val="none" w:sz="0" w:space="0" w:color="auto"/>
                      </w:divBdr>
                    </w:div>
                    <w:div w:id="4906764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24253085">
          <w:marLeft w:val="0"/>
          <w:marRight w:val="0"/>
          <w:marTop w:val="0"/>
          <w:marBottom w:val="0"/>
          <w:divBdr>
            <w:top w:val="none" w:sz="0" w:space="0" w:color="auto"/>
            <w:left w:val="none" w:sz="0" w:space="0" w:color="auto"/>
            <w:bottom w:val="none" w:sz="0" w:space="0" w:color="auto"/>
            <w:right w:val="none" w:sz="0" w:space="0" w:color="auto"/>
          </w:divBdr>
          <w:divsChild>
            <w:div w:id="1265184287">
              <w:marLeft w:val="0"/>
              <w:marRight w:val="0"/>
              <w:marTop w:val="0"/>
              <w:marBottom w:val="0"/>
              <w:divBdr>
                <w:top w:val="none" w:sz="0" w:space="0" w:color="auto"/>
                <w:left w:val="none" w:sz="0" w:space="0" w:color="auto"/>
                <w:bottom w:val="none" w:sz="0" w:space="0" w:color="auto"/>
                <w:right w:val="none" w:sz="0" w:space="0" w:color="auto"/>
              </w:divBdr>
              <w:divsChild>
                <w:div w:id="264113121">
                  <w:marLeft w:val="0"/>
                  <w:marRight w:val="0"/>
                  <w:marTop w:val="0"/>
                  <w:marBottom w:val="0"/>
                  <w:divBdr>
                    <w:top w:val="none" w:sz="0" w:space="0" w:color="auto"/>
                    <w:left w:val="none" w:sz="0" w:space="0" w:color="auto"/>
                    <w:bottom w:val="none" w:sz="0" w:space="0" w:color="auto"/>
                    <w:right w:val="none" w:sz="0" w:space="0" w:color="auto"/>
                  </w:divBdr>
                  <w:divsChild>
                    <w:div w:id="117333716">
                      <w:marLeft w:val="0"/>
                      <w:marRight w:val="0"/>
                      <w:marTop w:val="0"/>
                      <w:marBottom w:val="0"/>
                      <w:divBdr>
                        <w:top w:val="none" w:sz="0" w:space="0" w:color="auto"/>
                        <w:left w:val="none" w:sz="0" w:space="0" w:color="auto"/>
                        <w:bottom w:val="none" w:sz="0" w:space="0" w:color="auto"/>
                        <w:right w:val="none" w:sz="0" w:space="0" w:color="auto"/>
                      </w:divBdr>
                    </w:div>
                    <w:div w:id="683941313">
                      <w:marLeft w:val="0"/>
                      <w:marRight w:val="0"/>
                      <w:marTop w:val="120"/>
                      <w:marBottom w:val="0"/>
                      <w:divBdr>
                        <w:top w:val="none" w:sz="0" w:space="0" w:color="auto"/>
                        <w:left w:val="none" w:sz="0" w:space="0" w:color="auto"/>
                        <w:bottom w:val="none" w:sz="0" w:space="0" w:color="auto"/>
                        <w:right w:val="none" w:sz="0" w:space="0" w:color="auto"/>
                      </w:divBdr>
                    </w:div>
                  </w:divsChild>
                </w:div>
                <w:div w:id="743451856">
                  <w:marLeft w:val="0"/>
                  <w:marRight w:val="0"/>
                  <w:marTop w:val="0"/>
                  <w:marBottom w:val="0"/>
                  <w:divBdr>
                    <w:top w:val="none" w:sz="0" w:space="0" w:color="auto"/>
                    <w:left w:val="none" w:sz="0" w:space="0" w:color="auto"/>
                    <w:bottom w:val="none" w:sz="0" w:space="0" w:color="auto"/>
                    <w:right w:val="none" w:sz="0" w:space="0" w:color="auto"/>
                  </w:divBdr>
                  <w:divsChild>
                    <w:div w:id="647979146">
                      <w:marLeft w:val="0"/>
                      <w:marRight w:val="0"/>
                      <w:marTop w:val="0"/>
                      <w:marBottom w:val="0"/>
                      <w:divBdr>
                        <w:top w:val="none" w:sz="0" w:space="0" w:color="auto"/>
                        <w:left w:val="none" w:sz="0" w:space="0" w:color="auto"/>
                        <w:bottom w:val="none" w:sz="0" w:space="0" w:color="auto"/>
                        <w:right w:val="none" w:sz="0" w:space="0" w:color="auto"/>
                      </w:divBdr>
                    </w:div>
                    <w:div w:id="797067313">
                      <w:marLeft w:val="0"/>
                      <w:marRight w:val="0"/>
                      <w:marTop w:val="120"/>
                      <w:marBottom w:val="0"/>
                      <w:divBdr>
                        <w:top w:val="none" w:sz="0" w:space="0" w:color="auto"/>
                        <w:left w:val="none" w:sz="0" w:space="0" w:color="auto"/>
                        <w:bottom w:val="none" w:sz="0" w:space="0" w:color="auto"/>
                        <w:right w:val="none" w:sz="0" w:space="0" w:color="auto"/>
                      </w:divBdr>
                    </w:div>
                  </w:divsChild>
                </w:div>
                <w:div w:id="1152796795">
                  <w:marLeft w:val="0"/>
                  <w:marRight w:val="0"/>
                  <w:marTop w:val="0"/>
                  <w:marBottom w:val="0"/>
                  <w:divBdr>
                    <w:top w:val="none" w:sz="0" w:space="0" w:color="auto"/>
                    <w:left w:val="none" w:sz="0" w:space="0" w:color="auto"/>
                    <w:bottom w:val="none" w:sz="0" w:space="0" w:color="auto"/>
                    <w:right w:val="none" w:sz="0" w:space="0" w:color="auto"/>
                  </w:divBdr>
                  <w:divsChild>
                    <w:div w:id="471752015">
                      <w:marLeft w:val="0"/>
                      <w:marRight w:val="0"/>
                      <w:marTop w:val="0"/>
                      <w:marBottom w:val="0"/>
                      <w:divBdr>
                        <w:top w:val="none" w:sz="0" w:space="0" w:color="auto"/>
                        <w:left w:val="none" w:sz="0" w:space="0" w:color="auto"/>
                        <w:bottom w:val="none" w:sz="0" w:space="0" w:color="auto"/>
                        <w:right w:val="none" w:sz="0" w:space="0" w:color="auto"/>
                      </w:divBdr>
                    </w:div>
                    <w:div w:id="19010117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1171100">
          <w:marLeft w:val="0"/>
          <w:marRight w:val="0"/>
          <w:marTop w:val="0"/>
          <w:marBottom w:val="0"/>
          <w:divBdr>
            <w:top w:val="none" w:sz="0" w:space="0" w:color="auto"/>
            <w:left w:val="none" w:sz="0" w:space="0" w:color="auto"/>
            <w:bottom w:val="none" w:sz="0" w:space="0" w:color="auto"/>
            <w:right w:val="none" w:sz="0" w:space="0" w:color="auto"/>
          </w:divBdr>
          <w:divsChild>
            <w:div w:id="5937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245">
      <w:bodyDiv w:val="1"/>
      <w:marLeft w:val="0"/>
      <w:marRight w:val="0"/>
      <w:marTop w:val="0"/>
      <w:marBottom w:val="0"/>
      <w:divBdr>
        <w:top w:val="none" w:sz="0" w:space="0" w:color="auto"/>
        <w:left w:val="none" w:sz="0" w:space="0" w:color="auto"/>
        <w:bottom w:val="none" w:sz="0" w:space="0" w:color="auto"/>
        <w:right w:val="none" w:sz="0" w:space="0" w:color="auto"/>
      </w:divBdr>
    </w:div>
    <w:div w:id="1113983564">
      <w:bodyDiv w:val="1"/>
      <w:marLeft w:val="0"/>
      <w:marRight w:val="0"/>
      <w:marTop w:val="0"/>
      <w:marBottom w:val="0"/>
      <w:divBdr>
        <w:top w:val="none" w:sz="0" w:space="0" w:color="auto"/>
        <w:left w:val="none" w:sz="0" w:space="0" w:color="auto"/>
        <w:bottom w:val="none" w:sz="0" w:space="0" w:color="auto"/>
        <w:right w:val="none" w:sz="0" w:space="0" w:color="auto"/>
      </w:divBdr>
    </w:div>
    <w:div w:id="1118064426">
      <w:bodyDiv w:val="1"/>
      <w:marLeft w:val="0"/>
      <w:marRight w:val="0"/>
      <w:marTop w:val="0"/>
      <w:marBottom w:val="0"/>
      <w:divBdr>
        <w:top w:val="none" w:sz="0" w:space="0" w:color="auto"/>
        <w:left w:val="none" w:sz="0" w:space="0" w:color="auto"/>
        <w:bottom w:val="none" w:sz="0" w:space="0" w:color="auto"/>
        <w:right w:val="none" w:sz="0" w:space="0" w:color="auto"/>
      </w:divBdr>
    </w:div>
    <w:div w:id="1165361247">
      <w:bodyDiv w:val="1"/>
      <w:marLeft w:val="0"/>
      <w:marRight w:val="0"/>
      <w:marTop w:val="0"/>
      <w:marBottom w:val="0"/>
      <w:divBdr>
        <w:top w:val="none" w:sz="0" w:space="0" w:color="auto"/>
        <w:left w:val="none" w:sz="0" w:space="0" w:color="auto"/>
        <w:bottom w:val="none" w:sz="0" w:space="0" w:color="auto"/>
        <w:right w:val="none" w:sz="0" w:space="0" w:color="auto"/>
      </w:divBdr>
      <w:divsChild>
        <w:div w:id="20403897">
          <w:marLeft w:val="0"/>
          <w:marRight w:val="0"/>
          <w:marTop w:val="0"/>
          <w:marBottom w:val="0"/>
          <w:divBdr>
            <w:top w:val="none" w:sz="0" w:space="0" w:color="auto"/>
            <w:left w:val="none" w:sz="0" w:space="0" w:color="auto"/>
            <w:bottom w:val="none" w:sz="0" w:space="0" w:color="auto"/>
            <w:right w:val="none" w:sz="0" w:space="0" w:color="auto"/>
          </w:divBdr>
        </w:div>
        <w:div w:id="25063429">
          <w:marLeft w:val="0"/>
          <w:marRight w:val="0"/>
          <w:marTop w:val="0"/>
          <w:marBottom w:val="0"/>
          <w:divBdr>
            <w:top w:val="none" w:sz="0" w:space="0" w:color="auto"/>
            <w:left w:val="none" w:sz="0" w:space="0" w:color="auto"/>
            <w:bottom w:val="none" w:sz="0" w:space="0" w:color="auto"/>
            <w:right w:val="none" w:sz="0" w:space="0" w:color="auto"/>
          </w:divBdr>
        </w:div>
        <w:div w:id="74017105">
          <w:marLeft w:val="0"/>
          <w:marRight w:val="0"/>
          <w:marTop w:val="0"/>
          <w:marBottom w:val="0"/>
          <w:divBdr>
            <w:top w:val="none" w:sz="0" w:space="0" w:color="auto"/>
            <w:left w:val="none" w:sz="0" w:space="0" w:color="auto"/>
            <w:bottom w:val="none" w:sz="0" w:space="0" w:color="auto"/>
            <w:right w:val="none" w:sz="0" w:space="0" w:color="auto"/>
          </w:divBdr>
        </w:div>
        <w:div w:id="233467193">
          <w:marLeft w:val="0"/>
          <w:marRight w:val="0"/>
          <w:marTop w:val="0"/>
          <w:marBottom w:val="0"/>
          <w:divBdr>
            <w:top w:val="none" w:sz="0" w:space="0" w:color="auto"/>
            <w:left w:val="none" w:sz="0" w:space="0" w:color="auto"/>
            <w:bottom w:val="none" w:sz="0" w:space="0" w:color="auto"/>
            <w:right w:val="none" w:sz="0" w:space="0" w:color="auto"/>
          </w:divBdr>
        </w:div>
        <w:div w:id="258878195">
          <w:marLeft w:val="0"/>
          <w:marRight w:val="0"/>
          <w:marTop w:val="0"/>
          <w:marBottom w:val="0"/>
          <w:divBdr>
            <w:top w:val="none" w:sz="0" w:space="0" w:color="auto"/>
            <w:left w:val="none" w:sz="0" w:space="0" w:color="auto"/>
            <w:bottom w:val="none" w:sz="0" w:space="0" w:color="auto"/>
            <w:right w:val="none" w:sz="0" w:space="0" w:color="auto"/>
          </w:divBdr>
        </w:div>
        <w:div w:id="307318550">
          <w:marLeft w:val="0"/>
          <w:marRight w:val="0"/>
          <w:marTop w:val="0"/>
          <w:marBottom w:val="0"/>
          <w:divBdr>
            <w:top w:val="none" w:sz="0" w:space="0" w:color="auto"/>
            <w:left w:val="none" w:sz="0" w:space="0" w:color="auto"/>
            <w:bottom w:val="none" w:sz="0" w:space="0" w:color="auto"/>
            <w:right w:val="none" w:sz="0" w:space="0" w:color="auto"/>
          </w:divBdr>
        </w:div>
        <w:div w:id="543757079">
          <w:marLeft w:val="0"/>
          <w:marRight w:val="0"/>
          <w:marTop w:val="0"/>
          <w:marBottom w:val="0"/>
          <w:divBdr>
            <w:top w:val="none" w:sz="0" w:space="0" w:color="auto"/>
            <w:left w:val="none" w:sz="0" w:space="0" w:color="auto"/>
            <w:bottom w:val="none" w:sz="0" w:space="0" w:color="auto"/>
            <w:right w:val="none" w:sz="0" w:space="0" w:color="auto"/>
          </w:divBdr>
        </w:div>
        <w:div w:id="569922174">
          <w:marLeft w:val="0"/>
          <w:marRight w:val="0"/>
          <w:marTop w:val="0"/>
          <w:marBottom w:val="0"/>
          <w:divBdr>
            <w:top w:val="none" w:sz="0" w:space="0" w:color="auto"/>
            <w:left w:val="none" w:sz="0" w:space="0" w:color="auto"/>
            <w:bottom w:val="none" w:sz="0" w:space="0" w:color="auto"/>
            <w:right w:val="none" w:sz="0" w:space="0" w:color="auto"/>
          </w:divBdr>
        </w:div>
        <w:div w:id="677469255">
          <w:marLeft w:val="0"/>
          <w:marRight w:val="0"/>
          <w:marTop w:val="0"/>
          <w:marBottom w:val="0"/>
          <w:divBdr>
            <w:top w:val="none" w:sz="0" w:space="0" w:color="auto"/>
            <w:left w:val="none" w:sz="0" w:space="0" w:color="auto"/>
            <w:bottom w:val="none" w:sz="0" w:space="0" w:color="auto"/>
            <w:right w:val="none" w:sz="0" w:space="0" w:color="auto"/>
          </w:divBdr>
        </w:div>
        <w:div w:id="763845327">
          <w:marLeft w:val="0"/>
          <w:marRight w:val="0"/>
          <w:marTop w:val="0"/>
          <w:marBottom w:val="0"/>
          <w:divBdr>
            <w:top w:val="none" w:sz="0" w:space="0" w:color="auto"/>
            <w:left w:val="none" w:sz="0" w:space="0" w:color="auto"/>
            <w:bottom w:val="none" w:sz="0" w:space="0" w:color="auto"/>
            <w:right w:val="none" w:sz="0" w:space="0" w:color="auto"/>
          </w:divBdr>
        </w:div>
        <w:div w:id="766732152">
          <w:marLeft w:val="0"/>
          <w:marRight w:val="0"/>
          <w:marTop w:val="0"/>
          <w:marBottom w:val="0"/>
          <w:divBdr>
            <w:top w:val="none" w:sz="0" w:space="0" w:color="auto"/>
            <w:left w:val="none" w:sz="0" w:space="0" w:color="auto"/>
            <w:bottom w:val="none" w:sz="0" w:space="0" w:color="auto"/>
            <w:right w:val="none" w:sz="0" w:space="0" w:color="auto"/>
          </w:divBdr>
        </w:div>
        <w:div w:id="827749783">
          <w:marLeft w:val="0"/>
          <w:marRight w:val="0"/>
          <w:marTop w:val="0"/>
          <w:marBottom w:val="0"/>
          <w:divBdr>
            <w:top w:val="none" w:sz="0" w:space="0" w:color="auto"/>
            <w:left w:val="none" w:sz="0" w:space="0" w:color="auto"/>
            <w:bottom w:val="none" w:sz="0" w:space="0" w:color="auto"/>
            <w:right w:val="none" w:sz="0" w:space="0" w:color="auto"/>
          </w:divBdr>
        </w:div>
        <w:div w:id="891384581">
          <w:marLeft w:val="0"/>
          <w:marRight w:val="0"/>
          <w:marTop w:val="0"/>
          <w:marBottom w:val="0"/>
          <w:divBdr>
            <w:top w:val="none" w:sz="0" w:space="0" w:color="auto"/>
            <w:left w:val="none" w:sz="0" w:space="0" w:color="auto"/>
            <w:bottom w:val="none" w:sz="0" w:space="0" w:color="auto"/>
            <w:right w:val="none" w:sz="0" w:space="0" w:color="auto"/>
          </w:divBdr>
        </w:div>
        <w:div w:id="961502672">
          <w:marLeft w:val="0"/>
          <w:marRight w:val="0"/>
          <w:marTop w:val="0"/>
          <w:marBottom w:val="0"/>
          <w:divBdr>
            <w:top w:val="none" w:sz="0" w:space="0" w:color="auto"/>
            <w:left w:val="none" w:sz="0" w:space="0" w:color="auto"/>
            <w:bottom w:val="none" w:sz="0" w:space="0" w:color="auto"/>
            <w:right w:val="none" w:sz="0" w:space="0" w:color="auto"/>
          </w:divBdr>
        </w:div>
        <w:div w:id="1087532493">
          <w:marLeft w:val="0"/>
          <w:marRight w:val="0"/>
          <w:marTop w:val="0"/>
          <w:marBottom w:val="0"/>
          <w:divBdr>
            <w:top w:val="none" w:sz="0" w:space="0" w:color="auto"/>
            <w:left w:val="none" w:sz="0" w:space="0" w:color="auto"/>
            <w:bottom w:val="none" w:sz="0" w:space="0" w:color="auto"/>
            <w:right w:val="none" w:sz="0" w:space="0" w:color="auto"/>
          </w:divBdr>
        </w:div>
        <w:div w:id="1098867912">
          <w:marLeft w:val="0"/>
          <w:marRight w:val="0"/>
          <w:marTop w:val="0"/>
          <w:marBottom w:val="0"/>
          <w:divBdr>
            <w:top w:val="none" w:sz="0" w:space="0" w:color="auto"/>
            <w:left w:val="none" w:sz="0" w:space="0" w:color="auto"/>
            <w:bottom w:val="none" w:sz="0" w:space="0" w:color="auto"/>
            <w:right w:val="none" w:sz="0" w:space="0" w:color="auto"/>
          </w:divBdr>
        </w:div>
        <w:div w:id="1124158526">
          <w:marLeft w:val="0"/>
          <w:marRight w:val="0"/>
          <w:marTop w:val="0"/>
          <w:marBottom w:val="0"/>
          <w:divBdr>
            <w:top w:val="none" w:sz="0" w:space="0" w:color="auto"/>
            <w:left w:val="none" w:sz="0" w:space="0" w:color="auto"/>
            <w:bottom w:val="none" w:sz="0" w:space="0" w:color="auto"/>
            <w:right w:val="none" w:sz="0" w:space="0" w:color="auto"/>
          </w:divBdr>
        </w:div>
        <w:div w:id="1159929618">
          <w:marLeft w:val="0"/>
          <w:marRight w:val="0"/>
          <w:marTop w:val="0"/>
          <w:marBottom w:val="0"/>
          <w:divBdr>
            <w:top w:val="none" w:sz="0" w:space="0" w:color="auto"/>
            <w:left w:val="none" w:sz="0" w:space="0" w:color="auto"/>
            <w:bottom w:val="none" w:sz="0" w:space="0" w:color="auto"/>
            <w:right w:val="none" w:sz="0" w:space="0" w:color="auto"/>
          </w:divBdr>
        </w:div>
        <w:div w:id="1311592196">
          <w:marLeft w:val="0"/>
          <w:marRight w:val="0"/>
          <w:marTop w:val="0"/>
          <w:marBottom w:val="0"/>
          <w:divBdr>
            <w:top w:val="none" w:sz="0" w:space="0" w:color="auto"/>
            <w:left w:val="none" w:sz="0" w:space="0" w:color="auto"/>
            <w:bottom w:val="none" w:sz="0" w:space="0" w:color="auto"/>
            <w:right w:val="none" w:sz="0" w:space="0" w:color="auto"/>
          </w:divBdr>
        </w:div>
        <w:div w:id="1387800321">
          <w:marLeft w:val="0"/>
          <w:marRight w:val="0"/>
          <w:marTop w:val="0"/>
          <w:marBottom w:val="0"/>
          <w:divBdr>
            <w:top w:val="none" w:sz="0" w:space="0" w:color="auto"/>
            <w:left w:val="none" w:sz="0" w:space="0" w:color="auto"/>
            <w:bottom w:val="none" w:sz="0" w:space="0" w:color="auto"/>
            <w:right w:val="none" w:sz="0" w:space="0" w:color="auto"/>
          </w:divBdr>
        </w:div>
        <w:div w:id="1489982028">
          <w:marLeft w:val="0"/>
          <w:marRight w:val="0"/>
          <w:marTop w:val="0"/>
          <w:marBottom w:val="0"/>
          <w:divBdr>
            <w:top w:val="none" w:sz="0" w:space="0" w:color="auto"/>
            <w:left w:val="none" w:sz="0" w:space="0" w:color="auto"/>
            <w:bottom w:val="none" w:sz="0" w:space="0" w:color="auto"/>
            <w:right w:val="none" w:sz="0" w:space="0" w:color="auto"/>
          </w:divBdr>
        </w:div>
        <w:div w:id="1751269965">
          <w:marLeft w:val="0"/>
          <w:marRight w:val="0"/>
          <w:marTop w:val="0"/>
          <w:marBottom w:val="0"/>
          <w:divBdr>
            <w:top w:val="none" w:sz="0" w:space="0" w:color="auto"/>
            <w:left w:val="none" w:sz="0" w:space="0" w:color="auto"/>
            <w:bottom w:val="none" w:sz="0" w:space="0" w:color="auto"/>
            <w:right w:val="none" w:sz="0" w:space="0" w:color="auto"/>
          </w:divBdr>
        </w:div>
        <w:div w:id="1761827621">
          <w:marLeft w:val="0"/>
          <w:marRight w:val="0"/>
          <w:marTop w:val="0"/>
          <w:marBottom w:val="0"/>
          <w:divBdr>
            <w:top w:val="none" w:sz="0" w:space="0" w:color="auto"/>
            <w:left w:val="none" w:sz="0" w:space="0" w:color="auto"/>
            <w:bottom w:val="none" w:sz="0" w:space="0" w:color="auto"/>
            <w:right w:val="none" w:sz="0" w:space="0" w:color="auto"/>
          </w:divBdr>
        </w:div>
        <w:div w:id="1963803150">
          <w:marLeft w:val="0"/>
          <w:marRight w:val="0"/>
          <w:marTop w:val="0"/>
          <w:marBottom w:val="0"/>
          <w:divBdr>
            <w:top w:val="none" w:sz="0" w:space="0" w:color="auto"/>
            <w:left w:val="none" w:sz="0" w:space="0" w:color="auto"/>
            <w:bottom w:val="none" w:sz="0" w:space="0" w:color="auto"/>
            <w:right w:val="none" w:sz="0" w:space="0" w:color="auto"/>
          </w:divBdr>
        </w:div>
        <w:div w:id="1978995583">
          <w:marLeft w:val="0"/>
          <w:marRight w:val="0"/>
          <w:marTop w:val="0"/>
          <w:marBottom w:val="0"/>
          <w:divBdr>
            <w:top w:val="none" w:sz="0" w:space="0" w:color="auto"/>
            <w:left w:val="none" w:sz="0" w:space="0" w:color="auto"/>
            <w:bottom w:val="none" w:sz="0" w:space="0" w:color="auto"/>
            <w:right w:val="none" w:sz="0" w:space="0" w:color="auto"/>
          </w:divBdr>
        </w:div>
        <w:div w:id="2032485936">
          <w:marLeft w:val="0"/>
          <w:marRight w:val="0"/>
          <w:marTop w:val="0"/>
          <w:marBottom w:val="0"/>
          <w:divBdr>
            <w:top w:val="none" w:sz="0" w:space="0" w:color="auto"/>
            <w:left w:val="none" w:sz="0" w:space="0" w:color="auto"/>
            <w:bottom w:val="none" w:sz="0" w:space="0" w:color="auto"/>
            <w:right w:val="none" w:sz="0" w:space="0" w:color="auto"/>
          </w:divBdr>
        </w:div>
        <w:div w:id="2145921996">
          <w:marLeft w:val="0"/>
          <w:marRight w:val="0"/>
          <w:marTop w:val="0"/>
          <w:marBottom w:val="0"/>
          <w:divBdr>
            <w:top w:val="none" w:sz="0" w:space="0" w:color="auto"/>
            <w:left w:val="none" w:sz="0" w:space="0" w:color="auto"/>
            <w:bottom w:val="none" w:sz="0" w:space="0" w:color="auto"/>
            <w:right w:val="none" w:sz="0" w:space="0" w:color="auto"/>
          </w:divBdr>
        </w:div>
      </w:divsChild>
    </w:div>
    <w:div w:id="1217203431">
      <w:bodyDiv w:val="1"/>
      <w:marLeft w:val="0"/>
      <w:marRight w:val="0"/>
      <w:marTop w:val="0"/>
      <w:marBottom w:val="0"/>
      <w:divBdr>
        <w:top w:val="none" w:sz="0" w:space="0" w:color="auto"/>
        <w:left w:val="none" w:sz="0" w:space="0" w:color="auto"/>
        <w:bottom w:val="none" w:sz="0" w:space="0" w:color="auto"/>
        <w:right w:val="none" w:sz="0" w:space="0" w:color="auto"/>
      </w:divBdr>
      <w:divsChild>
        <w:div w:id="1139685285">
          <w:marLeft w:val="0"/>
          <w:marRight w:val="0"/>
          <w:marTop w:val="0"/>
          <w:marBottom w:val="0"/>
          <w:divBdr>
            <w:top w:val="none" w:sz="0" w:space="0" w:color="auto"/>
            <w:left w:val="none" w:sz="0" w:space="0" w:color="auto"/>
            <w:bottom w:val="none" w:sz="0" w:space="0" w:color="auto"/>
            <w:right w:val="none" w:sz="0" w:space="0" w:color="auto"/>
          </w:divBdr>
          <w:divsChild>
            <w:div w:id="92865397">
              <w:marLeft w:val="0"/>
              <w:marRight w:val="0"/>
              <w:marTop w:val="0"/>
              <w:marBottom w:val="0"/>
              <w:divBdr>
                <w:top w:val="none" w:sz="0" w:space="0" w:color="auto"/>
                <w:left w:val="none" w:sz="0" w:space="0" w:color="auto"/>
                <w:bottom w:val="none" w:sz="0" w:space="0" w:color="auto"/>
                <w:right w:val="none" w:sz="0" w:space="0" w:color="auto"/>
              </w:divBdr>
              <w:divsChild>
                <w:div w:id="343022110">
                  <w:marLeft w:val="0"/>
                  <w:marRight w:val="0"/>
                  <w:marTop w:val="0"/>
                  <w:marBottom w:val="0"/>
                  <w:divBdr>
                    <w:top w:val="none" w:sz="0" w:space="0" w:color="auto"/>
                    <w:left w:val="none" w:sz="0" w:space="0" w:color="auto"/>
                    <w:bottom w:val="none" w:sz="0" w:space="0" w:color="auto"/>
                    <w:right w:val="none" w:sz="0" w:space="0" w:color="auto"/>
                  </w:divBdr>
                </w:div>
                <w:div w:id="1281301987">
                  <w:marLeft w:val="0"/>
                  <w:marRight w:val="0"/>
                  <w:marTop w:val="120"/>
                  <w:marBottom w:val="0"/>
                  <w:divBdr>
                    <w:top w:val="none" w:sz="0" w:space="0" w:color="auto"/>
                    <w:left w:val="none" w:sz="0" w:space="0" w:color="auto"/>
                    <w:bottom w:val="none" w:sz="0" w:space="0" w:color="auto"/>
                    <w:right w:val="none" w:sz="0" w:space="0" w:color="auto"/>
                  </w:divBdr>
                </w:div>
              </w:divsChild>
            </w:div>
            <w:div w:id="1068577361">
              <w:marLeft w:val="0"/>
              <w:marRight w:val="0"/>
              <w:marTop w:val="0"/>
              <w:marBottom w:val="0"/>
              <w:divBdr>
                <w:top w:val="none" w:sz="0" w:space="0" w:color="auto"/>
                <w:left w:val="none" w:sz="0" w:space="0" w:color="auto"/>
                <w:bottom w:val="none" w:sz="0" w:space="0" w:color="auto"/>
                <w:right w:val="none" w:sz="0" w:space="0" w:color="auto"/>
              </w:divBdr>
              <w:divsChild>
                <w:div w:id="656568257">
                  <w:marLeft w:val="0"/>
                  <w:marRight w:val="0"/>
                  <w:marTop w:val="120"/>
                  <w:marBottom w:val="0"/>
                  <w:divBdr>
                    <w:top w:val="none" w:sz="0" w:space="0" w:color="auto"/>
                    <w:left w:val="none" w:sz="0" w:space="0" w:color="auto"/>
                    <w:bottom w:val="none" w:sz="0" w:space="0" w:color="auto"/>
                    <w:right w:val="none" w:sz="0" w:space="0" w:color="auto"/>
                  </w:divBdr>
                </w:div>
                <w:div w:id="1982999350">
                  <w:marLeft w:val="0"/>
                  <w:marRight w:val="0"/>
                  <w:marTop w:val="0"/>
                  <w:marBottom w:val="0"/>
                  <w:divBdr>
                    <w:top w:val="none" w:sz="0" w:space="0" w:color="auto"/>
                    <w:left w:val="none" w:sz="0" w:space="0" w:color="auto"/>
                    <w:bottom w:val="none" w:sz="0" w:space="0" w:color="auto"/>
                    <w:right w:val="none" w:sz="0" w:space="0" w:color="auto"/>
                  </w:divBdr>
                </w:div>
              </w:divsChild>
            </w:div>
            <w:div w:id="1083648613">
              <w:marLeft w:val="0"/>
              <w:marRight w:val="0"/>
              <w:marTop w:val="0"/>
              <w:marBottom w:val="0"/>
              <w:divBdr>
                <w:top w:val="none" w:sz="0" w:space="0" w:color="auto"/>
                <w:left w:val="none" w:sz="0" w:space="0" w:color="auto"/>
                <w:bottom w:val="none" w:sz="0" w:space="0" w:color="auto"/>
                <w:right w:val="none" w:sz="0" w:space="0" w:color="auto"/>
              </w:divBdr>
              <w:divsChild>
                <w:div w:id="424348634">
                  <w:marLeft w:val="0"/>
                  <w:marRight w:val="0"/>
                  <w:marTop w:val="0"/>
                  <w:marBottom w:val="0"/>
                  <w:divBdr>
                    <w:top w:val="none" w:sz="0" w:space="0" w:color="auto"/>
                    <w:left w:val="none" w:sz="0" w:space="0" w:color="auto"/>
                    <w:bottom w:val="none" w:sz="0" w:space="0" w:color="auto"/>
                    <w:right w:val="none" w:sz="0" w:space="0" w:color="auto"/>
                  </w:divBdr>
                </w:div>
                <w:div w:id="1479494538">
                  <w:marLeft w:val="0"/>
                  <w:marRight w:val="0"/>
                  <w:marTop w:val="120"/>
                  <w:marBottom w:val="0"/>
                  <w:divBdr>
                    <w:top w:val="none" w:sz="0" w:space="0" w:color="auto"/>
                    <w:left w:val="none" w:sz="0" w:space="0" w:color="auto"/>
                    <w:bottom w:val="none" w:sz="0" w:space="0" w:color="auto"/>
                    <w:right w:val="none" w:sz="0" w:space="0" w:color="auto"/>
                  </w:divBdr>
                </w:div>
              </w:divsChild>
            </w:div>
            <w:div w:id="1442842948">
              <w:marLeft w:val="0"/>
              <w:marRight w:val="0"/>
              <w:marTop w:val="0"/>
              <w:marBottom w:val="0"/>
              <w:divBdr>
                <w:top w:val="none" w:sz="0" w:space="0" w:color="auto"/>
                <w:left w:val="none" w:sz="0" w:space="0" w:color="auto"/>
                <w:bottom w:val="none" w:sz="0" w:space="0" w:color="auto"/>
                <w:right w:val="none" w:sz="0" w:space="0" w:color="auto"/>
              </w:divBdr>
              <w:divsChild>
                <w:div w:id="825365314">
                  <w:marLeft w:val="0"/>
                  <w:marRight w:val="0"/>
                  <w:marTop w:val="0"/>
                  <w:marBottom w:val="0"/>
                  <w:divBdr>
                    <w:top w:val="none" w:sz="0" w:space="0" w:color="auto"/>
                    <w:left w:val="none" w:sz="0" w:space="0" w:color="auto"/>
                    <w:bottom w:val="none" w:sz="0" w:space="0" w:color="auto"/>
                    <w:right w:val="none" w:sz="0" w:space="0" w:color="auto"/>
                  </w:divBdr>
                </w:div>
                <w:div w:id="1307125100">
                  <w:marLeft w:val="0"/>
                  <w:marRight w:val="0"/>
                  <w:marTop w:val="120"/>
                  <w:marBottom w:val="0"/>
                  <w:divBdr>
                    <w:top w:val="none" w:sz="0" w:space="0" w:color="auto"/>
                    <w:left w:val="none" w:sz="0" w:space="0" w:color="auto"/>
                    <w:bottom w:val="none" w:sz="0" w:space="0" w:color="auto"/>
                    <w:right w:val="none" w:sz="0" w:space="0" w:color="auto"/>
                  </w:divBdr>
                </w:div>
              </w:divsChild>
            </w:div>
            <w:div w:id="1671368813">
              <w:marLeft w:val="0"/>
              <w:marRight w:val="0"/>
              <w:marTop w:val="0"/>
              <w:marBottom w:val="0"/>
              <w:divBdr>
                <w:top w:val="none" w:sz="0" w:space="0" w:color="auto"/>
                <w:left w:val="none" w:sz="0" w:space="0" w:color="auto"/>
                <w:bottom w:val="none" w:sz="0" w:space="0" w:color="auto"/>
                <w:right w:val="none" w:sz="0" w:space="0" w:color="auto"/>
              </w:divBdr>
              <w:divsChild>
                <w:div w:id="97213792">
                  <w:marLeft w:val="0"/>
                  <w:marRight w:val="0"/>
                  <w:marTop w:val="120"/>
                  <w:marBottom w:val="0"/>
                  <w:divBdr>
                    <w:top w:val="none" w:sz="0" w:space="0" w:color="auto"/>
                    <w:left w:val="none" w:sz="0" w:space="0" w:color="auto"/>
                    <w:bottom w:val="none" w:sz="0" w:space="0" w:color="auto"/>
                    <w:right w:val="none" w:sz="0" w:space="0" w:color="auto"/>
                  </w:divBdr>
                </w:div>
                <w:div w:id="1058089883">
                  <w:marLeft w:val="0"/>
                  <w:marRight w:val="0"/>
                  <w:marTop w:val="0"/>
                  <w:marBottom w:val="0"/>
                  <w:divBdr>
                    <w:top w:val="none" w:sz="0" w:space="0" w:color="auto"/>
                    <w:left w:val="none" w:sz="0" w:space="0" w:color="auto"/>
                    <w:bottom w:val="none" w:sz="0" w:space="0" w:color="auto"/>
                    <w:right w:val="none" w:sz="0" w:space="0" w:color="auto"/>
                  </w:divBdr>
                </w:div>
              </w:divsChild>
            </w:div>
            <w:div w:id="1776440605">
              <w:marLeft w:val="0"/>
              <w:marRight w:val="0"/>
              <w:marTop w:val="0"/>
              <w:marBottom w:val="0"/>
              <w:divBdr>
                <w:top w:val="none" w:sz="0" w:space="0" w:color="auto"/>
                <w:left w:val="none" w:sz="0" w:space="0" w:color="auto"/>
                <w:bottom w:val="none" w:sz="0" w:space="0" w:color="auto"/>
                <w:right w:val="none" w:sz="0" w:space="0" w:color="auto"/>
              </w:divBdr>
              <w:divsChild>
                <w:div w:id="741948016">
                  <w:marLeft w:val="0"/>
                  <w:marRight w:val="0"/>
                  <w:marTop w:val="0"/>
                  <w:marBottom w:val="0"/>
                  <w:divBdr>
                    <w:top w:val="none" w:sz="0" w:space="0" w:color="auto"/>
                    <w:left w:val="none" w:sz="0" w:space="0" w:color="auto"/>
                    <w:bottom w:val="none" w:sz="0" w:space="0" w:color="auto"/>
                    <w:right w:val="none" w:sz="0" w:space="0" w:color="auto"/>
                  </w:divBdr>
                </w:div>
                <w:div w:id="1930843517">
                  <w:marLeft w:val="0"/>
                  <w:marRight w:val="0"/>
                  <w:marTop w:val="120"/>
                  <w:marBottom w:val="0"/>
                  <w:divBdr>
                    <w:top w:val="none" w:sz="0" w:space="0" w:color="auto"/>
                    <w:left w:val="none" w:sz="0" w:space="0" w:color="auto"/>
                    <w:bottom w:val="none" w:sz="0" w:space="0" w:color="auto"/>
                    <w:right w:val="none" w:sz="0" w:space="0" w:color="auto"/>
                  </w:divBdr>
                </w:div>
              </w:divsChild>
            </w:div>
            <w:div w:id="1923442164">
              <w:marLeft w:val="0"/>
              <w:marRight w:val="0"/>
              <w:marTop w:val="0"/>
              <w:marBottom w:val="0"/>
              <w:divBdr>
                <w:top w:val="none" w:sz="0" w:space="0" w:color="auto"/>
                <w:left w:val="none" w:sz="0" w:space="0" w:color="auto"/>
                <w:bottom w:val="none" w:sz="0" w:space="0" w:color="auto"/>
                <w:right w:val="none" w:sz="0" w:space="0" w:color="auto"/>
              </w:divBdr>
              <w:divsChild>
                <w:div w:id="89587924">
                  <w:marLeft w:val="0"/>
                  <w:marRight w:val="0"/>
                  <w:marTop w:val="120"/>
                  <w:marBottom w:val="0"/>
                  <w:divBdr>
                    <w:top w:val="none" w:sz="0" w:space="0" w:color="auto"/>
                    <w:left w:val="none" w:sz="0" w:space="0" w:color="auto"/>
                    <w:bottom w:val="none" w:sz="0" w:space="0" w:color="auto"/>
                    <w:right w:val="none" w:sz="0" w:space="0" w:color="auto"/>
                  </w:divBdr>
                </w:div>
                <w:div w:id="1430547243">
                  <w:marLeft w:val="0"/>
                  <w:marRight w:val="0"/>
                  <w:marTop w:val="0"/>
                  <w:marBottom w:val="0"/>
                  <w:divBdr>
                    <w:top w:val="none" w:sz="0" w:space="0" w:color="auto"/>
                    <w:left w:val="none" w:sz="0" w:space="0" w:color="auto"/>
                    <w:bottom w:val="none" w:sz="0" w:space="0" w:color="auto"/>
                    <w:right w:val="none" w:sz="0" w:space="0" w:color="auto"/>
                  </w:divBdr>
                </w:div>
              </w:divsChild>
            </w:div>
            <w:div w:id="2045861780">
              <w:marLeft w:val="0"/>
              <w:marRight w:val="0"/>
              <w:marTop w:val="0"/>
              <w:marBottom w:val="0"/>
              <w:divBdr>
                <w:top w:val="none" w:sz="0" w:space="0" w:color="auto"/>
                <w:left w:val="none" w:sz="0" w:space="0" w:color="auto"/>
                <w:bottom w:val="none" w:sz="0" w:space="0" w:color="auto"/>
                <w:right w:val="none" w:sz="0" w:space="0" w:color="auto"/>
              </w:divBdr>
              <w:divsChild>
                <w:div w:id="1306593414">
                  <w:marLeft w:val="0"/>
                  <w:marRight w:val="0"/>
                  <w:marTop w:val="0"/>
                  <w:marBottom w:val="0"/>
                  <w:divBdr>
                    <w:top w:val="none" w:sz="0" w:space="0" w:color="auto"/>
                    <w:left w:val="none" w:sz="0" w:space="0" w:color="auto"/>
                    <w:bottom w:val="none" w:sz="0" w:space="0" w:color="auto"/>
                    <w:right w:val="none" w:sz="0" w:space="0" w:color="auto"/>
                  </w:divBdr>
                </w:div>
                <w:div w:id="20125672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1288322">
      <w:bodyDiv w:val="1"/>
      <w:marLeft w:val="0"/>
      <w:marRight w:val="0"/>
      <w:marTop w:val="0"/>
      <w:marBottom w:val="0"/>
      <w:divBdr>
        <w:top w:val="none" w:sz="0" w:space="0" w:color="auto"/>
        <w:left w:val="none" w:sz="0" w:space="0" w:color="auto"/>
        <w:bottom w:val="none" w:sz="0" w:space="0" w:color="auto"/>
        <w:right w:val="none" w:sz="0" w:space="0" w:color="auto"/>
      </w:divBdr>
    </w:div>
    <w:div w:id="1233587972">
      <w:bodyDiv w:val="1"/>
      <w:marLeft w:val="0"/>
      <w:marRight w:val="0"/>
      <w:marTop w:val="0"/>
      <w:marBottom w:val="0"/>
      <w:divBdr>
        <w:top w:val="none" w:sz="0" w:space="0" w:color="auto"/>
        <w:left w:val="none" w:sz="0" w:space="0" w:color="auto"/>
        <w:bottom w:val="none" w:sz="0" w:space="0" w:color="auto"/>
        <w:right w:val="none" w:sz="0" w:space="0" w:color="auto"/>
      </w:divBdr>
      <w:divsChild>
        <w:div w:id="522861167">
          <w:marLeft w:val="0"/>
          <w:marRight w:val="0"/>
          <w:marTop w:val="0"/>
          <w:marBottom w:val="0"/>
          <w:divBdr>
            <w:top w:val="none" w:sz="0" w:space="0" w:color="auto"/>
            <w:left w:val="none" w:sz="0" w:space="0" w:color="auto"/>
            <w:bottom w:val="none" w:sz="0" w:space="0" w:color="auto"/>
            <w:right w:val="none" w:sz="0" w:space="0" w:color="auto"/>
          </w:divBdr>
          <w:divsChild>
            <w:div w:id="1008799866">
              <w:marLeft w:val="0"/>
              <w:marRight w:val="0"/>
              <w:marTop w:val="0"/>
              <w:marBottom w:val="0"/>
              <w:divBdr>
                <w:top w:val="none" w:sz="0" w:space="0" w:color="auto"/>
                <w:left w:val="none" w:sz="0" w:space="0" w:color="auto"/>
                <w:bottom w:val="none" w:sz="0" w:space="0" w:color="auto"/>
                <w:right w:val="none" w:sz="0" w:space="0" w:color="auto"/>
              </w:divBdr>
            </w:div>
          </w:divsChild>
        </w:div>
        <w:div w:id="529805786">
          <w:marLeft w:val="0"/>
          <w:marRight w:val="0"/>
          <w:marTop w:val="0"/>
          <w:marBottom w:val="0"/>
          <w:divBdr>
            <w:top w:val="none" w:sz="0" w:space="0" w:color="auto"/>
            <w:left w:val="none" w:sz="0" w:space="0" w:color="auto"/>
            <w:bottom w:val="none" w:sz="0" w:space="0" w:color="auto"/>
            <w:right w:val="none" w:sz="0" w:space="0" w:color="auto"/>
          </w:divBdr>
          <w:divsChild>
            <w:div w:id="1342271547">
              <w:marLeft w:val="0"/>
              <w:marRight w:val="0"/>
              <w:marTop w:val="0"/>
              <w:marBottom w:val="0"/>
              <w:divBdr>
                <w:top w:val="none" w:sz="0" w:space="0" w:color="auto"/>
                <w:left w:val="none" w:sz="0" w:space="0" w:color="auto"/>
                <w:bottom w:val="none" w:sz="0" w:space="0" w:color="auto"/>
                <w:right w:val="none" w:sz="0" w:space="0" w:color="auto"/>
              </w:divBdr>
            </w:div>
          </w:divsChild>
        </w:div>
        <w:div w:id="592516776">
          <w:marLeft w:val="0"/>
          <w:marRight w:val="0"/>
          <w:marTop w:val="0"/>
          <w:marBottom w:val="0"/>
          <w:divBdr>
            <w:top w:val="none" w:sz="0" w:space="0" w:color="auto"/>
            <w:left w:val="none" w:sz="0" w:space="0" w:color="auto"/>
            <w:bottom w:val="none" w:sz="0" w:space="0" w:color="auto"/>
            <w:right w:val="none" w:sz="0" w:space="0" w:color="auto"/>
          </w:divBdr>
          <w:divsChild>
            <w:div w:id="1519005403">
              <w:marLeft w:val="0"/>
              <w:marRight w:val="0"/>
              <w:marTop w:val="0"/>
              <w:marBottom w:val="0"/>
              <w:divBdr>
                <w:top w:val="none" w:sz="0" w:space="0" w:color="auto"/>
                <w:left w:val="none" w:sz="0" w:space="0" w:color="auto"/>
                <w:bottom w:val="none" w:sz="0" w:space="0" w:color="auto"/>
                <w:right w:val="none" w:sz="0" w:space="0" w:color="auto"/>
              </w:divBdr>
            </w:div>
          </w:divsChild>
        </w:div>
        <w:div w:id="769353145">
          <w:marLeft w:val="0"/>
          <w:marRight w:val="0"/>
          <w:marTop w:val="0"/>
          <w:marBottom w:val="0"/>
          <w:divBdr>
            <w:top w:val="none" w:sz="0" w:space="0" w:color="auto"/>
            <w:left w:val="none" w:sz="0" w:space="0" w:color="auto"/>
            <w:bottom w:val="none" w:sz="0" w:space="0" w:color="auto"/>
            <w:right w:val="none" w:sz="0" w:space="0" w:color="auto"/>
          </w:divBdr>
          <w:divsChild>
            <w:div w:id="632103916">
              <w:marLeft w:val="0"/>
              <w:marRight w:val="0"/>
              <w:marTop w:val="0"/>
              <w:marBottom w:val="0"/>
              <w:divBdr>
                <w:top w:val="none" w:sz="0" w:space="0" w:color="auto"/>
                <w:left w:val="none" w:sz="0" w:space="0" w:color="auto"/>
                <w:bottom w:val="none" w:sz="0" w:space="0" w:color="auto"/>
                <w:right w:val="none" w:sz="0" w:space="0" w:color="auto"/>
              </w:divBdr>
              <w:divsChild>
                <w:div w:id="13190503">
                  <w:marLeft w:val="0"/>
                  <w:marRight w:val="0"/>
                  <w:marTop w:val="0"/>
                  <w:marBottom w:val="0"/>
                  <w:divBdr>
                    <w:top w:val="none" w:sz="0" w:space="0" w:color="auto"/>
                    <w:left w:val="none" w:sz="0" w:space="0" w:color="auto"/>
                    <w:bottom w:val="none" w:sz="0" w:space="0" w:color="auto"/>
                    <w:right w:val="none" w:sz="0" w:space="0" w:color="auto"/>
                  </w:divBdr>
                  <w:divsChild>
                    <w:div w:id="853223142">
                      <w:marLeft w:val="0"/>
                      <w:marRight w:val="0"/>
                      <w:marTop w:val="120"/>
                      <w:marBottom w:val="0"/>
                      <w:divBdr>
                        <w:top w:val="none" w:sz="0" w:space="0" w:color="auto"/>
                        <w:left w:val="none" w:sz="0" w:space="0" w:color="auto"/>
                        <w:bottom w:val="none" w:sz="0" w:space="0" w:color="auto"/>
                        <w:right w:val="none" w:sz="0" w:space="0" w:color="auto"/>
                      </w:divBdr>
                    </w:div>
                    <w:div w:id="1759209486">
                      <w:marLeft w:val="0"/>
                      <w:marRight w:val="0"/>
                      <w:marTop w:val="0"/>
                      <w:marBottom w:val="0"/>
                      <w:divBdr>
                        <w:top w:val="none" w:sz="0" w:space="0" w:color="auto"/>
                        <w:left w:val="none" w:sz="0" w:space="0" w:color="auto"/>
                        <w:bottom w:val="none" w:sz="0" w:space="0" w:color="auto"/>
                        <w:right w:val="none" w:sz="0" w:space="0" w:color="auto"/>
                      </w:divBdr>
                    </w:div>
                  </w:divsChild>
                </w:div>
                <w:div w:id="479230258">
                  <w:marLeft w:val="0"/>
                  <w:marRight w:val="0"/>
                  <w:marTop w:val="0"/>
                  <w:marBottom w:val="0"/>
                  <w:divBdr>
                    <w:top w:val="none" w:sz="0" w:space="0" w:color="auto"/>
                    <w:left w:val="none" w:sz="0" w:space="0" w:color="auto"/>
                    <w:bottom w:val="none" w:sz="0" w:space="0" w:color="auto"/>
                    <w:right w:val="none" w:sz="0" w:space="0" w:color="auto"/>
                  </w:divBdr>
                  <w:divsChild>
                    <w:div w:id="963586252">
                      <w:marLeft w:val="0"/>
                      <w:marRight w:val="0"/>
                      <w:marTop w:val="0"/>
                      <w:marBottom w:val="0"/>
                      <w:divBdr>
                        <w:top w:val="none" w:sz="0" w:space="0" w:color="auto"/>
                        <w:left w:val="none" w:sz="0" w:space="0" w:color="auto"/>
                        <w:bottom w:val="none" w:sz="0" w:space="0" w:color="auto"/>
                        <w:right w:val="none" w:sz="0" w:space="0" w:color="auto"/>
                      </w:divBdr>
                    </w:div>
                    <w:div w:id="2080786111">
                      <w:marLeft w:val="0"/>
                      <w:marRight w:val="0"/>
                      <w:marTop w:val="120"/>
                      <w:marBottom w:val="0"/>
                      <w:divBdr>
                        <w:top w:val="none" w:sz="0" w:space="0" w:color="auto"/>
                        <w:left w:val="none" w:sz="0" w:space="0" w:color="auto"/>
                        <w:bottom w:val="none" w:sz="0" w:space="0" w:color="auto"/>
                        <w:right w:val="none" w:sz="0" w:space="0" w:color="auto"/>
                      </w:divBdr>
                    </w:div>
                  </w:divsChild>
                </w:div>
                <w:div w:id="1098209295">
                  <w:marLeft w:val="0"/>
                  <w:marRight w:val="0"/>
                  <w:marTop w:val="0"/>
                  <w:marBottom w:val="0"/>
                  <w:divBdr>
                    <w:top w:val="none" w:sz="0" w:space="0" w:color="auto"/>
                    <w:left w:val="none" w:sz="0" w:space="0" w:color="auto"/>
                    <w:bottom w:val="none" w:sz="0" w:space="0" w:color="auto"/>
                    <w:right w:val="none" w:sz="0" w:space="0" w:color="auto"/>
                  </w:divBdr>
                  <w:divsChild>
                    <w:div w:id="1591428057">
                      <w:marLeft w:val="0"/>
                      <w:marRight w:val="0"/>
                      <w:marTop w:val="120"/>
                      <w:marBottom w:val="0"/>
                      <w:divBdr>
                        <w:top w:val="none" w:sz="0" w:space="0" w:color="auto"/>
                        <w:left w:val="none" w:sz="0" w:space="0" w:color="auto"/>
                        <w:bottom w:val="none" w:sz="0" w:space="0" w:color="auto"/>
                        <w:right w:val="none" w:sz="0" w:space="0" w:color="auto"/>
                      </w:divBdr>
                    </w:div>
                    <w:div w:id="1856962995">
                      <w:marLeft w:val="0"/>
                      <w:marRight w:val="0"/>
                      <w:marTop w:val="0"/>
                      <w:marBottom w:val="0"/>
                      <w:divBdr>
                        <w:top w:val="none" w:sz="0" w:space="0" w:color="auto"/>
                        <w:left w:val="none" w:sz="0" w:space="0" w:color="auto"/>
                        <w:bottom w:val="none" w:sz="0" w:space="0" w:color="auto"/>
                        <w:right w:val="none" w:sz="0" w:space="0" w:color="auto"/>
                      </w:divBdr>
                    </w:div>
                  </w:divsChild>
                </w:div>
                <w:div w:id="1178613705">
                  <w:marLeft w:val="0"/>
                  <w:marRight w:val="0"/>
                  <w:marTop w:val="0"/>
                  <w:marBottom w:val="0"/>
                  <w:divBdr>
                    <w:top w:val="none" w:sz="0" w:space="0" w:color="auto"/>
                    <w:left w:val="none" w:sz="0" w:space="0" w:color="auto"/>
                    <w:bottom w:val="none" w:sz="0" w:space="0" w:color="auto"/>
                    <w:right w:val="none" w:sz="0" w:space="0" w:color="auto"/>
                  </w:divBdr>
                  <w:divsChild>
                    <w:div w:id="348993758">
                      <w:marLeft w:val="0"/>
                      <w:marRight w:val="0"/>
                      <w:marTop w:val="0"/>
                      <w:marBottom w:val="0"/>
                      <w:divBdr>
                        <w:top w:val="none" w:sz="0" w:space="0" w:color="auto"/>
                        <w:left w:val="none" w:sz="0" w:space="0" w:color="auto"/>
                        <w:bottom w:val="none" w:sz="0" w:space="0" w:color="auto"/>
                        <w:right w:val="none" w:sz="0" w:space="0" w:color="auto"/>
                      </w:divBdr>
                    </w:div>
                    <w:div w:id="1501118476">
                      <w:marLeft w:val="0"/>
                      <w:marRight w:val="0"/>
                      <w:marTop w:val="120"/>
                      <w:marBottom w:val="0"/>
                      <w:divBdr>
                        <w:top w:val="none" w:sz="0" w:space="0" w:color="auto"/>
                        <w:left w:val="none" w:sz="0" w:space="0" w:color="auto"/>
                        <w:bottom w:val="none" w:sz="0" w:space="0" w:color="auto"/>
                        <w:right w:val="none" w:sz="0" w:space="0" w:color="auto"/>
                      </w:divBdr>
                    </w:div>
                  </w:divsChild>
                </w:div>
                <w:div w:id="1505238804">
                  <w:marLeft w:val="0"/>
                  <w:marRight w:val="0"/>
                  <w:marTop w:val="0"/>
                  <w:marBottom w:val="0"/>
                  <w:divBdr>
                    <w:top w:val="none" w:sz="0" w:space="0" w:color="auto"/>
                    <w:left w:val="none" w:sz="0" w:space="0" w:color="auto"/>
                    <w:bottom w:val="none" w:sz="0" w:space="0" w:color="auto"/>
                    <w:right w:val="none" w:sz="0" w:space="0" w:color="auto"/>
                  </w:divBdr>
                  <w:divsChild>
                    <w:div w:id="171453225">
                      <w:marLeft w:val="0"/>
                      <w:marRight w:val="0"/>
                      <w:marTop w:val="0"/>
                      <w:marBottom w:val="0"/>
                      <w:divBdr>
                        <w:top w:val="none" w:sz="0" w:space="0" w:color="auto"/>
                        <w:left w:val="none" w:sz="0" w:space="0" w:color="auto"/>
                        <w:bottom w:val="none" w:sz="0" w:space="0" w:color="auto"/>
                        <w:right w:val="none" w:sz="0" w:space="0" w:color="auto"/>
                      </w:divBdr>
                    </w:div>
                    <w:div w:id="729883824">
                      <w:marLeft w:val="0"/>
                      <w:marRight w:val="0"/>
                      <w:marTop w:val="120"/>
                      <w:marBottom w:val="0"/>
                      <w:divBdr>
                        <w:top w:val="none" w:sz="0" w:space="0" w:color="auto"/>
                        <w:left w:val="none" w:sz="0" w:space="0" w:color="auto"/>
                        <w:bottom w:val="none" w:sz="0" w:space="0" w:color="auto"/>
                        <w:right w:val="none" w:sz="0" w:space="0" w:color="auto"/>
                      </w:divBdr>
                    </w:div>
                  </w:divsChild>
                </w:div>
                <w:div w:id="1590121251">
                  <w:marLeft w:val="0"/>
                  <w:marRight w:val="0"/>
                  <w:marTop w:val="0"/>
                  <w:marBottom w:val="0"/>
                  <w:divBdr>
                    <w:top w:val="none" w:sz="0" w:space="0" w:color="auto"/>
                    <w:left w:val="none" w:sz="0" w:space="0" w:color="auto"/>
                    <w:bottom w:val="none" w:sz="0" w:space="0" w:color="auto"/>
                    <w:right w:val="none" w:sz="0" w:space="0" w:color="auto"/>
                  </w:divBdr>
                  <w:divsChild>
                    <w:div w:id="517231554">
                      <w:marLeft w:val="0"/>
                      <w:marRight w:val="0"/>
                      <w:marTop w:val="0"/>
                      <w:marBottom w:val="0"/>
                      <w:divBdr>
                        <w:top w:val="none" w:sz="0" w:space="0" w:color="auto"/>
                        <w:left w:val="none" w:sz="0" w:space="0" w:color="auto"/>
                        <w:bottom w:val="none" w:sz="0" w:space="0" w:color="auto"/>
                        <w:right w:val="none" w:sz="0" w:space="0" w:color="auto"/>
                      </w:divBdr>
                    </w:div>
                    <w:div w:id="1389642531">
                      <w:marLeft w:val="0"/>
                      <w:marRight w:val="0"/>
                      <w:marTop w:val="120"/>
                      <w:marBottom w:val="0"/>
                      <w:divBdr>
                        <w:top w:val="none" w:sz="0" w:space="0" w:color="auto"/>
                        <w:left w:val="none" w:sz="0" w:space="0" w:color="auto"/>
                        <w:bottom w:val="none" w:sz="0" w:space="0" w:color="auto"/>
                        <w:right w:val="none" w:sz="0" w:space="0" w:color="auto"/>
                      </w:divBdr>
                    </w:div>
                  </w:divsChild>
                </w:div>
                <w:div w:id="1775710618">
                  <w:marLeft w:val="0"/>
                  <w:marRight w:val="0"/>
                  <w:marTop w:val="0"/>
                  <w:marBottom w:val="0"/>
                  <w:divBdr>
                    <w:top w:val="none" w:sz="0" w:space="0" w:color="auto"/>
                    <w:left w:val="none" w:sz="0" w:space="0" w:color="auto"/>
                    <w:bottom w:val="none" w:sz="0" w:space="0" w:color="auto"/>
                    <w:right w:val="none" w:sz="0" w:space="0" w:color="auto"/>
                  </w:divBdr>
                  <w:divsChild>
                    <w:div w:id="665049">
                      <w:marLeft w:val="0"/>
                      <w:marRight w:val="0"/>
                      <w:marTop w:val="120"/>
                      <w:marBottom w:val="0"/>
                      <w:divBdr>
                        <w:top w:val="none" w:sz="0" w:space="0" w:color="auto"/>
                        <w:left w:val="none" w:sz="0" w:space="0" w:color="auto"/>
                        <w:bottom w:val="none" w:sz="0" w:space="0" w:color="auto"/>
                        <w:right w:val="none" w:sz="0" w:space="0" w:color="auto"/>
                      </w:divBdr>
                    </w:div>
                    <w:div w:id="376979079">
                      <w:marLeft w:val="0"/>
                      <w:marRight w:val="0"/>
                      <w:marTop w:val="0"/>
                      <w:marBottom w:val="0"/>
                      <w:divBdr>
                        <w:top w:val="none" w:sz="0" w:space="0" w:color="auto"/>
                        <w:left w:val="none" w:sz="0" w:space="0" w:color="auto"/>
                        <w:bottom w:val="none" w:sz="0" w:space="0" w:color="auto"/>
                        <w:right w:val="none" w:sz="0" w:space="0" w:color="auto"/>
                      </w:divBdr>
                    </w:div>
                  </w:divsChild>
                </w:div>
                <w:div w:id="2017725813">
                  <w:marLeft w:val="0"/>
                  <w:marRight w:val="0"/>
                  <w:marTop w:val="0"/>
                  <w:marBottom w:val="0"/>
                  <w:divBdr>
                    <w:top w:val="none" w:sz="0" w:space="0" w:color="auto"/>
                    <w:left w:val="none" w:sz="0" w:space="0" w:color="auto"/>
                    <w:bottom w:val="none" w:sz="0" w:space="0" w:color="auto"/>
                    <w:right w:val="none" w:sz="0" w:space="0" w:color="auto"/>
                  </w:divBdr>
                  <w:divsChild>
                    <w:div w:id="633097129">
                      <w:marLeft w:val="0"/>
                      <w:marRight w:val="0"/>
                      <w:marTop w:val="120"/>
                      <w:marBottom w:val="0"/>
                      <w:divBdr>
                        <w:top w:val="none" w:sz="0" w:space="0" w:color="auto"/>
                        <w:left w:val="none" w:sz="0" w:space="0" w:color="auto"/>
                        <w:bottom w:val="none" w:sz="0" w:space="0" w:color="auto"/>
                        <w:right w:val="none" w:sz="0" w:space="0" w:color="auto"/>
                      </w:divBdr>
                    </w:div>
                    <w:div w:id="779422046">
                      <w:marLeft w:val="0"/>
                      <w:marRight w:val="0"/>
                      <w:marTop w:val="0"/>
                      <w:marBottom w:val="0"/>
                      <w:divBdr>
                        <w:top w:val="none" w:sz="0" w:space="0" w:color="auto"/>
                        <w:left w:val="none" w:sz="0" w:space="0" w:color="auto"/>
                        <w:bottom w:val="none" w:sz="0" w:space="0" w:color="auto"/>
                        <w:right w:val="none" w:sz="0" w:space="0" w:color="auto"/>
                      </w:divBdr>
                    </w:div>
                  </w:divsChild>
                </w:div>
                <w:div w:id="2041009746">
                  <w:marLeft w:val="0"/>
                  <w:marRight w:val="0"/>
                  <w:marTop w:val="0"/>
                  <w:marBottom w:val="0"/>
                  <w:divBdr>
                    <w:top w:val="none" w:sz="0" w:space="0" w:color="auto"/>
                    <w:left w:val="none" w:sz="0" w:space="0" w:color="auto"/>
                    <w:bottom w:val="none" w:sz="0" w:space="0" w:color="auto"/>
                    <w:right w:val="none" w:sz="0" w:space="0" w:color="auto"/>
                  </w:divBdr>
                  <w:divsChild>
                    <w:div w:id="407731001">
                      <w:marLeft w:val="0"/>
                      <w:marRight w:val="0"/>
                      <w:marTop w:val="0"/>
                      <w:marBottom w:val="0"/>
                      <w:divBdr>
                        <w:top w:val="none" w:sz="0" w:space="0" w:color="auto"/>
                        <w:left w:val="none" w:sz="0" w:space="0" w:color="auto"/>
                        <w:bottom w:val="none" w:sz="0" w:space="0" w:color="auto"/>
                        <w:right w:val="none" w:sz="0" w:space="0" w:color="auto"/>
                      </w:divBdr>
                    </w:div>
                    <w:div w:id="4889050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9415612">
          <w:marLeft w:val="0"/>
          <w:marRight w:val="0"/>
          <w:marTop w:val="0"/>
          <w:marBottom w:val="0"/>
          <w:divBdr>
            <w:top w:val="none" w:sz="0" w:space="0" w:color="auto"/>
            <w:left w:val="none" w:sz="0" w:space="0" w:color="auto"/>
            <w:bottom w:val="none" w:sz="0" w:space="0" w:color="auto"/>
            <w:right w:val="none" w:sz="0" w:space="0" w:color="auto"/>
          </w:divBdr>
          <w:divsChild>
            <w:div w:id="189338220">
              <w:marLeft w:val="0"/>
              <w:marRight w:val="0"/>
              <w:marTop w:val="0"/>
              <w:marBottom w:val="0"/>
              <w:divBdr>
                <w:top w:val="none" w:sz="0" w:space="0" w:color="auto"/>
                <w:left w:val="none" w:sz="0" w:space="0" w:color="auto"/>
                <w:bottom w:val="none" w:sz="0" w:space="0" w:color="auto"/>
                <w:right w:val="none" w:sz="0" w:space="0" w:color="auto"/>
              </w:divBdr>
            </w:div>
          </w:divsChild>
        </w:div>
        <w:div w:id="1718889800">
          <w:marLeft w:val="0"/>
          <w:marRight w:val="0"/>
          <w:marTop w:val="0"/>
          <w:marBottom w:val="0"/>
          <w:divBdr>
            <w:top w:val="none" w:sz="0" w:space="0" w:color="auto"/>
            <w:left w:val="none" w:sz="0" w:space="0" w:color="auto"/>
            <w:bottom w:val="none" w:sz="0" w:space="0" w:color="auto"/>
            <w:right w:val="none" w:sz="0" w:space="0" w:color="auto"/>
          </w:divBdr>
          <w:divsChild>
            <w:div w:id="5288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451">
      <w:bodyDiv w:val="1"/>
      <w:marLeft w:val="0"/>
      <w:marRight w:val="0"/>
      <w:marTop w:val="0"/>
      <w:marBottom w:val="0"/>
      <w:divBdr>
        <w:top w:val="none" w:sz="0" w:space="0" w:color="auto"/>
        <w:left w:val="none" w:sz="0" w:space="0" w:color="auto"/>
        <w:bottom w:val="none" w:sz="0" w:space="0" w:color="auto"/>
        <w:right w:val="none" w:sz="0" w:space="0" w:color="auto"/>
      </w:divBdr>
    </w:div>
    <w:div w:id="1280183162">
      <w:bodyDiv w:val="1"/>
      <w:marLeft w:val="0"/>
      <w:marRight w:val="0"/>
      <w:marTop w:val="0"/>
      <w:marBottom w:val="0"/>
      <w:divBdr>
        <w:top w:val="none" w:sz="0" w:space="0" w:color="auto"/>
        <w:left w:val="none" w:sz="0" w:space="0" w:color="auto"/>
        <w:bottom w:val="none" w:sz="0" w:space="0" w:color="auto"/>
        <w:right w:val="none" w:sz="0" w:space="0" w:color="auto"/>
      </w:divBdr>
    </w:div>
    <w:div w:id="1343319337">
      <w:bodyDiv w:val="1"/>
      <w:marLeft w:val="0"/>
      <w:marRight w:val="0"/>
      <w:marTop w:val="0"/>
      <w:marBottom w:val="0"/>
      <w:divBdr>
        <w:top w:val="none" w:sz="0" w:space="0" w:color="auto"/>
        <w:left w:val="none" w:sz="0" w:space="0" w:color="auto"/>
        <w:bottom w:val="none" w:sz="0" w:space="0" w:color="auto"/>
        <w:right w:val="none" w:sz="0" w:space="0" w:color="auto"/>
      </w:divBdr>
    </w:div>
    <w:div w:id="1453670791">
      <w:bodyDiv w:val="1"/>
      <w:marLeft w:val="0"/>
      <w:marRight w:val="0"/>
      <w:marTop w:val="0"/>
      <w:marBottom w:val="0"/>
      <w:divBdr>
        <w:top w:val="none" w:sz="0" w:space="0" w:color="auto"/>
        <w:left w:val="none" w:sz="0" w:space="0" w:color="auto"/>
        <w:bottom w:val="none" w:sz="0" w:space="0" w:color="auto"/>
        <w:right w:val="none" w:sz="0" w:space="0" w:color="auto"/>
      </w:divBdr>
      <w:divsChild>
        <w:div w:id="21516541">
          <w:marLeft w:val="480"/>
          <w:marRight w:val="0"/>
          <w:marTop w:val="0"/>
          <w:marBottom w:val="0"/>
          <w:divBdr>
            <w:top w:val="none" w:sz="0" w:space="0" w:color="auto"/>
            <w:left w:val="none" w:sz="0" w:space="0" w:color="auto"/>
            <w:bottom w:val="none" w:sz="0" w:space="0" w:color="auto"/>
            <w:right w:val="none" w:sz="0" w:space="0" w:color="auto"/>
          </w:divBdr>
        </w:div>
        <w:div w:id="44837252">
          <w:marLeft w:val="600"/>
          <w:marRight w:val="0"/>
          <w:marTop w:val="0"/>
          <w:marBottom w:val="0"/>
          <w:divBdr>
            <w:top w:val="none" w:sz="0" w:space="0" w:color="auto"/>
            <w:left w:val="none" w:sz="0" w:space="0" w:color="auto"/>
            <w:bottom w:val="none" w:sz="0" w:space="0" w:color="auto"/>
            <w:right w:val="none" w:sz="0" w:space="0" w:color="auto"/>
          </w:divBdr>
        </w:div>
        <w:div w:id="81609152">
          <w:marLeft w:val="480"/>
          <w:marRight w:val="0"/>
          <w:marTop w:val="0"/>
          <w:marBottom w:val="0"/>
          <w:divBdr>
            <w:top w:val="none" w:sz="0" w:space="0" w:color="auto"/>
            <w:left w:val="none" w:sz="0" w:space="0" w:color="auto"/>
            <w:bottom w:val="none" w:sz="0" w:space="0" w:color="auto"/>
            <w:right w:val="none" w:sz="0" w:space="0" w:color="auto"/>
          </w:divBdr>
        </w:div>
        <w:div w:id="106313700">
          <w:marLeft w:val="480"/>
          <w:marRight w:val="0"/>
          <w:marTop w:val="0"/>
          <w:marBottom w:val="0"/>
          <w:divBdr>
            <w:top w:val="none" w:sz="0" w:space="0" w:color="auto"/>
            <w:left w:val="none" w:sz="0" w:space="0" w:color="auto"/>
            <w:bottom w:val="none" w:sz="0" w:space="0" w:color="auto"/>
            <w:right w:val="none" w:sz="0" w:space="0" w:color="auto"/>
          </w:divBdr>
        </w:div>
        <w:div w:id="146943975">
          <w:marLeft w:val="600"/>
          <w:marRight w:val="0"/>
          <w:marTop w:val="0"/>
          <w:marBottom w:val="0"/>
          <w:divBdr>
            <w:top w:val="none" w:sz="0" w:space="0" w:color="auto"/>
            <w:left w:val="none" w:sz="0" w:space="0" w:color="auto"/>
            <w:bottom w:val="none" w:sz="0" w:space="0" w:color="auto"/>
            <w:right w:val="none" w:sz="0" w:space="0" w:color="auto"/>
          </w:divBdr>
        </w:div>
        <w:div w:id="167792146">
          <w:marLeft w:val="600"/>
          <w:marRight w:val="0"/>
          <w:marTop w:val="0"/>
          <w:marBottom w:val="0"/>
          <w:divBdr>
            <w:top w:val="none" w:sz="0" w:space="0" w:color="auto"/>
            <w:left w:val="none" w:sz="0" w:space="0" w:color="auto"/>
            <w:bottom w:val="none" w:sz="0" w:space="0" w:color="auto"/>
            <w:right w:val="none" w:sz="0" w:space="0" w:color="auto"/>
          </w:divBdr>
        </w:div>
        <w:div w:id="177231190">
          <w:marLeft w:val="600"/>
          <w:marRight w:val="0"/>
          <w:marTop w:val="0"/>
          <w:marBottom w:val="0"/>
          <w:divBdr>
            <w:top w:val="none" w:sz="0" w:space="0" w:color="auto"/>
            <w:left w:val="none" w:sz="0" w:space="0" w:color="auto"/>
            <w:bottom w:val="none" w:sz="0" w:space="0" w:color="auto"/>
            <w:right w:val="none" w:sz="0" w:space="0" w:color="auto"/>
          </w:divBdr>
        </w:div>
        <w:div w:id="177891379">
          <w:marLeft w:val="600"/>
          <w:marRight w:val="0"/>
          <w:marTop w:val="0"/>
          <w:marBottom w:val="0"/>
          <w:divBdr>
            <w:top w:val="none" w:sz="0" w:space="0" w:color="auto"/>
            <w:left w:val="none" w:sz="0" w:space="0" w:color="auto"/>
            <w:bottom w:val="none" w:sz="0" w:space="0" w:color="auto"/>
            <w:right w:val="none" w:sz="0" w:space="0" w:color="auto"/>
          </w:divBdr>
        </w:div>
        <w:div w:id="192622919">
          <w:marLeft w:val="480"/>
          <w:marRight w:val="0"/>
          <w:marTop w:val="0"/>
          <w:marBottom w:val="0"/>
          <w:divBdr>
            <w:top w:val="none" w:sz="0" w:space="0" w:color="auto"/>
            <w:left w:val="none" w:sz="0" w:space="0" w:color="auto"/>
            <w:bottom w:val="none" w:sz="0" w:space="0" w:color="auto"/>
            <w:right w:val="none" w:sz="0" w:space="0" w:color="auto"/>
          </w:divBdr>
        </w:div>
        <w:div w:id="213976357">
          <w:marLeft w:val="600"/>
          <w:marRight w:val="0"/>
          <w:marTop w:val="0"/>
          <w:marBottom w:val="0"/>
          <w:divBdr>
            <w:top w:val="none" w:sz="0" w:space="0" w:color="auto"/>
            <w:left w:val="none" w:sz="0" w:space="0" w:color="auto"/>
            <w:bottom w:val="none" w:sz="0" w:space="0" w:color="auto"/>
            <w:right w:val="none" w:sz="0" w:space="0" w:color="auto"/>
          </w:divBdr>
        </w:div>
        <w:div w:id="226651730">
          <w:marLeft w:val="600"/>
          <w:marRight w:val="0"/>
          <w:marTop w:val="0"/>
          <w:marBottom w:val="0"/>
          <w:divBdr>
            <w:top w:val="none" w:sz="0" w:space="0" w:color="auto"/>
            <w:left w:val="none" w:sz="0" w:space="0" w:color="auto"/>
            <w:bottom w:val="none" w:sz="0" w:space="0" w:color="auto"/>
            <w:right w:val="none" w:sz="0" w:space="0" w:color="auto"/>
          </w:divBdr>
        </w:div>
        <w:div w:id="260726502">
          <w:marLeft w:val="600"/>
          <w:marRight w:val="0"/>
          <w:marTop w:val="0"/>
          <w:marBottom w:val="0"/>
          <w:divBdr>
            <w:top w:val="none" w:sz="0" w:space="0" w:color="auto"/>
            <w:left w:val="none" w:sz="0" w:space="0" w:color="auto"/>
            <w:bottom w:val="none" w:sz="0" w:space="0" w:color="auto"/>
            <w:right w:val="none" w:sz="0" w:space="0" w:color="auto"/>
          </w:divBdr>
        </w:div>
        <w:div w:id="304236978">
          <w:marLeft w:val="600"/>
          <w:marRight w:val="0"/>
          <w:marTop w:val="0"/>
          <w:marBottom w:val="0"/>
          <w:divBdr>
            <w:top w:val="none" w:sz="0" w:space="0" w:color="auto"/>
            <w:left w:val="none" w:sz="0" w:space="0" w:color="auto"/>
            <w:bottom w:val="none" w:sz="0" w:space="0" w:color="auto"/>
            <w:right w:val="none" w:sz="0" w:space="0" w:color="auto"/>
          </w:divBdr>
        </w:div>
        <w:div w:id="341856070">
          <w:marLeft w:val="480"/>
          <w:marRight w:val="0"/>
          <w:marTop w:val="0"/>
          <w:marBottom w:val="0"/>
          <w:divBdr>
            <w:top w:val="none" w:sz="0" w:space="0" w:color="auto"/>
            <w:left w:val="none" w:sz="0" w:space="0" w:color="auto"/>
            <w:bottom w:val="none" w:sz="0" w:space="0" w:color="auto"/>
            <w:right w:val="none" w:sz="0" w:space="0" w:color="auto"/>
          </w:divBdr>
        </w:div>
        <w:div w:id="342634130">
          <w:marLeft w:val="720"/>
          <w:marRight w:val="0"/>
          <w:marTop w:val="0"/>
          <w:marBottom w:val="0"/>
          <w:divBdr>
            <w:top w:val="none" w:sz="0" w:space="0" w:color="auto"/>
            <w:left w:val="none" w:sz="0" w:space="0" w:color="auto"/>
            <w:bottom w:val="none" w:sz="0" w:space="0" w:color="auto"/>
            <w:right w:val="none" w:sz="0" w:space="0" w:color="auto"/>
          </w:divBdr>
        </w:div>
        <w:div w:id="348604515">
          <w:marLeft w:val="600"/>
          <w:marRight w:val="0"/>
          <w:marTop w:val="0"/>
          <w:marBottom w:val="0"/>
          <w:divBdr>
            <w:top w:val="none" w:sz="0" w:space="0" w:color="auto"/>
            <w:left w:val="none" w:sz="0" w:space="0" w:color="auto"/>
            <w:bottom w:val="none" w:sz="0" w:space="0" w:color="auto"/>
            <w:right w:val="none" w:sz="0" w:space="0" w:color="auto"/>
          </w:divBdr>
        </w:div>
        <w:div w:id="371271948">
          <w:marLeft w:val="600"/>
          <w:marRight w:val="0"/>
          <w:marTop w:val="0"/>
          <w:marBottom w:val="0"/>
          <w:divBdr>
            <w:top w:val="none" w:sz="0" w:space="0" w:color="auto"/>
            <w:left w:val="none" w:sz="0" w:space="0" w:color="auto"/>
            <w:bottom w:val="none" w:sz="0" w:space="0" w:color="auto"/>
            <w:right w:val="none" w:sz="0" w:space="0" w:color="auto"/>
          </w:divBdr>
        </w:div>
        <w:div w:id="378550265">
          <w:marLeft w:val="720"/>
          <w:marRight w:val="0"/>
          <w:marTop w:val="0"/>
          <w:marBottom w:val="0"/>
          <w:divBdr>
            <w:top w:val="none" w:sz="0" w:space="0" w:color="auto"/>
            <w:left w:val="none" w:sz="0" w:space="0" w:color="auto"/>
            <w:bottom w:val="none" w:sz="0" w:space="0" w:color="auto"/>
            <w:right w:val="none" w:sz="0" w:space="0" w:color="auto"/>
          </w:divBdr>
        </w:div>
        <w:div w:id="393239241">
          <w:marLeft w:val="600"/>
          <w:marRight w:val="0"/>
          <w:marTop w:val="0"/>
          <w:marBottom w:val="0"/>
          <w:divBdr>
            <w:top w:val="none" w:sz="0" w:space="0" w:color="auto"/>
            <w:left w:val="none" w:sz="0" w:space="0" w:color="auto"/>
            <w:bottom w:val="none" w:sz="0" w:space="0" w:color="auto"/>
            <w:right w:val="none" w:sz="0" w:space="0" w:color="auto"/>
          </w:divBdr>
        </w:div>
        <w:div w:id="403140138">
          <w:marLeft w:val="720"/>
          <w:marRight w:val="0"/>
          <w:marTop w:val="0"/>
          <w:marBottom w:val="0"/>
          <w:divBdr>
            <w:top w:val="none" w:sz="0" w:space="0" w:color="auto"/>
            <w:left w:val="none" w:sz="0" w:space="0" w:color="auto"/>
            <w:bottom w:val="none" w:sz="0" w:space="0" w:color="auto"/>
            <w:right w:val="none" w:sz="0" w:space="0" w:color="auto"/>
          </w:divBdr>
        </w:div>
        <w:div w:id="405999095">
          <w:marLeft w:val="600"/>
          <w:marRight w:val="0"/>
          <w:marTop w:val="0"/>
          <w:marBottom w:val="0"/>
          <w:divBdr>
            <w:top w:val="none" w:sz="0" w:space="0" w:color="auto"/>
            <w:left w:val="none" w:sz="0" w:space="0" w:color="auto"/>
            <w:bottom w:val="none" w:sz="0" w:space="0" w:color="auto"/>
            <w:right w:val="none" w:sz="0" w:space="0" w:color="auto"/>
          </w:divBdr>
        </w:div>
        <w:div w:id="436295493">
          <w:marLeft w:val="600"/>
          <w:marRight w:val="0"/>
          <w:marTop w:val="0"/>
          <w:marBottom w:val="0"/>
          <w:divBdr>
            <w:top w:val="none" w:sz="0" w:space="0" w:color="auto"/>
            <w:left w:val="none" w:sz="0" w:space="0" w:color="auto"/>
            <w:bottom w:val="none" w:sz="0" w:space="0" w:color="auto"/>
            <w:right w:val="none" w:sz="0" w:space="0" w:color="auto"/>
          </w:divBdr>
        </w:div>
        <w:div w:id="451217718">
          <w:marLeft w:val="600"/>
          <w:marRight w:val="0"/>
          <w:marTop w:val="0"/>
          <w:marBottom w:val="0"/>
          <w:divBdr>
            <w:top w:val="none" w:sz="0" w:space="0" w:color="auto"/>
            <w:left w:val="none" w:sz="0" w:space="0" w:color="auto"/>
            <w:bottom w:val="none" w:sz="0" w:space="0" w:color="auto"/>
            <w:right w:val="none" w:sz="0" w:space="0" w:color="auto"/>
          </w:divBdr>
        </w:div>
        <w:div w:id="510922892">
          <w:marLeft w:val="600"/>
          <w:marRight w:val="0"/>
          <w:marTop w:val="0"/>
          <w:marBottom w:val="0"/>
          <w:divBdr>
            <w:top w:val="none" w:sz="0" w:space="0" w:color="auto"/>
            <w:left w:val="none" w:sz="0" w:space="0" w:color="auto"/>
            <w:bottom w:val="none" w:sz="0" w:space="0" w:color="auto"/>
            <w:right w:val="none" w:sz="0" w:space="0" w:color="auto"/>
          </w:divBdr>
        </w:div>
        <w:div w:id="560942956">
          <w:marLeft w:val="600"/>
          <w:marRight w:val="0"/>
          <w:marTop w:val="0"/>
          <w:marBottom w:val="0"/>
          <w:divBdr>
            <w:top w:val="none" w:sz="0" w:space="0" w:color="auto"/>
            <w:left w:val="none" w:sz="0" w:space="0" w:color="auto"/>
            <w:bottom w:val="none" w:sz="0" w:space="0" w:color="auto"/>
            <w:right w:val="none" w:sz="0" w:space="0" w:color="auto"/>
          </w:divBdr>
        </w:div>
        <w:div w:id="565654104">
          <w:marLeft w:val="480"/>
          <w:marRight w:val="0"/>
          <w:marTop w:val="0"/>
          <w:marBottom w:val="0"/>
          <w:divBdr>
            <w:top w:val="none" w:sz="0" w:space="0" w:color="auto"/>
            <w:left w:val="none" w:sz="0" w:space="0" w:color="auto"/>
            <w:bottom w:val="none" w:sz="0" w:space="0" w:color="auto"/>
            <w:right w:val="none" w:sz="0" w:space="0" w:color="auto"/>
          </w:divBdr>
        </w:div>
        <w:div w:id="575088696">
          <w:marLeft w:val="480"/>
          <w:marRight w:val="0"/>
          <w:marTop w:val="0"/>
          <w:marBottom w:val="0"/>
          <w:divBdr>
            <w:top w:val="none" w:sz="0" w:space="0" w:color="auto"/>
            <w:left w:val="none" w:sz="0" w:space="0" w:color="auto"/>
            <w:bottom w:val="none" w:sz="0" w:space="0" w:color="auto"/>
            <w:right w:val="none" w:sz="0" w:space="0" w:color="auto"/>
          </w:divBdr>
        </w:div>
        <w:div w:id="581572282">
          <w:marLeft w:val="480"/>
          <w:marRight w:val="0"/>
          <w:marTop w:val="0"/>
          <w:marBottom w:val="0"/>
          <w:divBdr>
            <w:top w:val="none" w:sz="0" w:space="0" w:color="auto"/>
            <w:left w:val="none" w:sz="0" w:space="0" w:color="auto"/>
            <w:bottom w:val="none" w:sz="0" w:space="0" w:color="auto"/>
            <w:right w:val="none" w:sz="0" w:space="0" w:color="auto"/>
          </w:divBdr>
        </w:div>
        <w:div w:id="588391946">
          <w:marLeft w:val="480"/>
          <w:marRight w:val="0"/>
          <w:marTop w:val="0"/>
          <w:marBottom w:val="0"/>
          <w:divBdr>
            <w:top w:val="none" w:sz="0" w:space="0" w:color="auto"/>
            <w:left w:val="none" w:sz="0" w:space="0" w:color="auto"/>
            <w:bottom w:val="none" w:sz="0" w:space="0" w:color="auto"/>
            <w:right w:val="none" w:sz="0" w:space="0" w:color="auto"/>
          </w:divBdr>
        </w:div>
        <w:div w:id="593588686">
          <w:marLeft w:val="600"/>
          <w:marRight w:val="0"/>
          <w:marTop w:val="0"/>
          <w:marBottom w:val="0"/>
          <w:divBdr>
            <w:top w:val="none" w:sz="0" w:space="0" w:color="auto"/>
            <w:left w:val="none" w:sz="0" w:space="0" w:color="auto"/>
            <w:bottom w:val="none" w:sz="0" w:space="0" w:color="auto"/>
            <w:right w:val="none" w:sz="0" w:space="0" w:color="auto"/>
          </w:divBdr>
        </w:div>
        <w:div w:id="601303279">
          <w:marLeft w:val="480"/>
          <w:marRight w:val="0"/>
          <w:marTop w:val="0"/>
          <w:marBottom w:val="0"/>
          <w:divBdr>
            <w:top w:val="none" w:sz="0" w:space="0" w:color="auto"/>
            <w:left w:val="none" w:sz="0" w:space="0" w:color="auto"/>
            <w:bottom w:val="none" w:sz="0" w:space="0" w:color="auto"/>
            <w:right w:val="none" w:sz="0" w:space="0" w:color="auto"/>
          </w:divBdr>
        </w:div>
        <w:div w:id="604579818">
          <w:marLeft w:val="600"/>
          <w:marRight w:val="0"/>
          <w:marTop w:val="0"/>
          <w:marBottom w:val="0"/>
          <w:divBdr>
            <w:top w:val="none" w:sz="0" w:space="0" w:color="auto"/>
            <w:left w:val="none" w:sz="0" w:space="0" w:color="auto"/>
            <w:bottom w:val="none" w:sz="0" w:space="0" w:color="auto"/>
            <w:right w:val="none" w:sz="0" w:space="0" w:color="auto"/>
          </w:divBdr>
        </w:div>
        <w:div w:id="613556537">
          <w:marLeft w:val="600"/>
          <w:marRight w:val="0"/>
          <w:marTop w:val="0"/>
          <w:marBottom w:val="0"/>
          <w:divBdr>
            <w:top w:val="none" w:sz="0" w:space="0" w:color="auto"/>
            <w:left w:val="none" w:sz="0" w:space="0" w:color="auto"/>
            <w:bottom w:val="none" w:sz="0" w:space="0" w:color="auto"/>
            <w:right w:val="none" w:sz="0" w:space="0" w:color="auto"/>
          </w:divBdr>
        </w:div>
        <w:div w:id="639506678">
          <w:marLeft w:val="600"/>
          <w:marRight w:val="0"/>
          <w:marTop w:val="0"/>
          <w:marBottom w:val="0"/>
          <w:divBdr>
            <w:top w:val="none" w:sz="0" w:space="0" w:color="auto"/>
            <w:left w:val="none" w:sz="0" w:space="0" w:color="auto"/>
            <w:bottom w:val="none" w:sz="0" w:space="0" w:color="auto"/>
            <w:right w:val="none" w:sz="0" w:space="0" w:color="auto"/>
          </w:divBdr>
        </w:div>
        <w:div w:id="686713028">
          <w:marLeft w:val="600"/>
          <w:marRight w:val="0"/>
          <w:marTop w:val="0"/>
          <w:marBottom w:val="0"/>
          <w:divBdr>
            <w:top w:val="none" w:sz="0" w:space="0" w:color="auto"/>
            <w:left w:val="none" w:sz="0" w:space="0" w:color="auto"/>
            <w:bottom w:val="none" w:sz="0" w:space="0" w:color="auto"/>
            <w:right w:val="none" w:sz="0" w:space="0" w:color="auto"/>
          </w:divBdr>
        </w:div>
        <w:div w:id="699866360">
          <w:marLeft w:val="480"/>
          <w:marRight w:val="0"/>
          <w:marTop w:val="0"/>
          <w:marBottom w:val="0"/>
          <w:divBdr>
            <w:top w:val="none" w:sz="0" w:space="0" w:color="auto"/>
            <w:left w:val="none" w:sz="0" w:space="0" w:color="auto"/>
            <w:bottom w:val="none" w:sz="0" w:space="0" w:color="auto"/>
            <w:right w:val="none" w:sz="0" w:space="0" w:color="auto"/>
          </w:divBdr>
        </w:div>
        <w:div w:id="706680631">
          <w:marLeft w:val="600"/>
          <w:marRight w:val="0"/>
          <w:marTop w:val="0"/>
          <w:marBottom w:val="0"/>
          <w:divBdr>
            <w:top w:val="none" w:sz="0" w:space="0" w:color="auto"/>
            <w:left w:val="none" w:sz="0" w:space="0" w:color="auto"/>
            <w:bottom w:val="none" w:sz="0" w:space="0" w:color="auto"/>
            <w:right w:val="none" w:sz="0" w:space="0" w:color="auto"/>
          </w:divBdr>
        </w:div>
        <w:div w:id="716314571">
          <w:marLeft w:val="600"/>
          <w:marRight w:val="0"/>
          <w:marTop w:val="0"/>
          <w:marBottom w:val="0"/>
          <w:divBdr>
            <w:top w:val="none" w:sz="0" w:space="0" w:color="auto"/>
            <w:left w:val="none" w:sz="0" w:space="0" w:color="auto"/>
            <w:bottom w:val="none" w:sz="0" w:space="0" w:color="auto"/>
            <w:right w:val="none" w:sz="0" w:space="0" w:color="auto"/>
          </w:divBdr>
        </w:div>
        <w:div w:id="737172587">
          <w:marLeft w:val="720"/>
          <w:marRight w:val="0"/>
          <w:marTop w:val="0"/>
          <w:marBottom w:val="0"/>
          <w:divBdr>
            <w:top w:val="none" w:sz="0" w:space="0" w:color="auto"/>
            <w:left w:val="none" w:sz="0" w:space="0" w:color="auto"/>
            <w:bottom w:val="none" w:sz="0" w:space="0" w:color="auto"/>
            <w:right w:val="none" w:sz="0" w:space="0" w:color="auto"/>
          </w:divBdr>
        </w:div>
        <w:div w:id="748501489">
          <w:marLeft w:val="480"/>
          <w:marRight w:val="0"/>
          <w:marTop w:val="0"/>
          <w:marBottom w:val="0"/>
          <w:divBdr>
            <w:top w:val="none" w:sz="0" w:space="0" w:color="auto"/>
            <w:left w:val="none" w:sz="0" w:space="0" w:color="auto"/>
            <w:bottom w:val="none" w:sz="0" w:space="0" w:color="auto"/>
            <w:right w:val="none" w:sz="0" w:space="0" w:color="auto"/>
          </w:divBdr>
        </w:div>
        <w:div w:id="847600954">
          <w:marLeft w:val="600"/>
          <w:marRight w:val="0"/>
          <w:marTop w:val="0"/>
          <w:marBottom w:val="0"/>
          <w:divBdr>
            <w:top w:val="none" w:sz="0" w:space="0" w:color="auto"/>
            <w:left w:val="none" w:sz="0" w:space="0" w:color="auto"/>
            <w:bottom w:val="none" w:sz="0" w:space="0" w:color="auto"/>
            <w:right w:val="none" w:sz="0" w:space="0" w:color="auto"/>
          </w:divBdr>
        </w:div>
        <w:div w:id="852063995">
          <w:marLeft w:val="600"/>
          <w:marRight w:val="0"/>
          <w:marTop w:val="0"/>
          <w:marBottom w:val="0"/>
          <w:divBdr>
            <w:top w:val="none" w:sz="0" w:space="0" w:color="auto"/>
            <w:left w:val="none" w:sz="0" w:space="0" w:color="auto"/>
            <w:bottom w:val="none" w:sz="0" w:space="0" w:color="auto"/>
            <w:right w:val="none" w:sz="0" w:space="0" w:color="auto"/>
          </w:divBdr>
        </w:div>
        <w:div w:id="867839086">
          <w:marLeft w:val="600"/>
          <w:marRight w:val="0"/>
          <w:marTop w:val="0"/>
          <w:marBottom w:val="0"/>
          <w:divBdr>
            <w:top w:val="none" w:sz="0" w:space="0" w:color="auto"/>
            <w:left w:val="none" w:sz="0" w:space="0" w:color="auto"/>
            <w:bottom w:val="none" w:sz="0" w:space="0" w:color="auto"/>
            <w:right w:val="none" w:sz="0" w:space="0" w:color="auto"/>
          </w:divBdr>
        </w:div>
        <w:div w:id="882131185">
          <w:marLeft w:val="600"/>
          <w:marRight w:val="0"/>
          <w:marTop w:val="0"/>
          <w:marBottom w:val="0"/>
          <w:divBdr>
            <w:top w:val="none" w:sz="0" w:space="0" w:color="auto"/>
            <w:left w:val="none" w:sz="0" w:space="0" w:color="auto"/>
            <w:bottom w:val="none" w:sz="0" w:space="0" w:color="auto"/>
            <w:right w:val="none" w:sz="0" w:space="0" w:color="auto"/>
          </w:divBdr>
        </w:div>
        <w:div w:id="886527945">
          <w:marLeft w:val="600"/>
          <w:marRight w:val="0"/>
          <w:marTop w:val="0"/>
          <w:marBottom w:val="0"/>
          <w:divBdr>
            <w:top w:val="none" w:sz="0" w:space="0" w:color="auto"/>
            <w:left w:val="none" w:sz="0" w:space="0" w:color="auto"/>
            <w:bottom w:val="none" w:sz="0" w:space="0" w:color="auto"/>
            <w:right w:val="none" w:sz="0" w:space="0" w:color="auto"/>
          </w:divBdr>
        </w:div>
        <w:div w:id="909193800">
          <w:marLeft w:val="600"/>
          <w:marRight w:val="0"/>
          <w:marTop w:val="0"/>
          <w:marBottom w:val="0"/>
          <w:divBdr>
            <w:top w:val="none" w:sz="0" w:space="0" w:color="auto"/>
            <w:left w:val="none" w:sz="0" w:space="0" w:color="auto"/>
            <w:bottom w:val="none" w:sz="0" w:space="0" w:color="auto"/>
            <w:right w:val="none" w:sz="0" w:space="0" w:color="auto"/>
          </w:divBdr>
        </w:div>
        <w:div w:id="924071630">
          <w:marLeft w:val="600"/>
          <w:marRight w:val="0"/>
          <w:marTop w:val="0"/>
          <w:marBottom w:val="0"/>
          <w:divBdr>
            <w:top w:val="none" w:sz="0" w:space="0" w:color="auto"/>
            <w:left w:val="none" w:sz="0" w:space="0" w:color="auto"/>
            <w:bottom w:val="none" w:sz="0" w:space="0" w:color="auto"/>
            <w:right w:val="none" w:sz="0" w:space="0" w:color="auto"/>
          </w:divBdr>
        </w:div>
        <w:div w:id="949971993">
          <w:marLeft w:val="480"/>
          <w:marRight w:val="0"/>
          <w:marTop w:val="0"/>
          <w:marBottom w:val="0"/>
          <w:divBdr>
            <w:top w:val="none" w:sz="0" w:space="0" w:color="auto"/>
            <w:left w:val="none" w:sz="0" w:space="0" w:color="auto"/>
            <w:bottom w:val="none" w:sz="0" w:space="0" w:color="auto"/>
            <w:right w:val="none" w:sz="0" w:space="0" w:color="auto"/>
          </w:divBdr>
        </w:div>
        <w:div w:id="964654254">
          <w:marLeft w:val="600"/>
          <w:marRight w:val="0"/>
          <w:marTop w:val="0"/>
          <w:marBottom w:val="0"/>
          <w:divBdr>
            <w:top w:val="none" w:sz="0" w:space="0" w:color="auto"/>
            <w:left w:val="none" w:sz="0" w:space="0" w:color="auto"/>
            <w:bottom w:val="none" w:sz="0" w:space="0" w:color="auto"/>
            <w:right w:val="none" w:sz="0" w:space="0" w:color="auto"/>
          </w:divBdr>
        </w:div>
        <w:div w:id="992412850">
          <w:marLeft w:val="480"/>
          <w:marRight w:val="0"/>
          <w:marTop w:val="0"/>
          <w:marBottom w:val="0"/>
          <w:divBdr>
            <w:top w:val="none" w:sz="0" w:space="0" w:color="auto"/>
            <w:left w:val="none" w:sz="0" w:space="0" w:color="auto"/>
            <w:bottom w:val="none" w:sz="0" w:space="0" w:color="auto"/>
            <w:right w:val="none" w:sz="0" w:space="0" w:color="auto"/>
          </w:divBdr>
        </w:div>
        <w:div w:id="999818501">
          <w:marLeft w:val="480"/>
          <w:marRight w:val="0"/>
          <w:marTop w:val="0"/>
          <w:marBottom w:val="0"/>
          <w:divBdr>
            <w:top w:val="none" w:sz="0" w:space="0" w:color="auto"/>
            <w:left w:val="none" w:sz="0" w:space="0" w:color="auto"/>
            <w:bottom w:val="none" w:sz="0" w:space="0" w:color="auto"/>
            <w:right w:val="none" w:sz="0" w:space="0" w:color="auto"/>
          </w:divBdr>
        </w:div>
        <w:div w:id="1027104275">
          <w:marLeft w:val="600"/>
          <w:marRight w:val="0"/>
          <w:marTop w:val="0"/>
          <w:marBottom w:val="0"/>
          <w:divBdr>
            <w:top w:val="none" w:sz="0" w:space="0" w:color="auto"/>
            <w:left w:val="none" w:sz="0" w:space="0" w:color="auto"/>
            <w:bottom w:val="none" w:sz="0" w:space="0" w:color="auto"/>
            <w:right w:val="none" w:sz="0" w:space="0" w:color="auto"/>
          </w:divBdr>
        </w:div>
        <w:div w:id="1045569578">
          <w:marLeft w:val="600"/>
          <w:marRight w:val="0"/>
          <w:marTop w:val="0"/>
          <w:marBottom w:val="0"/>
          <w:divBdr>
            <w:top w:val="none" w:sz="0" w:space="0" w:color="auto"/>
            <w:left w:val="none" w:sz="0" w:space="0" w:color="auto"/>
            <w:bottom w:val="none" w:sz="0" w:space="0" w:color="auto"/>
            <w:right w:val="none" w:sz="0" w:space="0" w:color="auto"/>
          </w:divBdr>
        </w:div>
        <w:div w:id="1115056088">
          <w:marLeft w:val="600"/>
          <w:marRight w:val="0"/>
          <w:marTop w:val="0"/>
          <w:marBottom w:val="0"/>
          <w:divBdr>
            <w:top w:val="none" w:sz="0" w:space="0" w:color="auto"/>
            <w:left w:val="none" w:sz="0" w:space="0" w:color="auto"/>
            <w:bottom w:val="none" w:sz="0" w:space="0" w:color="auto"/>
            <w:right w:val="none" w:sz="0" w:space="0" w:color="auto"/>
          </w:divBdr>
        </w:div>
        <w:div w:id="1118794802">
          <w:marLeft w:val="480"/>
          <w:marRight w:val="0"/>
          <w:marTop w:val="0"/>
          <w:marBottom w:val="0"/>
          <w:divBdr>
            <w:top w:val="none" w:sz="0" w:space="0" w:color="auto"/>
            <w:left w:val="none" w:sz="0" w:space="0" w:color="auto"/>
            <w:bottom w:val="none" w:sz="0" w:space="0" w:color="auto"/>
            <w:right w:val="none" w:sz="0" w:space="0" w:color="auto"/>
          </w:divBdr>
        </w:div>
        <w:div w:id="1127040390">
          <w:marLeft w:val="600"/>
          <w:marRight w:val="0"/>
          <w:marTop w:val="0"/>
          <w:marBottom w:val="0"/>
          <w:divBdr>
            <w:top w:val="none" w:sz="0" w:space="0" w:color="auto"/>
            <w:left w:val="none" w:sz="0" w:space="0" w:color="auto"/>
            <w:bottom w:val="none" w:sz="0" w:space="0" w:color="auto"/>
            <w:right w:val="none" w:sz="0" w:space="0" w:color="auto"/>
          </w:divBdr>
        </w:div>
        <w:div w:id="1138110416">
          <w:marLeft w:val="600"/>
          <w:marRight w:val="0"/>
          <w:marTop w:val="0"/>
          <w:marBottom w:val="0"/>
          <w:divBdr>
            <w:top w:val="none" w:sz="0" w:space="0" w:color="auto"/>
            <w:left w:val="none" w:sz="0" w:space="0" w:color="auto"/>
            <w:bottom w:val="none" w:sz="0" w:space="0" w:color="auto"/>
            <w:right w:val="none" w:sz="0" w:space="0" w:color="auto"/>
          </w:divBdr>
        </w:div>
        <w:div w:id="1153108235">
          <w:marLeft w:val="600"/>
          <w:marRight w:val="0"/>
          <w:marTop w:val="0"/>
          <w:marBottom w:val="0"/>
          <w:divBdr>
            <w:top w:val="none" w:sz="0" w:space="0" w:color="auto"/>
            <w:left w:val="none" w:sz="0" w:space="0" w:color="auto"/>
            <w:bottom w:val="none" w:sz="0" w:space="0" w:color="auto"/>
            <w:right w:val="none" w:sz="0" w:space="0" w:color="auto"/>
          </w:divBdr>
        </w:div>
        <w:div w:id="1164667403">
          <w:marLeft w:val="720"/>
          <w:marRight w:val="0"/>
          <w:marTop w:val="0"/>
          <w:marBottom w:val="0"/>
          <w:divBdr>
            <w:top w:val="none" w:sz="0" w:space="0" w:color="auto"/>
            <w:left w:val="none" w:sz="0" w:space="0" w:color="auto"/>
            <w:bottom w:val="none" w:sz="0" w:space="0" w:color="auto"/>
            <w:right w:val="none" w:sz="0" w:space="0" w:color="auto"/>
          </w:divBdr>
        </w:div>
        <w:div w:id="1179003487">
          <w:marLeft w:val="480"/>
          <w:marRight w:val="0"/>
          <w:marTop w:val="0"/>
          <w:marBottom w:val="0"/>
          <w:divBdr>
            <w:top w:val="none" w:sz="0" w:space="0" w:color="auto"/>
            <w:left w:val="none" w:sz="0" w:space="0" w:color="auto"/>
            <w:bottom w:val="none" w:sz="0" w:space="0" w:color="auto"/>
            <w:right w:val="none" w:sz="0" w:space="0" w:color="auto"/>
          </w:divBdr>
        </w:div>
        <w:div w:id="1218738195">
          <w:marLeft w:val="600"/>
          <w:marRight w:val="0"/>
          <w:marTop w:val="0"/>
          <w:marBottom w:val="0"/>
          <w:divBdr>
            <w:top w:val="none" w:sz="0" w:space="0" w:color="auto"/>
            <w:left w:val="none" w:sz="0" w:space="0" w:color="auto"/>
            <w:bottom w:val="none" w:sz="0" w:space="0" w:color="auto"/>
            <w:right w:val="none" w:sz="0" w:space="0" w:color="auto"/>
          </w:divBdr>
        </w:div>
        <w:div w:id="1220166428">
          <w:marLeft w:val="480"/>
          <w:marRight w:val="0"/>
          <w:marTop w:val="0"/>
          <w:marBottom w:val="0"/>
          <w:divBdr>
            <w:top w:val="none" w:sz="0" w:space="0" w:color="auto"/>
            <w:left w:val="none" w:sz="0" w:space="0" w:color="auto"/>
            <w:bottom w:val="none" w:sz="0" w:space="0" w:color="auto"/>
            <w:right w:val="none" w:sz="0" w:space="0" w:color="auto"/>
          </w:divBdr>
        </w:div>
        <w:div w:id="1230381638">
          <w:marLeft w:val="600"/>
          <w:marRight w:val="0"/>
          <w:marTop w:val="0"/>
          <w:marBottom w:val="0"/>
          <w:divBdr>
            <w:top w:val="none" w:sz="0" w:space="0" w:color="auto"/>
            <w:left w:val="none" w:sz="0" w:space="0" w:color="auto"/>
            <w:bottom w:val="none" w:sz="0" w:space="0" w:color="auto"/>
            <w:right w:val="none" w:sz="0" w:space="0" w:color="auto"/>
          </w:divBdr>
        </w:div>
        <w:div w:id="1238251258">
          <w:marLeft w:val="480"/>
          <w:marRight w:val="0"/>
          <w:marTop w:val="0"/>
          <w:marBottom w:val="0"/>
          <w:divBdr>
            <w:top w:val="none" w:sz="0" w:space="0" w:color="auto"/>
            <w:left w:val="none" w:sz="0" w:space="0" w:color="auto"/>
            <w:bottom w:val="none" w:sz="0" w:space="0" w:color="auto"/>
            <w:right w:val="none" w:sz="0" w:space="0" w:color="auto"/>
          </w:divBdr>
        </w:div>
        <w:div w:id="1252196706">
          <w:marLeft w:val="600"/>
          <w:marRight w:val="0"/>
          <w:marTop w:val="0"/>
          <w:marBottom w:val="0"/>
          <w:divBdr>
            <w:top w:val="none" w:sz="0" w:space="0" w:color="auto"/>
            <w:left w:val="none" w:sz="0" w:space="0" w:color="auto"/>
            <w:bottom w:val="none" w:sz="0" w:space="0" w:color="auto"/>
            <w:right w:val="none" w:sz="0" w:space="0" w:color="auto"/>
          </w:divBdr>
        </w:div>
        <w:div w:id="1299843626">
          <w:marLeft w:val="600"/>
          <w:marRight w:val="0"/>
          <w:marTop w:val="0"/>
          <w:marBottom w:val="0"/>
          <w:divBdr>
            <w:top w:val="none" w:sz="0" w:space="0" w:color="auto"/>
            <w:left w:val="none" w:sz="0" w:space="0" w:color="auto"/>
            <w:bottom w:val="none" w:sz="0" w:space="0" w:color="auto"/>
            <w:right w:val="none" w:sz="0" w:space="0" w:color="auto"/>
          </w:divBdr>
        </w:div>
        <w:div w:id="1310212091">
          <w:marLeft w:val="480"/>
          <w:marRight w:val="0"/>
          <w:marTop w:val="0"/>
          <w:marBottom w:val="0"/>
          <w:divBdr>
            <w:top w:val="none" w:sz="0" w:space="0" w:color="auto"/>
            <w:left w:val="none" w:sz="0" w:space="0" w:color="auto"/>
            <w:bottom w:val="none" w:sz="0" w:space="0" w:color="auto"/>
            <w:right w:val="none" w:sz="0" w:space="0" w:color="auto"/>
          </w:divBdr>
        </w:div>
        <w:div w:id="1311447130">
          <w:marLeft w:val="600"/>
          <w:marRight w:val="0"/>
          <w:marTop w:val="0"/>
          <w:marBottom w:val="0"/>
          <w:divBdr>
            <w:top w:val="none" w:sz="0" w:space="0" w:color="auto"/>
            <w:left w:val="none" w:sz="0" w:space="0" w:color="auto"/>
            <w:bottom w:val="none" w:sz="0" w:space="0" w:color="auto"/>
            <w:right w:val="none" w:sz="0" w:space="0" w:color="auto"/>
          </w:divBdr>
        </w:div>
        <w:div w:id="1433669135">
          <w:marLeft w:val="600"/>
          <w:marRight w:val="0"/>
          <w:marTop w:val="0"/>
          <w:marBottom w:val="0"/>
          <w:divBdr>
            <w:top w:val="none" w:sz="0" w:space="0" w:color="auto"/>
            <w:left w:val="none" w:sz="0" w:space="0" w:color="auto"/>
            <w:bottom w:val="none" w:sz="0" w:space="0" w:color="auto"/>
            <w:right w:val="none" w:sz="0" w:space="0" w:color="auto"/>
          </w:divBdr>
        </w:div>
        <w:div w:id="1438213264">
          <w:marLeft w:val="600"/>
          <w:marRight w:val="0"/>
          <w:marTop w:val="0"/>
          <w:marBottom w:val="0"/>
          <w:divBdr>
            <w:top w:val="none" w:sz="0" w:space="0" w:color="auto"/>
            <w:left w:val="none" w:sz="0" w:space="0" w:color="auto"/>
            <w:bottom w:val="none" w:sz="0" w:space="0" w:color="auto"/>
            <w:right w:val="none" w:sz="0" w:space="0" w:color="auto"/>
          </w:divBdr>
        </w:div>
        <w:div w:id="1444614443">
          <w:marLeft w:val="600"/>
          <w:marRight w:val="0"/>
          <w:marTop w:val="0"/>
          <w:marBottom w:val="0"/>
          <w:divBdr>
            <w:top w:val="none" w:sz="0" w:space="0" w:color="auto"/>
            <w:left w:val="none" w:sz="0" w:space="0" w:color="auto"/>
            <w:bottom w:val="none" w:sz="0" w:space="0" w:color="auto"/>
            <w:right w:val="none" w:sz="0" w:space="0" w:color="auto"/>
          </w:divBdr>
        </w:div>
        <w:div w:id="1457525064">
          <w:marLeft w:val="720"/>
          <w:marRight w:val="0"/>
          <w:marTop w:val="0"/>
          <w:marBottom w:val="0"/>
          <w:divBdr>
            <w:top w:val="none" w:sz="0" w:space="0" w:color="auto"/>
            <w:left w:val="none" w:sz="0" w:space="0" w:color="auto"/>
            <w:bottom w:val="none" w:sz="0" w:space="0" w:color="auto"/>
            <w:right w:val="none" w:sz="0" w:space="0" w:color="auto"/>
          </w:divBdr>
        </w:div>
        <w:div w:id="1475948624">
          <w:marLeft w:val="480"/>
          <w:marRight w:val="0"/>
          <w:marTop w:val="0"/>
          <w:marBottom w:val="0"/>
          <w:divBdr>
            <w:top w:val="none" w:sz="0" w:space="0" w:color="auto"/>
            <w:left w:val="none" w:sz="0" w:space="0" w:color="auto"/>
            <w:bottom w:val="none" w:sz="0" w:space="0" w:color="auto"/>
            <w:right w:val="none" w:sz="0" w:space="0" w:color="auto"/>
          </w:divBdr>
        </w:div>
        <w:div w:id="1481968942">
          <w:marLeft w:val="480"/>
          <w:marRight w:val="0"/>
          <w:marTop w:val="0"/>
          <w:marBottom w:val="0"/>
          <w:divBdr>
            <w:top w:val="none" w:sz="0" w:space="0" w:color="auto"/>
            <w:left w:val="none" w:sz="0" w:space="0" w:color="auto"/>
            <w:bottom w:val="none" w:sz="0" w:space="0" w:color="auto"/>
            <w:right w:val="none" w:sz="0" w:space="0" w:color="auto"/>
          </w:divBdr>
        </w:div>
        <w:div w:id="1499616299">
          <w:marLeft w:val="600"/>
          <w:marRight w:val="0"/>
          <w:marTop w:val="0"/>
          <w:marBottom w:val="0"/>
          <w:divBdr>
            <w:top w:val="none" w:sz="0" w:space="0" w:color="auto"/>
            <w:left w:val="none" w:sz="0" w:space="0" w:color="auto"/>
            <w:bottom w:val="none" w:sz="0" w:space="0" w:color="auto"/>
            <w:right w:val="none" w:sz="0" w:space="0" w:color="auto"/>
          </w:divBdr>
        </w:div>
        <w:div w:id="1520074194">
          <w:marLeft w:val="600"/>
          <w:marRight w:val="0"/>
          <w:marTop w:val="0"/>
          <w:marBottom w:val="0"/>
          <w:divBdr>
            <w:top w:val="none" w:sz="0" w:space="0" w:color="auto"/>
            <w:left w:val="none" w:sz="0" w:space="0" w:color="auto"/>
            <w:bottom w:val="none" w:sz="0" w:space="0" w:color="auto"/>
            <w:right w:val="none" w:sz="0" w:space="0" w:color="auto"/>
          </w:divBdr>
        </w:div>
        <w:div w:id="1524200367">
          <w:marLeft w:val="480"/>
          <w:marRight w:val="0"/>
          <w:marTop w:val="0"/>
          <w:marBottom w:val="0"/>
          <w:divBdr>
            <w:top w:val="none" w:sz="0" w:space="0" w:color="auto"/>
            <w:left w:val="none" w:sz="0" w:space="0" w:color="auto"/>
            <w:bottom w:val="none" w:sz="0" w:space="0" w:color="auto"/>
            <w:right w:val="none" w:sz="0" w:space="0" w:color="auto"/>
          </w:divBdr>
        </w:div>
        <w:div w:id="1564487279">
          <w:marLeft w:val="600"/>
          <w:marRight w:val="0"/>
          <w:marTop w:val="0"/>
          <w:marBottom w:val="0"/>
          <w:divBdr>
            <w:top w:val="none" w:sz="0" w:space="0" w:color="auto"/>
            <w:left w:val="none" w:sz="0" w:space="0" w:color="auto"/>
            <w:bottom w:val="none" w:sz="0" w:space="0" w:color="auto"/>
            <w:right w:val="none" w:sz="0" w:space="0" w:color="auto"/>
          </w:divBdr>
        </w:div>
        <w:div w:id="1573081206">
          <w:marLeft w:val="480"/>
          <w:marRight w:val="0"/>
          <w:marTop w:val="0"/>
          <w:marBottom w:val="0"/>
          <w:divBdr>
            <w:top w:val="none" w:sz="0" w:space="0" w:color="auto"/>
            <w:left w:val="none" w:sz="0" w:space="0" w:color="auto"/>
            <w:bottom w:val="none" w:sz="0" w:space="0" w:color="auto"/>
            <w:right w:val="none" w:sz="0" w:space="0" w:color="auto"/>
          </w:divBdr>
        </w:div>
        <w:div w:id="1578325286">
          <w:marLeft w:val="480"/>
          <w:marRight w:val="0"/>
          <w:marTop w:val="0"/>
          <w:marBottom w:val="0"/>
          <w:divBdr>
            <w:top w:val="none" w:sz="0" w:space="0" w:color="auto"/>
            <w:left w:val="none" w:sz="0" w:space="0" w:color="auto"/>
            <w:bottom w:val="none" w:sz="0" w:space="0" w:color="auto"/>
            <w:right w:val="none" w:sz="0" w:space="0" w:color="auto"/>
          </w:divBdr>
        </w:div>
        <w:div w:id="1601647508">
          <w:marLeft w:val="480"/>
          <w:marRight w:val="0"/>
          <w:marTop w:val="0"/>
          <w:marBottom w:val="0"/>
          <w:divBdr>
            <w:top w:val="none" w:sz="0" w:space="0" w:color="auto"/>
            <w:left w:val="none" w:sz="0" w:space="0" w:color="auto"/>
            <w:bottom w:val="none" w:sz="0" w:space="0" w:color="auto"/>
            <w:right w:val="none" w:sz="0" w:space="0" w:color="auto"/>
          </w:divBdr>
        </w:div>
        <w:div w:id="1621301053">
          <w:marLeft w:val="480"/>
          <w:marRight w:val="0"/>
          <w:marTop w:val="0"/>
          <w:marBottom w:val="0"/>
          <w:divBdr>
            <w:top w:val="none" w:sz="0" w:space="0" w:color="auto"/>
            <w:left w:val="none" w:sz="0" w:space="0" w:color="auto"/>
            <w:bottom w:val="none" w:sz="0" w:space="0" w:color="auto"/>
            <w:right w:val="none" w:sz="0" w:space="0" w:color="auto"/>
          </w:divBdr>
        </w:div>
        <w:div w:id="1645501278">
          <w:marLeft w:val="720"/>
          <w:marRight w:val="0"/>
          <w:marTop w:val="0"/>
          <w:marBottom w:val="0"/>
          <w:divBdr>
            <w:top w:val="none" w:sz="0" w:space="0" w:color="auto"/>
            <w:left w:val="none" w:sz="0" w:space="0" w:color="auto"/>
            <w:bottom w:val="none" w:sz="0" w:space="0" w:color="auto"/>
            <w:right w:val="none" w:sz="0" w:space="0" w:color="auto"/>
          </w:divBdr>
        </w:div>
        <w:div w:id="1650356317">
          <w:marLeft w:val="600"/>
          <w:marRight w:val="0"/>
          <w:marTop w:val="0"/>
          <w:marBottom w:val="0"/>
          <w:divBdr>
            <w:top w:val="none" w:sz="0" w:space="0" w:color="auto"/>
            <w:left w:val="none" w:sz="0" w:space="0" w:color="auto"/>
            <w:bottom w:val="none" w:sz="0" w:space="0" w:color="auto"/>
            <w:right w:val="none" w:sz="0" w:space="0" w:color="auto"/>
          </w:divBdr>
        </w:div>
        <w:div w:id="1666086085">
          <w:marLeft w:val="600"/>
          <w:marRight w:val="0"/>
          <w:marTop w:val="0"/>
          <w:marBottom w:val="0"/>
          <w:divBdr>
            <w:top w:val="none" w:sz="0" w:space="0" w:color="auto"/>
            <w:left w:val="none" w:sz="0" w:space="0" w:color="auto"/>
            <w:bottom w:val="none" w:sz="0" w:space="0" w:color="auto"/>
            <w:right w:val="none" w:sz="0" w:space="0" w:color="auto"/>
          </w:divBdr>
        </w:div>
        <w:div w:id="1712412208">
          <w:marLeft w:val="600"/>
          <w:marRight w:val="0"/>
          <w:marTop w:val="0"/>
          <w:marBottom w:val="0"/>
          <w:divBdr>
            <w:top w:val="none" w:sz="0" w:space="0" w:color="auto"/>
            <w:left w:val="none" w:sz="0" w:space="0" w:color="auto"/>
            <w:bottom w:val="none" w:sz="0" w:space="0" w:color="auto"/>
            <w:right w:val="none" w:sz="0" w:space="0" w:color="auto"/>
          </w:divBdr>
        </w:div>
        <w:div w:id="1717244150">
          <w:marLeft w:val="600"/>
          <w:marRight w:val="0"/>
          <w:marTop w:val="0"/>
          <w:marBottom w:val="0"/>
          <w:divBdr>
            <w:top w:val="none" w:sz="0" w:space="0" w:color="auto"/>
            <w:left w:val="none" w:sz="0" w:space="0" w:color="auto"/>
            <w:bottom w:val="none" w:sz="0" w:space="0" w:color="auto"/>
            <w:right w:val="none" w:sz="0" w:space="0" w:color="auto"/>
          </w:divBdr>
        </w:div>
        <w:div w:id="1717854723">
          <w:marLeft w:val="480"/>
          <w:marRight w:val="0"/>
          <w:marTop w:val="0"/>
          <w:marBottom w:val="0"/>
          <w:divBdr>
            <w:top w:val="none" w:sz="0" w:space="0" w:color="auto"/>
            <w:left w:val="none" w:sz="0" w:space="0" w:color="auto"/>
            <w:bottom w:val="none" w:sz="0" w:space="0" w:color="auto"/>
            <w:right w:val="none" w:sz="0" w:space="0" w:color="auto"/>
          </w:divBdr>
        </w:div>
        <w:div w:id="1759597264">
          <w:marLeft w:val="600"/>
          <w:marRight w:val="0"/>
          <w:marTop w:val="0"/>
          <w:marBottom w:val="0"/>
          <w:divBdr>
            <w:top w:val="none" w:sz="0" w:space="0" w:color="auto"/>
            <w:left w:val="none" w:sz="0" w:space="0" w:color="auto"/>
            <w:bottom w:val="none" w:sz="0" w:space="0" w:color="auto"/>
            <w:right w:val="none" w:sz="0" w:space="0" w:color="auto"/>
          </w:divBdr>
        </w:div>
        <w:div w:id="1783065764">
          <w:marLeft w:val="600"/>
          <w:marRight w:val="0"/>
          <w:marTop w:val="0"/>
          <w:marBottom w:val="0"/>
          <w:divBdr>
            <w:top w:val="none" w:sz="0" w:space="0" w:color="auto"/>
            <w:left w:val="none" w:sz="0" w:space="0" w:color="auto"/>
            <w:bottom w:val="none" w:sz="0" w:space="0" w:color="auto"/>
            <w:right w:val="none" w:sz="0" w:space="0" w:color="auto"/>
          </w:divBdr>
        </w:div>
        <w:div w:id="1801000253">
          <w:marLeft w:val="480"/>
          <w:marRight w:val="0"/>
          <w:marTop w:val="0"/>
          <w:marBottom w:val="0"/>
          <w:divBdr>
            <w:top w:val="none" w:sz="0" w:space="0" w:color="auto"/>
            <w:left w:val="none" w:sz="0" w:space="0" w:color="auto"/>
            <w:bottom w:val="none" w:sz="0" w:space="0" w:color="auto"/>
            <w:right w:val="none" w:sz="0" w:space="0" w:color="auto"/>
          </w:divBdr>
        </w:div>
        <w:div w:id="1813593618">
          <w:marLeft w:val="480"/>
          <w:marRight w:val="0"/>
          <w:marTop w:val="0"/>
          <w:marBottom w:val="0"/>
          <w:divBdr>
            <w:top w:val="none" w:sz="0" w:space="0" w:color="auto"/>
            <w:left w:val="none" w:sz="0" w:space="0" w:color="auto"/>
            <w:bottom w:val="none" w:sz="0" w:space="0" w:color="auto"/>
            <w:right w:val="none" w:sz="0" w:space="0" w:color="auto"/>
          </w:divBdr>
        </w:div>
        <w:div w:id="1827091734">
          <w:marLeft w:val="600"/>
          <w:marRight w:val="0"/>
          <w:marTop w:val="0"/>
          <w:marBottom w:val="0"/>
          <w:divBdr>
            <w:top w:val="none" w:sz="0" w:space="0" w:color="auto"/>
            <w:left w:val="none" w:sz="0" w:space="0" w:color="auto"/>
            <w:bottom w:val="none" w:sz="0" w:space="0" w:color="auto"/>
            <w:right w:val="none" w:sz="0" w:space="0" w:color="auto"/>
          </w:divBdr>
        </w:div>
        <w:div w:id="1835366688">
          <w:marLeft w:val="480"/>
          <w:marRight w:val="0"/>
          <w:marTop w:val="0"/>
          <w:marBottom w:val="0"/>
          <w:divBdr>
            <w:top w:val="none" w:sz="0" w:space="0" w:color="auto"/>
            <w:left w:val="none" w:sz="0" w:space="0" w:color="auto"/>
            <w:bottom w:val="none" w:sz="0" w:space="0" w:color="auto"/>
            <w:right w:val="none" w:sz="0" w:space="0" w:color="auto"/>
          </w:divBdr>
        </w:div>
        <w:div w:id="1861360567">
          <w:marLeft w:val="600"/>
          <w:marRight w:val="0"/>
          <w:marTop w:val="0"/>
          <w:marBottom w:val="0"/>
          <w:divBdr>
            <w:top w:val="none" w:sz="0" w:space="0" w:color="auto"/>
            <w:left w:val="none" w:sz="0" w:space="0" w:color="auto"/>
            <w:bottom w:val="none" w:sz="0" w:space="0" w:color="auto"/>
            <w:right w:val="none" w:sz="0" w:space="0" w:color="auto"/>
          </w:divBdr>
        </w:div>
        <w:div w:id="1870989845">
          <w:marLeft w:val="480"/>
          <w:marRight w:val="0"/>
          <w:marTop w:val="0"/>
          <w:marBottom w:val="0"/>
          <w:divBdr>
            <w:top w:val="none" w:sz="0" w:space="0" w:color="auto"/>
            <w:left w:val="none" w:sz="0" w:space="0" w:color="auto"/>
            <w:bottom w:val="none" w:sz="0" w:space="0" w:color="auto"/>
            <w:right w:val="none" w:sz="0" w:space="0" w:color="auto"/>
          </w:divBdr>
        </w:div>
        <w:div w:id="1883007714">
          <w:marLeft w:val="480"/>
          <w:marRight w:val="0"/>
          <w:marTop w:val="0"/>
          <w:marBottom w:val="0"/>
          <w:divBdr>
            <w:top w:val="none" w:sz="0" w:space="0" w:color="auto"/>
            <w:left w:val="none" w:sz="0" w:space="0" w:color="auto"/>
            <w:bottom w:val="none" w:sz="0" w:space="0" w:color="auto"/>
            <w:right w:val="none" w:sz="0" w:space="0" w:color="auto"/>
          </w:divBdr>
        </w:div>
        <w:div w:id="1913612251">
          <w:marLeft w:val="720"/>
          <w:marRight w:val="0"/>
          <w:marTop w:val="0"/>
          <w:marBottom w:val="0"/>
          <w:divBdr>
            <w:top w:val="none" w:sz="0" w:space="0" w:color="auto"/>
            <w:left w:val="none" w:sz="0" w:space="0" w:color="auto"/>
            <w:bottom w:val="none" w:sz="0" w:space="0" w:color="auto"/>
            <w:right w:val="none" w:sz="0" w:space="0" w:color="auto"/>
          </w:divBdr>
        </w:div>
        <w:div w:id="1920671357">
          <w:marLeft w:val="600"/>
          <w:marRight w:val="0"/>
          <w:marTop w:val="0"/>
          <w:marBottom w:val="0"/>
          <w:divBdr>
            <w:top w:val="none" w:sz="0" w:space="0" w:color="auto"/>
            <w:left w:val="none" w:sz="0" w:space="0" w:color="auto"/>
            <w:bottom w:val="none" w:sz="0" w:space="0" w:color="auto"/>
            <w:right w:val="none" w:sz="0" w:space="0" w:color="auto"/>
          </w:divBdr>
        </w:div>
        <w:div w:id="1938555884">
          <w:marLeft w:val="600"/>
          <w:marRight w:val="0"/>
          <w:marTop w:val="0"/>
          <w:marBottom w:val="0"/>
          <w:divBdr>
            <w:top w:val="none" w:sz="0" w:space="0" w:color="auto"/>
            <w:left w:val="none" w:sz="0" w:space="0" w:color="auto"/>
            <w:bottom w:val="none" w:sz="0" w:space="0" w:color="auto"/>
            <w:right w:val="none" w:sz="0" w:space="0" w:color="auto"/>
          </w:divBdr>
        </w:div>
        <w:div w:id="1942302046">
          <w:marLeft w:val="480"/>
          <w:marRight w:val="0"/>
          <w:marTop w:val="0"/>
          <w:marBottom w:val="0"/>
          <w:divBdr>
            <w:top w:val="none" w:sz="0" w:space="0" w:color="auto"/>
            <w:left w:val="none" w:sz="0" w:space="0" w:color="auto"/>
            <w:bottom w:val="none" w:sz="0" w:space="0" w:color="auto"/>
            <w:right w:val="none" w:sz="0" w:space="0" w:color="auto"/>
          </w:divBdr>
        </w:div>
        <w:div w:id="1990672802">
          <w:marLeft w:val="480"/>
          <w:marRight w:val="0"/>
          <w:marTop w:val="0"/>
          <w:marBottom w:val="0"/>
          <w:divBdr>
            <w:top w:val="none" w:sz="0" w:space="0" w:color="auto"/>
            <w:left w:val="none" w:sz="0" w:space="0" w:color="auto"/>
            <w:bottom w:val="none" w:sz="0" w:space="0" w:color="auto"/>
            <w:right w:val="none" w:sz="0" w:space="0" w:color="auto"/>
          </w:divBdr>
        </w:div>
        <w:div w:id="2016883920">
          <w:marLeft w:val="600"/>
          <w:marRight w:val="0"/>
          <w:marTop w:val="0"/>
          <w:marBottom w:val="0"/>
          <w:divBdr>
            <w:top w:val="none" w:sz="0" w:space="0" w:color="auto"/>
            <w:left w:val="none" w:sz="0" w:space="0" w:color="auto"/>
            <w:bottom w:val="none" w:sz="0" w:space="0" w:color="auto"/>
            <w:right w:val="none" w:sz="0" w:space="0" w:color="auto"/>
          </w:divBdr>
        </w:div>
        <w:div w:id="2019889378">
          <w:marLeft w:val="600"/>
          <w:marRight w:val="0"/>
          <w:marTop w:val="0"/>
          <w:marBottom w:val="0"/>
          <w:divBdr>
            <w:top w:val="none" w:sz="0" w:space="0" w:color="auto"/>
            <w:left w:val="none" w:sz="0" w:space="0" w:color="auto"/>
            <w:bottom w:val="none" w:sz="0" w:space="0" w:color="auto"/>
            <w:right w:val="none" w:sz="0" w:space="0" w:color="auto"/>
          </w:divBdr>
        </w:div>
        <w:div w:id="2035449571">
          <w:marLeft w:val="480"/>
          <w:marRight w:val="0"/>
          <w:marTop w:val="0"/>
          <w:marBottom w:val="0"/>
          <w:divBdr>
            <w:top w:val="none" w:sz="0" w:space="0" w:color="auto"/>
            <w:left w:val="none" w:sz="0" w:space="0" w:color="auto"/>
            <w:bottom w:val="none" w:sz="0" w:space="0" w:color="auto"/>
            <w:right w:val="none" w:sz="0" w:space="0" w:color="auto"/>
          </w:divBdr>
        </w:div>
        <w:div w:id="2081558184">
          <w:marLeft w:val="600"/>
          <w:marRight w:val="0"/>
          <w:marTop w:val="0"/>
          <w:marBottom w:val="0"/>
          <w:divBdr>
            <w:top w:val="none" w:sz="0" w:space="0" w:color="auto"/>
            <w:left w:val="none" w:sz="0" w:space="0" w:color="auto"/>
            <w:bottom w:val="none" w:sz="0" w:space="0" w:color="auto"/>
            <w:right w:val="none" w:sz="0" w:space="0" w:color="auto"/>
          </w:divBdr>
        </w:div>
        <w:div w:id="2092653482">
          <w:marLeft w:val="600"/>
          <w:marRight w:val="0"/>
          <w:marTop w:val="0"/>
          <w:marBottom w:val="0"/>
          <w:divBdr>
            <w:top w:val="none" w:sz="0" w:space="0" w:color="auto"/>
            <w:left w:val="none" w:sz="0" w:space="0" w:color="auto"/>
            <w:bottom w:val="none" w:sz="0" w:space="0" w:color="auto"/>
            <w:right w:val="none" w:sz="0" w:space="0" w:color="auto"/>
          </w:divBdr>
        </w:div>
        <w:div w:id="2125270599">
          <w:marLeft w:val="480"/>
          <w:marRight w:val="0"/>
          <w:marTop w:val="0"/>
          <w:marBottom w:val="0"/>
          <w:divBdr>
            <w:top w:val="none" w:sz="0" w:space="0" w:color="auto"/>
            <w:left w:val="none" w:sz="0" w:space="0" w:color="auto"/>
            <w:bottom w:val="none" w:sz="0" w:space="0" w:color="auto"/>
            <w:right w:val="none" w:sz="0" w:space="0" w:color="auto"/>
          </w:divBdr>
        </w:div>
        <w:div w:id="2134055857">
          <w:marLeft w:val="600"/>
          <w:marRight w:val="0"/>
          <w:marTop w:val="0"/>
          <w:marBottom w:val="0"/>
          <w:divBdr>
            <w:top w:val="none" w:sz="0" w:space="0" w:color="auto"/>
            <w:left w:val="none" w:sz="0" w:space="0" w:color="auto"/>
            <w:bottom w:val="none" w:sz="0" w:space="0" w:color="auto"/>
            <w:right w:val="none" w:sz="0" w:space="0" w:color="auto"/>
          </w:divBdr>
        </w:div>
        <w:div w:id="2143770133">
          <w:marLeft w:val="600"/>
          <w:marRight w:val="0"/>
          <w:marTop w:val="0"/>
          <w:marBottom w:val="0"/>
          <w:divBdr>
            <w:top w:val="none" w:sz="0" w:space="0" w:color="auto"/>
            <w:left w:val="none" w:sz="0" w:space="0" w:color="auto"/>
            <w:bottom w:val="none" w:sz="0" w:space="0" w:color="auto"/>
            <w:right w:val="none" w:sz="0" w:space="0" w:color="auto"/>
          </w:divBdr>
        </w:div>
      </w:divsChild>
    </w:div>
    <w:div w:id="1470589030">
      <w:bodyDiv w:val="1"/>
      <w:marLeft w:val="0"/>
      <w:marRight w:val="0"/>
      <w:marTop w:val="0"/>
      <w:marBottom w:val="0"/>
      <w:divBdr>
        <w:top w:val="none" w:sz="0" w:space="0" w:color="auto"/>
        <w:left w:val="none" w:sz="0" w:space="0" w:color="auto"/>
        <w:bottom w:val="none" w:sz="0" w:space="0" w:color="auto"/>
        <w:right w:val="none" w:sz="0" w:space="0" w:color="auto"/>
      </w:divBdr>
    </w:div>
    <w:div w:id="1521356860">
      <w:bodyDiv w:val="1"/>
      <w:marLeft w:val="0"/>
      <w:marRight w:val="0"/>
      <w:marTop w:val="0"/>
      <w:marBottom w:val="0"/>
      <w:divBdr>
        <w:top w:val="none" w:sz="0" w:space="0" w:color="auto"/>
        <w:left w:val="none" w:sz="0" w:space="0" w:color="auto"/>
        <w:bottom w:val="none" w:sz="0" w:space="0" w:color="auto"/>
        <w:right w:val="none" w:sz="0" w:space="0" w:color="auto"/>
      </w:divBdr>
      <w:divsChild>
        <w:div w:id="1903249565">
          <w:marLeft w:val="0"/>
          <w:marRight w:val="0"/>
          <w:marTop w:val="0"/>
          <w:marBottom w:val="0"/>
          <w:divBdr>
            <w:top w:val="none" w:sz="0" w:space="0" w:color="auto"/>
            <w:left w:val="none" w:sz="0" w:space="0" w:color="auto"/>
            <w:bottom w:val="none" w:sz="0" w:space="0" w:color="auto"/>
            <w:right w:val="none" w:sz="0" w:space="0" w:color="auto"/>
          </w:divBdr>
        </w:div>
      </w:divsChild>
    </w:div>
    <w:div w:id="1531995913">
      <w:bodyDiv w:val="1"/>
      <w:marLeft w:val="0"/>
      <w:marRight w:val="0"/>
      <w:marTop w:val="0"/>
      <w:marBottom w:val="0"/>
      <w:divBdr>
        <w:top w:val="none" w:sz="0" w:space="0" w:color="auto"/>
        <w:left w:val="none" w:sz="0" w:space="0" w:color="auto"/>
        <w:bottom w:val="none" w:sz="0" w:space="0" w:color="auto"/>
        <w:right w:val="none" w:sz="0" w:space="0" w:color="auto"/>
      </w:divBdr>
    </w:div>
    <w:div w:id="1578788369">
      <w:bodyDiv w:val="1"/>
      <w:marLeft w:val="0"/>
      <w:marRight w:val="0"/>
      <w:marTop w:val="0"/>
      <w:marBottom w:val="0"/>
      <w:divBdr>
        <w:top w:val="none" w:sz="0" w:space="0" w:color="auto"/>
        <w:left w:val="none" w:sz="0" w:space="0" w:color="auto"/>
        <w:bottom w:val="none" w:sz="0" w:space="0" w:color="auto"/>
        <w:right w:val="none" w:sz="0" w:space="0" w:color="auto"/>
      </w:divBdr>
    </w:div>
    <w:div w:id="1584679940">
      <w:bodyDiv w:val="1"/>
      <w:marLeft w:val="0"/>
      <w:marRight w:val="0"/>
      <w:marTop w:val="0"/>
      <w:marBottom w:val="0"/>
      <w:divBdr>
        <w:top w:val="none" w:sz="0" w:space="0" w:color="auto"/>
        <w:left w:val="none" w:sz="0" w:space="0" w:color="auto"/>
        <w:bottom w:val="none" w:sz="0" w:space="0" w:color="auto"/>
        <w:right w:val="none" w:sz="0" w:space="0" w:color="auto"/>
      </w:divBdr>
    </w:div>
    <w:div w:id="1597516418">
      <w:bodyDiv w:val="1"/>
      <w:marLeft w:val="0"/>
      <w:marRight w:val="0"/>
      <w:marTop w:val="0"/>
      <w:marBottom w:val="0"/>
      <w:divBdr>
        <w:top w:val="none" w:sz="0" w:space="0" w:color="auto"/>
        <w:left w:val="none" w:sz="0" w:space="0" w:color="auto"/>
        <w:bottom w:val="none" w:sz="0" w:space="0" w:color="auto"/>
        <w:right w:val="none" w:sz="0" w:space="0" w:color="auto"/>
      </w:divBdr>
    </w:div>
    <w:div w:id="1610383007">
      <w:bodyDiv w:val="1"/>
      <w:marLeft w:val="0"/>
      <w:marRight w:val="0"/>
      <w:marTop w:val="0"/>
      <w:marBottom w:val="0"/>
      <w:divBdr>
        <w:top w:val="none" w:sz="0" w:space="0" w:color="auto"/>
        <w:left w:val="none" w:sz="0" w:space="0" w:color="auto"/>
        <w:bottom w:val="none" w:sz="0" w:space="0" w:color="auto"/>
        <w:right w:val="none" w:sz="0" w:space="0" w:color="auto"/>
      </w:divBdr>
      <w:divsChild>
        <w:div w:id="885028536">
          <w:marLeft w:val="0"/>
          <w:marRight w:val="0"/>
          <w:marTop w:val="0"/>
          <w:marBottom w:val="0"/>
          <w:divBdr>
            <w:top w:val="none" w:sz="0" w:space="0" w:color="auto"/>
            <w:left w:val="none" w:sz="0" w:space="0" w:color="auto"/>
            <w:bottom w:val="none" w:sz="0" w:space="0" w:color="auto"/>
            <w:right w:val="none" w:sz="0" w:space="0" w:color="auto"/>
          </w:divBdr>
          <w:divsChild>
            <w:div w:id="575676493">
              <w:marLeft w:val="0"/>
              <w:marRight w:val="0"/>
              <w:marTop w:val="0"/>
              <w:marBottom w:val="0"/>
              <w:divBdr>
                <w:top w:val="none" w:sz="0" w:space="0" w:color="auto"/>
                <w:left w:val="none" w:sz="0" w:space="0" w:color="auto"/>
                <w:bottom w:val="none" w:sz="0" w:space="0" w:color="auto"/>
                <w:right w:val="none" w:sz="0" w:space="0" w:color="auto"/>
              </w:divBdr>
              <w:divsChild>
                <w:div w:id="168179692">
                  <w:marLeft w:val="0"/>
                  <w:marRight w:val="0"/>
                  <w:marTop w:val="0"/>
                  <w:marBottom w:val="0"/>
                  <w:divBdr>
                    <w:top w:val="none" w:sz="0" w:space="0" w:color="auto"/>
                    <w:left w:val="none" w:sz="0" w:space="0" w:color="auto"/>
                    <w:bottom w:val="none" w:sz="0" w:space="0" w:color="auto"/>
                    <w:right w:val="none" w:sz="0" w:space="0" w:color="auto"/>
                  </w:divBdr>
                  <w:divsChild>
                    <w:div w:id="701829371">
                      <w:marLeft w:val="0"/>
                      <w:marRight w:val="0"/>
                      <w:marTop w:val="0"/>
                      <w:marBottom w:val="0"/>
                      <w:divBdr>
                        <w:top w:val="none" w:sz="0" w:space="0" w:color="auto"/>
                        <w:left w:val="none" w:sz="0" w:space="0" w:color="auto"/>
                        <w:bottom w:val="none" w:sz="0" w:space="0" w:color="auto"/>
                        <w:right w:val="none" w:sz="0" w:space="0" w:color="auto"/>
                      </w:divBdr>
                    </w:div>
                    <w:div w:id="1605376977">
                      <w:marLeft w:val="0"/>
                      <w:marRight w:val="0"/>
                      <w:marTop w:val="120"/>
                      <w:marBottom w:val="0"/>
                      <w:divBdr>
                        <w:top w:val="none" w:sz="0" w:space="0" w:color="auto"/>
                        <w:left w:val="none" w:sz="0" w:space="0" w:color="auto"/>
                        <w:bottom w:val="none" w:sz="0" w:space="0" w:color="auto"/>
                        <w:right w:val="none" w:sz="0" w:space="0" w:color="auto"/>
                      </w:divBdr>
                    </w:div>
                  </w:divsChild>
                </w:div>
                <w:div w:id="222449568">
                  <w:marLeft w:val="0"/>
                  <w:marRight w:val="0"/>
                  <w:marTop w:val="0"/>
                  <w:marBottom w:val="0"/>
                  <w:divBdr>
                    <w:top w:val="none" w:sz="0" w:space="0" w:color="auto"/>
                    <w:left w:val="none" w:sz="0" w:space="0" w:color="auto"/>
                    <w:bottom w:val="none" w:sz="0" w:space="0" w:color="auto"/>
                    <w:right w:val="none" w:sz="0" w:space="0" w:color="auto"/>
                  </w:divBdr>
                  <w:divsChild>
                    <w:div w:id="1928421623">
                      <w:marLeft w:val="0"/>
                      <w:marRight w:val="0"/>
                      <w:marTop w:val="120"/>
                      <w:marBottom w:val="0"/>
                      <w:divBdr>
                        <w:top w:val="none" w:sz="0" w:space="0" w:color="auto"/>
                        <w:left w:val="none" w:sz="0" w:space="0" w:color="auto"/>
                        <w:bottom w:val="none" w:sz="0" w:space="0" w:color="auto"/>
                        <w:right w:val="none" w:sz="0" w:space="0" w:color="auto"/>
                      </w:divBdr>
                    </w:div>
                    <w:div w:id="2024092896">
                      <w:marLeft w:val="0"/>
                      <w:marRight w:val="0"/>
                      <w:marTop w:val="0"/>
                      <w:marBottom w:val="0"/>
                      <w:divBdr>
                        <w:top w:val="none" w:sz="0" w:space="0" w:color="auto"/>
                        <w:left w:val="none" w:sz="0" w:space="0" w:color="auto"/>
                        <w:bottom w:val="none" w:sz="0" w:space="0" w:color="auto"/>
                        <w:right w:val="none" w:sz="0" w:space="0" w:color="auto"/>
                      </w:divBdr>
                    </w:div>
                  </w:divsChild>
                </w:div>
                <w:div w:id="567422470">
                  <w:marLeft w:val="0"/>
                  <w:marRight w:val="0"/>
                  <w:marTop w:val="0"/>
                  <w:marBottom w:val="0"/>
                  <w:divBdr>
                    <w:top w:val="none" w:sz="0" w:space="0" w:color="auto"/>
                    <w:left w:val="none" w:sz="0" w:space="0" w:color="auto"/>
                    <w:bottom w:val="none" w:sz="0" w:space="0" w:color="auto"/>
                    <w:right w:val="none" w:sz="0" w:space="0" w:color="auto"/>
                  </w:divBdr>
                  <w:divsChild>
                    <w:div w:id="1103651355">
                      <w:marLeft w:val="0"/>
                      <w:marRight w:val="0"/>
                      <w:marTop w:val="120"/>
                      <w:marBottom w:val="0"/>
                      <w:divBdr>
                        <w:top w:val="none" w:sz="0" w:space="0" w:color="auto"/>
                        <w:left w:val="none" w:sz="0" w:space="0" w:color="auto"/>
                        <w:bottom w:val="none" w:sz="0" w:space="0" w:color="auto"/>
                        <w:right w:val="none" w:sz="0" w:space="0" w:color="auto"/>
                      </w:divBdr>
                    </w:div>
                    <w:div w:id="1149058994">
                      <w:marLeft w:val="0"/>
                      <w:marRight w:val="0"/>
                      <w:marTop w:val="0"/>
                      <w:marBottom w:val="0"/>
                      <w:divBdr>
                        <w:top w:val="none" w:sz="0" w:space="0" w:color="auto"/>
                        <w:left w:val="none" w:sz="0" w:space="0" w:color="auto"/>
                        <w:bottom w:val="none" w:sz="0" w:space="0" w:color="auto"/>
                        <w:right w:val="none" w:sz="0" w:space="0" w:color="auto"/>
                      </w:divBdr>
                    </w:div>
                  </w:divsChild>
                </w:div>
                <w:div w:id="1066804851">
                  <w:marLeft w:val="0"/>
                  <w:marRight w:val="0"/>
                  <w:marTop w:val="0"/>
                  <w:marBottom w:val="0"/>
                  <w:divBdr>
                    <w:top w:val="none" w:sz="0" w:space="0" w:color="auto"/>
                    <w:left w:val="none" w:sz="0" w:space="0" w:color="auto"/>
                    <w:bottom w:val="none" w:sz="0" w:space="0" w:color="auto"/>
                    <w:right w:val="none" w:sz="0" w:space="0" w:color="auto"/>
                  </w:divBdr>
                  <w:divsChild>
                    <w:div w:id="472796450">
                      <w:marLeft w:val="0"/>
                      <w:marRight w:val="0"/>
                      <w:marTop w:val="0"/>
                      <w:marBottom w:val="0"/>
                      <w:divBdr>
                        <w:top w:val="none" w:sz="0" w:space="0" w:color="auto"/>
                        <w:left w:val="none" w:sz="0" w:space="0" w:color="auto"/>
                        <w:bottom w:val="none" w:sz="0" w:space="0" w:color="auto"/>
                        <w:right w:val="none" w:sz="0" w:space="0" w:color="auto"/>
                      </w:divBdr>
                    </w:div>
                    <w:div w:id="1814518210">
                      <w:marLeft w:val="0"/>
                      <w:marRight w:val="0"/>
                      <w:marTop w:val="120"/>
                      <w:marBottom w:val="0"/>
                      <w:divBdr>
                        <w:top w:val="none" w:sz="0" w:space="0" w:color="auto"/>
                        <w:left w:val="none" w:sz="0" w:space="0" w:color="auto"/>
                        <w:bottom w:val="none" w:sz="0" w:space="0" w:color="auto"/>
                        <w:right w:val="none" w:sz="0" w:space="0" w:color="auto"/>
                      </w:divBdr>
                    </w:div>
                  </w:divsChild>
                </w:div>
                <w:div w:id="1431005218">
                  <w:marLeft w:val="0"/>
                  <w:marRight w:val="0"/>
                  <w:marTop w:val="0"/>
                  <w:marBottom w:val="0"/>
                  <w:divBdr>
                    <w:top w:val="none" w:sz="0" w:space="0" w:color="auto"/>
                    <w:left w:val="none" w:sz="0" w:space="0" w:color="auto"/>
                    <w:bottom w:val="none" w:sz="0" w:space="0" w:color="auto"/>
                    <w:right w:val="none" w:sz="0" w:space="0" w:color="auto"/>
                  </w:divBdr>
                  <w:divsChild>
                    <w:div w:id="614991147">
                      <w:marLeft w:val="0"/>
                      <w:marRight w:val="0"/>
                      <w:marTop w:val="0"/>
                      <w:marBottom w:val="0"/>
                      <w:divBdr>
                        <w:top w:val="none" w:sz="0" w:space="0" w:color="auto"/>
                        <w:left w:val="none" w:sz="0" w:space="0" w:color="auto"/>
                        <w:bottom w:val="none" w:sz="0" w:space="0" w:color="auto"/>
                        <w:right w:val="none" w:sz="0" w:space="0" w:color="auto"/>
                      </w:divBdr>
                    </w:div>
                    <w:div w:id="1392464552">
                      <w:marLeft w:val="0"/>
                      <w:marRight w:val="0"/>
                      <w:marTop w:val="120"/>
                      <w:marBottom w:val="0"/>
                      <w:divBdr>
                        <w:top w:val="none" w:sz="0" w:space="0" w:color="auto"/>
                        <w:left w:val="none" w:sz="0" w:space="0" w:color="auto"/>
                        <w:bottom w:val="none" w:sz="0" w:space="0" w:color="auto"/>
                        <w:right w:val="none" w:sz="0" w:space="0" w:color="auto"/>
                      </w:divBdr>
                    </w:div>
                  </w:divsChild>
                </w:div>
                <w:div w:id="1604611743">
                  <w:marLeft w:val="0"/>
                  <w:marRight w:val="0"/>
                  <w:marTop w:val="0"/>
                  <w:marBottom w:val="0"/>
                  <w:divBdr>
                    <w:top w:val="none" w:sz="0" w:space="0" w:color="auto"/>
                    <w:left w:val="none" w:sz="0" w:space="0" w:color="auto"/>
                    <w:bottom w:val="none" w:sz="0" w:space="0" w:color="auto"/>
                    <w:right w:val="none" w:sz="0" w:space="0" w:color="auto"/>
                  </w:divBdr>
                  <w:divsChild>
                    <w:div w:id="559950076">
                      <w:marLeft w:val="0"/>
                      <w:marRight w:val="0"/>
                      <w:marTop w:val="0"/>
                      <w:marBottom w:val="0"/>
                      <w:divBdr>
                        <w:top w:val="none" w:sz="0" w:space="0" w:color="auto"/>
                        <w:left w:val="none" w:sz="0" w:space="0" w:color="auto"/>
                        <w:bottom w:val="none" w:sz="0" w:space="0" w:color="auto"/>
                        <w:right w:val="none" w:sz="0" w:space="0" w:color="auto"/>
                      </w:divBdr>
                    </w:div>
                    <w:div w:id="1002972914">
                      <w:marLeft w:val="0"/>
                      <w:marRight w:val="0"/>
                      <w:marTop w:val="120"/>
                      <w:marBottom w:val="0"/>
                      <w:divBdr>
                        <w:top w:val="none" w:sz="0" w:space="0" w:color="auto"/>
                        <w:left w:val="none" w:sz="0" w:space="0" w:color="auto"/>
                        <w:bottom w:val="none" w:sz="0" w:space="0" w:color="auto"/>
                        <w:right w:val="none" w:sz="0" w:space="0" w:color="auto"/>
                      </w:divBdr>
                    </w:div>
                  </w:divsChild>
                </w:div>
                <w:div w:id="1642727274">
                  <w:marLeft w:val="0"/>
                  <w:marRight w:val="0"/>
                  <w:marTop w:val="0"/>
                  <w:marBottom w:val="0"/>
                  <w:divBdr>
                    <w:top w:val="none" w:sz="0" w:space="0" w:color="auto"/>
                    <w:left w:val="none" w:sz="0" w:space="0" w:color="auto"/>
                    <w:bottom w:val="none" w:sz="0" w:space="0" w:color="auto"/>
                    <w:right w:val="none" w:sz="0" w:space="0" w:color="auto"/>
                  </w:divBdr>
                  <w:divsChild>
                    <w:div w:id="191843579">
                      <w:marLeft w:val="0"/>
                      <w:marRight w:val="0"/>
                      <w:marTop w:val="0"/>
                      <w:marBottom w:val="0"/>
                      <w:divBdr>
                        <w:top w:val="none" w:sz="0" w:space="0" w:color="auto"/>
                        <w:left w:val="none" w:sz="0" w:space="0" w:color="auto"/>
                        <w:bottom w:val="none" w:sz="0" w:space="0" w:color="auto"/>
                        <w:right w:val="none" w:sz="0" w:space="0" w:color="auto"/>
                      </w:divBdr>
                    </w:div>
                    <w:div w:id="1048803890">
                      <w:marLeft w:val="0"/>
                      <w:marRight w:val="0"/>
                      <w:marTop w:val="120"/>
                      <w:marBottom w:val="0"/>
                      <w:divBdr>
                        <w:top w:val="none" w:sz="0" w:space="0" w:color="auto"/>
                        <w:left w:val="none" w:sz="0" w:space="0" w:color="auto"/>
                        <w:bottom w:val="none" w:sz="0" w:space="0" w:color="auto"/>
                        <w:right w:val="none" w:sz="0" w:space="0" w:color="auto"/>
                      </w:divBdr>
                    </w:div>
                  </w:divsChild>
                </w:div>
                <w:div w:id="1852596613">
                  <w:marLeft w:val="0"/>
                  <w:marRight w:val="0"/>
                  <w:marTop w:val="0"/>
                  <w:marBottom w:val="0"/>
                  <w:divBdr>
                    <w:top w:val="none" w:sz="0" w:space="0" w:color="auto"/>
                    <w:left w:val="none" w:sz="0" w:space="0" w:color="auto"/>
                    <w:bottom w:val="none" w:sz="0" w:space="0" w:color="auto"/>
                    <w:right w:val="none" w:sz="0" w:space="0" w:color="auto"/>
                  </w:divBdr>
                  <w:divsChild>
                    <w:div w:id="335114777">
                      <w:marLeft w:val="0"/>
                      <w:marRight w:val="0"/>
                      <w:marTop w:val="120"/>
                      <w:marBottom w:val="0"/>
                      <w:divBdr>
                        <w:top w:val="none" w:sz="0" w:space="0" w:color="auto"/>
                        <w:left w:val="none" w:sz="0" w:space="0" w:color="auto"/>
                        <w:bottom w:val="none" w:sz="0" w:space="0" w:color="auto"/>
                        <w:right w:val="none" w:sz="0" w:space="0" w:color="auto"/>
                      </w:divBdr>
                    </w:div>
                    <w:div w:id="13400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7289">
          <w:marLeft w:val="0"/>
          <w:marRight w:val="0"/>
          <w:marTop w:val="0"/>
          <w:marBottom w:val="0"/>
          <w:divBdr>
            <w:top w:val="none" w:sz="0" w:space="0" w:color="auto"/>
            <w:left w:val="none" w:sz="0" w:space="0" w:color="auto"/>
            <w:bottom w:val="none" w:sz="0" w:space="0" w:color="auto"/>
            <w:right w:val="none" w:sz="0" w:space="0" w:color="auto"/>
          </w:divBdr>
          <w:divsChild>
            <w:div w:id="2725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3877">
      <w:bodyDiv w:val="1"/>
      <w:marLeft w:val="0"/>
      <w:marRight w:val="0"/>
      <w:marTop w:val="0"/>
      <w:marBottom w:val="0"/>
      <w:divBdr>
        <w:top w:val="none" w:sz="0" w:space="0" w:color="auto"/>
        <w:left w:val="none" w:sz="0" w:space="0" w:color="auto"/>
        <w:bottom w:val="none" w:sz="0" w:space="0" w:color="auto"/>
        <w:right w:val="none" w:sz="0" w:space="0" w:color="auto"/>
      </w:divBdr>
    </w:div>
    <w:div w:id="1753351172">
      <w:bodyDiv w:val="1"/>
      <w:marLeft w:val="0"/>
      <w:marRight w:val="0"/>
      <w:marTop w:val="0"/>
      <w:marBottom w:val="0"/>
      <w:divBdr>
        <w:top w:val="none" w:sz="0" w:space="0" w:color="auto"/>
        <w:left w:val="none" w:sz="0" w:space="0" w:color="auto"/>
        <w:bottom w:val="none" w:sz="0" w:space="0" w:color="auto"/>
        <w:right w:val="none" w:sz="0" w:space="0" w:color="auto"/>
      </w:divBdr>
      <w:divsChild>
        <w:div w:id="856970704">
          <w:marLeft w:val="600"/>
          <w:marRight w:val="0"/>
          <w:marTop w:val="0"/>
          <w:marBottom w:val="0"/>
          <w:divBdr>
            <w:top w:val="none" w:sz="0" w:space="0" w:color="auto"/>
            <w:left w:val="none" w:sz="0" w:space="0" w:color="auto"/>
            <w:bottom w:val="none" w:sz="0" w:space="0" w:color="auto"/>
            <w:right w:val="none" w:sz="0" w:space="0" w:color="auto"/>
          </w:divBdr>
        </w:div>
        <w:div w:id="988706774">
          <w:marLeft w:val="600"/>
          <w:marRight w:val="0"/>
          <w:marTop w:val="0"/>
          <w:marBottom w:val="0"/>
          <w:divBdr>
            <w:top w:val="none" w:sz="0" w:space="0" w:color="auto"/>
            <w:left w:val="none" w:sz="0" w:space="0" w:color="auto"/>
            <w:bottom w:val="none" w:sz="0" w:space="0" w:color="auto"/>
            <w:right w:val="none" w:sz="0" w:space="0" w:color="auto"/>
          </w:divBdr>
        </w:div>
        <w:div w:id="2054501709">
          <w:marLeft w:val="600"/>
          <w:marRight w:val="0"/>
          <w:marTop w:val="0"/>
          <w:marBottom w:val="0"/>
          <w:divBdr>
            <w:top w:val="none" w:sz="0" w:space="0" w:color="auto"/>
            <w:left w:val="none" w:sz="0" w:space="0" w:color="auto"/>
            <w:bottom w:val="none" w:sz="0" w:space="0" w:color="auto"/>
            <w:right w:val="none" w:sz="0" w:space="0" w:color="auto"/>
          </w:divBdr>
        </w:div>
      </w:divsChild>
    </w:div>
    <w:div w:id="1764036375">
      <w:bodyDiv w:val="1"/>
      <w:marLeft w:val="0"/>
      <w:marRight w:val="0"/>
      <w:marTop w:val="0"/>
      <w:marBottom w:val="0"/>
      <w:divBdr>
        <w:top w:val="none" w:sz="0" w:space="0" w:color="auto"/>
        <w:left w:val="none" w:sz="0" w:space="0" w:color="auto"/>
        <w:bottom w:val="none" w:sz="0" w:space="0" w:color="auto"/>
        <w:right w:val="none" w:sz="0" w:space="0" w:color="auto"/>
      </w:divBdr>
      <w:divsChild>
        <w:div w:id="626351864">
          <w:marLeft w:val="0"/>
          <w:marRight w:val="0"/>
          <w:marTop w:val="0"/>
          <w:marBottom w:val="0"/>
          <w:divBdr>
            <w:top w:val="none" w:sz="0" w:space="0" w:color="auto"/>
            <w:left w:val="none" w:sz="0" w:space="0" w:color="auto"/>
            <w:bottom w:val="none" w:sz="0" w:space="0" w:color="auto"/>
            <w:right w:val="none" w:sz="0" w:space="0" w:color="auto"/>
          </w:divBdr>
        </w:div>
        <w:div w:id="1837844926">
          <w:marLeft w:val="0"/>
          <w:marRight w:val="0"/>
          <w:marTop w:val="120"/>
          <w:marBottom w:val="0"/>
          <w:divBdr>
            <w:top w:val="none" w:sz="0" w:space="0" w:color="auto"/>
            <w:left w:val="none" w:sz="0" w:space="0" w:color="auto"/>
            <w:bottom w:val="none" w:sz="0" w:space="0" w:color="auto"/>
            <w:right w:val="none" w:sz="0" w:space="0" w:color="auto"/>
          </w:divBdr>
        </w:div>
      </w:divsChild>
    </w:div>
    <w:div w:id="1793327233">
      <w:bodyDiv w:val="1"/>
      <w:marLeft w:val="0"/>
      <w:marRight w:val="0"/>
      <w:marTop w:val="0"/>
      <w:marBottom w:val="0"/>
      <w:divBdr>
        <w:top w:val="none" w:sz="0" w:space="0" w:color="auto"/>
        <w:left w:val="none" w:sz="0" w:space="0" w:color="auto"/>
        <w:bottom w:val="none" w:sz="0" w:space="0" w:color="auto"/>
        <w:right w:val="none" w:sz="0" w:space="0" w:color="auto"/>
      </w:divBdr>
      <w:divsChild>
        <w:div w:id="259338852">
          <w:marLeft w:val="600"/>
          <w:marRight w:val="0"/>
          <w:marTop w:val="0"/>
          <w:marBottom w:val="0"/>
          <w:divBdr>
            <w:top w:val="none" w:sz="0" w:space="0" w:color="auto"/>
            <w:left w:val="none" w:sz="0" w:space="0" w:color="auto"/>
            <w:bottom w:val="none" w:sz="0" w:space="0" w:color="auto"/>
            <w:right w:val="none" w:sz="0" w:space="0" w:color="auto"/>
          </w:divBdr>
        </w:div>
        <w:div w:id="514077056">
          <w:marLeft w:val="600"/>
          <w:marRight w:val="0"/>
          <w:marTop w:val="0"/>
          <w:marBottom w:val="0"/>
          <w:divBdr>
            <w:top w:val="none" w:sz="0" w:space="0" w:color="auto"/>
            <w:left w:val="none" w:sz="0" w:space="0" w:color="auto"/>
            <w:bottom w:val="none" w:sz="0" w:space="0" w:color="auto"/>
            <w:right w:val="none" w:sz="0" w:space="0" w:color="auto"/>
          </w:divBdr>
        </w:div>
        <w:div w:id="786696792">
          <w:marLeft w:val="600"/>
          <w:marRight w:val="0"/>
          <w:marTop w:val="0"/>
          <w:marBottom w:val="0"/>
          <w:divBdr>
            <w:top w:val="none" w:sz="0" w:space="0" w:color="auto"/>
            <w:left w:val="none" w:sz="0" w:space="0" w:color="auto"/>
            <w:bottom w:val="none" w:sz="0" w:space="0" w:color="auto"/>
            <w:right w:val="none" w:sz="0" w:space="0" w:color="auto"/>
          </w:divBdr>
        </w:div>
        <w:div w:id="1403792037">
          <w:marLeft w:val="600"/>
          <w:marRight w:val="0"/>
          <w:marTop w:val="0"/>
          <w:marBottom w:val="0"/>
          <w:divBdr>
            <w:top w:val="none" w:sz="0" w:space="0" w:color="auto"/>
            <w:left w:val="none" w:sz="0" w:space="0" w:color="auto"/>
            <w:bottom w:val="none" w:sz="0" w:space="0" w:color="auto"/>
            <w:right w:val="none" w:sz="0" w:space="0" w:color="auto"/>
          </w:divBdr>
        </w:div>
        <w:div w:id="1525827037">
          <w:marLeft w:val="600"/>
          <w:marRight w:val="0"/>
          <w:marTop w:val="0"/>
          <w:marBottom w:val="0"/>
          <w:divBdr>
            <w:top w:val="none" w:sz="0" w:space="0" w:color="auto"/>
            <w:left w:val="none" w:sz="0" w:space="0" w:color="auto"/>
            <w:bottom w:val="none" w:sz="0" w:space="0" w:color="auto"/>
            <w:right w:val="none" w:sz="0" w:space="0" w:color="auto"/>
          </w:divBdr>
        </w:div>
        <w:div w:id="1570264156">
          <w:marLeft w:val="600"/>
          <w:marRight w:val="0"/>
          <w:marTop w:val="0"/>
          <w:marBottom w:val="0"/>
          <w:divBdr>
            <w:top w:val="none" w:sz="0" w:space="0" w:color="auto"/>
            <w:left w:val="none" w:sz="0" w:space="0" w:color="auto"/>
            <w:bottom w:val="none" w:sz="0" w:space="0" w:color="auto"/>
            <w:right w:val="none" w:sz="0" w:space="0" w:color="auto"/>
          </w:divBdr>
        </w:div>
        <w:div w:id="1733196611">
          <w:marLeft w:val="600"/>
          <w:marRight w:val="0"/>
          <w:marTop w:val="0"/>
          <w:marBottom w:val="0"/>
          <w:divBdr>
            <w:top w:val="none" w:sz="0" w:space="0" w:color="auto"/>
            <w:left w:val="none" w:sz="0" w:space="0" w:color="auto"/>
            <w:bottom w:val="none" w:sz="0" w:space="0" w:color="auto"/>
            <w:right w:val="none" w:sz="0" w:space="0" w:color="auto"/>
          </w:divBdr>
        </w:div>
        <w:div w:id="1967201418">
          <w:marLeft w:val="600"/>
          <w:marRight w:val="0"/>
          <w:marTop w:val="0"/>
          <w:marBottom w:val="0"/>
          <w:divBdr>
            <w:top w:val="none" w:sz="0" w:space="0" w:color="auto"/>
            <w:left w:val="none" w:sz="0" w:space="0" w:color="auto"/>
            <w:bottom w:val="none" w:sz="0" w:space="0" w:color="auto"/>
            <w:right w:val="none" w:sz="0" w:space="0" w:color="auto"/>
          </w:divBdr>
        </w:div>
      </w:divsChild>
    </w:div>
    <w:div w:id="1827824052">
      <w:bodyDiv w:val="1"/>
      <w:marLeft w:val="0"/>
      <w:marRight w:val="0"/>
      <w:marTop w:val="0"/>
      <w:marBottom w:val="0"/>
      <w:divBdr>
        <w:top w:val="none" w:sz="0" w:space="0" w:color="auto"/>
        <w:left w:val="none" w:sz="0" w:space="0" w:color="auto"/>
        <w:bottom w:val="none" w:sz="0" w:space="0" w:color="auto"/>
        <w:right w:val="none" w:sz="0" w:space="0" w:color="auto"/>
      </w:divBdr>
    </w:div>
    <w:div w:id="1832911437">
      <w:bodyDiv w:val="1"/>
      <w:marLeft w:val="0"/>
      <w:marRight w:val="0"/>
      <w:marTop w:val="0"/>
      <w:marBottom w:val="0"/>
      <w:divBdr>
        <w:top w:val="none" w:sz="0" w:space="0" w:color="auto"/>
        <w:left w:val="none" w:sz="0" w:space="0" w:color="auto"/>
        <w:bottom w:val="none" w:sz="0" w:space="0" w:color="auto"/>
        <w:right w:val="none" w:sz="0" w:space="0" w:color="auto"/>
      </w:divBdr>
      <w:divsChild>
        <w:div w:id="1229926620">
          <w:marLeft w:val="0"/>
          <w:marRight w:val="0"/>
          <w:marTop w:val="0"/>
          <w:marBottom w:val="0"/>
          <w:divBdr>
            <w:top w:val="none" w:sz="0" w:space="0" w:color="auto"/>
            <w:left w:val="none" w:sz="0" w:space="0" w:color="auto"/>
            <w:bottom w:val="none" w:sz="0" w:space="0" w:color="auto"/>
            <w:right w:val="none" w:sz="0" w:space="0" w:color="auto"/>
          </w:divBdr>
          <w:divsChild>
            <w:div w:id="2138142834">
              <w:marLeft w:val="0"/>
              <w:marRight w:val="0"/>
              <w:marTop w:val="0"/>
              <w:marBottom w:val="0"/>
              <w:divBdr>
                <w:top w:val="none" w:sz="0" w:space="0" w:color="auto"/>
                <w:left w:val="none" w:sz="0" w:space="0" w:color="auto"/>
                <w:bottom w:val="none" w:sz="0" w:space="0" w:color="auto"/>
                <w:right w:val="none" w:sz="0" w:space="0" w:color="auto"/>
              </w:divBdr>
              <w:divsChild>
                <w:div w:id="23605915">
                  <w:marLeft w:val="0"/>
                  <w:marRight w:val="0"/>
                  <w:marTop w:val="0"/>
                  <w:marBottom w:val="0"/>
                  <w:divBdr>
                    <w:top w:val="none" w:sz="0" w:space="0" w:color="auto"/>
                    <w:left w:val="none" w:sz="0" w:space="0" w:color="auto"/>
                    <w:bottom w:val="none" w:sz="0" w:space="0" w:color="auto"/>
                    <w:right w:val="none" w:sz="0" w:space="0" w:color="auto"/>
                  </w:divBdr>
                  <w:divsChild>
                    <w:div w:id="256640831">
                      <w:marLeft w:val="0"/>
                      <w:marRight w:val="0"/>
                      <w:marTop w:val="120"/>
                      <w:marBottom w:val="0"/>
                      <w:divBdr>
                        <w:top w:val="none" w:sz="0" w:space="0" w:color="auto"/>
                        <w:left w:val="none" w:sz="0" w:space="0" w:color="auto"/>
                        <w:bottom w:val="none" w:sz="0" w:space="0" w:color="auto"/>
                        <w:right w:val="none" w:sz="0" w:space="0" w:color="auto"/>
                      </w:divBdr>
                    </w:div>
                    <w:div w:id="1930384977">
                      <w:marLeft w:val="0"/>
                      <w:marRight w:val="0"/>
                      <w:marTop w:val="0"/>
                      <w:marBottom w:val="0"/>
                      <w:divBdr>
                        <w:top w:val="none" w:sz="0" w:space="0" w:color="auto"/>
                        <w:left w:val="none" w:sz="0" w:space="0" w:color="auto"/>
                        <w:bottom w:val="none" w:sz="0" w:space="0" w:color="auto"/>
                        <w:right w:val="none" w:sz="0" w:space="0" w:color="auto"/>
                      </w:divBdr>
                    </w:div>
                  </w:divsChild>
                </w:div>
                <w:div w:id="803155898">
                  <w:marLeft w:val="0"/>
                  <w:marRight w:val="0"/>
                  <w:marTop w:val="0"/>
                  <w:marBottom w:val="0"/>
                  <w:divBdr>
                    <w:top w:val="none" w:sz="0" w:space="0" w:color="auto"/>
                    <w:left w:val="none" w:sz="0" w:space="0" w:color="auto"/>
                    <w:bottom w:val="none" w:sz="0" w:space="0" w:color="auto"/>
                    <w:right w:val="none" w:sz="0" w:space="0" w:color="auto"/>
                  </w:divBdr>
                  <w:divsChild>
                    <w:div w:id="772433014">
                      <w:marLeft w:val="0"/>
                      <w:marRight w:val="0"/>
                      <w:marTop w:val="0"/>
                      <w:marBottom w:val="0"/>
                      <w:divBdr>
                        <w:top w:val="none" w:sz="0" w:space="0" w:color="auto"/>
                        <w:left w:val="none" w:sz="0" w:space="0" w:color="auto"/>
                        <w:bottom w:val="none" w:sz="0" w:space="0" w:color="auto"/>
                        <w:right w:val="none" w:sz="0" w:space="0" w:color="auto"/>
                      </w:divBdr>
                    </w:div>
                    <w:div w:id="1280920185">
                      <w:marLeft w:val="0"/>
                      <w:marRight w:val="0"/>
                      <w:marTop w:val="120"/>
                      <w:marBottom w:val="0"/>
                      <w:divBdr>
                        <w:top w:val="none" w:sz="0" w:space="0" w:color="auto"/>
                        <w:left w:val="none" w:sz="0" w:space="0" w:color="auto"/>
                        <w:bottom w:val="none" w:sz="0" w:space="0" w:color="auto"/>
                        <w:right w:val="none" w:sz="0" w:space="0" w:color="auto"/>
                      </w:divBdr>
                    </w:div>
                  </w:divsChild>
                </w:div>
                <w:div w:id="1223295245">
                  <w:marLeft w:val="0"/>
                  <w:marRight w:val="0"/>
                  <w:marTop w:val="0"/>
                  <w:marBottom w:val="0"/>
                  <w:divBdr>
                    <w:top w:val="none" w:sz="0" w:space="0" w:color="auto"/>
                    <w:left w:val="none" w:sz="0" w:space="0" w:color="auto"/>
                    <w:bottom w:val="none" w:sz="0" w:space="0" w:color="auto"/>
                    <w:right w:val="none" w:sz="0" w:space="0" w:color="auto"/>
                  </w:divBdr>
                  <w:divsChild>
                    <w:div w:id="150416305">
                      <w:marLeft w:val="0"/>
                      <w:marRight w:val="0"/>
                      <w:marTop w:val="0"/>
                      <w:marBottom w:val="0"/>
                      <w:divBdr>
                        <w:top w:val="none" w:sz="0" w:space="0" w:color="auto"/>
                        <w:left w:val="none" w:sz="0" w:space="0" w:color="auto"/>
                        <w:bottom w:val="none" w:sz="0" w:space="0" w:color="auto"/>
                        <w:right w:val="none" w:sz="0" w:space="0" w:color="auto"/>
                      </w:divBdr>
                    </w:div>
                    <w:div w:id="12205568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7443686">
          <w:marLeft w:val="0"/>
          <w:marRight w:val="0"/>
          <w:marTop w:val="0"/>
          <w:marBottom w:val="0"/>
          <w:divBdr>
            <w:top w:val="none" w:sz="0" w:space="0" w:color="auto"/>
            <w:left w:val="none" w:sz="0" w:space="0" w:color="auto"/>
            <w:bottom w:val="none" w:sz="0" w:space="0" w:color="auto"/>
            <w:right w:val="none" w:sz="0" w:space="0" w:color="auto"/>
          </w:divBdr>
          <w:divsChild>
            <w:div w:id="16540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3139">
      <w:bodyDiv w:val="1"/>
      <w:marLeft w:val="0"/>
      <w:marRight w:val="0"/>
      <w:marTop w:val="0"/>
      <w:marBottom w:val="0"/>
      <w:divBdr>
        <w:top w:val="none" w:sz="0" w:space="0" w:color="auto"/>
        <w:left w:val="none" w:sz="0" w:space="0" w:color="auto"/>
        <w:bottom w:val="none" w:sz="0" w:space="0" w:color="auto"/>
        <w:right w:val="none" w:sz="0" w:space="0" w:color="auto"/>
      </w:divBdr>
    </w:div>
    <w:div w:id="1839807677">
      <w:bodyDiv w:val="1"/>
      <w:marLeft w:val="0"/>
      <w:marRight w:val="0"/>
      <w:marTop w:val="0"/>
      <w:marBottom w:val="0"/>
      <w:divBdr>
        <w:top w:val="none" w:sz="0" w:space="0" w:color="auto"/>
        <w:left w:val="none" w:sz="0" w:space="0" w:color="auto"/>
        <w:bottom w:val="none" w:sz="0" w:space="0" w:color="auto"/>
        <w:right w:val="none" w:sz="0" w:space="0" w:color="auto"/>
      </w:divBdr>
    </w:div>
    <w:div w:id="1897426078">
      <w:bodyDiv w:val="1"/>
      <w:marLeft w:val="0"/>
      <w:marRight w:val="0"/>
      <w:marTop w:val="0"/>
      <w:marBottom w:val="0"/>
      <w:divBdr>
        <w:top w:val="none" w:sz="0" w:space="0" w:color="auto"/>
        <w:left w:val="none" w:sz="0" w:space="0" w:color="auto"/>
        <w:bottom w:val="none" w:sz="0" w:space="0" w:color="auto"/>
        <w:right w:val="none" w:sz="0" w:space="0" w:color="auto"/>
      </w:divBdr>
      <w:divsChild>
        <w:div w:id="1994680303">
          <w:marLeft w:val="0"/>
          <w:marRight w:val="0"/>
          <w:marTop w:val="0"/>
          <w:marBottom w:val="0"/>
          <w:divBdr>
            <w:top w:val="none" w:sz="0" w:space="0" w:color="auto"/>
            <w:left w:val="none" w:sz="0" w:space="0" w:color="auto"/>
            <w:bottom w:val="none" w:sz="0" w:space="0" w:color="auto"/>
            <w:right w:val="none" w:sz="0" w:space="0" w:color="auto"/>
          </w:divBdr>
        </w:div>
      </w:divsChild>
    </w:div>
    <w:div w:id="1921329972">
      <w:bodyDiv w:val="1"/>
      <w:marLeft w:val="0"/>
      <w:marRight w:val="0"/>
      <w:marTop w:val="0"/>
      <w:marBottom w:val="0"/>
      <w:divBdr>
        <w:top w:val="none" w:sz="0" w:space="0" w:color="auto"/>
        <w:left w:val="none" w:sz="0" w:space="0" w:color="auto"/>
        <w:bottom w:val="none" w:sz="0" w:space="0" w:color="auto"/>
        <w:right w:val="none" w:sz="0" w:space="0" w:color="auto"/>
      </w:divBdr>
      <w:divsChild>
        <w:div w:id="6759913">
          <w:marLeft w:val="600"/>
          <w:marRight w:val="0"/>
          <w:marTop w:val="0"/>
          <w:marBottom w:val="0"/>
          <w:divBdr>
            <w:top w:val="none" w:sz="0" w:space="0" w:color="auto"/>
            <w:left w:val="none" w:sz="0" w:space="0" w:color="auto"/>
            <w:bottom w:val="none" w:sz="0" w:space="0" w:color="auto"/>
            <w:right w:val="none" w:sz="0" w:space="0" w:color="auto"/>
          </w:divBdr>
        </w:div>
        <w:div w:id="94635730">
          <w:marLeft w:val="600"/>
          <w:marRight w:val="0"/>
          <w:marTop w:val="0"/>
          <w:marBottom w:val="0"/>
          <w:divBdr>
            <w:top w:val="none" w:sz="0" w:space="0" w:color="auto"/>
            <w:left w:val="none" w:sz="0" w:space="0" w:color="auto"/>
            <w:bottom w:val="none" w:sz="0" w:space="0" w:color="auto"/>
            <w:right w:val="none" w:sz="0" w:space="0" w:color="auto"/>
          </w:divBdr>
        </w:div>
        <w:div w:id="514538899">
          <w:marLeft w:val="600"/>
          <w:marRight w:val="0"/>
          <w:marTop w:val="0"/>
          <w:marBottom w:val="0"/>
          <w:divBdr>
            <w:top w:val="none" w:sz="0" w:space="0" w:color="auto"/>
            <w:left w:val="none" w:sz="0" w:space="0" w:color="auto"/>
            <w:bottom w:val="none" w:sz="0" w:space="0" w:color="auto"/>
            <w:right w:val="none" w:sz="0" w:space="0" w:color="auto"/>
          </w:divBdr>
        </w:div>
        <w:div w:id="871962618">
          <w:marLeft w:val="600"/>
          <w:marRight w:val="0"/>
          <w:marTop w:val="0"/>
          <w:marBottom w:val="0"/>
          <w:divBdr>
            <w:top w:val="none" w:sz="0" w:space="0" w:color="auto"/>
            <w:left w:val="none" w:sz="0" w:space="0" w:color="auto"/>
            <w:bottom w:val="none" w:sz="0" w:space="0" w:color="auto"/>
            <w:right w:val="none" w:sz="0" w:space="0" w:color="auto"/>
          </w:divBdr>
        </w:div>
        <w:div w:id="907497310">
          <w:marLeft w:val="600"/>
          <w:marRight w:val="0"/>
          <w:marTop w:val="0"/>
          <w:marBottom w:val="0"/>
          <w:divBdr>
            <w:top w:val="none" w:sz="0" w:space="0" w:color="auto"/>
            <w:left w:val="none" w:sz="0" w:space="0" w:color="auto"/>
            <w:bottom w:val="none" w:sz="0" w:space="0" w:color="auto"/>
            <w:right w:val="none" w:sz="0" w:space="0" w:color="auto"/>
          </w:divBdr>
        </w:div>
        <w:div w:id="956638998">
          <w:marLeft w:val="600"/>
          <w:marRight w:val="0"/>
          <w:marTop w:val="0"/>
          <w:marBottom w:val="0"/>
          <w:divBdr>
            <w:top w:val="none" w:sz="0" w:space="0" w:color="auto"/>
            <w:left w:val="none" w:sz="0" w:space="0" w:color="auto"/>
            <w:bottom w:val="none" w:sz="0" w:space="0" w:color="auto"/>
            <w:right w:val="none" w:sz="0" w:space="0" w:color="auto"/>
          </w:divBdr>
        </w:div>
        <w:div w:id="1222015550">
          <w:marLeft w:val="600"/>
          <w:marRight w:val="0"/>
          <w:marTop w:val="0"/>
          <w:marBottom w:val="0"/>
          <w:divBdr>
            <w:top w:val="none" w:sz="0" w:space="0" w:color="auto"/>
            <w:left w:val="none" w:sz="0" w:space="0" w:color="auto"/>
            <w:bottom w:val="none" w:sz="0" w:space="0" w:color="auto"/>
            <w:right w:val="none" w:sz="0" w:space="0" w:color="auto"/>
          </w:divBdr>
        </w:div>
        <w:div w:id="1228952197">
          <w:marLeft w:val="600"/>
          <w:marRight w:val="0"/>
          <w:marTop w:val="0"/>
          <w:marBottom w:val="0"/>
          <w:divBdr>
            <w:top w:val="none" w:sz="0" w:space="0" w:color="auto"/>
            <w:left w:val="none" w:sz="0" w:space="0" w:color="auto"/>
            <w:bottom w:val="none" w:sz="0" w:space="0" w:color="auto"/>
            <w:right w:val="none" w:sz="0" w:space="0" w:color="auto"/>
          </w:divBdr>
        </w:div>
        <w:div w:id="1485705350">
          <w:marLeft w:val="600"/>
          <w:marRight w:val="0"/>
          <w:marTop w:val="0"/>
          <w:marBottom w:val="0"/>
          <w:divBdr>
            <w:top w:val="none" w:sz="0" w:space="0" w:color="auto"/>
            <w:left w:val="none" w:sz="0" w:space="0" w:color="auto"/>
            <w:bottom w:val="none" w:sz="0" w:space="0" w:color="auto"/>
            <w:right w:val="none" w:sz="0" w:space="0" w:color="auto"/>
          </w:divBdr>
        </w:div>
        <w:div w:id="1742092293">
          <w:marLeft w:val="600"/>
          <w:marRight w:val="0"/>
          <w:marTop w:val="0"/>
          <w:marBottom w:val="0"/>
          <w:divBdr>
            <w:top w:val="none" w:sz="0" w:space="0" w:color="auto"/>
            <w:left w:val="none" w:sz="0" w:space="0" w:color="auto"/>
            <w:bottom w:val="none" w:sz="0" w:space="0" w:color="auto"/>
            <w:right w:val="none" w:sz="0" w:space="0" w:color="auto"/>
          </w:divBdr>
        </w:div>
        <w:div w:id="1792094161">
          <w:marLeft w:val="600"/>
          <w:marRight w:val="0"/>
          <w:marTop w:val="0"/>
          <w:marBottom w:val="0"/>
          <w:divBdr>
            <w:top w:val="none" w:sz="0" w:space="0" w:color="auto"/>
            <w:left w:val="none" w:sz="0" w:space="0" w:color="auto"/>
            <w:bottom w:val="none" w:sz="0" w:space="0" w:color="auto"/>
            <w:right w:val="none" w:sz="0" w:space="0" w:color="auto"/>
          </w:divBdr>
        </w:div>
        <w:div w:id="1813134676">
          <w:marLeft w:val="600"/>
          <w:marRight w:val="0"/>
          <w:marTop w:val="0"/>
          <w:marBottom w:val="0"/>
          <w:divBdr>
            <w:top w:val="none" w:sz="0" w:space="0" w:color="auto"/>
            <w:left w:val="none" w:sz="0" w:space="0" w:color="auto"/>
            <w:bottom w:val="none" w:sz="0" w:space="0" w:color="auto"/>
            <w:right w:val="none" w:sz="0" w:space="0" w:color="auto"/>
          </w:divBdr>
        </w:div>
        <w:div w:id="2040005558">
          <w:marLeft w:val="600"/>
          <w:marRight w:val="0"/>
          <w:marTop w:val="0"/>
          <w:marBottom w:val="0"/>
          <w:divBdr>
            <w:top w:val="none" w:sz="0" w:space="0" w:color="auto"/>
            <w:left w:val="none" w:sz="0" w:space="0" w:color="auto"/>
            <w:bottom w:val="none" w:sz="0" w:space="0" w:color="auto"/>
            <w:right w:val="none" w:sz="0" w:space="0" w:color="auto"/>
          </w:divBdr>
        </w:div>
      </w:divsChild>
    </w:div>
    <w:div w:id="1923710723">
      <w:bodyDiv w:val="1"/>
      <w:marLeft w:val="0"/>
      <w:marRight w:val="0"/>
      <w:marTop w:val="0"/>
      <w:marBottom w:val="0"/>
      <w:divBdr>
        <w:top w:val="none" w:sz="0" w:space="0" w:color="auto"/>
        <w:left w:val="none" w:sz="0" w:space="0" w:color="auto"/>
        <w:bottom w:val="none" w:sz="0" w:space="0" w:color="auto"/>
        <w:right w:val="none" w:sz="0" w:space="0" w:color="auto"/>
      </w:divBdr>
    </w:div>
    <w:div w:id="1947226763">
      <w:bodyDiv w:val="1"/>
      <w:marLeft w:val="0"/>
      <w:marRight w:val="0"/>
      <w:marTop w:val="0"/>
      <w:marBottom w:val="0"/>
      <w:divBdr>
        <w:top w:val="none" w:sz="0" w:space="0" w:color="auto"/>
        <w:left w:val="none" w:sz="0" w:space="0" w:color="auto"/>
        <w:bottom w:val="none" w:sz="0" w:space="0" w:color="auto"/>
        <w:right w:val="none" w:sz="0" w:space="0" w:color="auto"/>
      </w:divBdr>
      <w:divsChild>
        <w:div w:id="251088022">
          <w:marLeft w:val="600"/>
          <w:marRight w:val="0"/>
          <w:marTop w:val="0"/>
          <w:marBottom w:val="0"/>
          <w:divBdr>
            <w:top w:val="none" w:sz="0" w:space="0" w:color="auto"/>
            <w:left w:val="none" w:sz="0" w:space="0" w:color="auto"/>
            <w:bottom w:val="none" w:sz="0" w:space="0" w:color="auto"/>
            <w:right w:val="none" w:sz="0" w:space="0" w:color="auto"/>
          </w:divBdr>
        </w:div>
        <w:div w:id="992638339">
          <w:marLeft w:val="600"/>
          <w:marRight w:val="0"/>
          <w:marTop w:val="0"/>
          <w:marBottom w:val="0"/>
          <w:divBdr>
            <w:top w:val="none" w:sz="0" w:space="0" w:color="auto"/>
            <w:left w:val="none" w:sz="0" w:space="0" w:color="auto"/>
            <w:bottom w:val="none" w:sz="0" w:space="0" w:color="auto"/>
            <w:right w:val="none" w:sz="0" w:space="0" w:color="auto"/>
          </w:divBdr>
        </w:div>
        <w:div w:id="1058285127">
          <w:marLeft w:val="600"/>
          <w:marRight w:val="0"/>
          <w:marTop w:val="0"/>
          <w:marBottom w:val="0"/>
          <w:divBdr>
            <w:top w:val="none" w:sz="0" w:space="0" w:color="auto"/>
            <w:left w:val="none" w:sz="0" w:space="0" w:color="auto"/>
            <w:bottom w:val="none" w:sz="0" w:space="0" w:color="auto"/>
            <w:right w:val="none" w:sz="0" w:space="0" w:color="auto"/>
          </w:divBdr>
        </w:div>
        <w:div w:id="1120031339">
          <w:marLeft w:val="600"/>
          <w:marRight w:val="0"/>
          <w:marTop w:val="0"/>
          <w:marBottom w:val="0"/>
          <w:divBdr>
            <w:top w:val="none" w:sz="0" w:space="0" w:color="auto"/>
            <w:left w:val="none" w:sz="0" w:space="0" w:color="auto"/>
            <w:bottom w:val="none" w:sz="0" w:space="0" w:color="auto"/>
            <w:right w:val="none" w:sz="0" w:space="0" w:color="auto"/>
          </w:divBdr>
        </w:div>
        <w:div w:id="1926062728">
          <w:marLeft w:val="600"/>
          <w:marRight w:val="0"/>
          <w:marTop w:val="0"/>
          <w:marBottom w:val="0"/>
          <w:divBdr>
            <w:top w:val="none" w:sz="0" w:space="0" w:color="auto"/>
            <w:left w:val="none" w:sz="0" w:space="0" w:color="auto"/>
            <w:bottom w:val="none" w:sz="0" w:space="0" w:color="auto"/>
            <w:right w:val="none" w:sz="0" w:space="0" w:color="auto"/>
          </w:divBdr>
        </w:div>
      </w:divsChild>
    </w:div>
    <w:div w:id="1952591106">
      <w:bodyDiv w:val="1"/>
      <w:marLeft w:val="0"/>
      <w:marRight w:val="0"/>
      <w:marTop w:val="0"/>
      <w:marBottom w:val="0"/>
      <w:divBdr>
        <w:top w:val="none" w:sz="0" w:space="0" w:color="auto"/>
        <w:left w:val="none" w:sz="0" w:space="0" w:color="auto"/>
        <w:bottom w:val="none" w:sz="0" w:space="0" w:color="auto"/>
        <w:right w:val="none" w:sz="0" w:space="0" w:color="auto"/>
      </w:divBdr>
    </w:div>
    <w:div w:id="1958025763">
      <w:bodyDiv w:val="1"/>
      <w:marLeft w:val="0"/>
      <w:marRight w:val="0"/>
      <w:marTop w:val="0"/>
      <w:marBottom w:val="0"/>
      <w:divBdr>
        <w:top w:val="none" w:sz="0" w:space="0" w:color="auto"/>
        <w:left w:val="none" w:sz="0" w:space="0" w:color="auto"/>
        <w:bottom w:val="none" w:sz="0" w:space="0" w:color="auto"/>
        <w:right w:val="none" w:sz="0" w:space="0" w:color="auto"/>
      </w:divBdr>
    </w:div>
    <w:div w:id="1973755675">
      <w:bodyDiv w:val="1"/>
      <w:marLeft w:val="0"/>
      <w:marRight w:val="0"/>
      <w:marTop w:val="0"/>
      <w:marBottom w:val="0"/>
      <w:divBdr>
        <w:top w:val="none" w:sz="0" w:space="0" w:color="auto"/>
        <w:left w:val="none" w:sz="0" w:space="0" w:color="auto"/>
        <w:bottom w:val="none" w:sz="0" w:space="0" w:color="auto"/>
        <w:right w:val="none" w:sz="0" w:space="0" w:color="auto"/>
      </w:divBdr>
    </w:div>
    <w:div w:id="1979996006">
      <w:bodyDiv w:val="1"/>
      <w:marLeft w:val="0"/>
      <w:marRight w:val="0"/>
      <w:marTop w:val="0"/>
      <w:marBottom w:val="0"/>
      <w:divBdr>
        <w:top w:val="none" w:sz="0" w:space="0" w:color="auto"/>
        <w:left w:val="none" w:sz="0" w:space="0" w:color="auto"/>
        <w:bottom w:val="none" w:sz="0" w:space="0" w:color="auto"/>
        <w:right w:val="none" w:sz="0" w:space="0" w:color="auto"/>
      </w:divBdr>
      <w:divsChild>
        <w:div w:id="399866047">
          <w:marLeft w:val="0"/>
          <w:marRight w:val="0"/>
          <w:marTop w:val="0"/>
          <w:marBottom w:val="0"/>
          <w:divBdr>
            <w:top w:val="none" w:sz="0" w:space="0" w:color="auto"/>
            <w:left w:val="none" w:sz="0" w:space="0" w:color="auto"/>
            <w:bottom w:val="none" w:sz="0" w:space="0" w:color="auto"/>
            <w:right w:val="none" w:sz="0" w:space="0" w:color="auto"/>
          </w:divBdr>
          <w:divsChild>
            <w:div w:id="708189687">
              <w:marLeft w:val="0"/>
              <w:marRight w:val="0"/>
              <w:marTop w:val="0"/>
              <w:marBottom w:val="0"/>
              <w:divBdr>
                <w:top w:val="none" w:sz="0" w:space="0" w:color="auto"/>
                <w:left w:val="none" w:sz="0" w:space="0" w:color="auto"/>
                <w:bottom w:val="none" w:sz="0" w:space="0" w:color="auto"/>
                <w:right w:val="none" w:sz="0" w:space="0" w:color="auto"/>
              </w:divBdr>
            </w:div>
          </w:divsChild>
        </w:div>
        <w:div w:id="640156089">
          <w:marLeft w:val="0"/>
          <w:marRight w:val="0"/>
          <w:marTop w:val="0"/>
          <w:marBottom w:val="0"/>
          <w:divBdr>
            <w:top w:val="none" w:sz="0" w:space="0" w:color="auto"/>
            <w:left w:val="none" w:sz="0" w:space="0" w:color="auto"/>
            <w:bottom w:val="none" w:sz="0" w:space="0" w:color="auto"/>
            <w:right w:val="none" w:sz="0" w:space="0" w:color="auto"/>
          </w:divBdr>
          <w:divsChild>
            <w:div w:id="1839883395">
              <w:marLeft w:val="0"/>
              <w:marRight w:val="0"/>
              <w:marTop w:val="0"/>
              <w:marBottom w:val="0"/>
              <w:divBdr>
                <w:top w:val="none" w:sz="0" w:space="0" w:color="auto"/>
                <w:left w:val="none" w:sz="0" w:space="0" w:color="auto"/>
                <w:bottom w:val="none" w:sz="0" w:space="0" w:color="auto"/>
                <w:right w:val="none" w:sz="0" w:space="0" w:color="auto"/>
              </w:divBdr>
            </w:div>
          </w:divsChild>
        </w:div>
        <w:div w:id="697269992">
          <w:marLeft w:val="0"/>
          <w:marRight w:val="0"/>
          <w:marTop w:val="0"/>
          <w:marBottom w:val="0"/>
          <w:divBdr>
            <w:top w:val="none" w:sz="0" w:space="0" w:color="auto"/>
            <w:left w:val="none" w:sz="0" w:space="0" w:color="auto"/>
            <w:bottom w:val="none" w:sz="0" w:space="0" w:color="auto"/>
            <w:right w:val="none" w:sz="0" w:space="0" w:color="auto"/>
          </w:divBdr>
          <w:divsChild>
            <w:div w:id="604114416">
              <w:marLeft w:val="0"/>
              <w:marRight w:val="0"/>
              <w:marTop w:val="0"/>
              <w:marBottom w:val="0"/>
              <w:divBdr>
                <w:top w:val="none" w:sz="0" w:space="0" w:color="auto"/>
                <w:left w:val="none" w:sz="0" w:space="0" w:color="auto"/>
                <w:bottom w:val="none" w:sz="0" w:space="0" w:color="auto"/>
                <w:right w:val="none" w:sz="0" w:space="0" w:color="auto"/>
              </w:divBdr>
            </w:div>
          </w:divsChild>
        </w:div>
        <w:div w:id="1733314456">
          <w:marLeft w:val="0"/>
          <w:marRight w:val="0"/>
          <w:marTop w:val="0"/>
          <w:marBottom w:val="0"/>
          <w:divBdr>
            <w:top w:val="none" w:sz="0" w:space="0" w:color="auto"/>
            <w:left w:val="none" w:sz="0" w:space="0" w:color="auto"/>
            <w:bottom w:val="none" w:sz="0" w:space="0" w:color="auto"/>
            <w:right w:val="none" w:sz="0" w:space="0" w:color="auto"/>
          </w:divBdr>
          <w:divsChild>
            <w:div w:id="9537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115">
      <w:bodyDiv w:val="1"/>
      <w:marLeft w:val="0"/>
      <w:marRight w:val="0"/>
      <w:marTop w:val="0"/>
      <w:marBottom w:val="0"/>
      <w:divBdr>
        <w:top w:val="none" w:sz="0" w:space="0" w:color="auto"/>
        <w:left w:val="none" w:sz="0" w:space="0" w:color="auto"/>
        <w:bottom w:val="none" w:sz="0" w:space="0" w:color="auto"/>
        <w:right w:val="none" w:sz="0" w:space="0" w:color="auto"/>
      </w:divBdr>
      <w:divsChild>
        <w:div w:id="82576152">
          <w:marLeft w:val="600"/>
          <w:marRight w:val="0"/>
          <w:marTop w:val="0"/>
          <w:marBottom w:val="0"/>
          <w:divBdr>
            <w:top w:val="none" w:sz="0" w:space="0" w:color="auto"/>
            <w:left w:val="none" w:sz="0" w:space="0" w:color="auto"/>
            <w:bottom w:val="none" w:sz="0" w:space="0" w:color="auto"/>
            <w:right w:val="none" w:sz="0" w:space="0" w:color="auto"/>
          </w:divBdr>
        </w:div>
        <w:div w:id="839664274">
          <w:marLeft w:val="600"/>
          <w:marRight w:val="0"/>
          <w:marTop w:val="0"/>
          <w:marBottom w:val="0"/>
          <w:divBdr>
            <w:top w:val="none" w:sz="0" w:space="0" w:color="auto"/>
            <w:left w:val="none" w:sz="0" w:space="0" w:color="auto"/>
            <w:bottom w:val="none" w:sz="0" w:space="0" w:color="auto"/>
            <w:right w:val="none" w:sz="0" w:space="0" w:color="auto"/>
          </w:divBdr>
        </w:div>
        <w:div w:id="1127972830">
          <w:marLeft w:val="600"/>
          <w:marRight w:val="0"/>
          <w:marTop w:val="0"/>
          <w:marBottom w:val="0"/>
          <w:divBdr>
            <w:top w:val="none" w:sz="0" w:space="0" w:color="auto"/>
            <w:left w:val="none" w:sz="0" w:space="0" w:color="auto"/>
            <w:bottom w:val="none" w:sz="0" w:space="0" w:color="auto"/>
            <w:right w:val="none" w:sz="0" w:space="0" w:color="auto"/>
          </w:divBdr>
        </w:div>
        <w:div w:id="1270578895">
          <w:marLeft w:val="600"/>
          <w:marRight w:val="0"/>
          <w:marTop w:val="0"/>
          <w:marBottom w:val="0"/>
          <w:divBdr>
            <w:top w:val="none" w:sz="0" w:space="0" w:color="auto"/>
            <w:left w:val="none" w:sz="0" w:space="0" w:color="auto"/>
            <w:bottom w:val="none" w:sz="0" w:space="0" w:color="auto"/>
            <w:right w:val="none" w:sz="0" w:space="0" w:color="auto"/>
          </w:divBdr>
        </w:div>
        <w:div w:id="1289239339">
          <w:marLeft w:val="600"/>
          <w:marRight w:val="0"/>
          <w:marTop w:val="0"/>
          <w:marBottom w:val="0"/>
          <w:divBdr>
            <w:top w:val="none" w:sz="0" w:space="0" w:color="auto"/>
            <w:left w:val="none" w:sz="0" w:space="0" w:color="auto"/>
            <w:bottom w:val="none" w:sz="0" w:space="0" w:color="auto"/>
            <w:right w:val="none" w:sz="0" w:space="0" w:color="auto"/>
          </w:divBdr>
        </w:div>
        <w:div w:id="1545677212">
          <w:marLeft w:val="600"/>
          <w:marRight w:val="0"/>
          <w:marTop w:val="0"/>
          <w:marBottom w:val="0"/>
          <w:divBdr>
            <w:top w:val="none" w:sz="0" w:space="0" w:color="auto"/>
            <w:left w:val="none" w:sz="0" w:space="0" w:color="auto"/>
            <w:bottom w:val="none" w:sz="0" w:space="0" w:color="auto"/>
            <w:right w:val="none" w:sz="0" w:space="0" w:color="auto"/>
          </w:divBdr>
        </w:div>
        <w:div w:id="1618827923">
          <w:marLeft w:val="600"/>
          <w:marRight w:val="0"/>
          <w:marTop w:val="0"/>
          <w:marBottom w:val="0"/>
          <w:divBdr>
            <w:top w:val="none" w:sz="0" w:space="0" w:color="auto"/>
            <w:left w:val="none" w:sz="0" w:space="0" w:color="auto"/>
            <w:bottom w:val="none" w:sz="0" w:space="0" w:color="auto"/>
            <w:right w:val="none" w:sz="0" w:space="0" w:color="auto"/>
          </w:divBdr>
        </w:div>
        <w:div w:id="1623657012">
          <w:marLeft w:val="600"/>
          <w:marRight w:val="0"/>
          <w:marTop w:val="0"/>
          <w:marBottom w:val="0"/>
          <w:divBdr>
            <w:top w:val="none" w:sz="0" w:space="0" w:color="auto"/>
            <w:left w:val="none" w:sz="0" w:space="0" w:color="auto"/>
            <w:bottom w:val="none" w:sz="0" w:space="0" w:color="auto"/>
            <w:right w:val="none" w:sz="0" w:space="0" w:color="auto"/>
          </w:divBdr>
        </w:div>
        <w:div w:id="1794976572">
          <w:marLeft w:val="600"/>
          <w:marRight w:val="0"/>
          <w:marTop w:val="0"/>
          <w:marBottom w:val="0"/>
          <w:divBdr>
            <w:top w:val="none" w:sz="0" w:space="0" w:color="auto"/>
            <w:left w:val="none" w:sz="0" w:space="0" w:color="auto"/>
            <w:bottom w:val="none" w:sz="0" w:space="0" w:color="auto"/>
            <w:right w:val="none" w:sz="0" w:space="0" w:color="auto"/>
          </w:divBdr>
        </w:div>
        <w:div w:id="1839420698">
          <w:marLeft w:val="600"/>
          <w:marRight w:val="0"/>
          <w:marTop w:val="0"/>
          <w:marBottom w:val="0"/>
          <w:divBdr>
            <w:top w:val="none" w:sz="0" w:space="0" w:color="auto"/>
            <w:left w:val="none" w:sz="0" w:space="0" w:color="auto"/>
            <w:bottom w:val="none" w:sz="0" w:space="0" w:color="auto"/>
            <w:right w:val="none" w:sz="0" w:space="0" w:color="auto"/>
          </w:divBdr>
        </w:div>
        <w:div w:id="2058356574">
          <w:marLeft w:val="720"/>
          <w:marRight w:val="0"/>
          <w:marTop w:val="0"/>
          <w:marBottom w:val="0"/>
          <w:divBdr>
            <w:top w:val="none" w:sz="0" w:space="0" w:color="auto"/>
            <w:left w:val="none" w:sz="0" w:space="0" w:color="auto"/>
            <w:bottom w:val="none" w:sz="0" w:space="0" w:color="auto"/>
            <w:right w:val="none" w:sz="0" w:space="0" w:color="auto"/>
          </w:divBdr>
        </w:div>
      </w:divsChild>
    </w:div>
    <w:div w:id="2064134860">
      <w:bodyDiv w:val="1"/>
      <w:marLeft w:val="0"/>
      <w:marRight w:val="0"/>
      <w:marTop w:val="0"/>
      <w:marBottom w:val="0"/>
      <w:divBdr>
        <w:top w:val="none" w:sz="0" w:space="0" w:color="auto"/>
        <w:left w:val="none" w:sz="0" w:space="0" w:color="auto"/>
        <w:bottom w:val="none" w:sz="0" w:space="0" w:color="auto"/>
        <w:right w:val="none" w:sz="0" w:space="0" w:color="auto"/>
      </w:divBdr>
      <w:divsChild>
        <w:div w:id="1642270644">
          <w:marLeft w:val="600"/>
          <w:marRight w:val="0"/>
          <w:marTop w:val="0"/>
          <w:marBottom w:val="0"/>
          <w:divBdr>
            <w:top w:val="none" w:sz="0" w:space="0" w:color="auto"/>
            <w:left w:val="none" w:sz="0" w:space="0" w:color="auto"/>
            <w:bottom w:val="none" w:sz="0" w:space="0" w:color="auto"/>
            <w:right w:val="none" w:sz="0" w:space="0" w:color="auto"/>
          </w:divBdr>
        </w:div>
        <w:div w:id="1998458784">
          <w:marLeft w:val="600"/>
          <w:marRight w:val="0"/>
          <w:marTop w:val="0"/>
          <w:marBottom w:val="0"/>
          <w:divBdr>
            <w:top w:val="none" w:sz="0" w:space="0" w:color="auto"/>
            <w:left w:val="none" w:sz="0" w:space="0" w:color="auto"/>
            <w:bottom w:val="none" w:sz="0" w:space="0" w:color="auto"/>
            <w:right w:val="none" w:sz="0" w:space="0" w:color="auto"/>
          </w:divBdr>
        </w:div>
        <w:div w:id="2083133718">
          <w:marLeft w:val="600"/>
          <w:marRight w:val="0"/>
          <w:marTop w:val="0"/>
          <w:marBottom w:val="0"/>
          <w:divBdr>
            <w:top w:val="none" w:sz="0" w:space="0" w:color="auto"/>
            <w:left w:val="none" w:sz="0" w:space="0" w:color="auto"/>
            <w:bottom w:val="none" w:sz="0" w:space="0" w:color="auto"/>
            <w:right w:val="none" w:sz="0" w:space="0" w:color="auto"/>
          </w:divBdr>
        </w:div>
      </w:divsChild>
    </w:div>
    <w:div w:id="2064451343">
      <w:bodyDiv w:val="1"/>
      <w:marLeft w:val="0"/>
      <w:marRight w:val="0"/>
      <w:marTop w:val="0"/>
      <w:marBottom w:val="0"/>
      <w:divBdr>
        <w:top w:val="none" w:sz="0" w:space="0" w:color="auto"/>
        <w:left w:val="none" w:sz="0" w:space="0" w:color="auto"/>
        <w:bottom w:val="none" w:sz="0" w:space="0" w:color="auto"/>
        <w:right w:val="none" w:sz="0" w:space="0" w:color="auto"/>
      </w:divBdr>
    </w:div>
    <w:div w:id="210182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data.europa.eu/doi/10.2874/14850" TargetMode="External"/><Relationship Id="rId7" Type="http://schemas.openxmlformats.org/officeDocument/2006/relationships/hyperlink" Target="https://myintracomm.ec.europa.eu/budgweb/EN/man/budgmanag/Pages/budgmanag.aspx" TargetMode="External"/><Relationship Id="rId2" Type="http://schemas.openxmlformats.org/officeDocument/2006/relationships/hyperlink" Target="https://www.esma.europa.eu/supervision/supervision" TargetMode="External"/><Relationship Id="rId1" Type="http://schemas.openxmlformats.org/officeDocument/2006/relationships/hyperlink" Target="https://eur-lex.europa.eu/legal-content/FI/TXT/?uri=CELEX:52021DC0390" TargetMode="External"/><Relationship Id="rId6" Type="http://schemas.openxmlformats.org/officeDocument/2006/relationships/hyperlink" Target="https://www.iosco.org/library/pubdocs/pdf/IOSCOPD690.pdf" TargetMode="External"/><Relationship Id="rId5" Type="http://schemas.openxmlformats.org/officeDocument/2006/relationships/hyperlink" Target="https://www.iosco.org/library/pubdocs/pdf/IOSCOPD690.pdf" TargetMode="External"/><Relationship Id="rId4" Type="http://schemas.openxmlformats.org/officeDocument/2006/relationships/hyperlink" Target="https://eur-lex.europa.eu/legal-content/FI/TXT/?uri=CELEX:52021DC03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829E6-1A78-41E2-9DC8-C04ED387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78</Pages>
  <Words>18479</Words>
  <Characters>163916</Characters>
  <Application>Microsoft Office Word</Application>
  <DocSecurity>0</DocSecurity>
  <Lines>3487</Lines>
  <Paragraphs>1312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181083</CharactersWithSpaces>
  <SharedDoc>false</SharedDoc>
  <HLinks>
    <vt:vector size="30" baseType="variant">
      <vt:variant>
        <vt:i4>720977</vt:i4>
      </vt:variant>
      <vt:variant>
        <vt:i4>12</vt:i4>
      </vt:variant>
      <vt:variant>
        <vt:i4>0</vt:i4>
      </vt:variant>
      <vt:variant>
        <vt:i4>5</vt:i4>
      </vt:variant>
      <vt:variant>
        <vt:lpwstr>https://www.iosco.org/library/pubdocs/pdf/IOSCOPD690.pdf</vt:lpwstr>
      </vt:variant>
      <vt:variant>
        <vt:lpwstr/>
      </vt:variant>
      <vt:variant>
        <vt:i4>589846</vt:i4>
      </vt:variant>
      <vt:variant>
        <vt:i4>9</vt:i4>
      </vt:variant>
      <vt:variant>
        <vt:i4>0</vt:i4>
      </vt:variant>
      <vt:variant>
        <vt:i4>5</vt:i4>
      </vt:variant>
      <vt:variant>
        <vt:lpwstr>https://eur-lex.europa.eu/legal-content/EN/TXT/?uri=CELEX:52021DC0390</vt:lpwstr>
      </vt:variant>
      <vt:variant>
        <vt:lpwstr/>
      </vt:variant>
      <vt:variant>
        <vt:i4>655380</vt:i4>
      </vt:variant>
      <vt:variant>
        <vt:i4>6</vt:i4>
      </vt:variant>
      <vt:variant>
        <vt:i4>0</vt:i4>
      </vt:variant>
      <vt:variant>
        <vt:i4>5</vt:i4>
      </vt:variant>
      <vt:variant>
        <vt:lpwstr>https://data.europa.eu/doi/10.2874/14850</vt:lpwstr>
      </vt:variant>
      <vt:variant>
        <vt:lpwstr/>
      </vt:variant>
      <vt:variant>
        <vt:i4>3932286</vt:i4>
      </vt:variant>
      <vt:variant>
        <vt:i4>3</vt:i4>
      </vt:variant>
      <vt:variant>
        <vt:i4>0</vt:i4>
      </vt:variant>
      <vt:variant>
        <vt:i4>5</vt:i4>
      </vt:variant>
      <vt:variant>
        <vt:lpwstr>https://www.esma.europa.eu/supervision/supervision</vt:lpwstr>
      </vt:variant>
      <vt:variant>
        <vt:lpwstr>:~:text=Risk%2Dbased%20supervision%20refers%20to,managing%20the%20risks%20identified%3B%20and</vt:lpwstr>
      </vt:variant>
      <vt:variant>
        <vt:i4>589846</vt:i4>
      </vt:variant>
      <vt:variant>
        <vt:i4>0</vt:i4>
      </vt:variant>
      <vt:variant>
        <vt:i4>0</vt:i4>
      </vt:variant>
      <vt:variant>
        <vt:i4>5</vt:i4>
      </vt:variant>
      <vt:variant>
        <vt:lpwstr>https://eur-lex.europa.eu/legal-content/EN/TXT/?uri=CELEX:52021DC0390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2023-06-13T08:08:00Z</dcterms:created>
  <dcterms:modified xsi:type="dcterms:W3CDTF">2023-07-07T16:03:00Z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2023-06-10T18:34:19Z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4e4e3659-95cd-4d5b-9fbb-33d82d3f9bf2</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Green (DQC version 03)</vt:lpwstr>
  </property>
</Properties>
</file>